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E3" w:rsidRPr="00C07F31" w:rsidRDefault="004F6730" w:rsidP="00950445">
      <w:pPr>
        <w:pStyle w:val="rvps26"/>
        <w:shd w:val="clear" w:color="auto" w:fill="FFFFFF"/>
        <w:spacing w:before="0" w:beforeAutospacing="0" w:after="0" w:afterAutospacing="0"/>
        <w:ind w:firstLine="539"/>
        <w:rPr>
          <w:rStyle w:val="rvts52"/>
          <w:bCs/>
          <w:highlight w:val="yellow"/>
        </w:rPr>
      </w:pPr>
      <w:r w:rsidRPr="004F6730">
        <w:rPr>
          <w:rStyle w:val="rvts52"/>
          <w:bCs/>
        </w:rPr>
        <w:t>УДК 314.4</w:t>
      </w:r>
    </w:p>
    <w:p w:rsidR="00170B33" w:rsidRDefault="004F6730" w:rsidP="00950445">
      <w:pPr>
        <w:pStyle w:val="rvps34"/>
        <w:shd w:val="clear" w:color="auto" w:fill="FFFFFF"/>
        <w:spacing w:before="0" w:beforeAutospacing="0" w:after="0" w:afterAutospacing="0"/>
        <w:ind w:firstLine="539"/>
        <w:rPr>
          <w:rStyle w:val="rvts52"/>
          <w:b/>
          <w:bCs/>
        </w:rPr>
      </w:pPr>
      <w:r w:rsidRPr="004F6730">
        <w:rPr>
          <w:rStyle w:val="rvts52"/>
          <w:bCs/>
        </w:rPr>
        <w:t xml:space="preserve">ББК 60.7                               </w:t>
      </w:r>
      <w:r>
        <w:rPr>
          <w:rStyle w:val="rvts52"/>
          <w:bCs/>
        </w:rPr>
        <w:t xml:space="preserve">                    </w:t>
      </w:r>
      <w:r w:rsidR="00170B33">
        <w:rPr>
          <w:rStyle w:val="rvts52"/>
          <w:bCs/>
        </w:rPr>
        <w:t xml:space="preserve">      </w:t>
      </w:r>
      <w:r>
        <w:rPr>
          <w:rStyle w:val="rvts52"/>
          <w:bCs/>
        </w:rPr>
        <w:t xml:space="preserve">   </w:t>
      </w:r>
      <w:r w:rsidR="00170B33">
        <w:rPr>
          <w:rStyle w:val="rvts52"/>
          <w:bCs/>
        </w:rPr>
        <w:t xml:space="preserve">                                          </w:t>
      </w:r>
      <w:r>
        <w:rPr>
          <w:rStyle w:val="rvts52"/>
          <w:bCs/>
        </w:rPr>
        <w:t xml:space="preserve"> </w:t>
      </w:r>
      <w:r w:rsidRPr="004F6730">
        <w:rPr>
          <w:rStyle w:val="rvts52"/>
          <w:bCs/>
        </w:rPr>
        <w:t xml:space="preserve"> </w:t>
      </w:r>
      <w:r w:rsidR="001E01E3" w:rsidRPr="00805B41">
        <w:rPr>
          <w:rStyle w:val="rvts52"/>
          <w:b/>
          <w:bCs/>
        </w:rPr>
        <w:t>Груздева М.А.</w:t>
      </w:r>
    </w:p>
    <w:p w:rsidR="006A7294" w:rsidRPr="00805B41" w:rsidRDefault="00170B33" w:rsidP="00950445">
      <w:pPr>
        <w:pStyle w:val="rvps34"/>
        <w:shd w:val="clear" w:color="auto" w:fill="FFFFFF"/>
        <w:spacing w:before="0" w:beforeAutospacing="0" w:after="0" w:afterAutospacing="0"/>
        <w:ind w:firstLine="539"/>
        <w:jc w:val="right"/>
      </w:pPr>
      <w:r>
        <w:rPr>
          <w:rStyle w:val="rvts52"/>
          <w:b/>
          <w:bCs/>
        </w:rPr>
        <w:t>Калашников К.Н.</w:t>
      </w:r>
    </w:p>
    <w:p w:rsidR="00C07F31" w:rsidRDefault="00170B33" w:rsidP="00950445">
      <w:pPr>
        <w:widowControl w:val="0"/>
        <w:autoSpaceDE w:val="0"/>
        <w:autoSpaceDN w:val="0"/>
        <w:adjustRightInd w:val="0"/>
        <w:spacing w:after="0" w:line="240" w:lineRule="auto"/>
        <w:ind w:firstLine="709"/>
        <w:jc w:val="center"/>
        <w:rPr>
          <w:rStyle w:val="rvts52"/>
          <w:rFonts w:ascii="Times New Roman" w:eastAsia="Times New Roman" w:hAnsi="Times New Roman" w:cs="Times New Roman"/>
          <w:b/>
          <w:bCs/>
          <w:sz w:val="24"/>
          <w:szCs w:val="24"/>
          <w:lang w:eastAsia="ru-RU"/>
        </w:rPr>
      </w:pPr>
      <w:r>
        <w:rPr>
          <w:rStyle w:val="rvts52"/>
          <w:rFonts w:ascii="Times New Roman" w:eastAsia="Times New Roman" w:hAnsi="Times New Roman" w:cs="Times New Roman"/>
          <w:b/>
          <w:bCs/>
          <w:sz w:val="24"/>
          <w:szCs w:val="24"/>
          <w:lang w:eastAsia="ru-RU"/>
        </w:rPr>
        <w:t>Эффективность</w:t>
      </w:r>
      <w:r w:rsidR="00C07F31" w:rsidRPr="00C07F31">
        <w:rPr>
          <w:rStyle w:val="rvts52"/>
          <w:rFonts w:ascii="Times New Roman" w:eastAsia="Times New Roman" w:hAnsi="Times New Roman" w:cs="Times New Roman"/>
          <w:b/>
          <w:bCs/>
          <w:sz w:val="24"/>
          <w:szCs w:val="24"/>
          <w:lang w:eastAsia="ru-RU"/>
        </w:rPr>
        <w:t xml:space="preserve"> системы мер реабилитации пациентов, перенесших</w:t>
      </w:r>
      <w:r w:rsidR="00C07F31">
        <w:rPr>
          <w:rStyle w:val="rvts52"/>
          <w:rFonts w:ascii="Times New Roman" w:eastAsia="Times New Roman" w:hAnsi="Times New Roman" w:cs="Times New Roman"/>
          <w:b/>
          <w:bCs/>
          <w:sz w:val="24"/>
          <w:szCs w:val="24"/>
          <w:lang w:eastAsia="ru-RU"/>
        </w:rPr>
        <w:t xml:space="preserve"> острые сердечно-сосудистые заболевания (на примере Вологодской области)</w:t>
      </w:r>
    </w:p>
    <w:p w:rsidR="00C07F31" w:rsidRDefault="00C07F31" w:rsidP="00950445">
      <w:pPr>
        <w:widowControl w:val="0"/>
        <w:autoSpaceDE w:val="0"/>
        <w:autoSpaceDN w:val="0"/>
        <w:adjustRightInd w:val="0"/>
        <w:spacing w:after="0" w:line="240" w:lineRule="auto"/>
        <w:ind w:firstLine="709"/>
        <w:jc w:val="both"/>
        <w:rPr>
          <w:rStyle w:val="rvts52"/>
          <w:rFonts w:ascii="Times New Roman" w:eastAsia="Times New Roman" w:hAnsi="Times New Roman" w:cs="Times New Roman"/>
          <w:b/>
          <w:bCs/>
          <w:sz w:val="24"/>
          <w:szCs w:val="24"/>
          <w:lang w:eastAsia="ru-RU"/>
        </w:rPr>
      </w:pPr>
    </w:p>
    <w:p w:rsidR="009967B1" w:rsidRDefault="001E01E3" w:rsidP="009504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r w:rsidRPr="003833AA">
        <w:rPr>
          <w:rStyle w:val="rvts52"/>
          <w:rFonts w:ascii="Times New Roman" w:hAnsi="Times New Roman" w:cs="Times New Roman"/>
          <w:bCs/>
          <w:sz w:val="24"/>
        </w:rPr>
        <w:t>Аннотация:</w:t>
      </w:r>
      <w:r w:rsidRPr="00805B41">
        <w:rPr>
          <w:rStyle w:val="rvts52"/>
          <w:b/>
          <w:bCs/>
        </w:rPr>
        <w:t xml:space="preserve"> </w:t>
      </w:r>
      <w:r w:rsidR="009967B1">
        <w:rPr>
          <w:rFonts w:ascii="Times New Roman" w:eastAsia="Times New Roman" w:hAnsi="Times New Roman" w:cs="Times New Roman"/>
          <w:i/>
          <w:sz w:val="24"/>
          <w:szCs w:val="20"/>
          <w:lang w:eastAsia="ru-RU"/>
        </w:rPr>
        <w:t>В исследовании оценивается доступность реабилитационной помощи для населения Вологодской области. Оценена ф</w:t>
      </w:r>
      <w:r w:rsidR="009967B1" w:rsidRPr="009967B1">
        <w:rPr>
          <w:rFonts w:ascii="Times New Roman" w:eastAsia="Times New Roman" w:hAnsi="Times New Roman" w:cs="Times New Roman"/>
          <w:i/>
          <w:sz w:val="24"/>
          <w:szCs w:val="20"/>
          <w:lang w:eastAsia="ru-RU"/>
        </w:rPr>
        <w:t xml:space="preserve">актическая потребность </w:t>
      </w:r>
      <w:r w:rsidR="009967B1">
        <w:rPr>
          <w:rFonts w:ascii="Times New Roman" w:eastAsia="Times New Roman" w:hAnsi="Times New Roman" w:cs="Times New Roman"/>
          <w:i/>
          <w:sz w:val="24"/>
          <w:szCs w:val="20"/>
          <w:lang w:eastAsia="ru-RU"/>
        </w:rPr>
        <w:t xml:space="preserve">населения </w:t>
      </w:r>
      <w:r w:rsidR="009967B1" w:rsidRPr="009967B1">
        <w:rPr>
          <w:rFonts w:ascii="Times New Roman" w:eastAsia="Times New Roman" w:hAnsi="Times New Roman" w:cs="Times New Roman"/>
          <w:i/>
          <w:sz w:val="24"/>
          <w:szCs w:val="20"/>
          <w:lang w:eastAsia="ru-RU"/>
        </w:rPr>
        <w:t xml:space="preserve">в медицинской реабилитации </w:t>
      </w:r>
      <w:r w:rsidR="00A25B51">
        <w:rPr>
          <w:rFonts w:ascii="Times New Roman" w:eastAsia="Times New Roman" w:hAnsi="Times New Roman" w:cs="Times New Roman"/>
          <w:i/>
          <w:sz w:val="24"/>
          <w:szCs w:val="20"/>
          <w:lang w:eastAsia="ru-RU"/>
        </w:rPr>
        <w:t>по диагнозам</w:t>
      </w:r>
      <w:r w:rsidR="009967B1">
        <w:rPr>
          <w:rFonts w:ascii="Times New Roman" w:eastAsia="Times New Roman" w:hAnsi="Times New Roman" w:cs="Times New Roman"/>
          <w:i/>
          <w:sz w:val="24"/>
          <w:szCs w:val="20"/>
          <w:lang w:eastAsia="ru-RU"/>
        </w:rPr>
        <w:t xml:space="preserve"> остры</w:t>
      </w:r>
      <w:r w:rsidR="00A25B51">
        <w:rPr>
          <w:rFonts w:ascii="Times New Roman" w:eastAsia="Times New Roman" w:hAnsi="Times New Roman" w:cs="Times New Roman"/>
          <w:i/>
          <w:sz w:val="24"/>
          <w:szCs w:val="20"/>
          <w:lang w:eastAsia="ru-RU"/>
        </w:rPr>
        <w:t>х</w:t>
      </w:r>
      <w:r w:rsidR="009967B1">
        <w:rPr>
          <w:rFonts w:ascii="Times New Roman" w:eastAsia="Times New Roman" w:hAnsi="Times New Roman" w:cs="Times New Roman"/>
          <w:i/>
          <w:sz w:val="24"/>
          <w:szCs w:val="20"/>
          <w:lang w:eastAsia="ru-RU"/>
        </w:rPr>
        <w:t xml:space="preserve"> сердечно-сосудисты</w:t>
      </w:r>
      <w:r w:rsidR="00A25B51">
        <w:rPr>
          <w:rFonts w:ascii="Times New Roman" w:eastAsia="Times New Roman" w:hAnsi="Times New Roman" w:cs="Times New Roman"/>
          <w:i/>
          <w:sz w:val="24"/>
          <w:szCs w:val="20"/>
          <w:lang w:eastAsia="ru-RU"/>
        </w:rPr>
        <w:t>х</w:t>
      </w:r>
      <w:r w:rsidR="009967B1">
        <w:rPr>
          <w:rFonts w:ascii="Times New Roman" w:eastAsia="Times New Roman" w:hAnsi="Times New Roman" w:cs="Times New Roman"/>
          <w:i/>
          <w:sz w:val="24"/>
          <w:szCs w:val="20"/>
          <w:lang w:eastAsia="ru-RU"/>
        </w:rPr>
        <w:t xml:space="preserve"> заболевани</w:t>
      </w:r>
      <w:r w:rsidR="00A25B51">
        <w:rPr>
          <w:rFonts w:ascii="Times New Roman" w:eastAsia="Times New Roman" w:hAnsi="Times New Roman" w:cs="Times New Roman"/>
          <w:i/>
          <w:sz w:val="24"/>
          <w:szCs w:val="20"/>
          <w:lang w:eastAsia="ru-RU"/>
        </w:rPr>
        <w:t>й</w:t>
      </w:r>
      <w:r w:rsidR="009967B1">
        <w:rPr>
          <w:rFonts w:ascii="Times New Roman" w:eastAsia="Times New Roman" w:hAnsi="Times New Roman" w:cs="Times New Roman"/>
          <w:i/>
          <w:sz w:val="24"/>
          <w:szCs w:val="20"/>
          <w:lang w:eastAsia="ru-RU"/>
        </w:rPr>
        <w:t xml:space="preserve"> и степень ее удовлетворения за счет средств внебюджетных фондов. </w:t>
      </w:r>
    </w:p>
    <w:p w:rsidR="001E01E3" w:rsidRPr="009967B1" w:rsidRDefault="009967B1" w:rsidP="009504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r w:rsidRPr="009967B1">
        <w:rPr>
          <w:lang w:eastAsia="ru-RU"/>
        </w:rPr>
        <w:t xml:space="preserve"> </w:t>
      </w:r>
      <w:r w:rsidR="001E01E3" w:rsidRPr="009967B1">
        <w:rPr>
          <w:rFonts w:ascii="Times New Roman" w:eastAsia="Times New Roman" w:hAnsi="Times New Roman" w:cs="Times New Roman"/>
          <w:sz w:val="24"/>
          <w:szCs w:val="20"/>
          <w:lang w:eastAsia="ru-RU"/>
        </w:rPr>
        <w:t xml:space="preserve">Ключевые </w:t>
      </w:r>
      <w:r w:rsidR="00230932" w:rsidRPr="009967B1">
        <w:rPr>
          <w:rFonts w:ascii="Times New Roman" w:eastAsia="Times New Roman" w:hAnsi="Times New Roman" w:cs="Times New Roman"/>
          <w:sz w:val="24"/>
          <w:szCs w:val="20"/>
          <w:lang w:eastAsia="ru-RU"/>
        </w:rPr>
        <w:t>слова:</w:t>
      </w:r>
      <w:r w:rsidR="00230932" w:rsidRPr="009967B1">
        <w:rPr>
          <w:rFonts w:ascii="Times New Roman" w:eastAsia="Times New Roman" w:hAnsi="Times New Roman" w:cs="Times New Roman"/>
          <w:i/>
          <w:sz w:val="24"/>
          <w:szCs w:val="20"/>
          <w:lang w:eastAsia="ru-RU"/>
        </w:rPr>
        <w:t xml:space="preserve"> </w:t>
      </w:r>
      <w:r w:rsidR="00C07F31" w:rsidRPr="009967B1">
        <w:rPr>
          <w:rFonts w:ascii="Times New Roman" w:eastAsia="Times New Roman" w:hAnsi="Times New Roman" w:cs="Times New Roman"/>
          <w:i/>
          <w:sz w:val="24"/>
          <w:szCs w:val="20"/>
          <w:lang w:eastAsia="ru-RU"/>
        </w:rPr>
        <w:t xml:space="preserve">инфаркт, инсульт, сердечно-сосудистые заболевания, </w:t>
      </w:r>
      <w:r w:rsidR="00CD0692">
        <w:rPr>
          <w:rFonts w:ascii="Times New Roman" w:eastAsia="Times New Roman" w:hAnsi="Times New Roman" w:cs="Times New Roman"/>
          <w:i/>
          <w:sz w:val="24"/>
          <w:szCs w:val="20"/>
          <w:lang w:eastAsia="ru-RU"/>
        </w:rPr>
        <w:t xml:space="preserve">система </w:t>
      </w:r>
      <w:r w:rsidR="00C07F31" w:rsidRPr="009967B1">
        <w:rPr>
          <w:rFonts w:ascii="Times New Roman" w:eastAsia="Times New Roman" w:hAnsi="Times New Roman" w:cs="Times New Roman"/>
          <w:i/>
          <w:sz w:val="24"/>
          <w:szCs w:val="20"/>
          <w:lang w:eastAsia="ru-RU"/>
        </w:rPr>
        <w:t>реабилитаци</w:t>
      </w:r>
      <w:r w:rsidR="00CD0692">
        <w:rPr>
          <w:rFonts w:ascii="Times New Roman" w:eastAsia="Times New Roman" w:hAnsi="Times New Roman" w:cs="Times New Roman"/>
          <w:i/>
          <w:sz w:val="24"/>
          <w:szCs w:val="20"/>
          <w:lang w:eastAsia="ru-RU"/>
        </w:rPr>
        <w:t>и</w:t>
      </w:r>
      <w:r w:rsidR="00A25B51">
        <w:rPr>
          <w:rFonts w:ascii="Times New Roman" w:eastAsia="Times New Roman" w:hAnsi="Times New Roman" w:cs="Times New Roman"/>
          <w:i/>
          <w:sz w:val="24"/>
          <w:szCs w:val="20"/>
          <w:lang w:eastAsia="ru-RU"/>
        </w:rPr>
        <w:t xml:space="preserve">, потребность в реабилитации, внебюджетные фонды </w:t>
      </w:r>
    </w:p>
    <w:p w:rsidR="0004753C" w:rsidRDefault="0004753C" w:rsidP="00950445">
      <w:pPr>
        <w:spacing w:after="0" w:line="240" w:lineRule="auto"/>
        <w:ind w:firstLine="709"/>
        <w:jc w:val="both"/>
        <w:rPr>
          <w:rFonts w:ascii="Times New Roman" w:hAnsi="Times New Roman" w:cs="Times New Roman"/>
          <w:sz w:val="24"/>
          <w:szCs w:val="24"/>
        </w:rPr>
      </w:pPr>
      <w:r w:rsidRPr="0004753C">
        <w:rPr>
          <w:rFonts w:ascii="Times New Roman" w:hAnsi="Times New Roman" w:cs="Times New Roman"/>
          <w:sz w:val="24"/>
          <w:szCs w:val="24"/>
        </w:rPr>
        <w:t xml:space="preserve">Сердечно-сосудистые заболевания (ССЗ) являются основной причиной смерти во всем мире. По оценкам ВОЗ, от ССЗ ежегодно умирает около 18 миллионов человек, что составляет треть всех случаев смерти в мире. Подавляющая доля, 85%, этих смертей происходит в результате острых нарушений – сердечного приступа или инсульта. </w:t>
      </w:r>
    </w:p>
    <w:p w:rsidR="0004753C" w:rsidRPr="0004753C" w:rsidRDefault="0004753C" w:rsidP="00950445">
      <w:pPr>
        <w:spacing w:after="0" w:line="240" w:lineRule="auto"/>
        <w:ind w:firstLine="709"/>
        <w:jc w:val="both"/>
        <w:rPr>
          <w:rFonts w:ascii="Times New Roman" w:hAnsi="Times New Roman" w:cs="Times New Roman"/>
          <w:sz w:val="24"/>
          <w:szCs w:val="24"/>
        </w:rPr>
      </w:pPr>
      <w:r w:rsidRPr="0004753C">
        <w:rPr>
          <w:rFonts w:ascii="Times New Roman" w:hAnsi="Times New Roman" w:cs="Times New Roman"/>
          <w:sz w:val="24"/>
          <w:szCs w:val="24"/>
        </w:rPr>
        <w:t>Необходимость усиления внимания к ситуации с сердечно-сосудистыми заболеваниями отражается и в целях национального проекта «Здравоохранение»</w:t>
      </w:r>
      <w:r w:rsidR="00170B33" w:rsidRPr="00170B33">
        <w:rPr>
          <w:rFonts w:ascii="Times New Roman" w:hAnsi="Times New Roman" w:cs="Times New Roman"/>
          <w:sz w:val="24"/>
          <w:szCs w:val="24"/>
        </w:rPr>
        <w:t>[]</w:t>
      </w:r>
      <w:r w:rsidRPr="0004753C">
        <w:rPr>
          <w:rFonts w:ascii="Times New Roman" w:hAnsi="Times New Roman" w:cs="Times New Roman"/>
          <w:sz w:val="24"/>
          <w:szCs w:val="24"/>
        </w:rPr>
        <w:t>. Так, выделен отдельный федеральный проект, нацеленный на борьбу с данной группой заболеваний (финансирование – 75,2 млрд</w:t>
      </w:r>
      <w:r w:rsidR="00236914">
        <w:rPr>
          <w:rFonts w:ascii="Times New Roman" w:hAnsi="Times New Roman" w:cs="Times New Roman"/>
          <w:sz w:val="24"/>
          <w:szCs w:val="24"/>
        </w:rPr>
        <w:t>.</w:t>
      </w:r>
      <w:r w:rsidRPr="0004753C">
        <w:rPr>
          <w:rFonts w:ascii="Times New Roman" w:hAnsi="Times New Roman" w:cs="Times New Roman"/>
          <w:sz w:val="24"/>
          <w:szCs w:val="24"/>
        </w:rPr>
        <w:t xml:space="preserve"> руб., или 4,4% от общей суммы на период 2019–2024 гг.). Результатом реализации должно стать существенное сокращение смертности от болезней системы кровообращения (БСК) – с 587,6 случаев на 100 тыс. человек в 2018 году до 450 в 2024 году, или на 23,4% (рис. 1). Вместе с тем даже планируемый уровень смертности от БСК в России в 2,3 раза выше текущего аналогичного показателя в Германии, в 4,6 раза – во Франции. </w:t>
      </w:r>
    </w:p>
    <w:p w:rsidR="0004753C" w:rsidRPr="0004753C" w:rsidRDefault="0004753C" w:rsidP="0004753C">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2248BB92" wp14:editId="5B509379">
            <wp:extent cx="5249008" cy="363093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53C" w:rsidRPr="009E5D94" w:rsidRDefault="0004753C" w:rsidP="009E5D94">
      <w:pPr>
        <w:spacing w:after="0" w:line="240" w:lineRule="auto"/>
        <w:ind w:firstLine="709"/>
        <w:jc w:val="center"/>
        <w:rPr>
          <w:rFonts w:ascii="Times New Roman" w:hAnsi="Times New Roman" w:cs="Times New Roman"/>
          <w:szCs w:val="20"/>
        </w:rPr>
      </w:pPr>
      <w:r w:rsidRPr="009E5D94">
        <w:rPr>
          <w:rFonts w:ascii="Times New Roman" w:hAnsi="Times New Roman" w:cs="Times New Roman"/>
          <w:szCs w:val="20"/>
        </w:rPr>
        <w:t>Рисунок 1 - Динамика показателей смертности населения от болезней</w:t>
      </w:r>
    </w:p>
    <w:p w:rsidR="0004753C" w:rsidRPr="009E5D94" w:rsidRDefault="0004753C" w:rsidP="009E5D94">
      <w:pPr>
        <w:spacing w:after="0" w:line="240" w:lineRule="auto"/>
        <w:ind w:firstLine="709"/>
        <w:jc w:val="center"/>
        <w:rPr>
          <w:rFonts w:ascii="Times New Roman" w:hAnsi="Times New Roman" w:cs="Times New Roman"/>
          <w:szCs w:val="20"/>
        </w:rPr>
      </w:pPr>
      <w:r w:rsidRPr="009E5D94">
        <w:rPr>
          <w:rFonts w:ascii="Times New Roman" w:hAnsi="Times New Roman" w:cs="Times New Roman"/>
          <w:szCs w:val="20"/>
        </w:rPr>
        <w:t>системы кровообращения (случаев на 100 тыс. чел. населения)</w:t>
      </w:r>
    </w:p>
    <w:p w:rsidR="0004753C" w:rsidRPr="009E5D94" w:rsidRDefault="0004753C" w:rsidP="0004753C">
      <w:pPr>
        <w:spacing w:after="0" w:line="240" w:lineRule="auto"/>
        <w:ind w:firstLine="709"/>
        <w:jc w:val="both"/>
        <w:rPr>
          <w:rFonts w:ascii="Times New Roman" w:hAnsi="Times New Roman" w:cs="Times New Roman"/>
          <w:sz w:val="20"/>
          <w:szCs w:val="20"/>
        </w:rPr>
      </w:pPr>
      <w:r w:rsidRPr="009E5D94">
        <w:rPr>
          <w:rFonts w:ascii="Times New Roman" w:hAnsi="Times New Roman" w:cs="Times New Roman"/>
          <w:sz w:val="20"/>
          <w:szCs w:val="20"/>
        </w:rPr>
        <w:t>* для Вологодской области данные за 1986 г.</w:t>
      </w:r>
    </w:p>
    <w:p w:rsidR="0004753C" w:rsidRPr="009E5D94" w:rsidRDefault="0004753C" w:rsidP="0004753C">
      <w:pPr>
        <w:spacing w:after="0" w:line="240" w:lineRule="auto"/>
        <w:ind w:firstLine="709"/>
        <w:jc w:val="both"/>
        <w:rPr>
          <w:rFonts w:ascii="Times New Roman" w:hAnsi="Times New Roman" w:cs="Times New Roman"/>
          <w:sz w:val="20"/>
          <w:szCs w:val="20"/>
        </w:rPr>
      </w:pPr>
      <w:r w:rsidRPr="009E5D94">
        <w:rPr>
          <w:rFonts w:ascii="Times New Roman" w:hAnsi="Times New Roman" w:cs="Times New Roman"/>
          <w:sz w:val="20"/>
          <w:szCs w:val="20"/>
        </w:rPr>
        <w:t>Ц– целевой показатель по национальному проекту «Здравоохранение».</w:t>
      </w:r>
    </w:p>
    <w:p w:rsidR="0004753C" w:rsidRPr="009E5D94" w:rsidRDefault="0004753C" w:rsidP="0004753C">
      <w:pPr>
        <w:spacing w:after="0" w:line="240" w:lineRule="auto"/>
        <w:ind w:firstLine="709"/>
        <w:jc w:val="both"/>
        <w:rPr>
          <w:rFonts w:ascii="Times New Roman" w:hAnsi="Times New Roman" w:cs="Times New Roman"/>
          <w:sz w:val="20"/>
          <w:szCs w:val="20"/>
        </w:rPr>
      </w:pPr>
      <w:r w:rsidRPr="009E5D94">
        <w:rPr>
          <w:rFonts w:ascii="Times New Roman" w:hAnsi="Times New Roman" w:cs="Times New Roman"/>
          <w:sz w:val="20"/>
          <w:szCs w:val="20"/>
        </w:rPr>
        <w:t>Серым цветом показаны периоды, в которые увеличивались показатели смертности в Вологодской области.</w:t>
      </w:r>
    </w:p>
    <w:p w:rsidR="0004753C" w:rsidRDefault="0004753C" w:rsidP="00F35A40">
      <w:pPr>
        <w:spacing w:after="0" w:line="240" w:lineRule="auto"/>
        <w:ind w:firstLine="709"/>
        <w:jc w:val="both"/>
        <w:rPr>
          <w:rFonts w:ascii="Times New Roman" w:hAnsi="Times New Roman" w:cs="Times New Roman"/>
          <w:sz w:val="24"/>
          <w:szCs w:val="24"/>
        </w:rPr>
      </w:pPr>
    </w:p>
    <w:p w:rsidR="0004753C" w:rsidRDefault="0004753C" w:rsidP="00251936">
      <w:pPr>
        <w:spacing w:after="0" w:line="240" w:lineRule="auto"/>
        <w:ind w:firstLine="709"/>
        <w:jc w:val="both"/>
        <w:rPr>
          <w:rFonts w:ascii="Times New Roman" w:hAnsi="Times New Roman" w:cs="Times New Roman"/>
          <w:sz w:val="24"/>
          <w:szCs w:val="24"/>
        </w:rPr>
      </w:pPr>
      <w:r w:rsidRPr="0004753C">
        <w:rPr>
          <w:rFonts w:ascii="Times New Roman" w:hAnsi="Times New Roman" w:cs="Times New Roman"/>
          <w:sz w:val="24"/>
          <w:szCs w:val="24"/>
        </w:rPr>
        <w:lastRenderedPageBreak/>
        <w:t xml:space="preserve">По расчётам специалистов Всемирной организации здравоохранения, странам СНГ при сохранении имеющихся темпов снижения </w:t>
      </w:r>
      <w:r w:rsidR="009E5D94">
        <w:rPr>
          <w:rFonts w:ascii="Times New Roman" w:hAnsi="Times New Roman" w:cs="Times New Roman"/>
          <w:sz w:val="24"/>
          <w:szCs w:val="24"/>
        </w:rPr>
        <w:t xml:space="preserve">смертности потребуется порядка </w:t>
      </w:r>
      <w:r w:rsidRPr="0004753C">
        <w:rPr>
          <w:rFonts w:ascii="Times New Roman" w:hAnsi="Times New Roman" w:cs="Times New Roman"/>
          <w:sz w:val="24"/>
          <w:szCs w:val="24"/>
        </w:rPr>
        <w:t>50 лет, чтобы достичь текущих</w:t>
      </w:r>
      <w:r w:rsidR="009E5D94">
        <w:rPr>
          <w:rFonts w:ascii="Times New Roman" w:hAnsi="Times New Roman" w:cs="Times New Roman"/>
          <w:sz w:val="24"/>
          <w:szCs w:val="24"/>
        </w:rPr>
        <w:t xml:space="preserve"> низких показателей смертности 15 стран Евросоюза</w:t>
      </w:r>
      <w:r w:rsidR="009E5D94" w:rsidRPr="009E5D94">
        <w:rPr>
          <w:rFonts w:ascii="Calibri" w:eastAsia="Calibri" w:hAnsi="Calibri" w:cs="Times New Roman"/>
          <w:vertAlign w:val="superscript"/>
        </w:rPr>
        <w:footnoteReference w:id="1"/>
      </w:r>
      <w:r w:rsidR="009E5D94" w:rsidRPr="009E5D94">
        <w:rPr>
          <w:rFonts w:ascii="Calibri" w:eastAsia="Calibri" w:hAnsi="Calibri" w:cs="Times New Roman"/>
        </w:rPr>
        <w:t>.</w:t>
      </w:r>
      <w:r w:rsidR="009E5D94" w:rsidRPr="009E5D94">
        <w:rPr>
          <w:rFonts w:ascii="Times New Roman" w:hAnsi="Times New Roman" w:cs="Times New Roman"/>
          <w:sz w:val="24"/>
          <w:szCs w:val="24"/>
        </w:rPr>
        <w:t xml:space="preserve"> </w:t>
      </w:r>
      <w:r w:rsidR="00251936">
        <w:rPr>
          <w:rFonts w:ascii="Times New Roman" w:hAnsi="Times New Roman" w:cs="Times New Roman"/>
          <w:sz w:val="24"/>
          <w:szCs w:val="24"/>
        </w:rPr>
        <w:t xml:space="preserve">Вместе с тем поставлена национальная задача </w:t>
      </w:r>
      <w:r w:rsidR="009E5D94" w:rsidRPr="0004753C">
        <w:rPr>
          <w:rFonts w:ascii="Times New Roman" w:hAnsi="Times New Roman" w:cs="Times New Roman"/>
          <w:sz w:val="24"/>
          <w:szCs w:val="24"/>
        </w:rPr>
        <w:t>существенно увеличить темпы снижения смертности от БСК</w:t>
      </w:r>
      <w:r w:rsidR="00251936">
        <w:rPr>
          <w:rFonts w:ascii="Times New Roman" w:hAnsi="Times New Roman" w:cs="Times New Roman"/>
          <w:sz w:val="24"/>
          <w:szCs w:val="24"/>
        </w:rPr>
        <w:t>, безусловно заявленный период реализации нацпроекта и объем выделяемых средств могут поддаваться определенной критике, но любые мероприятия по укреплению здоровья населения крайне важны для современной России</w:t>
      </w:r>
      <w:r w:rsidR="00170B33" w:rsidRPr="00170B33">
        <w:rPr>
          <w:rFonts w:ascii="Times New Roman" w:hAnsi="Times New Roman" w:cs="Times New Roman"/>
          <w:sz w:val="24"/>
          <w:szCs w:val="24"/>
        </w:rPr>
        <w:t xml:space="preserve"> []</w:t>
      </w:r>
      <w:r w:rsidR="00251936">
        <w:rPr>
          <w:rFonts w:ascii="Times New Roman" w:hAnsi="Times New Roman" w:cs="Times New Roman"/>
          <w:sz w:val="24"/>
          <w:szCs w:val="24"/>
        </w:rPr>
        <w:t xml:space="preserve">. </w:t>
      </w:r>
      <w:r w:rsidRPr="0004753C">
        <w:rPr>
          <w:rFonts w:ascii="Times New Roman" w:hAnsi="Times New Roman" w:cs="Times New Roman"/>
          <w:sz w:val="24"/>
          <w:szCs w:val="24"/>
        </w:rPr>
        <w:t>Это актуализирует поиск новых механизмов для снижения смертности населения от сердечно-сосудистых заболеваний, повышения качества и продолжительности жизни пациентов, перенесших инфаркты и инсульты, что напрямую зависит и от качества и эффективности оказываемой реабилитационной помощи.</w:t>
      </w:r>
      <w:r w:rsidR="009E5D94" w:rsidRPr="009E5D94">
        <w:rPr>
          <w:rFonts w:ascii="Calibri" w:eastAsia="Calibri" w:hAnsi="Calibri" w:cs="Times New Roman"/>
          <w:vertAlign w:val="superscript"/>
        </w:rPr>
        <w:t xml:space="preserve"> </w:t>
      </w:r>
    </w:p>
    <w:p w:rsidR="0004753C" w:rsidRDefault="00251936" w:rsidP="00F35A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исследования явилось изучение эффективности региональной системы мер реабилитации пациентов, перенёсших </w:t>
      </w:r>
      <w:r w:rsidRPr="00251936">
        <w:rPr>
          <w:rFonts w:ascii="Times New Roman" w:hAnsi="Times New Roman" w:cs="Times New Roman"/>
          <w:sz w:val="24"/>
          <w:szCs w:val="24"/>
        </w:rPr>
        <w:t>острый инфаркт миокарда и острое нарушение кровообращения головного мозга (инсульт), на примере Вологодской области</w:t>
      </w:r>
      <w:r>
        <w:rPr>
          <w:rFonts w:ascii="Times New Roman" w:hAnsi="Times New Roman" w:cs="Times New Roman"/>
          <w:sz w:val="24"/>
          <w:szCs w:val="24"/>
        </w:rPr>
        <w:t>.</w:t>
      </w:r>
    </w:p>
    <w:p w:rsidR="00251936" w:rsidRDefault="00251936" w:rsidP="00F35A40">
      <w:pPr>
        <w:spacing w:after="0" w:line="240" w:lineRule="auto"/>
        <w:ind w:firstLine="709"/>
        <w:jc w:val="both"/>
        <w:rPr>
          <w:rFonts w:ascii="Times New Roman" w:hAnsi="Times New Roman" w:cs="Times New Roman"/>
          <w:sz w:val="24"/>
          <w:szCs w:val="24"/>
        </w:rPr>
      </w:pPr>
      <w:r w:rsidRPr="00251936">
        <w:rPr>
          <w:rFonts w:ascii="Times New Roman" w:hAnsi="Times New Roman" w:cs="Times New Roman"/>
          <w:sz w:val="24"/>
          <w:szCs w:val="24"/>
        </w:rPr>
        <w:t xml:space="preserve">Информационная база исследования </w:t>
      </w:r>
      <w:r>
        <w:rPr>
          <w:rFonts w:ascii="Times New Roman" w:hAnsi="Times New Roman" w:cs="Times New Roman"/>
          <w:sz w:val="24"/>
          <w:szCs w:val="24"/>
        </w:rPr>
        <w:t xml:space="preserve">представлена данными </w:t>
      </w:r>
      <w:r w:rsidRPr="00251936">
        <w:rPr>
          <w:rFonts w:ascii="Times New Roman" w:hAnsi="Times New Roman" w:cs="Times New Roman"/>
          <w:sz w:val="24"/>
          <w:szCs w:val="24"/>
        </w:rPr>
        <w:t>Росстата, ВОЗ, международной статистики, ведомственной статистической отчётности, информаци</w:t>
      </w:r>
      <w:r>
        <w:rPr>
          <w:rFonts w:ascii="Times New Roman" w:hAnsi="Times New Roman" w:cs="Times New Roman"/>
          <w:sz w:val="24"/>
          <w:szCs w:val="24"/>
        </w:rPr>
        <w:t>и</w:t>
      </w:r>
      <w:r w:rsidRPr="00251936">
        <w:rPr>
          <w:rFonts w:ascii="Times New Roman" w:hAnsi="Times New Roman" w:cs="Times New Roman"/>
          <w:sz w:val="24"/>
          <w:szCs w:val="24"/>
        </w:rPr>
        <w:t>, предоставленн</w:t>
      </w:r>
      <w:r>
        <w:rPr>
          <w:rFonts w:ascii="Times New Roman" w:hAnsi="Times New Roman" w:cs="Times New Roman"/>
          <w:sz w:val="24"/>
          <w:szCs w:val="24"/>
        </w:rPr>
        <w:t>ой</w:t>
      </w:r>
      <w:r w:rsidRPr="00251936">
        <w:rPr>
          <w:rFonts w:ascii="Times New Roman" w:hAnsi="Times New Roman" w:cs="Times New Roman"/>
          <w:sz w:val="24"/>
          <w:szCs w:val="24"/>
        </w:rPr>
        <w:t xml:space="preserve"> внебюджетными фондами социального страхования и обязательного медицинского страхования. Авторы опираются на законодательные основы оказания реабилитационных услуг населению</w:t>
      </w:r>
      <w:r>
        <w:rPr>
          <w:rFonts w:ascii="Times New Roman" w:hAnsi="Times New Roman" w:cs="Times New Roman"/>
          <w:sz w:val="24"/>
          <w:szCs w:val="24"/>
        </w:rPr>
        <w:t xml:space="preserve">, а также </w:t>
      </w:r>
      <w:r w:rsidRPr="00251936">
        <w:rPr>
          <w:rFonts w:ascii="Times New Roman" w:hAnsi="Times New Roman" w:cs="Times New Roman"/>
          <w:sz w:val="24"/>
          <w:szCs w:val="24"/>
        </w:rPr>
        <w:t>методические рекомендации врачей-кардиологов и неврологов и методические основы медицинской реабилитации, разработанные Министерством здравоохранения РФ.</w:t>
      </w:r>
    </w:p>
    <w:p w:rsidR="00EB5AED" w:rsidRDefault="00EB5AED" w:rsidP="00EB5A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оценки эффективности системы мер нами была изучена потребность в реабилитации после инфарктов и инсультов в регионе и оценена степень ее удовлетворения за счет средств внебюджетных фондов. </w:t>
      </w:r>
      <w:r w:rsidRPr="00EB5AED">
        <w:rPr>
          <w:rFonts w:ascii="Times New Roman" w:hAnsi="Times New Roman" w:cs="Times New Roman"/>
          <w:sz w:val="24"/>
          <w:szCs w:val="24"/>
        </w:rPr>
        <w:t>Согласно рекомендованной ФГБУ «Центральный научно-исследовательский институт организации и информатизации здравоохранения» Министерства здравоохранения РФ методике определения потребности взрослого населения в медицинской реабилитации все пациенты, выписанные из стационаров после инсульта и инфаркта, нуждаются в медицинской реабилитации в условиях специализированных учреждений.</w:t>
      </w:r>
      <w:r>
        <w:rPr>
          <w:rFonts w:ascii="Times New Roman" w:hAnsi="Times New Roman" w:cs="Times New Roman"/>
          <w:sz w:val="24"/>
          <w:szCs w:val="24"/>
        </w:rPr>
        <w:t xml:space="preserve"> В 2018 году 5203 человека выписались живыми из стационаров и нуждались в прохождении реабилитационных мероприятий </w:t>
      </w:r>
      <w:r w:rsidRPr="00EB5AED">
        <w:rPr>
          <w:rFonts w:ascii="Times New Roman" w:hAnsi="Times New Roman" w:cs="Times New Roman"/>
          <w:sz w:val="24"/>
          <w:szCs w:val="24"/>
        </w:rPr>
        <w:t>(совокупный рост за 19 лет составил 15,6%, сред</w:t>
      </w:r>
      <w:r>
        <w:rPr>
          <w:rFonts w:ascii="Times New Roman" w:hAnsi="Times New Roman" w:cs="Times New Roman"/>
          <w:sz w:val="24"/>
          <w:szCs w:val="24"/>
        </w:rPr>
        <w:t xml:space="preserve">негодовой темп прироста – 0,8%), большую часть из них составляли пациенты с перенесёнными инсультами – 3451 человек, и 1752 человека с острыми и повторными инфарктами </w:t>
      </w:r>
      <w:r w:rsidRPr="00EB5AED">
        <w:rPr>
          <w:rFonts w:ascii="Times New Roman" w:hAnsi="Times New Roman" w:cs="Times New Roman"/>
          <w:sz w:val="24"/>
          <w:szCs w:val="24"/>
        </w:rPr>
        <w:t xml:space="preserve">(рис. </w:t>
      </w:r>
      <w:r w:rsidR="00013D92">
        <w:rPr>
          <w:rFonts w:ascii="Times New Roman" w:hAnsi="Times New Roman" w:cs="Times New Roman"/>
          <w:sz w:val="24"/>
          <w:szCs w:val="24"/>
        </w:rPr>
        <w:t>2</w:t>
      </w:r>
      <w:r w:rsidRPr="00EB5AED">
        <w:rPr>
          <w:rFonts w:ascii="Times New Roman" w:hAnsi="Times New Roman" w:cs="Times New Roman"/>
          <w:sz w:val="24"/>
          <w:szCs w:val="24"/>
        </w:rPr>
        <w:t>).</w:t>
      </w:r>
      <w:r>
        <w:rPr>
          <w:rFonts w:ascii="Times New Roman" w:hAnsi="Times New Roman" w:cs="Times New Roman"/>
          <w:sz w:val="24"/>
          <w:szCs w:val="24"/>
        </w:rPr>
        <w:t xml:space="preserve"> За</w:t>
      </w:r>
      <w:r w:rsidRPr="00EB5AED">
        <w:rPr>
          <w:rFonts w:ascii="Times New Roman" w:hAnsi="Times New Roman" w:cs="Times New Roman"/>
          <w:sz w:val="24"/>
          <w:szCs w:val="24"/>
        </w:rPr>
        <w:t xml:space="preserve"> последние 19 лет </w:t>
      </w:r>
      <w:r>
        <w:rPr>
          <w:rFonts w:ascii="Times New Roman" w:hAnsi="Times New Roman" w:cs="Times New Roman"/>
          <w:sz w:val="24"/>
          <w:szCs w:val="24"/>
        </w:rPr>
        <w:t>п</w:t>
      </w:r>
      <w:r w:rsidRPr="00EB5AED">
        <w:rPr>
          <w:rFonts w:ascii="Times New Roman" w:hAnsi="Times New Roman" w:cs="Times New Roman"/>
          <w:sz w:val="24"/>
          <w:szCs w:val="24"/>
        </w:rPr>
        <w:t xml:space="preserve">отребность в нейрореабилитации </w:t>
      </w:r>
      <w:r>
        <w:rPr>
          <w:rFonts w:ascii="Times New Roman" w:hAnsi="Times New Roman" w:cs="Times New Roman"/>
          <w:sz w:val="24"/>
          <w:szCs w:val="24"/>
        </w:rPr>
        <w:t>показывала тенденцию к росту (на 26% выше в 2018 г. по сравнению с 2000 г.)</w:t>
      </w:r>
      <w:r w:rsidRPr="00EB5AED">
        <w:rPr>
          <w:rFonts w:ascii="Times New Roman" w:hAnsi="Times New Roman" w:cs="Times New Roman"/>
          <w:sz w:val="24"/>
          <w:szCs w:val="24"/>
        </w:rPr>
        <w:t xml:space="preserve">, в кардиореабилитации </w:t>
      </w:r>
      <w:r>
        <w:rPr>
          <w:rFonts w:ascii="Times New Roman" w:hAnsi="Times New Roman" w:cs="Times New Roman"/>
          <w:sz w:val="24"/>
          <w:szCs w:val="24"/>
        </w:rPr>
        <w:t>напротив</w:t>
      </w:r>
      <w:r w:rsidRPr="00EB5AED">
        <w:rPr>
          <w:rFonts w:ascii="Times New Roman" w:hAnsi="Times New Roman" w:cs="Times New Roman"/>
          <w:sz w:val="24"/>
          <w:szCs w:val="24"/>
        </w:rPr>
        <w:t xml:space="preserve"> снизилась на 2%</w:t>
      </w:r>
      <w:r>
        <w:rPr>
          <w:rFonts w:ascii="Times New Roman" w:hAnsi="Times New Roman" w:cs="Times New Roman"/>
          <w:sz w:val="24"/>
          <w:szCs w:val="24"/>
        </w:rPr>
        <w:t>.</w:t>
      </w:r>
      <w:r w:rsidRPr="00EB5AED">
        <w:rPr>
          <w:rFonts w:ascii="Times New Roman" w:hAnsi="Times New Roman" w:cs="Times New Roman"/>
          <w:sz w:val="24"/>
          <w:szCs w:val="24"/>
        </w:rPr>
        <w:t xml:space="preserve"> </w:t>
      </w:r>
    </w:p>
    <w:p w:rsidR="00EB5AED" w:rsidRDefault="00EB5AED" w:rsidP="00EB5AED">
      <w:pPr>
        <w:spacing w:after="0" w:line="240" w:lineRule="auto"/>
        <w:ind w:firstLine="709"/>
        <w:jc w:val="both"/>
        <w:rPr>
          <w:rFonts w:ascii="Times New Roman" w:hAnsi="Times New Roman" w:cs="Times New Roman"/>
          <w:sz w:val="24"/>
          <w:szCs w:val="24"/>
        </w:rPr>
      </w:pPr>
    </w:p>
    <w:p w:rsidR="00EB5AED" w:rsidRDefault="00EB5AED" w:rsidP="00EB5AED">
      <w:pPr>
        <w:spacing w:after="0" w:line="240" w:lineRule="auto"/>
        <w:ind w:firstLine="709"/>
        <w:jc w:val="both"/>
        <w:rPr>
          <w:rFonts w:ascii="Times New Roman" w:hAnsi="Times New Roman" w:cs="Times New Roman"/>
          <w:sz w:val="24"/>
          <w:szCs w:val="24"/>
        </w:rPr>
      </w:pPr>
    </w:p>
    <w:p w:rsidR="00EB5AED" w:rsidRDefault="00EB5AED" w:rsidP="00EB5AED">
      <w:pPr>
        <w:spacing w:after="0" w:line="240" w:lineRule="auto"/>
        <w:ind w:firstLine="709"/>
        <w:jc w:val="both"/>
        <w:rPr>
          <w:rFonts w:ascii="Times New Roman" w:hAnsi="Times New Roman" w:cs="Times New Roman"/>
          <w:sz w:val="24"/>
          <w:szCs w:val="24"/>
        </w:rPr>
      </w:pPr>
    </w:p>
    <w:p w:rsidR="00EB5AED" w:rsidRPr="00EB5AED" w:rsidRDefault="00EB5AED" w:rsidP="00EB5AED">
      <w:pPr>
        <w:spacing w:after="0" w:line="240" w:lineRule="auto"/>
        <w:ind w:firstLine="709"/>
        <w:jc w:val="both"/>
        <w:rPr>
          <w:rFonts w:ascii="Times New Roman" w:hAnsi="Times New Roman" w:cs="Times New Roman"/>
          <w:sz w:val="24"/>
          <w:szCs w:val="24"/>
        </w:rPr>
      </w:pPr>
      <w:r>
        <w:rPr>
          <w:noProof/>
          <w:lang w:eastAsia="ru-RU"/>
        </w:rPr>
        <w:lastRenderedPageBreak/>
        <w:drawing>
          <wp:inline distT="0" distB="0" distL="0" distR="0" wp14:anchorId="38B08F0F" wp14:editId="686D029F">
            <wp:extent cx="5391150" cy="2952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5AED" w:rsidRPr="00EB5AED" w:rsidRDefault="00EB5AED" w:rsidP="00EB5AED">
      <w:pPr>
        <w:spacing w:after="0" w:line="240" w:lineRule="auto"/>
        <w:ind w:firstLine="709"/>
        <w:jc w:val="both"/>
        <w:rPr>
          <w:rFonts w:ascii="Times New Roman" w:hAnsi="Times New Roman" w:cs="Times New Roman"/>
          <w:sz w:val="24"/>
          <w:szCs w:val="24"/>
        </w:rPr>
      </w:pPr>
      <w:r w:rsidRPr="00EB5AED">
        <w:rPr>
          <w:rFonts w:ascii="Times New Roman" w:hAnsi="Times New Roman" w:cs="Times New Roman"/>
          <w:sz w:val="24"/>
          <w:szCs w:val="24"/>
        </w:rPr>
        <w:t xml:space="preserve"> Рисунок </w:t>
      </w:r>
      <w:r w:rsidR="00013D92">
        <w:rPr>
          <w:rFonts w:ascii="Times New Roman" w:hAnsi="Times New Roman" w:cs="Times New Roman"/>
          <w:sz w:val="24"/>
          <w:szCs w:val="24"/>
        </w:rPr>
        <w:t>2</w:t>
      </w:r>
      <w:r w:rsidRPr="00EB5AED">
        <w:rPr>
          <w:rFonts w:ascii="Times New Roman" w:hAnsi="Times New Roman" w:cs="Times New Roman"/>
          <w:sz w:val="24"/>
          <w:szCs w:val="24"/>
        </w:rPr>
        <w:t xml:space="preserve"> – Фактическая потребность взрослого населения Вологодской области </w:t>
      </w:r>
    </w:p>
    <w:p w:rsidR="00EB5AED" w:rsidRPr="00EB5AED" w:rsidRDefault="00EB5AED" w:rsidP="00EB5AED">
      <w:pPr>
        <w:spacing w:after="0" w:line="240" w:lineRule="auto"/>
        <w:ind w:firstLine="709"/>
        <w:jc w:val="center"/>
        <w:rPr>
          <w:rFonts w:ascii="Times New Roman" w:hAnsi="Times New Roman" w:cs="Times New Roman"/>
          <w:sz w:val="24"/>
          <w:szCs w:val="24"/>
        </w:rPr>
      </w:pPr>
      <w:r w:rsidRPr="00EB5AED">
        <w:rPr>
          <w:rFonts w:ascii="Times New Roman" w:hAnsi="Times New Roman" w:cs="Times New Roman"/>
          <w:sz w:val="24"/>
          <w:szCs w:val="24"/>
        </w:rPr>
        <w:t>в медицинской реабилитации (по диагнозам острые и повторные инфаркты миокар</w:t>
      </w:r>
      <w:r>
        <w:rPr>
          <w:rFonts w:ascii="Times New Roman" w:hAnsi="Times New Roman" w:cs="Times New Roman"/>
          <w:sz w:val="24"/>
          <w:szCs w:val="24"/>
        </w:rPr>
        <w:t xml:space="preserve">да,  </w:t>
      </w:r>
      <w:r w:rsidRPr="00EB5AED">
        <w:rPr>
          <w:rFonts w:ascii="Times New Roman" w:hAnsi="Times New Roman" w:cs="Times New Roman"/>
          <w:sz w:val="24"/>
          <w:szCs w:val="24"/>
        </w:rPr>
        <w:t>острые нарушения мозгового кровообращения, человек)</w:t>
      </w:r>
    </w:p>
    <w:p w:rsidR="00EB5AED" w:rsidRPr="00EB5AED" w:rsidRDefault="00EB5AED" w:rsidP="00EB5AED">
      <w:pPr>
        <w:spacing w:after="0" w:line="240" w:lineRule="auto"/>
        <w:ind w:firstLine="709"/>
        <w:jc w:val="both"/>
        <w:rPr>
          <w:rFonts w:ascii="Times New Roman" w:hAnsi="Times New Roman" w:cs="Times New Roman"/>
          <w:sz w:val="20"/>
          <w:szCs w:val="24"/>
        </w:rPr>
      </w:pPr>
      <w:r w:rsidRPr="00EB5AED">
        <w:rPr>
          <w:rFonts w:ascii="Times New Roman" w:hAnsi="Times New Roman" w:cs="Times New Roman"/>
          <w:sz w:val="20"/>
          <w:szCs w:val="24"/>
        </w:rPr>
        <w:t xml:space="preserve">Серым цветом выделены периоды увеличения потребности в </w:t>
      </w:r>
      <w:proofErr w:type="spellStart"/>
      <w:r w:rsidRPr="00EB5AED">
        <w:rPr>
          <w:rFonts w:ascii="Times New Roman" w:hAnsi="Times New Roman" w:cs="Times New Roman"/>
          <w:sz w:val="20"/>
          <w:szCs w:val="24"/>
        </w:rPr>
        <w:t>кардио</w:t>
      </w:r>
      <w:proofErr w:type="spellEnd"/>
      <w:r w:rsidRPr="00EB5AED">
        <w:rPr>
          <w:rFonts w:ascii="Times New Roman" w:hAnsi="Times New Roman" w:cs="Times New Roman"/>
          <w:sz w:val="20"/>
          <w:szCs w:val="24"/>
        </w:rPr>
        <w:t>- и нейрореабилитации.</w:t>
      </w:r>
    </w:p>
    <w:p w:rsidR="00013D92" w:rsidRDefault="00013D92" w:rsidP="00013D92">
      <w:pPr>
        <w:spacing w:after="0" w:line="240" w:lineRule="auto"/>
        <w:ind w:firstLine="709"/>
        <w:jc w:val="both"/>
        <w:rPr>
          <w:rFonts w:ascii="Times New Roman" w:hAnsi="Times New Roman" w:cs="Times New Roman"/>
          <w:sz w:val="24"/>
          <w:szCs w:val="24"/>
        </w:rPr>
      </w:pPr>
      <w:r w:rsidRPr="00013D92">
        <w:rPr>
          <w:rFonts w:ascii="Times New Roman" w:hAnsi="Times New Roman" w:cs="Times New Roman"/>
          <w:sz w:val="24"/>
          <w:szCs w:val="24"/>
        </w:rPr>
        <w:t xml:space="preserve">Проблема доступности реабилитации для лиц, перенёсших инфаркт и особенно инсульт, в Вологодской области стоит достаточно остро. </w:t>
      </w:r>
    </w:p>
    <w:p w:rsidR="00013D92" w:rsidRDefault="00013D92" w:rsidP="00013D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Во-первых, выяснено, что в</w:t>
      </w:r>
      <w:r w:rsidRPr="00EB5AED">
        <w:rPr>
          <w:rFonts w:ascii="Times New Roman" w:hAnsi="Times New Roman" w:cs="Times New Roman"/>
          <w:sz w:val="24"/>
          <w:szCs w:val="24"/>
        </w:rPr>
        <w:t xml:space="preserve"> регионе существует возможность для выполнения, в соответствии с клиническими рекомендациями</w:t>
      </w:r>
      <w:r>
        <w:rPr>
          <w:rFonts w:ascii="Times New Roman" w:hAnsi="Times New Roman" w:cs="Times New Roman"/>
          <w:sz w:val="24"/>
          <w:szCs w:val="24"/>
        </w:rPr>
        <w:t xml:space="preserve"> врачей</w:t>
      </w:r>
      <w:r w:rsidRPr="00EB5AED">
        <w:rPr>
          <w:rFonts w:ascii="Times New Roman" w:hAnsi="Times New Roman" w:cs="Times New Roman"/>
          <w:sz w:val="24"/>
          <w:szCs w:val="24"/>
        </w:rPr>
        <w:t xml:space="preserve">, </w:t>
      </w:r>
      <w:r>
        <w:rPr>
          <w:rFonts w:ascii="Times New Roman" w:hAnsi="Times New Roman" w:cs="Times New Roman"/>
          <w:sz w:val="24"/>
          <w:szCs w:val="24"/>
        </w:rPr>
        <w:t xml:space="preserve">только </w:t>
      </w:r>
      <w:r w:rsidRPr="00EB5AED">
        <w:rPr>
          <w:rFonts w:ascii="Times New Roman" w:hAnsi="Times New Roman" w:cs="Times New Roman"/>
          <w:sz w:val="24"/>
          <w:szCs w:val="24"/>
        </w:rPr>
        <w:t xml:space="preserve">первого и третьего этапов </w:t>
      </w:r>
      <w:proofErr w:type="spellStart"/>
      <w:r w:rsidRPr="00EB5AED">
        <w:rPr>
          <w:rFonts w:ascii="Times New Roman" w:hAnsi="Times New Roman" w:cs="Times New Roman"/>
          <w:sz w:val="24"/>
          <w:szCs w:val="24"/>
        </w:rPr>
        <w:t>кардио</w:t>
      </w:r>
      <w:proofErr w:type="spellEnd"/>
      <w:r w:rsidRPr="00EB5AED">
        <w:rPr>
          <w:rFonts w:ascii="Times New Roman" w:hAnsi="Times New Roman" w:cs="Times New Roman"/>
          <w:sz w:val="24"/>
          <w:szCs w:val="24"/>
        </w:rPr>
        <w:t>- и нейрореабилитации, но специализированные отдел</w:t>
      </w:r>
      <w:r>
        <w:rPr>
          <w:rFonts w:ascii="Times New Roman" w:hAnsi="Times New Roman" w:cs="Times New Roman"/>
          <w:sz w:val="24"/>
          <w:szCs w:val="24"/>
        </w:rPr>
        <w:t>ения для реабилитации в соответ</w:t>
      </w:r>
      <w:r w:rsidRPr="00EB5AED">
        <w:rPr>
          <w:rFonts w:ascii="Times New Roman" w:hAnsi="Times New Roman" w:cs="Times New Roman"/>
          <w:sz w:val="24"/>
          <w:szCs w:val="24"/>
        </w:rPr>
        <w:t xml:space="preserve">ствии с типом заболевания, </w:t>
      </w:r>
      <w:r w:rsidRPr="00821FE7">
        <w:rPr>
          <w:rFonts w:ascii="Times New Roman" w:hAnsi="Times New Roman" w:cs="Times New Roman"/>
          <w:sz w:val="24"/>
          <w:szCs w:val="24"/>
        </w:rPr>
        <w:t>рекомендованные для второго этапа, отсутствуют.</w:t>
      </w:r>
      <w:r>
        <w:rPr>
          <w:rFonts w:ascii="Times New Roman" w:hAnsi="Times New Roman" w:cs="Times New Roman"/>
          <w:sz w:val="24"/>
          <w:szCs w:val="24"/>
        </w:rPr>
        <w:t xml:space="preserve"> В</w:t>
      </w:r>
      <w:r w:rsidRPr="00013D92">
        <w:rPr>
          <w:rFonts w:ascii="Times New Roman" w:hAnsi="Times New Roman" w:cs="Times New Roman"/>
          <w:sz w:val="24"/>
          <w:szCs w:val="24"/>
        </w:rPr>
        <w:t xml:space="preserve">виду их отсутствия в регионе Приказом Департамента здравоохранения области больные с инфарктами и инсультами для </w:t>
      </w:r>
      <w:r w:rsidR="002158AD">
        <w:rPr>
          <w:rFonts w:ascii="Times New Roman" w:hAnsi="Times New Roman" w:cs="Times New Roman"/>
          <w:sz w:val="24"/>
          <w:szCs w:val="24"/>
        </w:rPr>
        <w:t>этих целей</w:t>
      </w:r>
      <w:r w:rsidRPr="00013D92">
        <w:rPr>
          <w:rFonts w:ascii="Times New Roman" w:hAnsi="Times New Roman" w:cs="Times New Roman"/>
          <w:sz w:val="24"/>
          <w:szCs w:val="24"/>
        </w:rPr>
        <w:t xml:space="preserve"> направляются в санатории и профилактории</w:t>
      </w:r>
      <w:r>
        <w:rPr>
          <w:rFonts w:ascii="Times New Roman" w:hAnsi="Times New Roman" w:cs="Times New Roman"/>
          <w:sz w:val="24"/>
          <w:szCs w:val="24"/>
        </w:rPr>
        <w:t>.</w:t>
      </w:r>
      <w:r w:rsidRPr="00013D92">
        <w:rPr>
          <w:rFonts w:ascii="Times New Roman" w:hAnsi="Times New Roman" w:cs="Times New Roman"/>
          <w:sz w:val="24"/>
          <w:szCs w:val="24"/>
        </w:rPr>
        <w:t xml:space="preserve"> </w:t>
      </w:r>
      <w:r w:rsidR="002158AD">
        <w:rPr>
          <w:rFonts w:ascii="Times New Roman" w:hAnsi="Times New Roman" w:cs="Times New Roman"/>
          <w:sz w:val="24"/>
          <w:szCs w:val="24"/>
        </w:rPr>
        <w:t>О</w:t>
      </w:r>
      <w:r w:rsidRPr="00013D92">
        <w:rPr>
          <w:rFonts w:ascii="Times New Roman" w:hAnsi="Times New Roman" w:cs="Times New Roman"/>
          <w:sz w:val="24"/>
          <w:szCs w:val="24"/>
        </w:rPr>
        <w:t xml:space="preserve">днако они не полностью покрывают потребность в </w:t>
      </w:r>
      <w:proofErr w:type="spellStart"/>
      <w:r w:rsidRPr="00013D92">
        <w:rPr>
          <w:rFonts w:ascii="Times New Roman" w:hAnsi="Times New Roman" w:cs="Times New Roman"/>
          <w:sz w:val="24"/>
          <w:szCs w:val="24"/>
        </w:rPr>
        <w:t>нейро</w:t>
      </w:r>
      <w:proofErr w:type="spellEnd"/>
      <w:r w:rsidRPr="00013D92">
        <w:rPr>
          <w:rFonts w:ascii="Times New Roman" w:hAnsi="Times New Roman" w:cs="Times New Roman"/>
          <w:sz w:val="24"/>
          <w:szCs w:val="24"/>
        </w:rPr>
        <w:t>- и кардиореабилитации</w:t>
      </w:r>
      <w:r w:rsidR="002158AD">
        <w:rPr>
          <w:rFonts w:ascii="Times New Roman" w:hAnsi="Times New Roman" w:cs="Times New Roman"/>
          <w:sz w:val="24"/>
          <w:szCs w:val="24"/>
        </w:rPr>
        <w:t>.</w:t>
      </w:r>
      <w:r w:rsidRPr="00821FE7">
        <w:rPr>
          <w:rFonts w:ascii="Times New Roman" w:hAnsi="Times New Roman" w:cs="Times New Roman"/>
          <w:sz w:val="24"/>
          <w:szCs w:val="24"/>
        </w:rPr>
        <w:t xml:space="preserve"> Ведущим учреждением по объёму оказываемой реабилитационной помощи п</w:t>
      </w:r>
      <w:r>
        <w:rPr>
          <w:rFonts w:ascii="Times New Roman" w:hAnsi="Times New Roman" w:cs="Times New Roman"/>
          <w:sz w:val="24"/>
          <w:szCs w:val="24"/>
        </w:rPr>
        <w:t>о кардиологическому и неврологи</w:t>
      </w:r>
      <w:r w:rsidRPr="00821FE7">
        <w:rPr>
          <w:rFonts w:ascii="Times New Roman" w:hAnsi="Times New Roman" w:cs="Times New Roman"/>
          <w:sz w:val="24"/>
          <w:szCs w:val="24"/>
        </w:rPr>
        <w:t xml:space="preserve">ческому направлениям является МЧУ ВОФП санаторий «Новый источник». В настоящее время </w:t>
      </w:r>
      <w:r>
        <w:rPr>
          <w:rFonts w:ascii="Times New Roman" w:hAnsi="Times New Roman" w:cs="Times New Roman"/>
          <w:sz w:val="24"/>
          <w:szCs w:val="24"/>
        </w:rPr>
        <w:t>в нем</w:t>
      </w:r>
      <w:r w:rsidRPr="00821FE7">
        <w:rPr>
          <w:rFonts w:ascii="Times New Roman" w:hAnsi="Times New Roman" w:cs="Times New Roman"/>
          <w:sz w:val="24"/>
          <w:szCs w:val="24"/>
        </w:rPr>
        <w:t xml:space="preserve"> удовлетворяет</w:t>
      </w:r>
      <w:r>
        <w:rPr>
          <w:rFonts w:ascii="Times New Roman" w:hAnsi="Times New Roman" w:cs="Times New Roman"/>
          <w:sz w:val="24"/>
          <w:szCs w:val="24"/>
        </w:rPr>
        <w:t>ся</w:t>
      </w:r>
      <w:r w:rsidRPr="00821FE7">
        <w:rPr>
          <w:rFonts w:ascii="Times New Roman" w:hAnsi="Times New Roman" w:cs="Times New Roman"/>
          <w:sz w:val="24"/>
          <w:szCs w:val="24"/>
        </w:rPr>
        <w:t xml:space="preserve"> 19,8% объема потребности пациентов в реабилитации после перенесённых заболеваний сердца и 8,7% – после острого нарушения мозгового кровообращения</w:t>
      </w:r>
      <w:r>
        <w:rPr>
          <w:rFonts w:ascii="Times New Roman" w:hAnsi="Times New Roman" w:cs="Times New Roman"/>
          <w:sz w:val="24"/>
          <w:szCs w:val="24"/>
        </w:rPr>
        <w:t>.</w:t>
      </w:r>
      <w:r w:rsidRPr="00013D92">
        <w:rPr>
          <w:rFonts w:ascii="Times New Roman" w:hAnsi="Times New Roman" w:cs="Times New Roman"/>
          <w:sz w:val="24"/>
          <w:szCs w:val="24"/>
        </w:rPr>
        <w:t xml:space="preserve"> </w:t>
      </w:r>
      <w:r>
        <w:rPr>
          <w:rFonts w:ascii="Times New Roman" w:hAnsi="Times New Roman" w:cs="Times New Roman"/>
          <w:sz w:val="24"/>
          <w:szCs w:val="24"/>
        </w:rPr>
        <w:t xml:space="preserve">Также для санаториев региона есть существенные препятствия для выполнения рекомендаций по их шаговой доступности для пациентов, которым рекомендовано лечение в условиях дневного стационара. </w:t>
      </w:r>
      <w:r w:rsidRPr="00013D92">
        <w:rPr>
          <w:rFonts w:ascii="Times New Roman" w:hAnsi="Times New Roman" w:cs="Times New Roman"/>
          <w:sz w:val="24"/>
          <w:szCs w:val="24"/>
        </w:rPr>
        <w:t>Таким образом, большая часть нуждающихся больных не получает комплексной реабилитационной помощи, то есть не проходит все три рекомендованные этапа.</w:t>
      </w:r>
    </w:p>
    <w:p w:rsidR="00013D92" w:rsidRPr="00013D92" w:rsidRDefault="00013D92" w:rsidP="00013D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Во-вторых, острым становится вопрос материальной доступности реабилитационной помощи. Безусловно, она оказывается</w:t>
      </w:r>
      <w:r w:rsidRPr="00013D92">
        <w:rPr>
          <w:rFonts w:ascii="Times New Roman" w:hAnsi="Times New Roman" w:cs="Times New Roman"/>
          <w:sz w:val="24"/>
          <w:szCs w:val="24"/>
        </w:rPr>
        <w:t xml:space="preserve"> </w:t>
      </w:r>
      <w:r w:rsidR="002158AD">
        <w:rPr>
          <w:rFonts w:ascii="Times New Roman" w:hAnsi="Times New Roman" w:cs="Times New Roman"/>
          <w:sz w:val="24"/>
          <w:szCs w:val="24"/>
        </w:rPr>
        <w:t xml:space="preserve">в </w:t>
      </w:r>
      <w:r w:rsidRPr="00013D92">
        <w:rPr>
          <w:rFonts w:ascii="Times New Roman" w:hAnsi="Times New Roman" w:cs="Times New Roman"/>
          <w:sz w:val="24"/>
          <w:szCs w:val="24"/>
        </w:rPr>
        <w:t>рамках финансирования из внебюджетн</w:t>
      </w:r>
      <w:r w:rsidR="002158AD">
        <w:rPr>
          <w:rFonts w:ascii="Times New Roman" w:hAnsi="Times New Roman" w:cs="Times New Roman"/>
          <w:sz w:val="24"/>
          <w:szCs w:val="24"/>
        </w:rPr>
        <w:t>ых</w:t>
      </w:r>
      <w:r w:rsidRPr="00013D92">
        <w:rPr>
          <w:rFonts w:ascii="Times New Roman" w:hAnsi="Times New Roman" w:cs="Times New Roman"/>
          <w:sz w:val="24"/>
          <w:szCs w:val="24"/>
        </w:rPr>
        <w:t xml:space="preserve"> фон</w:t>
      </w:r>
      <w:r w:rsidR="002158AD">
        <w:rPr>
          <w:rFonts w:ascii="Times New Roman" w:hAnsi="Times New Roman" w:cs="Times New Roman"/>
          <w:sz w:val="24"/>
          <w:szCs w:val="24"/>
        </w:rPr>
        <w:t xml:space="preserve">дов </w:t>
      </w:r>
      <w:r w:rsidRPr="00013D92">
        <w:rPr>
          <w:rFonts w:ascii="Times New Roman" w:hAnsi="Times New Roman" w:cs="Times New Roman"/>
          <w:sz w:val="24"/>
          <w:szCs w:val="24"/>
        </w:rPr>
        <w:t xml:space="preserve">социального </w:t>
      </w:r>
      <w:r w:rsidR="002158AD">
        <w:rPr>
          <w:rFonts w:ascii="Times New Roman" w:hAnsi="Times New Roman" w:cs="Times New Roman"/>
          <w:sz w:val="24"/>
          <w:szCs w:val="24"/>
        </w:rPr>
        <w:t>и</w:t>
      </w:r>
      <w:r w:rsidRPr="00013D92">
        <w:rPr>
          <w:rFonts w:ascii="Times New Roman" w:hAnsi="Times New Roman" w:cs="Times New Roman"/>
          <w:sz w:val="24"/>
          <w:szCs w:val="24"/>
        </w:rPr>
        <w:t xml:space="preserve"> обязательного медицинского страхования.</w:t>
      </w:r>
      <w:r>
        <w:rPr>
          <w:rFonts w:ascii="Times New Roman" w:hAnsi="Times New Roman" w:cs="Times New Roman"/>
          <w:sz w:val="24"/>
          <w:szCs w:val="24"/>
        </w:rPr>
        <w:t xml:space="preserve"> Вместе с тем в</w:t>
      </w:r>
      <w:r w:rsidRPr="00013D92">
        <w:rPr>
          <w:rFonts w:ascii="Times New Roman" w:hAnsi="Times New Roman" w:cs="Times New Roman"/>
          <w:sz w:val="24"/>
          <w:szCs w:val="24"/>
        </w:rPr>
        <w:t xml:space="preserve">ыявлено, что объём удовлетворённой потребности в реабилитационной помощи по </w:t>
      </w:r>
      <w:proofErr w:type="spellStart"/>
      <w:r w:rsidRPr="00013D92">
        <w:rPr>
          <w:rFonts w:ascii="Times New Roman" w:hAnsi="Times New Roman" w:cs="Times New Roman"/>
          <w:sz w:val="24"/>
          <w:szCs w:val="24"/>
        </w:rPr>
        <w:t>кардио</w:t>
      </w:r>
      <w:proofErr w:type="spellEnd"/>
      <w:r w:rsidRPr="00013D92">
        <w:rPr>
          <w:rFonts w:ascii="Times New Roman" w:hAnsi="Times New Roman" w:cs="Times New Roman"/>
          <w:sz w:val="24"/>
          <w:szCs w:val="24"/>
        </w:rPr>
        <w:t xml:space="preserve">- и нейрореабилитации за счет средств внебюджетных </w:t>
      </w:r>
      <w:r w:rsidR="002158AD">
        <w:rPr>
          <w:rFonts w:ascii="Times New Roman" w:hAnsi="Times New Roman" w:cs="Times New Roman"/>
          <w:sz w:val="24"/>
          <w:szCs w:val="24"/>
        </w:rPr>
        <w:t xml:space="preserve">фондов </w:t>
      </w:r>
      <w:r w:rsidRPr="00013D92">
        <w:rPr>
          <w:rFonts w:ascii="Times New Roman" w:hAnsi="Times New Roman" w:cs="Times New Roman"/>
          <w:sz w:val="24"/>
          <w:szCs w:val="24"/>
        </w:rPr>
        <w:t xml:space="preserve">в 2018 году составил 52,7%, из них 10,2% – за счет средств ФСС (льготные путевки в санатории по всем болезням системы кровообращения), 42,5% – из средств ФОМС (реабилитация по инфарктам и инсультам). Остальные пациенты, нуждающиеся в реабилитации, были вынуждены получать данный вид помощи на возмездной основе либо вовсе не получили к ней доступа. За последние 5 лет уровень потребности в медицинской реабилитации пациентов, перенесших острые заболевания сердца и сосудов, удовлетворённой за счет средств внебюджетных фондов, увеличился на 5 п. п. В 2016 году отмечалось максимальное значение за анализируемый период – 63,3% (рис. </w:t>
      </w:r>
      <w:r>
        <w:rPr>
          <w:rFonts w:ascii="Times New Roman" w:hAnsi="Times New Roman" w:cs="Times New Roman"/>
          <w:sz w:val="24"/>
          <w:szCs w:val="24"/>
        </w:rPr>
        <w:t>3</w:t>
      </w:r>
      <w:r w:rsidRPr="00013D92">
        <w:rPr>
          <w:rFonts w:ascii="Times New Roman" w:hAnsi="Times New Roman" w:cs="Times New Roman"/>
          <w:sz w:val="24"/>
          <w:szCs w:val="24"/>
        </w:rPr>
        <w:t xml:space="preserve">). </w:t>
      </w:r>
    </w:p>
    <w:p w:rsidR="00013D92" w:rsidRPr="00013D92" w:rsidRDefault="00013D92" w:rsidP="00013D92">
      <w:pPr>
        <w:spacing w:line="240" w:lineRule="auto"/>
        <w:jc w:val="center"/>
        <w:rPr>
          <w:rFonts w:ascii="Times New Roman" w:hAnsi="Times New Roman" w:cs="Times New Roman"/>
          <w:sz w:val="24"/>
          <w:szCs w:val="24"/>
        </w:rPr>
      </w:pPr>
      <w:r>
        <w:rPr>
          <w:noProof/>
          <w:lang w:eastAsia="ru-RU"/>
        </w:rPr>
        <w:lastRenderedPageBreak/>
        <w:drawing>
          <wp:inline distT="0" distB="0" distL="0" distR="0" wp14:anchorId="688F1667" wp14:editId="545B5B30">
            <wp:extent cx="3286125" cy="1495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13D92">
        <w:rPr>
          <w:rFonts w:ascii="Times New Roman" w:hAnsi="Times New Roman" w:cs="Times New Roman"/>
          <w:sz w:val="24"/>
          <w:szCs w:val="24"/>
        </w:rPr>
        <w:t xml:space="preserve"> </w:t>
      </w:r>
    </w:p>
    <w:p w:rsidR="00013D92" w:rsidRPr="00013D92" w:rsidRDefault="00013D92" w:rsidP="00013D92">
      <w:pPr>
        <w:spacing w:after="0" w:line="240" w:lineRule="auto"/>
        <w:jc w:val="center"/>
        <w:rPr>
          <w:rFonts w:ascii="Times New Roman" w:hAnsi="Times New Roman" w:cs="Times New Roman"/>
          <w:sz w:val="24"/>
          <w:szCs w:val="24"/>
        </w:rPr>
      </w:pPr>
      <w:r w:rsidRPr="00013D92">
        <w:rPr>
          <w:rFonts w:ascii="Times New Roman" w:hAnsi="Times New Roman" w:cs="Times New Roman"/>
          <w:sz w:val="24"/>
          <w:szCs w:val="24"/>
        </w:rPr>
        <w:t xml:space="preserve">Рисунок </w:t>
      </w:r>
      <w:r>
        <w:rPr>
          <w:rFonts w:ascii="Times New Roman" w:hAnsi="Times New Roman" w:cs="Times New Roman"/>
          <w:sz w:val="24"/>
          <w:szCs w:val="24"/>
        </w:rPr>
        <w:t>3</w:t>
      </w:r>
      <w:r w:rsidRPr="00013D92">
        <w:rPr>
          <w:rFonts w:ascii="Times New Roman" w:hAnsi="Times New Roman" w:cs="Times New Roman"/>
          <w:sz w:val="24"/>
          <w:szCs w:val="24"/>
        </w:rPr>
        <w:t xml:space="preserve"> – Доля удовлетворённой ежегодной потребности в медицинской реабилитации в Вологодской области за счет средств внебюджетных фондов (суммарно по </w:t>
      </w:r>
      <w:proofErr w:type="spellStart"/>
      <w:r w:rsidRPr="00013D92">
        <w:rPr>
          <w:rFonts w:ascii="Times New Roman" w:hAnsi="Times New Roman" w:cs="Times New Roman"/>
          <w:sz w:val="24"/>
          <w:szCs w:val="24"/>
        </w:rPr>
        <w:t>кардио</w:t>
      </w:r>
      <w:proofErr w:type="spellEnd"/>
      <w:r w:rsidRPr="00013D92">
        <w:rPr>
          <w:rFonts w:ascii="Times New Roman" w:hAnsi="Times New Roman" w:cs="Times New Roman"/>
          <w:sz w:val="24"/>
          <w:szCs w:val="24"/>
        </w:rPr>
        <w:t>- и нейрореабилитации, в совокупности по ФОМС м ФСС, %)</w:t>
      </w:r>
    </w:p>
    <w:p w:rsidR="00EB5AED" w:rsidRPr="00013D92" w:rsidRDefault="00013D92" w:rsidP="00013D92">
      <w:pPr>
        <w:spacing w:after="0" w:line="240" w:lineRule="auto"/>
        <w:jc w:val="both"/>
        <w:rPr>
          <w:rFonts w:ascii="Times New Roman" w:hAnsi="Times New Roman" w:cs="Times New Roman"/>
          <w:sz w:val="20"/>
          <w:szCs w:val="24"/>
        </w:rPr>
      </w:pPr>
      <w:r w:rsidRPr="00013D92">
        <w:rPr>
          <w:rFonts w:ascii="Times New Roman" w:hAnsi="Times New Roman" w:cs="Times New Roman"/>
          <w:sz w:val="20"/>
          <w:szCs w:val="24"/>
        </w:rPr>
        <w:t>Примечание: объём потребности рассчитывался авторами на основе числа пациентов, выпи-санных живыми из стационаров соответствующего профиля.</w:t>
      </w:r>
    </w:p>
    <w:p w:rsidR="00EB5AED" w:rsidRDefault="002158AD" w:rsidP="00215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отметить, что в</w:t>
      </w:r>
      <w:r w:rsidRPr="002158AD">
        <w:rPr>
          <w:rFonts w:ascii="Times New Roman" w:hAnsi="Times New Roman" w:cs="Times New Roman"/>
          <w:sz w:val="24"/>
          <w:szCs w:val="24"/>
        </w:rPr>
        <w:t xml:space="preserve"> отличие от общих положений национального проекта «Здравоохранение», в Вологодской области при формировании региональных ориентиров развития уделяется внимание медицинской реабилитации. Региональная программа «Борьба с сердечно-сосудистыми заболеваниями» предполагает в период 2019–2024 гг. реализацию комплекса мероприятий, в том числе информационных, организационных, исследовательских, направленных на повышение эффективности системы реабилитации в регионе</w:t>
      </w:r>
      <w:r>
        <w:rPr>
          <w:rFonts w:ascii="Times New Roman" w:hAnsi="Times New Roman" w:cs="Times New Roman"/>
          <w:sz w:val="24"/>
          <w:szCs w:val="24"/>
        </w:rPr>
        <w:t xml:space="preserve">. Однако  требуются и дальнейшие изменения с целью  </w:t>
      </w:r>
      <w:r w:rsidRPr="002158AD">
        <w:rPr>
          <w:rFonts w:ascii="Times New Roman" w:hAnsi="Times New Roman" w:cs="Times New Roman"/>
          <w:sz w:val="24"/>
          <w:szCs w:val="24"/>
        </w:rPr>
        <w:t>формировани</w:t>
      </w:r>
      <w:r>
        <w:rPr>
          <w:rFonts w:ascii="Times New Roman" w:hAnsi="Times New Roman" w:cs="Times New Roman"/>
          <w:sz w:val="24"/>
          <w:szCs w:val="24"/>
        </w:rPr>
        <w:t>я</w:t>
      </w:r>
      <w:r w:rsidRPr="002158AD">
        <w:rPr>
          <w:rFonts w:ascii="Times New Roman" w:hAnsi="Times New Roman" w:cs="Times New Roman"/>
          <w:sz w:val="24"/>
          <w:szCs w:val="24"/>
        </w:rPr>
        <w:t xml:space="preserve"> эффективной системы </w:t>
      </w:r>
      <w:r>
        <w:rPr>
          <w:rFonts w:ascii="Times New Roman" w:hAnsi="Times New Roman" w:cs="Times New Roman"/>
          <w:sz w:val="24"/>
          <w:szCs w:val="24"/>
        </w:rPr>
        <w:t>реабилитации при острых ССЗ в регионе, среди них можно отметить следующие:</w:t>
      </w:r>
    </w:p>
    <w:p w:rsidR="002158AD" w:rsidRPr="002158AD" w:rsidRDefault="002158AD" w:rsidP="002158AD">
      <w:pPr>
        <w:spacing w:after="0" w:line="240" w:lineRule="auto"/>
        <w:ind w:firstLine="709"/>
        <w:jc w:val="both"/>
        <w:rPr>
          <w:rFonts w:ascii="Times New Roman" w:hAnsi="Times New Roman" w:cs="Times New Roman"/>
          <w:sz w:val="24"/>
          <w:szCs w:val="24"/>
        </w:rPr>
      </w:pPr>
      <w:r w:rsidRPr="002158AD">
        <w:rPr>
          <w:rFonts w:ascii="Times New Roman" w:hAnsi="Times New Roman" w:cs="Times New Roman"/>
          <w:sz w:val="24"/>
          <w:szCs w:val="24"/>
        </w:rPr>
        <w:t xml:space="preserve">– </w:t>
      </w:r>
      <w:r w:rsidRPr="002158AD">
        <w:rPr>
          <w:rFonts w:ascii="Times New Roman" w:hAnsi="Times New Roman" w:cs="Times New Roman"/>
          <w:sz w:val="24"/>
          <w:szCs w:val="24"/>
        </w:rPr>
        <w:tab/>
        <w:t>наиболее полная реализация запущенной в 2019 году региональной программы «Борьба с сердечно-сосудистыми заболеваниями» на 2019–2024 гг. В ходе и по итогам ее выполнения целесообразно проводить отслеживание актуальной ситуации по вопросам эффективности системы реабилитации при сосудистых катастрофах в регионе</w:t>
      </w:r>
      <w:r>
        <w:rPr>
          <w:rFonts w:ascii="Times New Roman" w:hAnsi="Times New Roman" w:cs="Times New Roman"/>
          <w:sz w:val="24"/>
          <w:szCs w:val="24"/>
        </w:rPr>
        <w:t xml:space="preserve">. </w:t>
      </w:r>
      <w:r w:rsidRPr="002158AD">
        <w:rPr>
          <w:rFonts w:ascii="Times New Roman" w:hAnsi="Times New Roman" w:cs="Times New Roman"/>
          <w:sz w:val="24"/>
          <w:szCs w:val="24"/>
        </w:rPr>
        <w:t xml:space="preserve">Это позволит оценить эффективность реализации программы, а также создаст информационную базу для принятия управленческих решений по дальнейшему совершенствованию системы медицинской реабилитации после сосудистых катастроф; </w:t>
      </w:r>
    </w:p>
    <w:p w:rsidR="002158AD" w:rsidRPr="002158AD" w:rsidRDefault="002158AD" w:rsidP="002158AD">
      <w:pPr>
        <w:spacing w:after="0" w:line="240" w:lineRule="auto"/>
        <w:ind w:firstLine="709"/>
        <w:jc w:val="both"/>
        <w:rPr>
          <w:rFonts w:ascii="Times New Roman" w:hAnsi="Times New Roman" w:cs="Times New Roman"/>
          <w:sz w:val="24"/>
          <w:szCs w:val="24"/>
        </w:rPr>
      </w:pPr>
      <w:r w:rsidRPr="002158AD">
        <w:rPr>
          <w:rFonts w:ascii="Times New Roman" w:hAnsi="Times New Roman" w:cs="Times New Roman"/>
          <w:sz w:val="24"/>
          <w:szCs w:val="24"/>
        </w:rPr>
        <w:t xml:space="preserve">– </w:t>
      </w:r>
      <w:r w:rsidRPr="002158AD">
        <w:rPr>
          <w:rFonts w:ascii="Times New Roman" w:hAnsi="Times New Roman" w:cs="Times New Roman"/>
          <w:sz w:val="24"/>
          <w:szCs w:val="24"/>
        </w:rPr>
        <w:tab/>
        <w:t>необходима инте</w:t>
      </w:r>
      <w:r>
        <w:rPr>
          <w:rFonts w:ascii="Times New Roman" w:hAnsi="Times New Roman" w:cs="Times New Roman"/>
          <w:sz w:val="24"/>
          <w:szCs w:val="24"/>
        </w:rPr>
        <w:t>нсификация сотрудничества регио</w:t>
      </w:r>
      <w:r w:rsidRPr="002158AD">
        <w:rPr>
          <w:rFonts w:ascii="Times New Roman" w:hAnsi="Times New Roman" w:cs="Times New Roman"/>
          <w:sz w:val="24"/>
          <w:szCs w:val="24"/>
        </w:rPr>
        <w:t>нальных органов власти, прежде всего департамента здравоохранения, с ведущими институтами (например, Институт мозга человека имени Н.</w:t>
      </w:r>
      <w:r>
        <w:rPr>
          <w:rFonts w:ascii="Times New Roman" w:hAnsi="Times New Roman" w:cs="Times New Roman"/>
          <w:sz w:val="24"/>
          <w:szCs w:val="24"/>
        </w:rPr>
        <w:t>П. Бехтеревой РАН) и специализи</w:t>
      </w:r>
      <w:r w:rsidRPr="002158AD">
        <w:rPr>
          <w:rFonts w:ascii="Times New Roman" w:hAnsi="Times New Roman" w:cs="Times New Roman"/>
          <w:sz w:val="24"/>
          <w:szCs w:val="24"/>
        </w:rPr>
        <w:t>рованными реабилитационными центрами России по выделению квот лицам, нуждающимся в реабилитационных мероприятиях;</w:t>
      </w:r>
    </w:p>
    <w:p w:rsidR="00EB5AED" w:rsidRDefault="002158AD" w:rsidP="002158AD">
      <w:pPr>
        <w:spacing w:after="0" w:line="240" w:lineRule="auto"/>
        <w:ind w:firstLine="709"/>
        <w:jc w:val="both"/>
        <w:rPr>
          <w:rFonts w:ascii="Times New Roman" w:hAnsi="Times New Roman" w:cs="Times New Roman"/>
          <w:sz w:val="24"/>
          <w:szCs w:val="24"/>
        </w:rPr>
      </w:pPr>
      <w:r w:rsidRPr="002158AD">
        <w:rPr>
          <w:rFonts w:ascii="Times New Roman" w:hAnsi="Times New Roman" w:cs="Times New Roman"/>
          <w:sz w:val="24"/>
          <w:szCs w:val="24"/>
        </w:rPr>
        <w:t xml:space="preserve">– </w:t>
      </w:r>
      <w:r w:rsidRPr="002158AD">
        <w:rPr>
          <w:rFonts w:ascii="Times New Roman" w:hAnsi="Times New Roman" w:cs="Times New Roman"/>
          <w:sz w:val="24"/>
          <w:szCs w:val="24"/>
        </w:rPr>
        <w:tab/>
        <w:t>поступательное развитие собственной системы комплексной медицинской реабилитации в регионе,</w:t>
      </w:r>
      <w:r>
        <w:rPr>
          <w:rFonts w:ascii="Times New Roman" w:hAnsi="Times New Roman" w:cs="Times New Roman"/>
          <w:sz w:val="24"/>
          <w:szCs w:val="24"/>
        </w:rPr>
        <w:t xml:space="preserve"> что связано с необходимостью </w:t>
      </w:r>
      <w:r w:rsidRPr="002158AD">
        <w:rPr>
          <w:rFonts w:ascii="Times New Roman" w:hAnsi="Times New Roman" w:cs="Times New Roman"/>
          <w:sz w:val="24"/>
          <w:szCs w:val="24"/>
        </w:rPr>
        <w:t>четкого планирования финансовых, организационных, кадровых ресурсов для повышения доступности реабилитационной помощи для пациентов с сосудистыми катастрофами;</w:t>
      </w:r>
      <w:r>
        <w:rPr>
          <w:rFonts w:ascii="Times New Roman" w:hAnsi="Times New Roman" w:cs="Times New Roman"/>
          <w:sz w:val="24"/>
          <w:szCs w:val="24"/>
        </w:rPr>
        <w:t xml:space="preserve"> </w:t>
      </w:r>
      <w:r w:rsidRPr="002158AD">
        <w:rPr>
          <w:rFonts w:ascii="Times New Roman" w:hAnsi="Times New Roman" w:cs="Times New Roman"/>
          <w:sz w:val="24"/>
          <w:szCs w:val="24"/>
        </w:rPr>
        <w:t>повышения доступности реабилитационной помощи, финансируемой за счет средств Фонда обязательного медицинского страхования и Фонда социального страхования;</w:t>
      </w:r>
      <w:r>
        <w:rPr>
          <w:rFonts w:ascii="Times New Roman" w:hAnsi="Times New Roman" w:cs="Times New Roman"/>
          <w:sz w:val="24"/>
          <w:szCs w:val="24"/>
        </w:rPr>
        <w:t xml:space="preserve"> </w:t>
      </w:r>
      <w:r w:rsidRPr="002158AD">
        <w:rPr>
          <w:rFonts w:ascii="Times New Roman" w:hAnsi="Times New Roman" w:cs="Times New Roman"/>
          <w:sz w:val="24"/>
          <w:szCs w:val="24"/>
        </w:rPr>
        <w:t>создания в регионе с</w:t>
      </w:r>
      <w:r>
        <w:rPr>
          <w:rFonts w:ascii="Times New Roman" w:hAnsi="Times New Roman" w:cs="Times New Roman"/>
          <w:sz w:val="24"/>
          <w:szCs w:val="24"/>
        </w:rPr>
        <w:t>пециализированных реабилитацион</w:t>
      </w:r>
      <w:r w:rsidRPr="002158AD">
        <w:rPr>
          <w:rFonts w:ascii="Times New Roman" w:hAnsi="Times New Roman" w:cs="Times New Roman"/>
          <w:sz w:val="24"/>
          <w:szCs w:val="24"/>
        </w:rPr>
        <w:t>ных учреждений для обеспечения второго (стационарного) этапа эффективной медицинской реабилитации при инфарктах и инсультах,</w:t>
      </w:r>
      <w:r>
        <w:rPr>
          <w:rFonts w:ascii="Times New Roman" w:hAnsi="Times New Roman" w:cs="Times New Roman"/>
          <w:sz w:val="24"/>
          <w:szCs w:val="24"/>
        </w:rPr>
        <w:t xml:space="preserve"> согласно клиническим рекоменда</w:t>
      </w:r>
      <w:r w:rsidRPr="002158AD">
        <w:rPr>
          <w:rFonts w:ascii="Times New Roman" w:hAnsi="Times New Roman" w:cs="Times New Roman"/>
          <w:sz w:val="24"/>
          <w:szCs w:val="24"/>
        </w:rPr>
        <w:t>циям кардиологов и неврологов; модернизации существующих учреждений и повышения их доступности для населения; оснащения действующих учреждений совреме</w:t>
      </w:r>
      <w:r>
        <w:rPr>
          <w:rFonts w:ascii="Times New Roman" w:hAnsi="Times New Roman" w:cs="Times New Roman"/>
          <w:sz w:val="24"/>
          <w:szCs w:val="24"/>
        </w:rPr>
        <w:t xml:space="preserve">нными средствами реабилитации; улучшения кадрового состава; </w:t>
      </w:r>
      <w:r w:rsidRPr="002158AD">
        <w:rPr>
          <w:rFonts w:ascii="Times New Roman" w:hAnsi="Times New Roman" w:cs="Times New Roman"/>
          <w:sz w:val="24"/>
          <w:szCs w:val="24"/>
        </w:rPr>
        <w:t>организационных ме</w:t>
      </w:r>
      <w:r>
        <w:rPr>
          <w:rFonts w:ascii="Times New Roman" w:hAnsi="Times New Roman" w:cs="Times New Roman"/>
          <w:sz w:val="24"/>
          <w:szCs w:val="24"/>
        </w:rPr>
        <w:t>роприятий по эффективной маршру</w:t>
      </w:r>
      <w:r w:rsidRPr="002158AD">
        <w:rPr>
          <w:rFonts w:ascii="Times New Roman" w:hAnsi="Times New Roman" w:cs="Times New Roman"/>
          <w:sz w:val="24"/>
          <w:szCs w:val="24"/>
        </w:rPr>
        <w:t>тизации пациентов для получения своевременной и качест</w:t>
      </w:r>
      <w:r>
        <w:rPr>
          <w:rFonts w:ascii="Times New Roman" w:hAnsi="Times New Roman" w:cs="Times New Roman"/>
          <w:sz w:val="24"/>
          <w:szCs w:val="24"/>
        </w:rPr>
        <w:t xml:space="preserve">венной реабилитационной помощи; </w:t>
      </w:r>
      <w:r w:rsidRPr="002158AD">
        <w:rPr>
          <w:rFonts w:ascii="Times New Roman" w:hAnsi="Times New Roman" w:cs="Times New Roman"/>
          <w:sz w:val="24"/>
          <w:szCs w:val="24"/>
        </w:rPr>
        <w:t>использования последних достижений современной науки в области реабилитации.</w:t>
      </w:r>
    </w:p>
    <w:p w:rsidR="00EB5AED" w:rsidRDefault="00EB5AED" w:rsidP="002158AD">
      <w:pPr>
        <w:spacing w:after="0" w:line="240" w:lineRule="auto"/>
        <w:ind w:firstLine="709"/>
        <w:jc w:val="both"/>
        <w:rPr>
          <w:rFonts w:ascii="Times New Roman" w:hAnsi="Times New Roman" w:cs="Times New Roman"/>
          <w:sz w:val="24"/>
          <w:szCs w:val="24"/>
        </w:rPr>
      </w:pPr>
    </w:p>
    <w:p w:rsidR="00170B33" w:rsidRPr="00950445" w:rsidRDefault="006A7294" w:rsidP="00E77D7A">
      <w:pPr>
        <w:spacing w:line="240" w:lineRule="auto"/>
        <w:jc w:val="center"/>
        <w:rPr>
          <w:rFonts w:ascii="Times New Roman" w:hAnsi="Times New Roman" w:cs="Times New Roman"/>
          <w:sz w:val="24"/>
          <w:szCs w:val="24"/>
          <w:lang w:val="en-US"/>
        </w:rPr>
      </w:pPr>
      <w:r w:rsidRPr="00805B41">
        <w:rPr>
          <w:rFonts w:ascii="Times New Roman" w:hAnsi="Times New Roman" w:cs="Times New Roman"/>
          <w:sz w:val="24"/>
          <w:szCs w:val="24"/>
        </w:rPr>
        <w:t>Библиогра</w:t>
      </w:r>
      <w:r w:rsidR="0035607A" w:rsidRPr="00805B41">
        <w:rPr>
          <w:rFonts w:ascii="Times New Roman" w:hAnsi="Times New Roman" w:cs="Times New Roman"/>
          <w:sz w:val="24"/>
          <w:szCs w:val="24"/>
        </w:rPr>
        <w:t>фический список</w:t>
      </w:r>
    </w:p>
    <w:p w:rsidR="00904330" w:rsidRDefault="00904330" w:rsidP="00904330">
      <w:pPr>
        <w:pStyle w:val="ab"/>
        <w:numPr>
          <w:ilvl w:val="0"/>
          <w:numId w:val="3"/>
        </w:numPr>
        <w:spacing w:after="0" w:line="240" w:lineRule="auto"/>
        <w:ind w:left="714" w:hanging="357"/>
        <w:jc w:val="both"/>
        <w:rPr>
          <w:rFonts w:ascii="Times New Roman" w:hAnsi="Times New Roman" w:cs="Times New Roman"/>
          <w:sz w:val="24"/>
          <w:szCs w:val="24"/>
        </w:rPr>
      </w:pPr>
      <w:r w:rsidRPr="00170B33">
        <w:rPr>
          <w:rFonts w:ascii="Times New Roman" w:hAnsi="Times New Roman" w:cs="Times New Roman"/>
          <w:sz w:val="24"/>
          <w:szCs w:val="24"/>
        </w:rPr>
        <w:t xml:space="preserve">Диагностика и тактика при инсульте в условиях общей врачебной практики, включая первичную и вторичную профилактику // Клинические рекомендации, утв. на IV </w:t>
      </w:r>
      <w:r w:rsidRPr="00170B33">
        <w:rPr>
          <w:rFonts w:ascii="Times New Roman" w:hAnsi="Times New Roman" w:cs="Times New Roman"/>
          <w:sz w:val="24"/>
          <w:szCs w:val="24"/>
        </w:rPr>
        <w:lastRenderedPageBreak/>
        <w:t>Всероссийском съезде врачей общей практики (семейных врачей) Российской Федерации 15 ноября 2013 года, г. Казань. 33 с.</w:t>
      </w:r>
    </w:p>
    <w:p w:rsidR="00904330" w:rsidRPr="00170B33" w:rsidRDefault="00904330" w:rsidP="00904330">
      <w:pPr>
        <w:pStyle w:val="ae"/>
        <w:numPr>
          <w:ilvl w:val="0"/>
          <w:numId w:val="3"/>
        </w:numPr>
        <w:ind w:left="714" w:hanging="357"/>
        <w:rPr>
          <w:rFonts w:ascii="Times New Roman" w:eastAsiaTheme="minorHAnsi" w:hAnsi="Times New Roman"/>
          <w:sz w:val="24"/>
          <w:szCs w:val="24"/>
        </w:rPr>
      </w:pPr>
      <w:r w:rsidRPr="00170B33">
        <w:rPr>
          <w:rFonts w:ascii="Times New Roman" w:eastAsiaTheme="minorHAnsi" w:hAnsi="Times New Roman"/>
          <w:sz w:val="24"/>
          <w:szCs w:val="24"/>
        </w:rPr>
        <w:t>На пути к Европе, свободной от предотвратимых неинфекционных заболеваний. Будущая динамика преждевременной смертности в Европейском регионе / ВОЗ. URL: http://www.euro.who.int/__data/assets/pdf_file/0009/340866/Report-1-Ru.pdf?Ua=1</w:t>
      </w:r>
    </w:p>
    <w:p w:rsidR="00904330" w:rsidRPr="00170B33" w:rsidRDefault="00904330" w:rsidP="00904330">
      <w:pPr>
        <w:pStyle w:val="ab"/>
        <w:numPr>
          <w:ilvl w:val="0"/>
          <w:numId w:val="3"/>
        </w:numPr>
        <w:jc w:val="both"/>
        <w:rPr>
          <w:rFonts w:ascii="Times New Roman" w:hAnsi="Times New Roman" w:cs="Times New Roman"/>
          <w:sz w:val="24"/>
          <w:szCs w:val="24"/>
        </w:rPr>
      </w:pPr>
      <w:r w:rsidRPr="00170B33">
        <w:rPr>
          <w:rFonts w:ascii="Times New Roman" w:hAnsi="Times New Roman" w:cs="Times New Roman"/>
          <w:sz w:val="24"/>
          <w:szCs w:val="24"/>
        </w:rPr>
        <w:t>Национальные проекты 2019-2024 гг.: анализ и ключевые риски их реализации. Социальная сфера: нач.-</w:t>
      </w:r>
      <w:proofErr w:type="spellStart"/>
      <w:r w:rsidRPr="00170B33">
        <w:rPr>
          <w:rFonts w:ascii="Times New Roman" w:hAnsi="Times New Roman" w:cs="Times New Roman"/>
          <w:sz w:val="24"/>
          <w:szCs w:val="24"/>
        </w:rPr>
        <w:t>аналит</w:t>
      </w:r>
      <w:proofErr w:type="spellEnd"/>
      <w:r w:rsidRPr="00170B33">
        <w:rPr>
          <w:rFonts w:ascii="Times New Roman" w:hAnsi="Times New Roman" w:cs="Times New Roman"/>
          <w:sz w:val="24"/>
          <w:szCs w:val="24"/>
        </w:rPr>
        <w:t>. издание / коллектив авторов под науч. рук. чл.-корр. РАН В.А. Ильина. Вологда: ФГБУН ВолНЦ РАН, 2019. 68 с.</w:t>
      </w:r>
    </w:p>
    <w:p w:rsidR="00904330" w:rsidRDefault="00904330" w:rsidP="00950445">
      <w:pPr>
        <w:pStyle w:val="ab"/>
        <w:numPr>
          <w:ilvl w:val="0"/>
          <w:numId w:val="3"/>
        </w:numPr>
        <w:spacing w:after="0" w:line="240" w:lineRule="auto"/>
        <w:jc w:val="both"/>
        <w:rPr>
          <w:rFonts w:ascii="Times New Roman" w:hAnsi="Times New Roman" w:cs="Times New Roman"/>
          <w:sz w:val="24"/>
          <w:szCs w:val="24"/>
        </w:rPr>
      </w:pPr>
      <w:r w:rsidRPr="00170B33">
        <w:rPr>
          <w:rFonts w:ascii="Times New Roman" w:hAnsi="Times New Roman" w:cs="Times New Roman"/>
          <w:sz w:val="24"/>
          <w:szCs w:val="24"/>
        </w:rPr>
        <w:t xml:space="preserve">Реабилитация и вторичная профилактика у больных, перенесших острый инфаркт миокарда с подъемом сегмента </w:t>
      </w:r>
      <w:proofErr w:type="spellStart"/>
      <w:r w:rsidRPr="00170B33">
        <w:rPr>
          <w:rFonts w:ascii="Times New Roman" w:hAnsi="Times New Roman" w:cs="Times New Roman"/>
          <w:sz w:val="24"/>
          <w:szCs w:val="24"/>
        </w:rPr>
        <w:t>st</w:t>
      </w:r>
      <w:proofErr w:type="spellEnd"/>
      <w:r w:rsidRPr="00170B33">
        <w:rPr>
          <w:rFonts w:ascii="Times New Roman" w:hAnsi="Times New Roman" w:cs="Times New Roman"/>
          <w:sz w:val="24"/>
          <w:szCs w:val="24"/>
        </w:rPr>
        <w:t xml:space="preserve"> // Российские клинические </w:t>
      </w:r>
      <w:r>
        <w:rPr>
          <w:rFonts w:ascii="Times New Roman" w:hAnsi="Times New Roman" w:cs="Times New Roman"/>
          <w:sz w:val="24"/>
          <w:szCs w:val="24"/>
        </w:rPr>
        <w:t>рекомендации. М., 2014. 95 с.</w:t>
      </w:r>
    </w:p>
    <w:p w:rsidR="006A7294" w:rsidRPr="00950445" w:rsidRDefault="006A7294" w:rsidP="00950445">
      <w:pPr>
        <w:spacing w:after="0" w:line="240" w:lineRule="auto"/>
        <w:jc w:val="center"/>
        <w:rPr>
          <w:rFonts w:ascii="Times New Roman" w:hAnsi="Times New Roman" w:cs="Times New Roman"/>
          <w:sz w:val="24"/>
          <w:szCs w:val="24"/>
        </w:rPr>
      </w:pPr>
      <w:r w:rsidRPr="00805B41">
        <w:rPr>
          <w:rFonts w:ascii="Times New Roman" w:hAnsi="Times New Roman" w:cs="Times New Roman"/>
          <w:sz w:val="24"/>
          <w:szCs w:val="24"/>
        </w:rPr>
        <w:t>Информа</w:t>
      </w:r>
      <w:r w:rsidR="001E01E3" w:rsidRPr="00805B41">
        <w:rPr>
          <w:rFonts w:ascii="Times New Roman" w:hAnsi="Times New Roman" w:cs="Times New Roman"/>
          <w:sz w:val="24"/>
          <w:szCs w:val="24"/>
        </w:rPr>
        <w:t>ция об автор</w:t>
      </w:r>
      <w:r w:rsidR="00950445">
        <w:rPr>
          <w:rFonts w:ascii="Times New Roman" w:hAnsi="Times New Roman" w:cs="Times New Roman"/>
          <w:sz w:val="24"/>
          <w:szCs w:val="24"/>
        </w:rPr>
        <w:t>ах</w:t>
      </w:r>
    </w:p>
    <w:p w:rsidR="006A7294" w:rsidRDefault="001E01E3" w:rsidP="00E77D7A">
      <w:pPr>
        <w:spacing w:after="0" w:line="240" w:lineRule="auto"/>
        <w:jc w:val="both"/>
        <w:rPr>
          <w:rFonts w:ascii="Times New Roman" w:hAnsi="Times New Roman" w:cs="Times New Roman"/>
          <w:sz w:val="24"/>
          <w:szCs w:val="24"/>
        </w:rPr>
      </w:pPr>
      <w:r w:rsidRPr="00805B41">
        <w:rPr>
          <w:rFonts w:ascii="Times New Roman" w:hAnsi="Times New Roman" w:cs="Times New Roman"/>
          <w:sz w:val="24"/>
          <w:szCs w:val="24"/>
        </w:rPr>
        <w:t>Груздева Мария Андреевна (Россия, Вологда</w:t>
      </w:r>
      <w:r w:rsidR="006A7294" w:rsidRPr="00805B41">
        <w:rPr>
          <w:rFonts w:ascii="Times New Roman" w:hAnsi="Times New Roman" w:cs="Times New Roman"/>
          <w:sz w:val="24"/>
          <w:szCs w:val="24"/>
        </w:rPr>
        <w:t xml:space="preserve">) – </w:t>
      </w:r>
      <w:r w:rsidRPr="00805B41">
        <w:rPr>
          <w:rFonts w:ascii="Times New Roman" w:hAnsi="Times New Roman" w:cs="Times New Roman"/>
          <w:sz w:val="24"/>
          <w:szCs w:val="24"/>
        </w:rPr>
        <w:t>кандидат экономических наук</w:t>
      </w:r>
      <w:r w:rsidR="006A7294" w:rsidRPr="00805B41">
        <w:rPr>
          <w:rFonts w:ascii="Times New Roman" w:hAnsi="Times New Roman" w:cs="Times New Roman"/>
          <w:sz w:val="24"/>
          <w:szCs w:val="24"/>
        </w:rPr>
        <w:t xml:space="preserve">, </w:t>
      </w:r>
      <w:r w:rsidRPr="00805B41">
        <w:rPr>
          <w:rFonts w:ascii="Times New Roman" w:hAnsi="Times New Roman" w:cs="Times New Roman"/>
          <w:sz w:val="24"/>
          <w:szCs w:val="24"/>
        </w:rPr>
        <w:t>старший научный сотрудник, зав. лабораторией</w:t>
      </w:r>
      <w:r w:rsidR="006A7294" w:rsidRPr="00805B41">
        <w:rPr>
          <w:rFonts w:ascii="Times New Roman" w:hAnsi="Times New Roman" w:cs="Times New Roman"/>
          <w:sz w:val="24"/>
          <w:szCs w:val="24"/>
        </w:rPr>
        <w:t xml:space="preserve"> </w:t>
      </w:r>
      <w:r w:rsidRPr="00805B41">
        <w:rPr>
          <w:rFonts w:ascii="Times New Roman" w:hAnsi="Times New Roman" w:cs="Times New Roman"/>
          <w:sz w:val="24"/>
          <w:szCs w:val="24"/>
        </w:rPr>
        <w:t xml:space="preserve">ФГБУН «Вологодский научный центр РАН» </w:t>
      </w:r>
      <w:r w:rsidR="006A7294" w:rsidRPr="00805B41">
        <w:rPr>
          <w:rFonts w:ascii="Times New Roman" w:hAnsi="Times New Roman" w:cs="Times New Roman"/>
          <w:sz w:val="24"/>
          <w:szCs w:val="24"/>
        </w:rPr>
        <w:t>(</w:t>
      </w:r>
      <w:r w:rsidRPr="00805B41">
        <w:rPr>
          <w:rFonts w:ascii="Times New Roman" w:hAnsi="Times New Roman" w:cs="Times New Roman"/>
          <w:sz w:val="24"/>
          <w:szCs w:val="24"/>
        </w:rPr>
        <w:t>160014</w:t>
      </w:r>
      <w:r w:rsidR="006A7294" w:rsidRPr="00805B41">
        <w:rPr>
          <w:rFonts w:ascii="Times New Roman" w:hAnsi="Times New Roman" w:cs="Times New Roman"/>
          <w:sz w:val="24"/>
          <w:szCs w:val="24"/>
        </w:rPr>
        <w:t xml:space="preserve">, </w:t>
      </w:r>
      <w:r w:rsidRPr="00805B41">
        <w:rPr>
          <w:rFonts w:ascii="Times New Roman" w:hAnsi="Times New Roman" w:cs="Times New Roman"/>
          <w:sz w:val="24"/>
          <w:szCs w:val="24"/>
        </w:rPr>
        <w:t>г. Вологда, ул. Горького</w:t>
      </w:r>
      <w:r w:rsidRPr="00251936">
        <w:rPr>
          <w:rFonts w:ascii="Times New Roman" w:hAnsi="Times New Roman" w:cs="Times New Roman"/>
          <w:sz w:val="24"/>
          <w:szCs w:val="24"/>
        </w:rPr>
        <w:t xml:space="preserve">, </w:t>
      </w:r>
      <w:r w:rsidRPr="00805B41">
        <w:rPr>
          <w:rFonts w:ascii="Times New Roman" w:hAnsi="Times New Roman" w:cs="Times New Roman"/>
          <w:sz w:val="24"/>
          <w:szCs w:val="24"/>
        </w:rPr>
        <w:t>д</w:t>
      </w:r>
      <w:r w:rsidRPr="00251936">
        <w:rPr>
          <w:rFonts w:ascii="Times New Roman" w:hAnsi="Times New Roman" w:cs="Times New Roman"/>
          <w:sz w:val="24"/>
          <w:szCs w:val="24"/>
        </w:rPr>
        <w:t>. 56</w:t>
      </w:r>
      <w:r w:rsidRPr="00805B41">
        <w:rPr>
          <w:rFonts w:ascii="Times New Roman" w:hAnsi="Times New Roman" w:cs="Times New Roman"/>
          <w:sz w:val="24"/>
          <w:szCs w:val="24"/>
        </w:rPr>
        <w:t>А</w:t>
      </w:r>
      <w:r w:rsidRPr="00251936">
        <w:rPr>
          <w:rFonts w:ascii="Times New Roman" w:hAnsi="Times New Roman" w:cs="Times New Roman"/>
          <w:sz w:val="24"/>
          <w:szCs w:val="24"/>
        </w:rPr>
        <w:t xml:space="preserve">, </w:t>
      </w:r>
      <w:hyperlink r:id="rId12" w:history="1">
        <w:r w:rsidR="00E77D7A" w:rsidRPr="00181B36">
          <w:rPr>
            <w:rStyle w:val="a3"/>
            <w:rFonts w:ascii="Times New Roman" w:hAnsi="Times New Roman" w:cs="Times New Roman"/>
            <w:sz w:val="24"/>
            <w:szCs w:val="24"/>
            <w:lang w:val="en-US"/>
          </w:rPr>
          <w:t>mariya</w:t>
        </w:r>
        <w:r w:rsidR="00E77D7A" w:rsidRPr="00FD1195">
          <w:rPr>
            <w:rStyle w:val="a3"/>
            <w:rFonts w:ascii="Times New Roman" w:hAnsi="Times New Roman" w:cs="Times New Roman"/>
            <w:sz w:val="24"/>
            <w:szCs w:val="24"/>
          </w:rPr>
          <w:t>_</w:t>
        </w:r>
        <w:r w:rsidR="00E77D7A" w:rsidRPr="00181B36">
          <w:rPr>
            <w:rStyle w:val="a3"/>
            <w:rFonts w:ascii="Times New Roman" w:hAnsi="Times New Roman" w:cs="Times New Roman"/>
            <w:sz w:val="24"/>
            <w:szCs w:val="24"/>
            <w:lang w:val="en-US"/>
          </w:rPr>
          <w:t>antonovarsa</w:t>
        </w:r>
        <w:r w:rsidR="00E77D7A" w:rsidRPr="00FD1195">
          <w:rPr>
            <w:rStyle w:val="a3"/>
            <w:rFonts w:ascii="Times New Roman" w:hAnsi="Times New Roman" w:cs="Times New Roman"/>
            <w:sz w:val="24"/>
            <w:szCs w:val="24"/>
          </w:rPr>
          <w:t>@</w:t>
        </w:r>
        <w:r w:rsidR="00E77D7A" w:rsidRPr="00181B36">
          <w:rPr>
            <w:rStyle w:val="a3"/>
            <w:rFonts w:ascii="Times New Roman" w:hAnsi="Times New Roman" w:cs="Times New Roman"/>
            <w:sz w:val="24"/>
            <w:szCs w:val="24"/>
            <w:lang w:val="en-US"/>
          </w:rPr>
          <w:t>mail</w:t>
        </w:r>
        <w:r w:rsidR="00E77D7A" w:rsidRPr="00FD1195">
          <w:rPr>
            <w:rStyle w:val="a3"/>
            <w:rFonts w:ascii="Times New Roman" w:hAnsi="Times New Roman" w:cs="Times New Roman"/>
            <w:sz w:val="24"/>
            <w:szCs w:val="24"/>
          </w:rPr>
          <w:t>.</w:t>
        </w:r>
        <w:proofErr w:type="spellStart"/>
        <w:r w:rsidR="00E77D7A" w:rsidRPr="00181B36">
          <w:rPr>
            <w:rStyle w:val="a3"/>
            <w:rFonts w:ascii="Times New Roman" w:hAnsi="Times New Roman" w:cs="Times New Roman"/>
            <w:sz w:val="24"/>
            <w:szCs w:val="24"/>
            <w:lang w:val="en-US"/>
          </w:rPr>
          <w:t>ru</w:t>
        </w:r>
        <w:proofErr w:type="spellEnd"/>
      </w:hyperlink>
      <w:r w:rsidR="006A7294" w:rsidRPr="00251936">
        <w:rPr>
          <w:rFonts w:ascii="Times New Roman" w:hAnsi="Times New Roman" w:cs="Times New Roman"/>
          <w:sz w:val="24"/>
          <w:szCs w:val="24"/>
        </w:rPr>
        <w:t>).</w:t>
      </w:r>
    </w:p>
    <w:p w:rsidR="00950445" w:rsidRPr="00FD1195" w:rsidRDefault="00950445" w:rsidP="00E77D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Калашников Константин Николаевич </w:t>
      </w:r>
      <w:r w:rsidRPr="00805B41">
        <w:rPr>
          <w:rFonts w:ascii="Times New Roman" w:hAnsi="Times New Roman" w:cs="Times New Roman"/>
          <w:sz w:val="24"/>
          <w:szCs w:val="24"/>
        </w:rPr>
        <w:t xml:space="preserve">(Россия, Вологда) – кандидат экономических наук, </w:t>
      </w:r>
      <w:r>
        <w:rPr>
          <w:rFonts w:ascii="Times New Roman" w:hAnsi="Times New Roman" w:cs="Times New Roman"/>
          <w:sz w:val="24"/>
          <w:szCs w:val="24"/>
        </w:rPr>
        <w:t>старший научный сотрудник</w:t>
      </w:r>
      <w:r w:rsidRPr="00950445">
        <w:rPr>
          <w:rFonts w:ascii="Times New Roman" w:hAnsi="Times New Roman" w:cs="Times New Roman"/>
          <w:sz w:val="24"/>
          <w:szCs w:val="24"/>
        </w:rPr>
        <w:t xml:space="preserve"> </w:t>
      </w:r>
      <w:r w:rsidRPr="00805B41">
        <w:rPr>
          <w:rFonts w:ascii="Times New Roman" w:hAnsi="Times New Roman" w:cs="Times New Roman"/>
          <w:sz w:val="24"/>
          <w:szCs w:val="24"/>
        </w:rPr>
        <w:t xml:space="preserve">ФГБУН «Вологодский научный центр РАН» (160014, </w:t>
      </w:r>
      <w:r>
        <w:rPr>
          <w:rFonts w:ascii="Times New Roman" w:hAnsi="Times New Roman" w:cs="Times New Roman"/>
          <w:sz w:val="24"/>
          <w:szCs w:val="24"/>
        </w:rPr>
        <w:t>г.</w:t>
      </w:r>
      <w:r>
        <w:rPr>
          <w:rFonts w:ascii="Times New Roman" w:hAnsi="Times New Roman" w:cs="Times New Roman"/>
          <w:sz w:val="24"/>
          <w:szCs w:val="24"/>
          <w:lang w:val="en-US"/>
        </w:rPr>
        <w:t> </w:t>
      </w:r>
      <w:r w:rsidRPr="00805B41">
        <w:rPr>
          <w:rFonts w:ascii="Times New Roman" w:hAnsi="Times New Roman" w:cs="Times New Roman"/>
          <w:sz w:val="24"/>
          <w:szCs w:val="24"/>
        </w:rPr>
        <w:t>Вологда, ул. Горького</w:t>
      </w:r>
      <w:r w:rsidRPr="00FD1195">
        <w:rPr>
          <w:rFonts w:ascii="Times New Roman" w:hAnsi="Times New Roman" w:cs="Times New Roman"/>
          <w:sz w:val="24"/>
          <w:szCs w:val="24"/>
        </w:rPr>
        <w:t xml:space="preserve">, </w:t>
      </w:r>
      <w:r w:rsidRPr="00805B41">
        <w:rPr>
          <w:rFonts w:ascii="Times New Roman" w:hAnsi="Times New Roman" w:cs="Times New Roman"/>
          <w:sz w:val="24"/>
          <w:szCs w:val="24"/>
        </w:rPr>
        <w:t>д</w:t>
      </w:r>
      <w:r w:rsidRPr="00FD1195">
        <w:rPr>
          <w:rFonts w:ascii="Times New Roman" w:hAnsi="Times New Roman" w:cs="Times New Roman"/>
          <w:sz w:val="24"/>
          <w:szCs w:val="24"/>
        </w:rPr>
        <w:t>. 56</w:t>
      </w:r>
      <w:r w:rsidRPr="00805B41">
        <w:rPr>
          <w:rFonts w:ascii="Times New Roman" w:hAnsi="Times New Roman" w:cs="Times New Roman"/>
          <w:sz w:val="24"/>
          <w:szCs w:val="24"/>
        </w:rPr>
        <w:t>А</w:t>
      </w:r>
      <w:r w:rsidRPr="00FD1195">
        <w:rPr>
          <w:rFonts w:ascii="Times New Roman" w:hAnsi="Times New Roman" w:cs="Times New Roman"/>
          <w:sz w:val="24"/>
          <w:szCs w:val="24"/>
        </w:rPr>
        <w:t xml:space="preserve">, </w:t>
      </w:r>
      <w:proofErr w:type="spellStart"/>
      <w:r w:rsidR="00E77D7A" w:rsidRPr="00E77D7A">
        <w:rPr>
          <w:rStyle w:val="a3"/>
          <w:rFonts w:ascii="Times New Roman" w:hAnsi="Times New Roman" w:cs="Times New Roman"/>
          <w:sz w:val="24"/>
          <w:szCs w:val="24"/>
          <w:lang w:val="en-US"/>
        </w:rPr>
        <w:t>konstantino</w:t>
      </w:r>
      <w:proofErr w:type="spellEnd"/>
      <w:r w:rsidR="00E77D7A" w:rsidRPr="00FD1195">
        <w:rPr>
          <w:rStyle w:val="a3"/>
          <w:rFonts w:ascii="Times New Roman" w:hAnsi="Times New Roman" w:cs="Times New Roman"/>
          <w:sz w:val="24"/>
          <w:szCs w:val="24"/>
        </w:rPr>
        <w:t>-84@</w:t>
      </w:r>
      <w:r w:rsidR="00E77D7A" w:rsidRPr="00E77D7A">
        <w:rPr>
          <w:rStyle w:val="a3"/>
          <w:rFonts w:ascii="Times New Roman" w:hAnsi="Times New Roman" w:cs="Times New Roman"/>
          <w:sz w:val="24"/>
          <w:szCs w:val="24"/>
          <w:lang w:val="en-US"/>
        </w:rPr>
        <w:t>mail</w:t>
      </w:r>
      <w:r w:rsidR="00E77D7A" w:rsidRPr="00FD1195">
        <w:rPr>
          <w:rStyle w:val="a3"/>
          <w:rFonts w:ascii="Times New Roman" w:hAnsi="Times New Roman" w:cs="Times New Roman"/>
          <w:sz w:val="24"/>
          <w:szCs w:val="24"/>
        </w:rPr>
        <w:t>.</w:t>
      </w:r>
      <w:proofErr w:type="spellStart"/>
      <w:r w:rsidR="00E77D7A" w:rsidRPr="00E77D7A">
        <w:rPr>
          <w:rStyle w:val="a3"/>
          <w:rFonts w:ascii="Times New Roman" w:hAnsi="Times New Roman" w:cs="Times New Roman"/>
          <w:sz w:val="24"/>
          <w:szCs w:val="24"/>
          <w:lang w:val="en-US"/>
        </w:rPr>
        <w:t>ru</w:t>
      </w:r>
      <w:proofErr w:type="spellEnd"/>
      <w:r w:rsidRPr="00FD1195">
        <w:rPr>
          <w:rFonts w:ascii="Times New Roman" w:hAnsi="Times New Roman" w:cs="Times New Roman"/>
          <w:sz w:val="24"/>
          <w:szCs w:val="24"/>
        </w:rPr>
        <w:t>).</w:t>
      </w:r>
    </w:p>
    <w:p w:rsidR="004A3608" w:rsidRPr="00FD1195" w:rsidRDefault="001E01E3" w:rsidP="00950445">
      <w:pPr>
        <w:spacing w:after="0" w:line="240" w:lineRule="auto"/>
        <w:jc w:val="right"/>
        <w:rPr>
          <w:rFonts w:ascii="Times New Roman" w:hAnsi="Times New Roman" w:cs="Times New Roman"/>
          <w:sz w:val="24"/>
          <w:szCs w:val="24"/>
        </w:rPr>
      </w:pPr>
      <w:proofErr w:type="spellStart"/>
      <w:r w:rsidRPr="00805B41">
        <w:rPr>
          <w:rFonts w:ascii="Times New Roman" w:hAnsi="Times New Roman" w:cs="Times New Roman"/>
          <w:sz w:val="24"/>
          <w:szCs w:val="24"/>
          <w:lang w:val="en-US"/>
        </w:rPr>
        <w:t>Gruzdeva</w:t>
      </w:r>
      <w:proofErr w:type="spellEnd"/>
      <w:r w:rsidRPr="00FD1195">
        <w:rPr>
          <w:rFonts w:ascii="Times New Roman" w:hAnsi="Times New Roman" w:cs="Times New Roman"/>
          <w:sz w:val="24"/>
          <w:szCs w:val="24"/>
        </w:rPr>
        <w:t xml:space="preserve"> </w:t>
      </w:r>
      <w:r w:rsidRPr="00805B41">
        <w:rPr>
          <w:rFonts w:ascii="Times New Roman" w:hAnsi="Times New Roman" w:cs="Times New Roman"/>
          <w:sz w:val="24"/>
          <w:szCs w:val="24"/>
          <w:lang w:val="en-US"/>
        </w:rPr>
        <w:t>M</w:t>
      </w:r>
      <w:r w:rsidRPr="00FD1195">
        <w:rPr>
          <w:rFonts w:ascii="Times New Roman" w:hAnsi="Times New Roman" w:cs="Times New Roman"/>
          <w:sz w:val="24"/>
          <w:szCs w:val="24"/>
        </w:rPr>
        <w:t>.</w:t>
      </w:r>
      <w:r w:rsidRPr="00805B41">
        <w:rPr>
          <w:rFonts w:ascii="Times New Roman" w:hAnsi="Times New Roman" w:cs="Times New Roman"/>
          <w:sz w:val="24"/>
          <w:szCs w:val="24"/>
          <w:lang w:val="en-US"/>
        </w:rPr>
        <w:t>A</w:t>
      </w:r>
      <w:r w:rsidRPr="00FD1195">
        <w:rPr>
          <w:rFonts w:ascii="Times New Roman" w:hAnsi="Times New Roman" w:cs="Times New Roman"/>
          <w:sz w:val="24"/>
          <w:szCs w:val="24"/>
        </w:rPr>
        <w:t>.</w:t>
      </w:r>
    </w:p>
    <w:p w:rsidR="00950445" w:rsidRPr="00FD1195" w:rsidRDefault="00950445" w:rsidP="00950445">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Kalashnikov</w:t>
      </w:r>
      <w:r w:rsidRPr="00FD1195">
        <w:rPr>
          <w:rFonts w:ascii="Times New Roman" w:hAnsi="Times New Roman" w:cs="Times New Roman"/>
          <w:sz w:val="24"/>
          <w:szCs w:val="24"/>
        </w:rPr>
        <w:t xml:space="preserve"> </w:t>
      </w:r>
      <w:r>
        <w:rPr>
          <w:rFonts w:ascii="Times New Roman" w:hAnsi="Times New Roman" w:cs="Times New Roman"/>
          <w:sz w:val="24"/>
          <w:szCs w:val="24"/>
          <w:lang w:val="en-US"/>
        </w:rPr>
        <w:t>K</w:t>
      </w:r>
      <w:r w:rsidRPr="00FD1195">
        <w:rPr>
          <w:rFonts w:ascii="Times New Roman" w:hAnsi="Times New Roman" w:cs="Times New Roman"/>
          <w:sz w:val="24"/>
          <w:szCs w:val="24"/>
        </w:rPr>
        <w:t>.</w:t>
      </w:r>
      <w:r>
        <w:rPr>
          <w:rFonts w:ascii="Times New Roman" w:hAnsi="Times New Roman" w:cs="Times New Roman"/>
          <w:sz w:val="24"/>
          <w:szCs w:val="24"/>
          <w:lang w:val="en-US"/>
        </w:rPr>
        <w:t>N</w:t>
      </w:r>
      <w:r w:rsidRPr="00FD1195">
        <w:rPr>
          <w:rFonts w:ascii="Times New Roman" w:hAnsi="Times New Roman" w:cs="Times New Roman"/>
          <w:sz w:val="24"/>
          <w:szCs w:val="24"/>
        </w:rPr>
        <w:t>.</w:t>
      </w:r>
    </w:p>
    <w:p w:rsidR="00803B35" w:rsidRPr="00CD0692" w:rsidRDefault="00803B35" w:rsidP="00950445">
      <w:pPr>
        <w:spacing w:after="0" w:line="240" w:lineRule="auto"/>
        <w:jc w:val="center"/>
        <w:rPr>
          <w:rFonts w:ascii="Times New Roman" w:eastAsia="Times New Roman" w:hAnsi="Times New Roman" w:cs="Times New Roman"/>
          <w:b/>
          <w:sz w:val="24"/>
          <w:szCs w:val="20"/>
          <w:lang w:val="en" w:eastAsia="ru-RU"/>
        </w:rPr>
      </w:pPr>
      <w:bookmarkStart w:id="0" w:name="_GoBack"/>
      <w:r w:rsidRPr="00CD0692">
        <w:rPr>
          <w:rFonts w:ascii="Times New Roman" w:eastAsia="Times New Roman" w:hAnsi="Times New Roman" w:cs="Times New Roman"/>
          <w:b/>
          <w:sz w:val="24"/>
          <w:szCs w:val="20"/>
          <w:lang w:val="en" w:eastAsia="ru-RU"/>
        </w:rPr>
        <w:t>Effectiveness of the system of rehabilitation of patients after acute cardiovascular disease (</w:t>
      </w:r>
      <w:r w:rsidR="00FD1195" w:rsidRPr="00FD1195">
        <w:rPr>
          <w:rFonts w:ascii="Times New Roman" w:eastAsia="Times New Roman" w:hAnsi="Times New Roman" w:cs="Times New Roman"/>
          <w:b/>
          <w:sz w:val="24"/>
          <w:szCs w:val="20"/>
          <w:lang w:val="en" w:eastAsia="ru-RU"/>
        </w:rPr>
        <w:t>on the example of</w:t>
      </w:r>
      <w:r w:rsidR="00FD1195" w:rsidRPr="00FD1195">
        <w:rPr>
          <w:rFonts w:ascii="Times New Roman" w:eastAsia="Times New Roman" w:hAnsi="Times New Roman" w:cs="Times New Roman"/>
          <w:b/>
          <w:sz w:val="24"/>
          <w:szCs w:val="20"/>
          <w:lang w:val="en-US" w:eastAsia="ru-RU"/>
        </w:rPr>
        <w:t xml:space="preserve"> </w:t>
      </w:r>
      <w:r w:rsidRPr="00CD0692">
        <w:rPr>
          <w:rFonts w:ascii="Times New Roman" w:eastAsia="Times New Roman" w:hAnsi="Times New Roman" w:cs="Times New Roman"/>
          <w:b/>
          <w:sz w:val="24"/>
          <w:szCs w:val="20"/>
          <w:lang w:val="en" w:eastAsia="ru-RU"/>
        </w:rPr>
        <w:t>the Vologda region)</w:t>
      </w:r>
    </w:p>
    <w:bookmarkEnd w:id="0"/>
    <w:p w:rsidR="00CD0692" w:rsidRPr="00CD0692" w:rsidRDefault="001E01E3" w:rsidP="00CD0692">
      <w:pPr>
        <w:spacing w:line="240" w:lineRule="auto"/>
        <w:jc w:val="both"/>
        <w:rPr>
          <w:rFonts w:ascii="Times New Roman" w:hAnsi="Times New Roman" w:cs="Times New Roman"/>
          <w:sz w:val="24"/>
          <w:szCs w:val="24"/>
          <w:lang w:val="en-US"/>
        </w:rPr>
      </w:pPr>
      <w:r w:rsidRPr="00CD0692">
        <w:rPr>
          <w:rFonts w:ascii="Times New Roman" w:hAnsi="Times New Roman" w:cs="Times New Roman"/>
          <w:sz w:val="24"/>
          <w:szCs w:val="24"/>
          <w:lang w:val="en-US"/>
        </w:rPr>
        <w:t>Abstract:</w:t>
      </w:r>
      <w:r w:rsidRPr="00CD0692">
        <w:rPr>
          <w:lang w:val="en-US"/>
        </w:rPr>
        <w:t xml:space="preserve"> </w:t>
      </w:r>
      <w:r w:rsidR="00CD0692" w:rsidRPr="00CD0692">
        <w:rPr>
          <w:rFonts w:ascii="Times New Roman" w:hAnsi="Times New Roman" w:cs="Times New Roman"/>
          <w:sz w:val="24"/>
          <w:szCs w:val="24"/>
          <w:lang w:val="en-US"/>
        </w:rPr>
        <w:t xml:space="preserve">In the study assesses the availability of rehabilitation assistance for the population of the Vologda Oblast. An assessment of the actual needs of the population in medical rehabilitation for the diagnosis of acute cardiovascular disease and degree of satisfaction from </w:t>
      </w:r>
      <w:proofErr w:type="spellStart"/>
      <w:r w:rsidR="00CD0692" w:rsidRPr="00CD0692">
        <w:rPr>
          <w:rFonts w:ascii="Times New Roman" w:hAnsi="Times New Roman" w:cs="Times New Roman"/>
          <w:sz w:val="24"/>
          <w:szCs w:val="24"/>
          <w:lang w:val="en-US"/>
        </w:rPr>
        <w:t>extrabudgetary</w:t>
      </w:r>
      <w:proofErr w:type="spellEnd"/>
      <w:r w:rsidR="00CD0692" w:rsidRPr="00CD0692">
        <w:rPr>
          <w:rFonts w:ascii="Times New Roman" w:hAnsi="Times New Roman" w:cs="Times New Roman"/>
          <w:sz w:val="24"/>
          <w:szCs w:val="24"/>
          <w:lang w:val="en-US"/>
        </w:rPr>
        <w:t xml:space="preserve"> funds.</w:t>
      </w:r>
    </w:p>
    <w:p w:rsidR="001E01E3" w:rsidRPr="00805B41" w:rsidRDefault="001E01E3" w:rsidP="00CD0692">
      <w:pPr>
        <w:spacing w:line="240" w:lineRule="auto"/>
        <w:jc w:val="both"/>
        <w:rPr>
          <w:rFonts w:ascii="Times New Roman" w:hAnsi="Times New Roman" w:cs="Times New Roman"/>
          <w:sz w:val="24"/>
          <w:szCs w:val="24"/>
          <w:lang w:val="en-US"/>
        </w:rPr>
      </w:pPr>
      <w:r w:rsidRPr="00CD0692">
        <w:rPr>
          <w:rFonts w:ascii="Times New Roman" w:hAnsi="Times New Roman" w:cs="Times New Roman"/>
          <w:sz w:val="24"/>
          <w:szCs w:val="24"/>
          <w:lang w:val="en-US"/>
        </w:rPr>
        <w:t xml:space="preserve">Key words: </w:t>
      </w:r>
      <w:r w:rsidR="00CD0692" w:rsidRPr="00CD0692">
        <w:rPr>
          <w:rFonts w:ascii="Times New Roman" w:hAnsi="Times New Roman" w:cs="Times New Roman"/>
          <w:sz w:val="24"/>
          <w:szCs w:val="24"/>
          <w:lang w:val="en-US"/>
        </w:rPr>
        <w:t xml:space="preserve">heart attack, stroke, cardiovascular disease, system of rehabilitation, need for rehabilitation, </w:t>
      </w:r>
      <w:proofErr w:type="spellStart"/>
      <w:r w:rsidR="00CD0692" w:rsidRPr="00CD0692">
        <w:rPr>
          <w:rFonts w:ascii="Times New Roman" w:hAnsi="Times New Roman" w:cs="Times New Roman"/>
          <w:sz w:val="24"/>
          <w:szCs w:val="24"/>
          <w:lang w:val="en-US"/>
        </w:rPr>
        <w:t>extrabudgetary</w:t>
      </w:r>
      <w:proofErr w:type="spellEnd"/>
      <w:r w:rsidR="00CD0692" w:rsidRPr="00CD0692">
        <w:rPr>
          <w:rFonts w:ascii="Times New Roman" w:hAnsi="Times New Roman" w:cs="Times New Roman"/>
          <w:sz w:val="24"/>
          <w:szCs w:val="24"/>
          <w:lang w:val="en-US"/>
        </w:rPr>
        <w:t xml:space="preserve"> funds</w:t>
      </w:r>
    </w:p>
    <w:p w:rsidR="006A7294" w:rsidRPr="00805B41" w:rsidRDefault="001E01E3" w:rsidP="001E01E3">
      <w:pPr>
        <w:spacing w:line="240" w:lineRule="auto"/>
        <w:jc w:val="center"/>
        <w:rPr>
          <w:rFonts w:ascii="Times New Roman" w:hAnsi="Times New Roman" w:cs="Times New Roman"/>
          <w:sz w:val="24"/>
          <w:szCs w:val="24"/>
          <w:lang w:val="en-US"/>
        </w:rPr>
      </w:pPr>
      <w:r w:rsidRPr="00805B41">
        <w:rPr>
          <w:rFonts w:ascii="Times New Roman" w:hAnsi="Times New Roman" w:cs="Times New Roman"/>
          <w:sz w:val="24"/>
          <w:szCs w:val="24"/>
          <w:lang w:val="en-US"/>
        </w:rPr>
        <w:t>Information about author</w:t>
      </w:r>
    </w:p>
    <w:p w:rsidR="00406681" w:rsidRDefault="001E01E3" w:rsidP="00E77D7A">
      <w:pPr>
        <w:spacing w:after="0" w:line="240" w:lineRule="auto"/>
        <w:rPr>
          <w:rFonts w:ascii="Times New Roman" w:hAnsi="Times New Roman" w:cs="Times New Roman"/>
          <w:sz w:val="24"/>
          <w:szCs w:val="24"/>
          <w:lang w:val="en-US"/>
        </w:rPr>
      </w:pPr>
      <w:proofErr w:type="spellStart"/>
      <w:r w:rsidRPr="00805B41">
        <w:rPr>
          <w:rFonts w:ascii="Times New Roman" w:hAnsi="Times New Roman" w:cs="Times New Roman"/>
          <w:sz w:val="24"/>
          <w:szCs w:val="24"/>
          <w:lang w:val="en-US"/>
        </w:rPr>
        <w:t>Gruzdeva</w:t>
      </w:r>
      <w:proofErr w:type="spellEnd"/>
      <w:r w:rsidRPr="00805B41">
        <w:rPr>
          <w:rFonts w:ascii="Times New Roman" w:hAnsi="Times New Roman" w:cs="Times New Roman"/>
          <w:sz w:val="24"/>
          <w:szCs w:val="24"/>
          <w:lang w:val="en-US"/>
        </w:rPr>
        <w:t xml:space="preserve"> </w:t>
      </w:r>
      <w:proofErr w:type="spellStart"/>
      <w:r w:rsidRPr="00805B41">
        <w:rPr>
          <w:rFonts w:ascii="Times New Roman" w:hAnsi="Times New Roman" w:cs="Times New Roman"/>
          <w:sz w:val="24"/>
          <w:szCs w:val="24"/>
          <w:lang w:val="en-US"/>
        </w:rPr>
        <w:t>Mariya</w:t>
      </w:r>
      <w:proofErr w:type="spellEnd"/>
      <w:r w:rsidRPr="00805B41">
        <w:rPr>
          <w:rFonts w:ascii="Times New Roman" w:hAnsi="Times New Roman" w:cs="Times New Roman"/>
          <w:sz w:val="24"/>
          <w:szCs w:val="24"/>
          <w:lang w:val="en-US"/>
        </w:rPr>
        <w:t xml:space="preserve"> </w:t>
      </w:r>
      <w:proofErr w:type="spellStart"/>
      <w:r w:rsidRPr="00805B41">
        <w:rPr>
          <w:rFonts w:ascii="Times New Roman" w:hAnsi="Times New Roman" w:cs="Times New Roman"/>
          <w:sz w:val="24"/>
          <w:szCs w:val="24"/>
          <w:lang w:val="en-US"/>
        </w:rPr>
        <w:t>Andreevna</w:t>
      </w:r>
      <w:proofErr w:type="spellEnd"/>
      <w:r w:rsidRPr="00805B41">
        <w:rPr>
          <w:rFonts w:ascii="Times New Roman" w:hAnsi="Times New Roman" w:cs="Times New Roman"/>
          <w:sz w:val="24"/>
          <w:szCs w:val="24"/>
          <w:lang w:val="en-US"/>
        </w:rPr>
        <w:t xml:space="preserve"> (Russia, Vologda) – Candidate of Economic Sciences, Senior Researcher, Head of the Laboratory of the Vologda Research Center of the Russian Academy of Sciences (160014, Vologda, Gorky Street, 56A, </w:t>
      </w:r>
      <w:hyperlink r:id="rId13" w:history="1">
        <w:r w:rsidR="00E77D7A" w:rsidRPr="00181B36">
          <w:rPr>
            <w:rStyle w:val="a3"/>
            <w:rFonts w:ascii="Times New Roman" w:hAnsi="Times New Roman" w:cs="Times New Roman"/>
            <w:sz w:val="24"/>
            <w:szCs w:val="24"/>
            <w:lang w:val="en-US"/>
          </w:rPr>
          <w:t>mariya_antonovarsa@mail.ru</w:t>
        </w:r>
      </w:hyperlink>
      <w:r w:rsidRPr="00805B41">
        <w:rPr>
          <w:rFonts w:ascii="Times New Roman" w:hAnsi="Times New Roman" w:cs="Times New Roman"/>
          <w:sz w:val="24"/>
          <w:szCs w:val="24"/>
          <w:lang w:val="en-US"/>
        </w:rPr>
        <w:t>).</w:t>
      </w:r>
    </w:p>
    <w:p w:rsidR="00950445" w:rsidRPr="00805B41" w:rsidRDefault="00950445" w:rsidP="00E77D7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Kalashnikov Konstantin Nikolayevich</w:t>
      </w:r>
      <w:r w:rsidRPr="00805B41">
        <w:rPr>
          <w:rFonts w:ascii="Times New Roman" w:hAnsi="Times New Roman" w:cs="Times New Roman"/>
          <w:sz w:val="24"/>
          <w:szCs w:val="24"/>
          <w:lang w:val="en-US"/>
        </w:rPr>
        <w:t xml:space="preserve"> (Russia, Vologda) – Candidate of Economic Sciences, Senior Researcher, Vologda Research Center of the Russian Academy of Sciences (160014, Vologda, Gorky Street, 56A, </w:t>
      </w:r>
      <w:r w:rsidR="00E77D7A" w:rsidRPr="00E77D7A">
        <w:rPr>
          <w:rStyle w:val="a3"/>
          <w:rFonts w:ascii="Times New Roman" w:hAnsi="Times New Roman" w:cs="Times New Roman"/>
          <w:sz w:val="24"/>
          <w:szCs w:val="24"/>
          <w:lang w:val="en-US"/>
        </w:rPr>
        <w:t>konstantino-84@mail.ru</w:t>
      </w:r>
      <w:r w:rsidRPr="00805B41">
        <w:rPr>
          <w:rFonts w:ascii="Times New Roman" w:hAnsi="Times New Roman" w:cs="Times New Roman"/>
          <w:sz w:val="24"/>
          <w:szCs w:val="24"/>
          <w:lang w:val="en-US"/>
        </w:rPr>
        <w:t>).</w:t>
      </w:r>
    </w:p>
    <w:p w:rsidR="006A7294" w:rsidRDefault="00406681" w:rsidP="00E77D7A">
      <w:pPr>
        <w:spacing w:after="0" w:line="240" w:lineRule="auto"/>
        <w:jc w:val="center"/>
        <w:rPr>
          <w:rFonts w:ascii="Times New Roman" w:hAnsi="Times New Roman" w:cs="Times New Roman"/>
          <w:sz w:val="24"/>
          <w:szCs w:val="24"/>
          <w:lang w:val="en-US"/>
        </w:rPr>
      </w:pPr>
      <w:r w:rsidRPr="00805B41">
        <w:rPr>
          <w:rFonts w:ascii="Times New Roman" w:hAnsi="Times New Roman" w:cs="Times New Roman"/>
          <w:sz w:val="24"/>
          <w:szCs w:val="24"/>
          <w:lang w:val="en-US"/>
        </w:rPr>
        <w:t>References</w:t>
      </w:r>
    </w:p>
    <w:p w:rsidR="00904330" w:rsidRPr="00904330" w:rsidRDefault="00904330" w:rsidP="00E77D7A">
      <w:pPr>
        <w:pStyle w:val="ab"/>
        <w:numPr>
          <w:ilvl w:val="0"/>
          <w:numId w:val="4"/>
        </w:numPr>
        <w:spacing w:after="0" w:line="240" w:lineRule="auto"/>
        <w:jc w:val="both"/>
        <w:rPr>
          <w:rFonts w:ascii="Times New Roman" w:hAnsi="Times New Roman" w:cs="Times New Roman"/>
          <w:sz w:val="24"/>
          <w:szCs w:val="24"/>
          <w:lang w:val="en-US"/>
        </w:rPr>
      </w:pPr>
      <w:r w:rsidRPr="00904330">
        <w:rPr>
          <w:rFonts w:ascii="Times New Roman" w:hAnsi="Times New Roman" w:cs="Times New Roman"/>
          <w:sz w:val="24"/>
          <w:szCs w:val="24"/>
          <w:lang w:val="en-US"/>
        </w:rPr>
        <w:t>Diagnostics and tactics</w:t>
      </w:r>
      <w:r>
        <w:rPr>
          <w:rFonts w:ascii="Times New Roman" w:hAnsi="Times New Roman" w:cs="Times New Roman"/>
          <w:sz w:val="24"/>
          <w:szCs w:val="24"/>
          <w:lang w:val="en-US"/>
        </w:rPr>
        <w:t xml:space="preserve"> </w:t>
      </w:r>
      <w:r w:rsidRPr="00904330">
        <w:rPr>
          <w:rFonts w:ascii="Times New Roman" w:hAnsi="Times New Roman" w:cs="Times New Roman"/>
          <w:sz w:val="24"/>
          <w:szCs w:val="24"/>
          <w:lang w:val="en-US"/>
        </w:rPr>
        <w:t xml:space="preserve">for stroke in general medical practice, including primary and secondary prevention // Clinical recommendations, approved. at the IV All-Russian Congress of General Practitioners (Family Doctors) of the Russian Federation on November 15, 2013, Kazan. 33 </w:t>
      </w:r>
      <w:r>
        <w:rPr>
          <w:rFonts w:ascii="Times New Roman" w:hAnsi="Times New Roman" w:cs="Times New Roman"/>
          <w:sz w:val="24"/>
          <w:szCs w:val="24"/>
          <w:lang w:val="en-US"/>
        </w:rPr>
        <w:t>p.</w:t>
      </w:r>
    </w:p>
    <w:p w:rsidR="00904330" w:rsidRPr="00904330" w:rsidRDefault="00904330" w:rsidP="00E77D7A">
      <w:pPr>
        <w:pStyle w:val="ab"/>
        <w:numPr>
          <w:ilvl w:val="0"/>
          <w:numId w:val="4"/>
        </w:numPr>
        <w:spacing w:after="0" w:line="240" w:lineRule="auto"/>
        <w:jc w:val="both"/>
        <w:rPr>
          <w:rFonts w:ascii="Times New Roman" w:hAnsi="Times New Roman" w:cs="Times New Roman"/>
          <w:sz w:val="24"/>
          <w:szCs w:val="24"/>
          <w:lang w:val="en-US"/>
        </w:rPr>
      </w:pPr>
      <w:r w:rsidRPr="00904330">
        <w:rPr>
          <w:rFonts w:ascii="Times New Roman" w:hAnsi="Times New Roman" w:cs="Times New Roman"/>
          <w:sz w:val="24"/>
          <w:szCs w:val="24"/>
          <w:lang w:val="en-US"/>
        </w:rPr>
        <w:t xml:space="preserve">Towards a Europe free of preventable </w:t>
      </w:r>
      <w:proofErr w:type="spellStart"/>
      <w:r w:rsidRPr="00904330">
        <w:rPr>
          <w:rFonts w:ascii="Times New Roman" w:hAnsi="Times New Roman" w:cs="Times New Roman"/>
          <w:sz w:val="24"/>
          <w:szCs w:val="24"/>
          <w:lang w:val="en-US"/>
        </w:rPr>
        <w:t>noncommunicable</w:t>
      </w:r>
      <w:proofErr w:type="spellEnd"/>
      <w:r w:rsidRPr="00904330">
        <w:rPr>
          <w:rFonts w:ascii="Times New Roman" w:hAnsi="Times New Roman" w:cs="Times New Roman"/>
          <w:sz w:val="24"/>
          <w:szCs w:val="24"/>
          <w:lang w:val="en-US"/>
        </w:rPr>
        <w:t xml:space="preserve"> diseases. Future dynamics of premature mortality in the European Region / WHO. URL: http://www.euro.who.int/__data/assets/pdf_file/0009/340866/Report-1-Ru.pdf?Ua=1</w:t>
      </w:r>
    </w:p>
    <w:p w:rsidR="00904330" w:rsidRPr="00904330" w:rsidRDefault="00904330" w:rsidP="00E77D7A">
      <w:pPr>
        <w:pStyle w:val="ab"/>
        <w:numPr>
          <w:ilvl w:val="0"/>
          <w:numId w:val="4"/>
        </w:numPr>
        <w:spacing w:after="0" w:line="240" w:lineRule="auto"/>
        <w:jc w:val="both"/>
        <w:rPr>
          <w:rFonts w:ascii="Times New Roman" w:hAnsi="Times New Roman" w:cs="Times New Roman"/>
          <w:sz w:val="24"/>
          <w:szCs w:val="24"/>
          <w:lang w:val="en-US"/>
        </w:rPr>
      </w:pPr>
      <w:r w:rsidRPr="00904330">
        <w:rPr>
          <w:rFonts w:ascii="Times New Roman" w:hAnsi="Times New Roman" w:cs="Times New Roman"/>
          <w:sz w:val="24"/>
          <w:szCs w:val="24"/>
          <w:lang w:val="en-US"/>
        </w:rPr>
        <w:t>National projects 2019-2024: analysis and key risks of their implementation. Social sphere: beginning-</w:t>
      </w:r>
      <w:proofErr w:type="spellStart"/>
      <w:r w:rsidRPr="00904330">
        <w:rPr>
          <w:rFonts w:ascii="Times New Roman" w:hAnsi="Times New Roman" w:cs="Times New Roman"/>
          <w:sz w:val="24"/>
          <w:szCs w:val="24"/>
          <w:lang w:val="en-US"/>
        </w:rPr>
        <w:t>analyte</w:t>
      </w:r>
      <w:proofErr w:type="spellEnd"/>
      <w:r w:rsidRPr="00904330">
        <w:rPr>
          <w:rFonts w:ascii="Times New Roman" w:hAnsi="Times New Roman" w:cs="Times New Roman"/>
          <w:sz w:val="24"/>
          <w:szCs w:val="24"/>
          <w:lang w:val="en-US"/>
        </w:rPr>
        <w:t xml:space="preserve">. publication / team of authors under the scientific supervision of a corresponding member </w:t>
      </w:r>
      <w:r>
        <w:rPr>
          <w:rFonts w:ascii="Times New Roman" w:hAnsi="Times New Roman" w:cs="Times New Roman"/>
          <w:sz w:val="24"/>
          <w:szCs w:val="24"/>
          <w:lang w:val="en-US"/>
        </w:rPr>
        <w:t xml:space="preserve">of </w:t>
      </w:r>
      <w:r w:rsidRPr="00904330">
        <w:rPr>
          <w:rFonts w:ascii="Times New Roman" w:hAnsi="Times New Roman" w:cs="Times New Roman"/>
          <w:sz w:val="24"/>
          <w:szCs w:val="24"/>
          <w:lang w:val="en-US"/>
        </w:rPr>
        <w:t xml:space="preserve">RAS V.A. </w:t>
      </w:r>
      <w:proofErr w:type="spellStart"/>
      <w:r w:rsidRPr="00904330">
        <w:rPr>
          <w:rFonts w:ascii="Times New Roman" w:hAnsi="Times New Roman" w:cs="Times New Roman"/>
          <w:sz w:val="24"/>
          <w:szCs w:val="24"/>
          <w:lang w:val="en-US"/>
        </w:rPr>
        <w:t>Ilyin</w:t>
      </w:r>
      <w:proofErr w:type="spellEnd"/>
      <w:r w:rsidRPr="00904330">
        <w:rPr>
          <w:rFonts w:ascii="Times New Roman" w:hAnsi="Times New Roman" w:cs="Times New Roman"/>
          <w:sz w:val="24"/>
          <w:szCs w:val="24"/>
          <w:lang w:val="en-US"/>
        </w:rPr>
        <w:t xml:space="preserve">. Vologda: Federal State Budgetary Institution </w:t>
      </w:r>
      <w:proofErr w:type="spellStart"/>
      <w:r w:rsidRPr="00904330">
        <w:rPr>
          <w:rFonts w:ascii="Times New Roman" w:hAnsi="Times New Roman" w:cs="Times New Roman"/>
          <w:sz w:val="24"/>
          <w:szCs w:val="24"/>
          <w:lang w:val="en-US"/>
        </w:rPr>
        <w:t>VolNTs</w:t>
      </w:r>
      <w:proofErr w:type="spellEnd"/>
      <w:r w:rsidRPr="00904330">
        <w:rPr>
          <w:rFonts w:ascii="Times New Roman" w:hAnsi="Times New Roman" w:cs="Times New Roman"/>
          <w:sz w:val="24"/>
          <w:szCs w:val="24"/>
          <w:lang w:val="en-US"/>
        </w:rPr>
        <w:t xml:space="preserve"> RAS, 2019 . 68 p.</w:t>
      </w:r>
    </w:p>
    <w:p w:rsidR="00C36848" w:rsidRPr="00904330" w:rsidRDefault="00904330" w:rsidP="00E77D7A">
      <w:pPr>
        <w:pStyle w:val="ab"/>
        <w:numPr>
          <w:ilvl w:val="0"/>
          <w:numId w:val="4"/>
        </w:numPr>
        <w:spacing w:after="0" w:line="240" w:lineRule="auto"/>
        <w:jc w:val="both"/>
        <w:rPr>
          <w:rFonts w:ascii="Times New Roman" w:hAnsi="Times New Roman" w:cs="Times New Roman"/>
          <w:sz w:val="24"/>
          <w:szCs w:val="24"/>
          <w:lang w:val="en-US"/>
        </w:rPr>
      </w:pPr>
      <w:r w:rsidRPr="00904330">
        <w:rPr>
          <w:rFonts w:ascii="Times New Roman" w:hAnsi="Times New Roman" w:cs="Times New Roman"/>
          <w:sz w:val="24"/>
          <w:szCs w:val="24"/>
          <w:lang w:val="en-US"/>
        </w:rPr>
        <w:t xml:space="preserve">Rehabilitation and secondary prevention in patients after acute myocardial infarction with </w:t>
      </w:r>
      <w:proofErr w:type="spellStart"/>
      <w:r w:rsidRPr="00904330">
        <w:rPr>
          <w:rFonts w:ascii="Times New Roman" w:hAnsi="Times New Roman" w:cs="Times New Roman"/>
          <w:sz w:val="24"/>
          <w:szCs w:val="24"/>
          <w:lang w:val="en-US"/>
        </w:rPr>
        <w:t>st</w:t>
      </w:r>
      <w:proofErr w:type="spellEnd"/>
      <w:r w:rsidRPr="00904330">
        <w:rPr>
          <w:rFonts w:ascii="Times New Roman" w:hAnsi="Times New Roman" w:cs="Times New Roman"/>
          <w:sz w:val="24"/>
          <w:szCs w:val="24"/>
          <w:lang w:val="en-US"/>
        </w:rPr>
        <w:t xml:space="preserve"> segment elevation // Russian Clinical Recommendations. M., 2014.</w:t>
      </w:r>
      <w:r>
        <w:rPr>
          <w:rFonts w:ascii="Times New Roman" w:hAnsi="Times New Roman" w:cs="Times New Roman"/>
          <w:sz w:val="24"/>
          <w:szCs w:val="24"/>
          <w:lang w:val="en-US"/>
        </w:rPr>
        <w:t xml:space="preserve"> </w:t>
      </w:r>
      <w:r w:rsidRPr="00904330">
        <w:rPr>
          <w:rFonts w:ascii="Times New Roman" w:hAnsi="Times New Roman" w:cs="Times New Roman"/>
          <w:sz w:val="24"/>
          <w:szCs w:val="24"/>
          <w:lang w:val="en-US"/>
        </w:rPr>
        <w:t xml:space="preserve">95 </w:t>
      </w:r>
      <w:r>
        <w:rPr>
          <w:rFonts w:ascii="Times New Roman" w:hAnsi="Times New Roman" w:cs="Times New Roman"/>
          <w:sz w:val="24"/>
          <w:szCs w:val="24"/>
          <w:lang w:val="en-US"/>
        </w:rPr>
        <w:t>p</w:t>
      </w:r>
    </w:p>
    <w:sectPr w:rsidR="00C36848" w:rsidRPr="00904330" w:rsidSect="00F35A40">
      <w:footerReference w:type="default" r:id="rId14"/>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14" w:rsidRDefault="00236914" w:rsidP="009D6871">
      <w:pPr>
        <w:spacing w:after="0" w:line="240" w:lineRule="auto"/>
      </w:pPr>
      <w:r>
        <w:separator/>
      </w:r>
    </w:p>
  </w:endnote>
  <w:endnote w:type="continuationSeparator" w:id="0">
    <w:p w:rsidR="00236914" w:rsidRDefault="00236914" w:rsidP="009D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96743"/>
      <w:docPartObj>
        <w:docPartGallery w:val="Page Numbers (Bottom of Page)"/>
        <w:docPartUnique/>
      </w:docPartObj>
    </w:sdtPr>
    <w:sdtEndPr/>
    <w:sdtContent>
      <w:p w:rsidR="00236914" w:rsidRDefault="00236914">
        <w:pPr>
          <w:pStyle w:val="a9"/>
          <w:jc w:val="center"/>
        </w:pPr>
        <w:r>
          <w:fldChar w:fldCharType="begin"/>
        </w:r>
        <w:r>
          <w:instrText>PAGE   \* MERGEFORMAT</w:instrText>
        </w:r>
        <w:r>
          <w:fldChar w:fldCharType="separate"/>
        </w:r>
        <w:r w:rsidR="00FD1195">
          <w:rPr>
            <w:noProof/>
          </w:rPr>
          <w:t>5</w:t>
        </w:r>
        <w:r>
          <w:fldChar w:fldCharType="end"/>
        </w:r>
      </w:p>
    </w:sdtContent>
  </w:sdt>
  <w:p w:rsidR="00236914" w:rsidRDefault="002369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14" w:rsidRDefault="00236914" w:rsidP="009D6871">
      <w:pPr>
        <w:spacing w:after="0" w:line="240" w:lineRule="auto"/>
      </w:pPr>
      <w:r>
        <w:separator/>
      </w:r>
    </w:p>
  </w:footnote>
  <w:footnote w:type="continuationSeparator" w:id="0">
    <w:p w:rsidR="00236914" w:rsidRDefault="00236914" w:rsidP="009D6871">
      <w:pPr>
        <w:spacing w:after="0" w:line="240" w:lineRule="auto"/>
      </w:pPr>
      <w:r>
        <w:continuationSeparator/>
      </w:r>
    </w:p>
  </w:footnote>
  <w:footnote w:id="1">
    <w:p w:rsidR="00236914" w:rsidRPr="00D92E3D" w:rsidRDefault="00236914" w:rsidP="009E5D94">
      <w:pPr>
        <w:pStyle w:val="ae"/>
      </w:pPr>
      <w:r w:rsidRPr="00D92E3D">
        <w:rPr>
          <w:rStyle w:val="a6"/>
        </w:rPr>
        <w:footnoteRef/>
      </w:r>
      <w:r w:rsidRPr="00D92E3D">
        <w:t xml:space="preserve"> </w:t>
      </w:r>
      <w:r>
        <w:tab/>
      </w:r>
      <w:r w:rsidRPr="00D92E3D">
        <w:t>На пути к Европе, свободной от предотвратимых неинфекционных заболеваний. Будущая динамика преждевременной смертности в Европейском регионе</w:t>
      </w:r>
      <w:r w:rsidRPr="002F431F">
        <w:t xml:space="preserve"> /</w:t>
      </w:r>
      <w:r w:rsidRPr="00D92E3D">
        <w:t xml:space="preserve"> ВОЗ. </w:t>
      </w:r>
      <w:r w:rsidRPr="00D92E3D">
        <w:rPr>
          <w:lang w:val="en-US"/>
        </w:rPr>
        <w:t>URL</w:t>
      </w:r>
      <w:r w:rsidRPr="00D92E3D">
        <w:t xml:space="preserve">: </w:t>
      </w:r>
      <w:r w:rsidRPr="00D92E3D">
        <w:rPr>
          <w:lang w:val="en-US"/>
        </w:rPr>
        <w:t>http</w:t>
      </w:r>
      <w:r w:rsidRPr="00D92E3D">
        <w:t>://</w:t>
      </w:r>
      <w:r w:rsidRPr="00D92E3D">
        <w:rPr>
          <w:lang w:val="en-US"/>
        </w:rPr>
        <w:t>www</w:t>
      </w:r>
      <w:r w:rsidRPr="00D92E3D">
        <w:t>.</w:t>
      </w:r>
      <w:r w:rsidRPr="00D92E3D">
        <w:rPr>
          <w:lang w:val="en-US"/>
        </w:rPr>
        <w:t>euro</w:t>
      </w:r>
      <w:r w:rsidRPr="00D92E3D">
        <w:t>.</w:t>
      </w:r>
      <w:r w:rsidRPr="00D92E3D">
        <w:rPr>
          <w:lang w:val="en-US"/>
        </w:rPr>
        <w:t>who</w:t>
      </w:r>
      <w:r w:rsidRPr="00D92E3D">
        <w:t>.</w:t>
      </w:r>
      <w:proofErr w:type="spellStart"/>
      <w:r w:rsidRPr="00D92E3D">
        <w:rPr>
          <w:lang w:val="en-US"/>
        </w:rPr>
        <w:t>int</w:t>
      </w:r>
      <w:proofErr w:type="spellEnd"/>
      <w:r w:rsidRPr="00D92E3D">
        <w:t>/__</w:t>
      </w:r>
      <w:r w:rsidRPr="00D92E3D">
        <w:rPr>
          <w:lang w:val="en-US"/>
        </w:rPr>
        <w:t>data</w:t>
      </w:r>
      <w:r w:rsidRPr="00D92E3D">
        <w:t>/</w:t>
      </w:r>
      <w:r w:rsidRPr="00D92E3D">
        <w:rPr>
          <w:lang w:val="en-US"/>
        </w:rPr>
        <w:t>assets</w:t>
      </w:r>
      <w:r w:rsidRPr="00D92E3D">
        <w:t>/</w:t>
      </w:r>
      <w:proofErr w:type="spellStart"/>
      <w:r w:rsidRPr="00D92E3D">
        <w:rPr>
          <w:lang w:val="en-US"/>
        </w:rPr>
        <w:t>pdf</w:t>
      </w:r>
      <w:proofErr w:type="spellEnd"/>
      <w:r w:rsidRPr="00D92E3D">
        <w:t>_</w:t>
      </w:r>
      <w:r w:rsidRPr="00D92E3D">
        <w:rPr>
          <w:lang w:val="en-US"/>
        </w:rPr>
        <w:t>file</w:t>
      </w:r>
      <w:r w:rsidRPr="00D92E3D">
        <w:t>/0009/340866/</w:t>
      </w:r>
      <w:r w:rsidRPr="00D92E3D">
        <w:rPr>
          <w:lang w:val="en-US"/>
        </w:rPr>
        <w:t>Report</w:t>
      </w:r>
      <w:r w:rsidRPr="00D92E3D">
        <w:t>-1-</w:t>
      </w:r>
      <w:proofErr w:type="spellStart"/>
      <w:r w:rsidRPr="00D92E3D">
        <w:rPr>
          <w:lang w:val="en-US"/>
        </w:rPr>
        <w:t>Ru</w:t>
      </w:r>
      <w:proofErr w:type="spellEnd"/>
      <w:r w:rsidRPr="00D92E3D">
        <w:t>.</w:t>
      </w:r>
      <w:proofErr w:type="spellStart"/>
      <w:r w:rsidRPr="00D92E3D">
        <w:rPr>
          <w:lang w:val="en-US"/>
        </w:rPr>
        <w:t>pdf</w:t>
      </w:r>
      <w:proofErr w:type="spellEnd"/>
      <w:r w:rsidRPr="00D92E3D">
        <w:t>?</w:t>
      </w:r>
      <w:proofErr w:type="spellStart"/>
      <w:r w:rsidRPr="00D92E3D">
        <w:rPr>
          <w:lang w:val="en-US"/>
        </w:rPr>
        <w:t>Ua</w:t>
      </w:r>
      <w:proofErr w:type="spellEnd"/>
      <w:r w:rsidRPr="00D92E3D">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410D"/>
    <w:multiLevelType w:val="hybridMultilevel"/>
    <w:tmpl w:val="DE28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B615B8"/>
    <w:multiLevelType w:val="hybridMultilevel"/>
    <w:tmpl w:val="AD960632"/>
    <w:lvl w:ilvl="0" w:tplc="48A0A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55FA5"/>
    <w:multiLevelType w:val="hybridMultilevel"/>
    <w:tmpl w:val="F0D02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71028"/>
    <w:multiLevelType w:val="hybridMultilevel"/>
    <w:tmpl w:val="1EC00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A"/>
    <w:rsid w:val="00013D92"/>
    <w:rsid w:val="0004753C"/>
    <w:rsid w:val="00122657"/>
    <w:rsid w:val="00170B33"/>
    <w:rsid w:val="00172EA9"/>
    <w:rsid w:val="001B3861"/>
    <w:rsid w:val="001E01E3"/>
    <w:rsid w:val="002158AD"/>
    <w:rsid w:val="00230932"/>
    <w:rsid w:val="00236914"/>
    <w:rsid w:val="00251936"/>
    <w:rsid w:val="0035607A"/>
    <w:rsid w:val="00356D35"/>
    <w:rsid w:val="003833AA"/>
    <w:rsid w:val="003911EB"/>
    <w:rsid w:val="003E0762"/>
    <w:rsid w:val="003F5B70"/>
    <w:rsid w:val="00406681"/>
    <w:rsid w:val="004A3608"/>
    <w:rsid w:val="004F6730"/>
    <w:rsid w:val="00535CC4"/>
    <w:rsid w:val="005B6EAD"/>
    <w:rsid w:val="005E0CB7"/>
    <w:rsid w:val="005F3E1A"/>
    <w:rsid w:val="006A7294"/>
    <w:rsid w:val="007549B7"/>
    <w:rsid w:val="00785113"/>
    <w:rsid w:val="00785640"/>
    <w:rsid w:val="007A70EA"/>
    <w:rsid w:val="007C37C9"/>
    <w:rsid w:val="007D2863"/>
    <w:rsid w:val="007D2C9C"/>
    <w:rsid w:val="00803B35"/>
    <w:rsid w:val="00805B41"/>
    <w:rsid w:val="00821FE7"/>
    <w:rsid w:val="00904330"/>
    <w:rsid w:val="00925742"/>
    <w:rsid w:val="009309F1"/>
    <w:rsid w:val="00950445"/>
    <w:rsid w:val="009967B1"/>
    <w:rsid w:val="009D6871"/>
    <w:rsid w:val="009E5D94"/>
    <w:rsid w:val="00A07413"/>
    <w:rsid w:val="00A25B51"/>
    <w:rsid w:val="00A84A84"/>
    <w:rsid w:val="00B05070"/>
    <w:rsid w:val="00B35717"/>
    <w:rsid w:val="00B73906"/>
    <w:rsid w:val="00BD0003"/>
    <w:rsid w:val="00C07F31"/>
    <w:rsid w:val="00C36848"/>
    <w:rsid w:val="00C877B7"/>
    <w:rsid w:val="00CD0692"/>
    <w:rsid w:val="00E77D7A"/>
    <w:rsid w:val="00EA5A1E"/>
    <w:rsid w:val="00EB5AED"/>
    <w:rsid w:val="00F15F15"/>
    <w:rsid w:val="00F35A40"/>
    <w:rsid w:val="00F95124"/>
    <w:rsid w:val="00FA5087"/>
    <w:rsid w:val="00FD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3">
    <w:name w:val="rvps33"/>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A7294"/>
  </w:style>
  <w:style w:type="paragraph" w:customStyle="1" w:styleId="rvps26">
    <w:name w:val="rvps26"/>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A7294"/>
  </w:style>
  <w:style w:type="paragraph" w:customStyle="1" w:styleId="rvps34">
    <w:name w:val="rvps34"/>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
    <w:name w:val="rvts1"/>
    <w:basedOn w:val="a0"/>
    <w:rsid w:val="006A7294"/>
  </w:style>
  <w:style w:type="character" w:customStyle="1" w:styleId="rvts53">
    <w:name w:val="rvts53"/>
    <w:basedOn w:val="a0"/>
    <w:rsid w:val="006A7294"/>
  </w:style>
  <w:style w:type="character" w:customStyle="1" w:styleId="rvts54">
    <w:name w:val="rvts54"/>
    <w:basedOn w:val="a0"/>
    <w:rsid w:val="006A7294"/>
  </w:style>
  <w:style w:type="character" w:customStyle="1" w:styleId="rvts55">
    <w:name w:val="rvts55"/>
    <w:basedOn w:val="a0"/>
    <w:rsid w:val="006A7294"/>
  </w:style>
  <w:style w:type="character" w:styleId="a3">
    <w:name w:val="Hyperlink"/>
    <w:basedOn w:val="a0"/>
    <w:uiPriority w:val="99"/>
    <w:unhideWhenUsed/>
    <w:rsid w:val="00406681"/>
    <w:rPr>
      <w:color w:val="0563C1" w:themeColor="hyperlink"/>
      <w:u w:val="single"/>
    </w:rPr>
  </w:style>
  <w:style w:type="paragraph" w:styleId="a4">
    <w:name w:val="footnote text"/>
    <w:basedOn w:val="a"/>
    <w:link w:val="a5"/>
    <w:uiPriority w:val="99"/>
    <w:semiHidden/>
    <w:unhideWhenUsed/>
    <w:rsid w:val="009D6871"/>
    <w:pPr>
      <w:spacing w:after="0" w:line="240" w:lineRule="auto"/>
    </w:pPr>
    <w:rPr>
      <w:sz w:val="20"/>
      <w:szCs w:val="20"/>
    </w:rPr>
  </w:style>
  <w:style w:type="character" w:customStyle="1" w:styleId="a5">
    <w:name w:val="Текст сноски Знак"/>
    <w:basedOn w:val="a0"/>
    <w:link w:val="a4"/>
    <w:uiPriority w:val="99"/>
    <w:semiHidden/>
    <w:rsid w:val="009D6871"/>
    <w:rPr>
      <w:sz w:val="20"/>
      <w:szCs w:val="20"/>
    </w:rPr>
  </w:style>
  <w:style w:type="character" w:styleId="a6">
    <w:name w:val="footnote reference"/>
    <w:basedOn w:val="a0"/>
    <w:uiPriority w:val="99"/>
    <w:semiHidden/>
    <w:unhideWhenUsed/>
    <w:rsid w:val="009D6871"/>
    <w:rPr>
      <w:vertAlign w:val="superscript"/>
    </w:rPr>
  </w:style>
  <w:style w:type="paragraph" w:styleId="a7">
    <w:name w:val="header"/>
    <w:basedOn w:val="a"/>
    <w:link w:val="a8"/>
    <w:uiPriority w:val="99"/>
    <w:unhideWhenUsed/>
    <w:rsid w:val="00356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607A"/>
  </w:style>
  <w:style w:type="paragraph" w:styleId="a9">
    <w:name w:val="footer"/>
    <w:basedOn w:val="a"/>
    <w:link w:val="aa"/>
    <w:uiPriority w:val="99"/>
    <w:unhideWhenUsed/>
    <w:rsid w:val="00356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607A"/>
  </w:style>
  <w:style w:type="paragraph" w:styleId="ab">
    <w:name w:val="List Paragraph"/>
    <w:basedOn w:val="a"/>
    <w:uiPriority w:val="34"/>
    <w:qFormat/>
    <w:rsid w:val="00FA5087"/>
    <w:pPr>
      <w:ind w:left="720"/>
      <w:contextualSpacing/>
    </w:pPr>
  </w:style>
  <w:style w:type="paragraph" w:styleId="ac">
    <w:name w:val="Balloon Text"/>
    <w:basedOn w:val="a"/>
    <w:link w:val="ad"/>
    <w:uiPriority w:val="99"/>
    <w:semiHidden/>
    <w:unhideWhenUsed/>
    <w:rsid w:val="000475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753C"/>
    <w:rPr>
      <w:rFonts w:ascii="Tahoma" w:hAnsi="Tahoma" w:cs="Tahoma"/>
      <w:sz w:val="16"/>
      <w:szCs w:val="16"/>
    </w:rPr>
  </w:style>
  <w:style w:type="paragraph" w:customStyle="1" w:styleId="ae">
    <w:name w:val="сноска"/>
    <w:basedOn w:val="a4"/>
    <w:link w:val="af"/>
    <w:qFormat/>
    <w:rsid w:val="009E5D94"/>
    <w:pPr>
      <w:tabs>
        <w:tab w:val="left" w:pos="284"/>
        <w:tab w:val="left" w:pos="454"/>
      </w:tabs>
      <w:jc w:val="both"/>
    </w:pPr>
    <w:rPr>
      <w:rFonts w:ascii="Cambria" w:eastAsia="Calibri" w:hAnsi="Cambria" w:cs="Times New Roman"/>
    </w:rPr>
  </w:style>
  <w:style w:type="character" w:customStyle="1" w:styleId="af">
    <w:name w:val="сноска Знак"/>
    <w:basedOn w:val="a5"/>
    <w:link w:val="ae"/>
    <w:rsid w:val="009E5D94"/>
    <w:rPr>
      <w:rFonts w:ascii="Cambria" w:eastAsia="Calibri"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3">
    <w:name w:val="rvps33"/>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A7294"/>
  </w:style>
  <w:style w:type="paragraph" w:customStyle="1" w:styleId="rvps26">
    <w:name w:val="rvps26"/>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A7294"/>
  </w:style>
  <w:style w:type="paragraph" w:customStyle="1" w:styleId="rvps34">
    <w:name w:val="rvps34"/>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6A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
    <w:name w:val="rvts1"/>
    <w:basedOn w:val="a0"/>
    <w:rsid w:val="006A7294"/>
  </w:style>
  <w:style w:type="character" w:customStyle="1" w:styleId="rvts53">
    <w:name w:val="rvts53"/>
    <w:basedOn w:val="a0"/>
    <w:rsid w:val="006A7294"/>
  </w:style>
  <w:style w:type="character" w:customStyle="1" w:styleId="rvts54">
    <w:name w:val="rvts54"/>
    <w:basedOn w:val="a0"/>
    <w:rsid w:val="006A7294"/>
  </w:style>
  <w:style w:type="character" w:customStyle="1" w:styleId="rvts55">
    <w:name w:val="rvts55"/>
    <w:basedOn w:val="a0"/>
    <w:rsid w:val="006A7294"/>
  </w:style>
  <w:style w:type="character" w:styleId="a3">
    <w:name w:val="Hyperlink"/>
    <w:basedOn w:val="a0"/>
    <w:uiPriority w:val="99"/>
    <w:unhideWhenUsed/>
    <w:rsid w:val="00406681"/>
    <w:rPr>
      <w:color w:val="0563C1" w:themeColor="hyperlink"/>
      <w:u w:val="single"/>
    </w:rPr>
  </w:style>
  <w:style w:type="paragraph" w:styleId="a4">
    <w:name w:val="footnote text"/>
    <w:basedOn w:val="a"/>
    <w:link w:val="a5"/>
    <w:uiPriority w:val="99"/>
    <w:semiHidden/>
    <w:unhideWhenUsed/>
    <w:rsid w:val="009D6871"/>
    <w:pPr>
      <w:spacing w:after="0" w:line="240" w:lineRule="auto"/>
    </w:pPr>
    <w:rPr>
      <w:sz w:val="20"/>
      <w:szCs w:val="20"/>
    </w:rPr>
  </w:style>
  <w:style w:type="character" w:customStyle="1" w:styleId="a5">
    <w:name w:val="Текст сноски Знак"/>
    <w:basedOn w:val="a0"/>
    <w:link w:val="a4"/>
    <w:uiPriority w:val="99"/>
    <w:semiHidden/>
    <w:rsid w:val="009D6871"/>
    <w:rPr>
      <w:sz w:val="20"/>
      <w:szCs w:val="20"/>
    </w:rPr>
  </w:style>
  <w:style w:type="character" w:styleId="a6">
    <w:name w:val="footnote reference"/>
    <w:basedOn w:val="a0"/>
    <w:uiPriority w:val="99"/>
    <w:semiHidden/>
    <w:unhideWhenUsed/>
    <w:rsid w:val="009D6871"/>
    <w:rPr>
      <w:vertAlign w:val="superscript"/>
    </w:rPr>
  </w:style>
  <w:style w:type="paragraph" w:styleId="a7">
    <w:name w:val="header"/>
    <w:basedOn w:val="a"/>
    <w:link w:val="a8"/>
    <w:uiPriority w:val="99"/>
    <w:unhideWhenUsed/>
    <w:rsid w:val="00356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607A"/>
  </w:style>
  <w:style w:type="paragraph" w:styleId="a9">
    <w:name w:val="footer"/>
    <w:basedOn w:val="a"/>
    <w:link w:val="aa"/>
    <w:uiPriority w:val="99"/>
    <w:unhideWhenUsed/>
    <w:rsid w:val="00356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607A"/>
  </w:style>
  <w:style w:type="paragraph" w:styleId="ab">
    <w:name w:val="List Paragraph"/>
    <w:basedOn w:val="a"/>
    <w:uiPriority w:val="34"/>
    <w:qFormat/>
    <w:rsid w:val="00FA5087"/>
    <w:pPr>
      <w:ind w:left="720"/>
      <w:contextualSpacing/>
    </w:pPr>
  </w:style>
  <w:style w:type="paragraph" w:styleId="ac">
    <w:name w:val="Balloon Text"/>
    <w:basedOn w:val="a"/>
    <w:link w:val="ad"/>
    <w:uiPriority w:val="99"/>
    <w:semiHidden/>
    <w:unhideWhenUsed/>
    <w:rsid w:val="000475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753C"/>
    <w:rPr>
      <w:rFonts w:ascii="Tahoma" w:hAnsi="Tahoma" w:cs="Tahoma"/>
      <w:sz w:val="16"/>
      <w:szCs w:val="16"/>
    </w:rPr>
  </w:style>
  <w:style w:type="paragraph" w:customStyle="1" w:styleId="ae">
    <w:name w:val="сноска"/>
    <w:basedOn w:val="a4"/>
    <w:link w:val="af"/>
    <w:qFormat/>
    <w:rsid w:val="009E5D94"/>
    <w:pPr>
      <w:tabs>
        <w:tab w:val="left" w:pos="284"/>
        <w:tab w:val="left" w:pos="454"/>
      </w:tabs>
      <w:jc w:val="both"/>
    </w:pPr>
    <w:rPr>
      <w:rFonts w:ascii="Cambria" w:eastAsia="Calibri" w:hAnsi="Cambria" w:cs="Times New Roman"/>
    </w:rPr>
  </w:style>
  <w:style w:type="character" w:customStyle="1" w:styleId="af">
    <w:name w:val="сноска Знак"/>
    <w:basedOn w:val="a5"/>
    <w:link w:val="ae"/>
    <w:rsid w:val="009E5D94"/>
    <w:rPr>
      <w:rFonts w:ascii="Cambria" w:eastAsia="Calibri"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0814">
      <w:bodyDiv w:val="1"/>
      <w:marLeft w:val="0"/>
      <w:marRight w:val="0"/>
      <w:marTop w:val="0"/>
      <w:marBottom w:val="0"/>
      <w:divBdr>
        <w:top w:val="none" w:sz="0" w:space="0" w:color="auto"/>
        <w:left w:val="none" w:sz="0" w:space="0" w:color="auto"/>
        <w:bottom w:val="none" w:sz="0" w:space="0" w:color="auto"/>
        <w:right w:val="none" w:sz="0" w:space="0" w:color="auto"/>
      </w:divBdr>
    </w:div>
    <w:div w:id="451293722">
      <w:bodyDiv w:val="1"/>
      <w:marLeft w:val="0"/>
      <w:marRight w:val="0"/>
      <w:marTop w:val="0"/>
      <w:marBottom w:val="0"/>
      <w:divBdr>
        <w:top w:val="none" w:sz="0" w:space="0" w:color="auto"/>
        <w:left w:val="none" w:sz="0" w:space="0" w:color="auto"/>
        <w:bottom w:val="none" w:sz="0" w:space="0" w:color="auto"/>
        <w:right w:val="none" w:sz="0" w:space="0" w:color="auto"/>
      </w:divBdr>
    </w:div>
    <w:div w:id="1266690988">
      <w:bodyDiv w:val="1"/>
      <w:marLeft w:val="0"/>
      <w:marRight w:val="0"/>
      <w:marTop w:val="0"/>
      <w:marBottom w:val="0"/>
      <w:divBdr>
        <w:top w:val="none" w:sz="0" w:space="0" w:color="auto"/>
        <w:left w:val="none" w:sz="0" w:space="0" w:color="auto"/>
        <w:bottom w:val="none" w:sz="0" w:space="0" w:color="auto"/>
        <w:right w:val="none" w:sz="0" w:space="0" w:color="auto"/>
      </w:divBdr>
    </w:div>
    <w:div w:id="1682968725">
      <w:bodyDiv w:val="1"/>
      <w:marLeft w:val="0"/>
      <w:marRight w:val="0"/>
      <w:marTop w:val="0"/>
      <w:marBottom w:val="0"/>
      <w:divBdr>
        <w:top w:val="none" w:sz="0" w:space="0" w:color="auto"/>
        <w:left w:val="none" w:sz="0" w:space="0" w:color="auto"/>
        <w:bottom w:val="none" w:sz="0" w:space="0" w:color="auto"/>
        <w:right w:val="none" w:sz="0" w:space="0" w:color="auto"/>
      </w:divBdr>
    </w:div>
    <w:div w:id="19986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ya_antonovars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ya_antonovarsa@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Free\&#1050;&#1072;&#1083;&#1072;&#1095;&#1080;&#1082;&#1086;&#1074;&#1072;%20&#1054;.&#1053;\2020\&#1056;&#1077;&#1072;&#1073;&#1080;&#1083;&#1080;&#1090;&#1072;&#1094;&#1080;&#1103;\&#1050;&#1088;&#1072;&#1090;&#1082;&#1080;&#1077;%20&#1048;&#1040;&#1052;\&#1085;&#1086;&#1074;&#1099;&#1081;%20&#1075;&#1088;&#1072;&#1092;&#1080;&#1082;%20&#1089;&#1084;&#1077;&#1088;&#1090;&#1085;&#1086;&#1089;&#1090;&#110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S\Free\&#1050;&#1072;&#1083;&#1072;&#1095;&#1080;&#1082;&#1086;&#1074;&#1072;%20&#1054;.&#1053;\2019\&#1056;&#1077;&#1072;&#1073;&#1080;&#1083;&#1080;&#1090;&#1072;&#1094;&#1080;&#1103;\&#1050;&#1088;&#1072;&#1090;&#1082;&#1086;&#1077;%20&#1088;&#1077;&#1079;&#1102;&#1084;&#1077;\&#1086;&#1090;%2002.12.2019\&#1051;&#1080;&#1089;&#1090;%20Microsoft%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S\Free\&#1050;&#1072;&#1083;&#1072;&#1095;&#1080;&#1082;&#1086;&#1074;&#1072;%20&#1054;.&#1053;\2019\&#1056;&#1077;&#1072;&#1073;&#1080;&#1083;&#1080;&#1090;&#1072;&#1094;&#1080;&#1103;\&#1050;&#1088;&#1072;&#1090;&#1082;&#1086;&#1077;%20&#1088;&#1077;&#1079;&#1102;&#1084;&#1077;\&#1086;&#1090;%2002.12.2019\&#1060;&#1054;&#1052;&#1057;%20&#1080;%20&#1060;&#1057;&#1057;.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890302248366504E-2"/>
          <c:y val="3.9639982043168001E-2"/>
          <c:w val="0.88954084736935191"/>
          <c:h val="0.77504493665081986"/>
        </c:manualLayout>
      </c:layout>
      <c:barChart>
        <c:barDir val="col"/>
        <c:grouping val="clustered"/>
        <c:varyColors val="0"/>
        <c:ser>
          <c:idx val="4"/>
          <c:order val="4"/>
          <c:tx>
            <c:strRef>
              <c:f>Лист1!$C$11</c:f>
              <c:strCache>
                <c:ptCount val="1"/>
                <c:pt idx="0">
                  <c:v>1200,0</c:v>
                </c:pt>
              </c:strCache>
            </c:strRef>
          </c:tx>
          <c:spPr>
            <a:solidFill>
              <a:sysClr val="window" lastClr="FFFFFF">
                <a:lumMod val="85000"/>
              </a:sysClr>
            </a:solidFill>
          </c:spPr>
          <c:invertIfNegative val="0"/>
          <c:dPt>
            <c:idx val="2"/>
            <c:invertIfNegative val="0"/>
            <c:bubble3D val="0"/>
            <c:spPr>
              <a:solidFill>
                <a:sysClr val="window" lastClr="FFFFFF">
                  <a:lumMod val="85000"/>
                </a:sysClr>
              </a:solidFill>
              <a:effectLst>
                <a:glow>
                  <a:srgbClr val="4F81BD">
                    <a:alpha val="40000"/>
                  </a:srgbClr>
                </a:glow>
              </a:effectLst>
            </c:spPr>
            <c:extLst xmlns:c16r2="http://schemas.microsoft.com/office/drawing/2015/06/chart">
              <c:ext xmlns:c16="http://schemas.microsoft.com/office/drawing/2014/chart" uri="{C3380CC4-5D6E-409C-BE32-E72D297353CC}">
                <c16:uniqueId val="{00000001-6DBF-4391-A67B-D653990A1F4B}"/>
              </c:ext>
            </c:extLst>
          </c:dPt>
          <c:cat>
            <c:strRef>
              <c:f>Лист1!$C$5:$AA$5</c:f>
              <c:strCache>
                <c:ptCount val="25"/>
                <c:pt idx="0">
                  <c:v>1985 г.*</c:v>
                </c:pt>
                <c:pt idx="1">
                  <c:v>1990 г.</c:v>
                </c:pt>
                <c:pt idx="2">
                  <c:v>1995 г.</c:v>
                </c:pt>
                <c:pt idx="3">
                  <c:v>2000 г.</c:v>
                </c:pt>
                <c:pt idx="4">
                  <c:v>2001 г.</c:v>
                </c:pt>
                <c:pt idx="5">
                  <c:v>2002 г.</c:v>
                </c:pt>
                <c:pt idx="6">
                  <c:v>2003 г.</c:v>
                </c:pt>
                <c:pt idx="7">
                  <c:v>2004 г.</c:v>
                </c:pt>
                <c:pt idx="8">
                  <c:v>2005 г.</c:v>
                </c:pt>
                <c:pt idx="9">
                  <c:v>2006 г.</c:v>
                </c:pt>
                <c:pt idx="10">
                  <c:v>2007 г.</c:v>
                </c:pt>
                <c:pt idx="11">
                  <c:v>2008 г.</c:v>
                </c:pt>
                <c:pt idx="12">
                  <c:v>2009 г.</c:v>
                </c:pt>
                <c:pt idx="13">
                  <c:v>2010 г.</c:v>
                </c:pt>
                <c:pt idx="14">
                  <c:v>2011 г.</c:v>
                </c:pt>
                <c:pt idx="15">
                  <c:v>2012 г.</c:v>
                </c:pt>
                <c:pt idx="16">
                  <c:v>2013 г.</c:v>
                </c:pt>
                <c:pt idx="17">
                  <c:v>2014 г.</c:v>
                </c:pt>
                <c:pt idx="18">
                  <c:v>2015 г.</c:v>
                </c:pt>
                <c:pt idx="19">
                  <c:v>2016 г.</c:v>
                </c:pt>
                <c:pt idx="20">
                  <c:v>2017 г.</c:v>
                </c:pt>
                <c:pt idx="21">
                  <c:v>2018 г.</c:v>
                </c:pt>
                <c:pt idx="22">
                  <c:v>2019 г. (ц)</c:v>
                </c:pt>
                <c:pt idx="23">
                  <c:v>2021 г. (ц)</c:v>
                </c:pt>
                <c:pt idx="24">
                  <c:v>2024 г. (ц)</c:v>
                </c:pt>
              </c:strCache>
            </c:strRef>
          </c:cat>
          <c:val>
            <c:numRef>
              <c:f>Лист1!$D$11:$Q$11</c:f>
              <c:numCache>
                <c:formatCode>0.0</c:formatCode>
                <c:ptCount val="14"/>
                <c:pt idx="0">
                  <c:v>1200</c:v>
                </c:pt>
                <c:pt idx="1">
                  <c:v>1200</c:v>
                </c:pt>
                <c:pt idx="2">
                  <c:v>1200</c:v>
                </c:pt>
                <c:pt idx="3">
                  <c:v>1200</c:v>
                </c:pt>
                <c:pt idx="4">
                  <c:v>1200</c:v>
                </c:pt>
                <c:pt idx="5">
                  <c:v>1200</c:v>
                </c:pt>
                <c:pt idx="6">
                  <c:v>1200</c:v>
                </c:pt>
                <c:pt idx="10">
                  <c:v>1200</c:v>
                </c:pt>
                <c:pt idx="11">
                  <c:v>1200</c:v>
                </c:pt>
                <c:pt idx="12">
                  <c:v>1200</c:v>
                </c:pt>
                <c:pt idx="13">
                  <c:v>1200</c:v>
                </c:pt>
              </c:numCache>
            </c:numRef>
          </c:val>
          <c:extLst xmlns:c16r2="http://schemas.microsoft.com/office/drawing/2015/06/chart">
            <c:ext xmlns:c16="http://schemas.microsoft.com/office/drawing/2014/chart" uri="{C3380CC4-5D6E-409C-BE32-E72D297353CC}">
              <c16:uniqueId val="{00000002-6DBF-4391-A67B-D653990A1F4B}"/>
            </c:ext>
          </c:extLst>
        </c:ser>
        <c:dLbls>
          <c:showLegendKey val="0"/>
          <c:showVal val="0"/>
          <c:showCatName val="0"/>
          <c:showSerName val="0"/>
          <c:showPercent val="0"/>
          <c:showBubbleSize val="0"/>
        </c:dLbls>
        <c:gapWidth val="0"/>
        <c:axId val="134236416"/>
        <c:axId val="134692864"/>
      </c:barChart>
      <c:lineChart>
        <c:grouping val="standard"/>
        <c:varyColors val="0"/>
        <c:ser>
          <c:idx val="0"/>
          <c:order val="0"/>
          <c:tx>
            <c:strRef>
              <c:f>Лист1!$B$6</c:f>
              <c:strCache>
                <c:ptCount val="1"/>
                <c:pt idx="0">
                  <c:v>РФ</c:v>
                </c:pt>
              </c:strCache>
            </c:strRef>
          </c:tx>
          <c:spPr>
            <a:ln w="22225" cmpd="sng">
              <a:solidFill>
                <a:srgbClr val="FF0000"/>
              </a:solidFill>
              <a:prstDash val="solid"/>
            </a:ln>
          </c:spPr>
          <c:marker>
            <c:symbol val="none"/>
          </c:marker>
          <c:dPt>
            <c:idx val="0"/>
            <c:bubble3D val="0"/>
            <c:extLst xmlns:c16r2="http://schemas.microsoft.com/office/drawing/2015/06/chart">
              <c:ext xmlns:c16="http://schemas.microsoft.com/office/drawing/2014/chart" uri="{C3380CC4-5D6E-409C-BE32-E72D297353CC}">
                <c16:uniqueId val="{00000003-6DBF-4391-A67B-D653990A1F4B}"/>
              </c:ext>
            </c:extLst>
          </c:dPt>
          <c:dLbls>
            <c:dLbl>
              <c:idx val="0"/>
              <c:layout>
                <c:manualLayout>
                  <c:x val="-1.373539607620986E-2"/>
                  <c:y val="3.87161570633365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BF-4391-A67B-D653990A1F4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DBF-4391-A67B-D653990A1F4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DBF-4391-A67B-D653990A1F4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DBF-4391-A67B-D653990A1F4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DBF-4391-A67B-D653990A1F4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DBF-4391-A67B-D653990A1F4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DBF-4391-A67B-D653990A1F4B}"/>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DBF-4391-A67B-D653990A1F4B}"/>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DBF-4391-A67B-D653990A1F4B}"/>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DBF-4391-A67B-D653990A1F4B}"/>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DBF-4391-A67B-D653990A1F4B}"/>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DBF-4391-A67B-D653990A1F4B}"/>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DBF-4391-A67B-D653990A1F4B}"/>
                </c:ext>
              </c:extLst>
            </c:dLbl>
            <c:dLbl>
              <c:idx val="1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DBF-4391-A67B-D653990A1F4B}"/>
                </c:ext>
              </c:extLst>
            </c:dLbl>
            <c:dLbl>
              <c:idx val="2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DBF-4391-A67B-D653990A1F4B}"/>
                </c:ext>
              </c:extLst>
            </c:dLbl>
            <c:spPr>
              <a:noFill/>
              <a:ln w="25400">
                <a:noFill/>
              </a:ln>
            </c:spPr>
            <c:txPr>
              <a:bodyPr/>
              <a:lstStyle/>
              <a:p>
                <a:pPr>
                  <a:defRPr sz="700" b="0" i="0" u="none" strike="noStrike" baseline="0">
                    <a:solidFill>
                      <a:srgbClr val="000000"/>
                    </a:solidFill>
                    <a:latin typeface="Arial Cyr"/>
                    <a:ea typeface="Arial Cyr"/>
                    <a:cs typeface="Arial Cyr"/>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Лист1!$C$5:$AA$5</c:f>
              <c:strCache>
                <c:ptCount val="25"/>
                <c:pt idx="0">
                  <c:v>1985 г.*</c:v>
                </c:pt>
                <c:pt idx="1">
                  <c:v>1990 г.</c:v>
                </c:pt>
                <c:pt idx="2">
                  <c:v>1995 г.</c:v>
                </c:pt>
                <c:pt idx="3">
                  <c:v>2000 г.</c:v>
                </c:pt>
                <c:pt idx="4">
                  <c:v>2001 г.</c:v>
                </c:pt>
                <c:pt idx="5">
                  <c:v>2002 г.</c:v>
                </c:pt>
                <c:pt idx="6">
                  <c:v>2003 г.</c:v>
                </c:pt>
                <c:pt idx="7">
                  <c:v>2004 г.</c:v>
                </c:pt>
                <c:pt idx="8">
                  <c:v>2005 г.</c:v>
                </c:pt>
                <c:pt idx="9">
                  <c:v>2006 г.</c:v>
                </c:pt>
                <c:pt idx="10">
                  <c:v>2007 г.</c:v>
                </c:pt>
                <c:pt idx="11">
                  <c:v>2008 г.</c:v>
                </c:pt>
                <c:pt idx="12">
                  <c:v>2009 г.</c:v>
                </c:pt>
                <c:pt idx="13">
                  <c:v>2010 г.</c:v>
                </c:pt>
                <c:pt idx="14">
                  <c:v>2011 г.</c:v>
                </c:pt>
                <c:pt idx="15">
                  <c:v>2012 г.</c:v>
                </c:pt>
                <c:pt idx="16">
                  <c:v>2013 г.</c:v>
                </c:pt>
                <c:pt idx="17">
                  <c:v>2014 г.</c:v>
                </c:pt>
                <c:pt idx="18">
                  <c:v>2015 г.</c:v>
                </c:pt>
                <c:pt idx="19">
                  <c:v>2016 г.</c:v>
                </c:pt>
                <c:pt idx="20">
                  <c:v>2017 г.</c:v>
                </c:pt>
                <c:pt idx="21">
                  <c:v>2018 г.</c:v>
                </c:pt>
                <c:pt idx="22">
                  <c:v>2019 г. (ц)</c:v>
                </c:pt>
                <c:pt idx="23">
                  <c:v>2021 г. (ц)</c:v>
                </c:pt>
                <c:pt idx="24">
                  <c:v>2024 г. (ц)</c:v>
                </c:pt>
              </c:strCache>
            </c:strRef>
          </c:cat>
          <c:val>
            <c:numRef>
              <c:f>Лист1!$C$6:$AA$6</c:f>
              <c:numCache>
                <c:formatCode>0.0</c:formatCode>
                <c:ptCount val="25"/>
                <c:pt idx="0">
                  <c:v>633.9</c:v>
                </c:pt>
                <c:pt idx="1">
                  <c:v>617.4</c:v>
                </c:pt>
                <c:pt idx="2">
                  <c:v>790.1</c:v>
                </c:pt>
                <c:pt idx="3">
                  <c:v>849.4</c:v>
                </c:pt>
                <c:pt idx="4">
                  <c:v>869.4</c:v>
                </c:pt>
                <c:pt idx="5">
                  <c:v>907</c:v>
                </c:pt>
                <c:pt idx="6">
                  <c:v>927.5</c:v>
                </c:pt>
                <c:pt idx="7">
                  <c:v>895.4</c:v>
                </c:pt>
                <c:pt idx="8">
                  <c:v>908</c:v>
                </c:pt>
                <c:pt idx="9">
                  <c:v>864.7</c:v>
                </c:pt>
                <c:pt idx="10">
                  <c:v>833.9</c:v>
                </c:pt>
                <c:pt idx="11">
                  <c:v>835.5</c:v>
                </c:pt>
                <c:pt idx="12">
                  <c:v>801</c:v>
                </c:pt>
                <c:pt idx="13">
                  <c:v>805.9</c:v>
                </c:pt>
                <c:pt idx="14">
                  <c:v>753</c:v>
                </c:pt>
                <c:pt idx="15">
                  <c:v>737.1</c:v>
                </c:pt>
                <c:pt idx="16">
                  <c:v>698.1</c:v>
                </c:pt>
                <c:pt idx="17">
                  <c:v>659.5</c:v>
                </c:pt>
                <c:pt idx="18">
                  <c:v>635.29999999999995</c:v>
                </c:pt>
                <c:pt idx="19">
                  <c:v>616.4</c:v>
                </c:pt>
                <c:pt idx="20">
                  <c:v>587.6</c:v>
                </c:pt>
                <c:pt idx="21">
                  <c:v>587.6</c:v>
                </c:pt>
                <c:pt idx="22">
                  <c:v>545</c:v>
                </c:pt>
                <c:pt idx="23">
                  <c:v>505</c:v>
                </c:pt>
                <c:pt idx="24">
                  <c:v>450</c:v>
                </c:pt>
              </c:numCache>
            </c:numRef>
          </c:val>
          <c:smooth val="0"/>
          <c:extLst xmlns:c16r2="http://schemas.microsoft.com/office/drawing/2015/06/chart">
            <c:ext xmlns:c16="http://schemas.microsoft.com/office/drawing/2014/chart" uri="{C3380CC4-5D6E-409C-BE32-E72D297353CC}">
              <c16:uniqueId val="{00000012-6DBF-4391-A67B-D653990A1F4B}"/>
            </c:ext>
          </c:extLst>
        </c:ser>
        <c:ser>
          <c:idx val="1"/>
          <c:order val="1"/>
          <c:tx>
            <c:strRef>
              <c:f>Лист1!$B$7</c:f>
              <c:strCache>
                <c:ptCount val="1"/>
                <c:pt idx="0">
                  <c:v>ВО</c:v>
                </c:pt>
              </c:strCache>
            </c:strRef>
          </c:tx>
          <c:spPr>
            <a:ln w="22225">
              <a:solidFill>
                <a:srgbClr val="00B050"/>
              </a:solidFill>
              <a:prstDash val="solid"/>
            </a:ln>
          </c:spPr>
          <c:marker>
            <c:symbol val="none"/>
          </c:marker>
          <c:dLbls>
            <c:dLbl>
              <c:idx val="0"/>
              <c:layout>
                <c:manualLayout>
                  <c:x val="-9.9537599855621366E-3"/>
                  <c:y val="-4.703511736954739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DBF-4391-A67B-D653990A1F4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DBF-4391-A67B-D653990A1F4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DBF-4391-A67B-D653990A1F4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DBF-4391-A67B-D653990A1F4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DBF-4391-A67B-D653990A1F4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DBF-4391-A67B-D653990A1F4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DBF-4391-A67B-D653990A1F4B}"/>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6DBF-4391-A67B-D653990A1F4B}"/>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6DBF-4391-A67B-D653990A1F4B}"/>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6DBF-4391-A67B-D653990A1F4B}"/>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6DBF-4391-A67B-D653990A1F4B}"/>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6DBF-4391-A67B-D653990A1F4B}"/>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6DBF-4391-A67B-D653990A1F4B}"/>
                </c:ext>
              </c:extLst>
            </c:dLbl>
            <c:dLbl>
              <c:idx val="1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6DBF-4391-A67B-D653990A1F4B}"/>
                </c:ext>
              </c:extLst>
            </c:dLbl>
            <c:dLbl>
              <c:idx val="2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6DBF-4391-A67B-D653990A1F4B}"/>
                </c:ext>
              </c:extLst>
            </c:dLbl>
            <c:spPr>
              <a:noFill/>
              <a:ln w="25400">
                <a:noFill/>
              </a:ln>
            </c:spPr>
            <c:txPr>
              <a:bodyPr/>
              <a:lstStyle/>
              <a:p>
                <a:pPr>
                  <a:defRPr sz="700" b="0"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Лист1!$C$5:$AA$5</c:f>
              <c:strCache>
                <c:ptCount val="25"/>
                <c:pt idx="0">
                  <c:v>1985 г.*</c:v>
                </c:pt>
                <c:pt idx="1">
                  <c:v>1990 г.</c:v>
                </c:pt>
                <c:pt idx="2">
                  <c:v>1995 г.</c:v>
                </c:pt>
                <c:pt idx="3">
                  <c:v>2000 г.</c:v>
                </c:pt>
                <c:pt idx="4">
                  <c:v>2001 г.</c:v>
                </c:pt>
                <c:pt idx="5">
                  <c:v>2002 г.</c:v>
                </c:pt>
                <c:pt idx="6">
                  <c:v>2003 г.</c:v>
                </c:pt>
                <c:pt idx="7">
                  <c:v>2004 г.</c:v>
                </c:pt>
                <c:pt idx="8">
                  <c:v>2005 г.</c:v>
                </c:pt>
                <c:pt idx="9">
                  <c:v>2006 г.</c:v>
                </c:pt>
                <c:pt idx="10">
                  <c:v>2007 г.</c:v>
                </c:pt>
                <c:pt idx="11">
                  <c:v>2008 г.</c:v>
                </c:pt>
                <c:pt idx="12">
                  <c:v>2009 г.</c:v>
                </c:pt>
                <c:pt idx="13">
                  <c:v>2010 г.</c:v>
                </c:pt>
                <c:pt idx="14">
                  <c:v>2011 г.</c:v>
                </c:pt>
                <c:pt idx="15">
                  <c:v>2012 г.</c:v>
                </c:pt>
                <c:pt idx="16">
                  <c:v>2013 г.</c:v>
                </c:pt>
                <c:pt idx="17">
                  <c:v>2014 г.</c:v>
                </c:pt>
                <c:pt idx="18">
                  <c:v>2015 г.</c:v>
                </c:pt>
                <c:pt idx="19">
                  <c:v>2016 г.</c:v>
                </c:pt>
                <c:pt idx="20">
                  <c:v>2017 г.</c:v>
                </c:pt>
                <c:pt idx="21">
                  <c:v>2018 г.</c:v>
                </c:pt>
                <c:pt idx="22">
                  <c:v>2019 г. (ц)</c:v>
                </c:pt>
                <c:pt idx="23">
                  <c:v>2021 г. (ц)</c:v>
                </c:pt>
                <c:pt idx="24">
                  <c:v>2024 г. (ц)</c:v>
                </c:pt>
              </c:strCache>
            </c:strRef>
          </c:cat>
          <c:val>
            <c:numRef>
              <c:f>Лист1!$C$7:$AA$7</c:f>
              <c:numCache>
                <c:formatCode>0.0</c:formatCode>
                <c:ptCount val="25"/>
                <c:pt idx="0">
                  <c:v>692</c:v>
                </c:pt>
                <c:pt idx="1">
                  <c:v>723</c:v>
                </c:pt>
                <c:pt idx="2">
                  <c:v>927.2</c:v>
                </c:pt>
                <c:pt idx="3">
                  <c:v>895.9</c:v>
                </c:pt>
                <c:pt idx="4">
                  <c:v>966.6</c:v>
                </c:pt>
                <c:pt idx="5">
                  <c:v>1054.2</c:v>
                </c:pt>
                <c:pt idx="6">
                  <c:v>1094.2</c:v>
                </c:pt>
                <c:pt idx="7">
                  <c:v>1045.7</c:v>
                </c:pt>
                <c:pt idx="8">
                  <c:v>1042.3</c:v>
                </c:pt>
                <c:pt idx="9">
                  <c:v>963.2</c:v>
                </c:pt>
                <c:pt idx="10">
                  <c:v>918.6</c:v>
                </c:pt>
                <c:pt idx="11">
                  <c:v>939.3</c:v>
                </c:pt>
                <c:pt idx="12">
                  <c:v>934.3</c:v>
                </c:pt>
                <c:pt idx="13">
                  <c:v>968.8</c:v>
                </c:pt>
                <c:pt idx="14">
                  <c:v>927.9</c:v>
                </c:pt>
                <c:pt idx="15">
                  <c:v>896</c:v>
                </c:pt>
                <c:pt idx="16">
                  <c:v>892.2</c:v>
                </c:pt>
                <c:pt idx="17">
                  <c:v>828.4</c:v>
                </c:pt>
                <c:pt idx="18">
                  <c:v>822.6</c:v>
                </c:pt>
                <c:pt idx="19">
                  <c:v>818.8</c:v>
                </c:pt>
                <c:pt idx="20">
                  <c:v>763.8</c:v>
                </c:pt>
                <c:pt idx="21">
                  <c:v>740.2</c:v>
                </c:pt>
              </c:numCache>
            </c:numRef>
          </c:val>
          <c:smooth val="0"/>
          <c:extLst xmlns:c16r2="http://schemas.microsoft.com/office/drawing/2015/06/chart">
            <c:ext xmlns:c16="http://schemas.microsoft.com/office/drawing/2014/chart" uri="{C3380CC4-5D6E-409C-BE32-E72D297353CC}">
              <c16:uniqueId val="{00000022-6DBF-4391-A67B-D653990A1F4B}"/>
            </c:ext>
          </c:extLst>
        </c:ser>
        <c:ser>
          <c:idx val="2"/>
          <c:order val="2"/>
          <c:tx>
            <c:strRef>
              <c:f>Лист1!$B$8</c:f>
              <c:strCache>
                <c:ptCount val="1"/>
                <c:pt idx="0">
                  <c:v>Германия</c:v>
                </c:pt>
              </c:strCache>
            </c:strRef>
          </c:tx>
          <c:spPr>
            <a:ln w="22225" cmpd="sng">
              <a:solidFill>
                <a:sysClr val="windowText" lastClr="000000"/>
              </a:solidFill>
              <a:prstDash val="lgDashDot"/>
            </a:ln>
          </c:spPr>
          <c:marker>
            <c:symbol val="none"/>
          </c:marker>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6DBF-4391-A67B-D653990A1F4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6DBF-4391-A67B-D653990A1F4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6DBF-4391-A67B-D653990A1F4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6DBF-4391-A67B-D653990A1F4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6DBF-4391-A67B-D653990A1F4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6DBF-4391-A67B-D653990A1F4B}"/>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6DBF-4391-A67B-D653990A1F4B}"/>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6DBF-4391-A67B-D653990A1F4B}"/>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6DBF-4391-A67B-D653990A1F4B}"/>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6DBF-4391-A67B-D653990A1F4B}"/>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6DBF-4391-A67B-D653990A1F4B}"/>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6DBF-4391-A67B-D653990A1F4B}"/>
                </c:ext>
              </c:extLst>
            </c:dLbl>
            <c:dLbl>
              <c:idx val="1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6DBF-4391-A67B-D653990A1F4B}"/>
                </c:ext>
              </c:extLst>
            </c:dLbl>
            <c:dLbl>
              <c:idx val="1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6DBF-4391-A67B-D653990A1F4B}"/>
                </c:ext>
              </c:extLst>
            </c:dLbl>
            <c:spPr>
              <a:noFill/>
            </c:spPr>
            <c:txPr>
              <a:bodyPr/>
              <a:lstStyle/>
              <a:p>
                <a:pPr>
                  <a:defRPr sz="7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Лист1!$C$5:$AA$5</c:f>
              <c:strCache>
                <c:ptCount val="25"/>
                <c:pt idx="0">
                  <c:v>1985 г.*</c:v>
                </c:pt>
                <c:pt idx="1">
                  <c:v>1990 г.</c:v>
                </c:pt>
                <c:pt idx="2">
                  <c:v>1995 г.</c:v>
                </c:pt>
                <c:pt idx="3">
                  <c:v>2000 г.</c:v>
                </c:pt>
                <c:pt idx="4">
                  <c:v>2001 г.</c:v>
                </c:pt>
                <c:pt idx="5">
                  <c:v>2002 г.</c:v>
                </c:pt>
                <c:pt idx="6">
                  <c:v>2003 г.</c:v>
                </c:pt>
                <c:pt idx="7">
                  <c:v>2004 г.</c:v>
                </c:pt>
                <c:pt idx="8">
                  <c:v>2005 г.</c:v>
                </c:pt>
                <c:pt idx="9">
                  <c:v>2006 г.</c:v>
                </c:pt>
                <c:pt idx="10">
                  <c:v>2007 г.</c:v>
                </c:pt>
                <c:pt idx="11">
                  <c:v>2008 г.</c:v>
                </c:pt>
                <c:pt idx="12">
                  <c:v>2009 г.</c:v>
                </c:pt>
                <c:pt idx="13">
                  <c:v>2010 г.</c:v>
                </c:pt>
                <c:pt idx="14">
                  <c:v>2011 г.</c:v>
                </c:pt>
                <c:pt idx="15">
                  <c:v>2012 г.</c:v>
                </c:pt>
                <c:pt idx="16">
                  <c:v>2013 г.</c:v>
                </c:pt>
                <c:pt idx="17">
                  <c:v>2014 г.</c:v>
                </c:pt>
                <c:pt idx="18">
                  <c:v>2015 г.</c:v>
                </c:pt>
                <c:pt idx="19">
                  <c:v>2016 г.</c:v>
                </c:pt>
                <c:pt idx="20">
                  <c:v>2017 г.</c:v>
                </c:pt>
                <c:pt idx="21">
                  <c:v>2018 г.</c:v>
                </c:pt>
                <c:pt idx="22">
                  <c:v>2019 г. (ц)</c:v>
                </c:pt>
                <c:pt idx="23">
                  <c:v>2021 г. (ц)</c:v>
                </c:pt>
                <c:pt idx="24">
                  <c:v>2024 г. (ц)</c:v>
                </c:pt>
              </c:strCache>
            </c:strRef>
          </c:cat>
          <c:val>
            <c:numRef>
              <c:f>Лист1!$C$8:$AA$8</c:f>
              <c:numCache>
                <c:formatCode>0.0</c:formatCode>
                <c:ptCount val="25"/>
                <c:pt idx="1">
                  <c:v>398.58</c:v>
                </c:pt>
                <c:pt idx="2">
                  <c:v>343.8</c:v>
                </c:pt>
                <c:pt idx="3">
                  <c:v>292.49</c:v>
                </c:pt>
                <c:pt idx="4">
                  <c:v>286.05</c:v>
                </c:pt>
                <c:pt idx="5">
                  <c:v>285.77999999999997</c:v>
                </c:pt>
                <c:pt idx="6">
                  <c:v>286.99</c:v>
                </c:pt>
                <c:pt idx="7">
                  <c:v>262.82</c:v>
                </c:pt>
                <c:pt idx="8">
                  <c:v>254.1</c:v>
                </c:pt>
                <c:pt idx="9">
                  <c:v>239.27</c:v>
                </c:pt>
                <c:pt idx="10">
                  <c:v>231.59</c:v>
                </c:pt>
                <c:pt idx="11">
                  <c:v>223.27</c:v>
                </c:pt>
                <c:pt idx="12">
                  <c:v>217.16</c:v>
                </c:pt>
                <c:pt idx="13">
                  <c:v>208.71</c:v>
                </c:pt>
                <c:pt idx="14">
                  <c:v>196.6</c:v>
                </c:pt>
                <c:pt idx="15">
                  <c:v>195.2</c:v>
                </c:pt>
                <c:pt idx="16">
                  <c:v>199.75</c:v>
                </c:pt>
                <c:pt idx="17">
                  <c:v>186.28</c:v>
                </c:pt>
                <c:pt idx="18">
                  <c:v>191.14</c:v>
                </c:pt>
              </c:numCache>
            </c:numRef>
          </c:val>
          <c:smooth val="0"/>
          <c:extLst xmlns:c16r2="http://schemas.microsoft.com/office/drawing/2015/06/chart">
            <c:ext xmlns:c16="http://schemas.microsoft.com/office/drawing/2014/chart" uri="{C3380CC4-5D6E-409C-BE32-E72D297353CC}">
              <c16:uniqueId val="{00000031-6DBF-4391-A67B-D653990A1F4B}"/>
            </c:ext>
          </c:extLst>
        </c:ser>
        <c:ser>
          <c:idx val="3"/>
          <c:order val="3"/>
          <c:tx>
            <c:strRef>
              <c:f>Лист1!$B$9</c:f>
              <c:strCache>
                <c:ptCount val="1"/>
                <c:pt idx="0">
                  <c:v>Франция </c:v>
                </c:pt>
              </c:strCache>
            </c:strRef>
          </c:tx>
          <c:spPr>
            <a:ln w="22225">
              <a:solidFill>
                <a:srgbClr val="000000"/>
              </a:solidFill>
              <a:prstDash val="dash"/>
            </a:ln>
          </c:spPr>
          <c:marker>
            <c:symbol val="none"/>
          </c:marker>
          <c:dLbls>
            <c:dLbl>
              <c:idx val="0"/>
              <c:layout>
                <c:manualLayout>
                  <c:x val="-9.8094110785171464E-3"/>
                  <c:y val="-1.417373705773509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6DBF-4391-A67B-D653990A1F4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6DBF-4391-A67B-D653990A1F4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6DBF-4391-A67B-D653990A1F4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6DBF-4391-A67B-D653990A1F4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6DBF-4391-A67B-D653990A1F4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6DBF-4391-A67B-D653990A1F4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8-6DBF-4391-A67B-D653990A1F4B}"/>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6DBF-4391-A67B-D653990A1F4B}"/>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A-6DBF-4391-A67B-D653990A1F4B}"/>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B-6DBF-4391-A67B-D653990A1F4B}"/>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C-6DBF-4391-A67B-D653990A1F4B}"/>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D-6DBF-4391-A67B-D653990A1F4B}"/>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E-6DBF-4391-A67B-D653990A1F4B}"/>
                </c:ext>
              </c:extLst>
            </c:dLbl>
            <c:dLbl>
              <c:idx val="1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F-6DBF-4391-A67B-D653990A1F4B}"/>
                </c:ext>
              </c:extLst>
            </c:dLbl>
            <c:spPr>
              <a:noFill/>
              <a:ln>
                <a:noFill/>
              </a:ln>
              <a:effectLst/>
            </c:spPr>
            <c:txPr>
              <a:bodyPr/>
              <a:lstStyle/>
              <a:p>
                <a:pPr>
                  <a:defRPr sz="700"/>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Лист1!$C$5:$AA$5</c:f>
              <c:strCache>
                <c:ptCount val="25"/>
                <c:pt idx="0">
                  <c:v>1985 г.*</c:v>
                </c:pt>
                <c:pt idx="1">
                  <c:v>1990 г.</c:v>
                </c:pt>
                <c:pt idx="2">
                  <c:v>1995 г.</c:v>
                </c:pt>
                <c:pt idx="3">
                  <c:v>2000 г.</c:v>
                </c:pt>
                <c:pt idx="4">
                  <c:v>2001 г.</c:v>
                </c:pt>
                <c:pt idx="5">
                  <c:v>2002 г.</c:v>
                </c:pt>
                <c:pt idx="6">
                  <c:v>2003 г.</c:v>
                </c:pt>
                <c:pt idx="7">
                  <c:v>2004 г.</c:v>
                </c:pt>
                <c:pt idx="8">
                  <c:v>2005 г.</c:v>
                </c:pt>
                <c:pt idx="9">
                  <c:v>2006 г.</c:v>
                </c:pt>
                <c:pt idx="10">
                  <c:v>2007 г.</c:v>
                </c:pt>
                <c:pt idx="11">
                  <c:v>2008 г.</c:v>
                </c:pt>
                <c:pt idx="12">
                  <c:v>2009 г.</c:v>
                </c:pt>
                <c:pt idx="13">
                  <c:v>2010 г.</c:v>
                </c:pt>
                <c:pt idx="14">
                  <c:v>2011 г.</c:v>
                </c:pt>
                <c:pt idx="15">
                  <c:v>2012 г.</c:v>
                </c:pt>
                <c:pt idx="16">
                  <c:v>2013 г.</c:v>
                </c:pt>
                <c:pt idx="17">
                  <c:v>2014 г.</c:v>
                </c:pt>
                <c:pt idx="18">
                  <c:v>2015 г.</c:v>
                </c:pt>
                <c:pt idx="19">
                  <c:v>2016 г.</c:v>
                </c:pt>
                <c:pt idx="20">
                  <c:v>2017 г.</c:v>
                </c:pt>
                <c:pt idx="21">
                  <c:v>2018 г.</c:v>
                </c:pt>
                <c:pt idx="22">
                  <c:v>2019 г. (ц)</c:v>
                </c:pt>
                <c:pt idx="23">
                  <c:v>2021 г. (ц)</c:v>
                </c:pt>
                <c:pt idx="24">
                  <c:v>2024 г. (ц)</c:v>
                </c:pt>
              </c:strCache>
            </c:strRef>
          </c:cat>
          <c:val>
            <c:numRef>
              <c:f>Лист1!$C$9:$AA$9</c:f>
              <c:numCache>
                <c:formatCode>0.0</c:formatCode>
                <c:ptCount val="25"/>
                <c:pt idx="0">
                  <c:v>264.82</c:v>
                </c:pt>
                <c:pt idx="1">
                  <c:v>205.56</c:v>
                </c:pt>
                <c:pt idx="2">
                  <c:v>182.74</c:v>
                </c:pt>
                <c:pt idx="3">
                  <c:v>167.36</c:v>
                </c:pt>
                <c:pt idx="4">
                  <c:v>163.82</c:v>
                </c:pt>
                <c:pt idx="5">
                  <c:v>160.55000000000001</c:v>
                </c:pt>
                <c:pt idx="6">
                  <c:v>160.53</c:v>
                </c:pt>
                <c:pt idx="7">
                  <c:v>145.41</c:v>
                </c:pt>
                <c:pt idx="8">
                  <c:v>142.96</c:v>
                </c:pt>
                <c:pt idx="9">
                  <c:v>132.88999999999999</c:v>
                </c:pt>
                <c:pt idx="10">
                  <c:v>127.56</c:v>
                </c:pt>
                <c:pt idx="11">
                  <c:v>124.46</c:v>
                </c:pt>
                <c:pt idx="12">
                  <c:v>119</c:v>
                </c:pt>
                <c:pt idx="13">
                  <c:v>113.9</c:v>
                </c:pt>
                <c:pt idx="14">
                  <c:v>107.15</c:v>
                </c:pt>
                <c:pt idx="15">
                  <c:v>105.52</c:v>
                </c:pt>
                <c:pt idx="16">
                  <c:v>101.52</c:v>
                </c:pt>
                <c:pt idx="17">
                  <c:v>97.2</c:v>
                </c:pt>
              </c:numCache>
            </c:numRef>
          </c:val>
          <c:smooth val="0"/>
          <c:extLst xmlns:c16r2="http://schemas.microsoft.com/office/drawing/2015/06/chart">
            <c:ext xmlns:c16="http://schemas.microsoft.com/office/drawing/2014/chart" uri="{C3380CC4-5D6E-409C-BE32-E72D297353CC}">
              <c16:uniqueId val="{00000040-6DBF-4391-A67B-D653990A1F4B}"/>
            </c:ext>
          </c:extLst>
        </c:ser>
        <c:dLbls>
          <c:showLegendKey val="0"/>
          <c:showVal val="0"/>
          <c:showCatName val="0"/>
          <c:showSerName val="0"/>
          <c:showPercent val="0"/>
          <c:showBubbleSize val="0"/>
        </c:dLbls>
        <c:marker val="1"/>
        <c:smooth val="0"/>
        <c:axId val="134236416"/>
        <c:axId val="134692864"/>
      </c:lineChart>
      <c:catAx>
        <c:axId val="134236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Cyr"/>
                <a:cs typeface="Arial" panose="020B0604020202020204" pitchFamily="34" charset="0"/>
              </a:defRPr>
            </a:pPr>
            <a:endParaRPr lang="ru-RU"/>
          </a:p>
        </c:txPr>
        <c:crossAx val="134692864"/>
        <c:crosses val="autoZero"/>
        <c:auto val="1"/>
        <c:lblAlgn val="ctr"/>
        <c:lblOffset val="100"/>
        <c:tickLblSkip val="1"/>
        <c:tickMarkSkip val="1"/>
        <c:noMultiLvlLbl val="0"/>
      </c:catAx>
      <c:valAx>
        <c:axId val="134692864"/>
        <c:scaling>
          <c:orientation val="minMax"/>
          <c:max val="1200"/>
        </c:scaling>
        <c:delete val="0"/>
        <c:axPos val="l"/>
        <c:majorGridlines>
          <c:spPr>
            <a:ln w="3175">
              <a:solidFill>
                <a:srgbClr val="FF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pitchFamily="34" charset="0"/>
                <a:ea typeface="Arial Cyr"/>
                <a:cs typeface="Arial" pitchFamily="34" charset="0"/>
              </a:defRPr>
            </a:pPr>
            <a:endParaRPr lang="ru-RU"/>
          </a:p>
        </c:txPr>
        <c:crossAx val="134236416"/>
        <c:crosses val="autoZero"/>
        <c:crossBetween val="midCat"/>
      </c:valAx>
      <c:spPr>
        <a:noFill/>
        <a:ln w="12700">
          <a:solidFill>
            <a:srgbClr val="FFFFFF"/>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720155820788628E-2"/>
          <c:y val="2.2570269625387732E-2"/>
          <c:w val="0.90108288740467302"/>
          <c:h val="0.82948849575621231"/>
        </c:manualLayout>
      </c:layout>
      <c:barChart>
        <c:barDir val="col"/>
        <c:grouping val="clustered"/>
        <c:varyColors val="0"/>
        <c:ser>
          <c:idx val="4"/>
          <c:order val="4"/>
          <c:tx>
            <c:strRef>
              <c:f>Лист1!$A$9</c:f>
              <c:strCache>
                <c:ptCount val="1"/>
              </c:strCache>
            </c:strRef>
          </c:tx>
          <c:spPr>
            <a:solidFill>
              <a:sysClr val="window" lastClr="FFFFFF">
                <a:lumMod val="85000"/>
              </a:sysClr>
            </a:solidFill>
            <a:ln>
              <a:noFill/>
            </a:ln>
          </c:spPr>
          <c:invertIfNegative val="0"/>
          <c:cat>
            <c:strRef>
              <c:f>Лист1!$B$4:$T$4</c:f>
              <c:strCache>
                <c:ptCount val="19"/>
                <c:pt idx="0">
                  <c:v>2000 г.</c:v>
                </c:pt>
                <c:pt idx="1">
                  <c:v>2001 г.</c:v>
                </c:pt>
                <c:pt idx="2">
                  <c:v>2002 г.</c:v>
                </c:pt>
                <c:pt idx="3">
                  <c:v>2003 г.</c:v>
                </c:pt>
                <c:pt idx="4">
                  <c:v>2004 г.</c:v>
                </c:pt>
                <c:pt idx="5">
                  <c:v>2005 г.</c:v>
                </c:pt>
                <c:pt idx="6">
                  <c:v>2006 г.</c:v>
                </c:pt>
                <c:pt idx="7">
                  <c:v>2007 г.</c:v>
                </c:pt>
                <c:pt idx="8">
                  <c:v>2008 г.</c:v>
                </c:pt>
                <c:pt idx="9">
                  <c:v>2009 г.</c:v>
                </c:pt>
                <c:pt idx="10">
                  <c:v>2010г.</c:v>
                </c:pt>
                <c:pt idx="11">
                  <c:v>2011г.</c:v>
                </c:pt>
                <c:pt idx="12">
                  <c:v>2012г.</c:v>
                </c:pt>
                <c:pt idx="13">
                  <c:v>2013г.</c:v>
                </c:pt>
                <c:pt idx="14">
                  <c:v>2014г.</c:v>
                </c:pt>
                <c:pt idx="15">
                  <c:v>2015г.</c:v>
                </c:pt>
                <c:pt idx="16">
                  <c:v>2016г.</c:v>
                </c:pt>
                <c:pt idx="17">
                  <c:v>2017г.</c:v>
                </c:pt>
                <c:pt idx="18">
                  <c:v>2018г.</c:v>
                </c:pt>
              </c:strCache>
            </c:strRef>
          </c:cat>
          <c:val>
            <c:numRef>
              <c:f>Лист1!$B$9:$T$9</c:f>
              <c:numCache>
                <c:formatCode>General</c:formatCode>
                <c:ptCount val="19"/>
                <c:pt idx="0">
                  <c:v>6000</c:v>
                </c:pt>
                <c:pt idx="1">
                  <c:v>6000</c:v>
                </c:pt>
                <c:pt idx="2">
                  <c:v>6000</c:v>
                </c:pt>
                <c:pt idx="3">
                  <c:v>6000</c:v>
                </c:pt>
                <c:pt idx="10">
                  <c:v>6000</c:v>
                </c:pt>
                <c:pt idx="11">
                  <c:v>6000</c:v>
                </c:pt>
                <c:pt idx="12">
                  <c:v>6000</c:v>
                </c:pt>
                <c:pt idx="14">
                  <c:v>6000</c:v>
                </c:pt>
                <c:pt idx="15">
                  <c:v>6000</c:v>
                </c:pt>
                <c:pt idx="16">
                  <c:v>6000</c:v>
                </c:pt>
              </c:numCache>
            </c:numRef>
          </c:val>
          <c:extLst xmlns:c16r2="http://schemas.microsoft.com/office/drawing/2015/06/chart">
            <c:ext xmlns:c16="http://schemas.microsoft.com/office/drawing/2014/chart" uri="{C3380CC4-5D6E-409C-BE32-E72D297353CC}">
              <c16:uniqueId val="{00000000-2213-40E8-AE14-4465B8AAC043}"/>
            </c:ext>
          </c:extLst>
        </c:ser>
        <c:dLbls>
          <c:showLegendKey val="0"/>
          <c:showVal val="0"/>
          <c:showCatName val="0"/>
          <c:showSerName val="0"/>
          <c:showPercent val="0"/>
          <c:showBubbleSize val="0"/>
        </c:dLbls>
        <c:gapWidth val="0"/>
        <c:axId val="135051136"/>
        <c:axId val="135052672"/>
      </c:barChart>
      <c:lineChart>
        <c:grouping val="standard"/>
        <c:varyColors val="0"/>
        <c:ser>
          <c:idx val="0"/>
          <c:order val="0"/>
          <c:tx>
            <c:strRef>
              <c:f>Лист1!$A$5</c:f>
              <c:strCache>
                <c:ptCount val="1"/>
                <c:pt idx="0">
                  <c:v>число выписанных и ОИМ и повторным ИМ </c:v>
                </c:pt>
              </c:strCache>
            </c:strRef>
          </c:tx>
          <c:spPr>
            <a:ln w="22225" cmpd="sng">
              <a:solidFill>
                <a:sysClr val="windowText" lastClr="000000"/>
              </a:solidFill>
              <a:prstDash val="sysDash"/>
            </a:ln>
          </c:spPr>
          <c:marker>
            <c:symbol val="none"/>
          </c:marker>
          <c:dLbls>
            <c:spPr>
              <a:noFill/>
              <a:ln>
                <a:noFill/>
              </a:ln>
              <a:effectLst/>
            </c:spPr>
            <c:txPr>
              <a:bodyPr wrap="square" lIns="38100" tIns="19050" rIns="38100" bIns="19050" anchor="ctr">
                <a:spAutoFit/>
              </a:bodyPr>
              <a:lstStyle/>
              <a:p>
                <a:pPr>
                  <a:defRPr sz="700">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Лист1!$B$4:$T$4</c:f>
              <c:strCache>
                <c:ptCount val="19"/>
                <c:pt idx="0">
                  <c:v>2000 г.</c:v>
                </c:pt>
                <c:pt idx="1">
                  <c:v>2001 г.</c:v>
                </c:pt>
                <c:pt idx="2">
                  <c:v>2002 г.</c:v>
                </c:pt>
                <c:pt idx="3">
                  <c:v>2003 г.</c:v>
                </c:pt>
                <c:pt idx="4">
                  <c:v>2004 г.</c:v>
                </c:pt>
                <c:pt idx="5">
                  <c:v>2005 г.</c:v>
                </c:pt>
                <c:pt idx="6">
                  <c:v>2006 г.</c:v>
                </c:pt>
                <c:pt idx="7">
                  <c:v>2007 г.</c:v>
                </c:pt>
                <c:pt idx="8">
                  <c:v>2008 г.</c:v>
                </c:pt>
                <c:pt idx="9">
                  <c:v>2009 г.</c:v>
                </c:pt>
                <c:pt idx="10">
                  <c:v>2010г.</c:v>
                </c:pt>
                <c:pt idx="11">
                  <c:v>2011г.</c:v>
                </c:pt>
                <c:pt idx="12">
                  <c:v>2012г.</c:v>
                </c:pt>
                <c:pt idx="13">
                  <c:v>2013г.</c:v>
                </c:pt>
                <c:pt idx="14">
                  <c:v>2014г.</c:v>
                </c:pt>
                <c:pt idx="15">
                  <c:v>2015г.</c:v>
                </c:pt>
                <c:pt idx="16">
                  <c:v>2016г.</c:v>
                </c:pt>
                <c:pt idx="17">
                  <c:v>2017г.</c:v>
                </c:pt>
                <c:pt idx="18">
                  <c:v>2018г.</c:v>
                </c:pt>
              </c:strCache>
            </c:strRef>
          </c:cat>
          <c:val>
            <c:numRef>
              <c:f>Лист1!$B$5:$T$5</c:f>
              <c:numCache>
                <c:formatCode>General</c:formatCode>
                <c:ptCount val="19"/>
                <c:pt idx="0">
                  <c:v>1785</c:v>
                </c:pt>
                <c:pt idx="1">
                  <c:v>1776</c:v>
                </c:pt>
                <c:pt idx="2">
                  <c:v>1830</c:v>
                </c:pt>
                <c:pt idx="3">
                  <c:v>1767</c:v>
                </c:pt>
                <c:pt idx="4">
                  <c:v>1762</c:v>
                </c:pt>
                <c:pt idx="5">
                  <c:v>1672</c:v>
                </c:pt>
                <c:pt idx="6">
                  <c:v>1593</c:v>
                </c:pt>
                <c:pt idx="7">
                  <c:v>1768</c:v>
                </c:pt>
                <c:pt idx="8">
                  <c:v>1638</c:v>
                </c:pt>
                <c:pt idx="9">
                  <c:v>1634</c:v>
                </c:pt>
                <c:pt idx="10">
                  <c:v>1674</c:v>
                </c:pt>
                <c:pt idx="11">
                  <c:v>1606</c:v>
                </c:pt>
                <c:pt idx="12">
                  <c:v>1743</c:v>
                </c:pt>
                <c:pt idx="13">
                  <c:v>1559</c:v>
                </c:pt>
                <c:pt idx="14">
                  <c:v>1596</c:v>
                </c:pt>
                <c:pt idx="15">
                  <c:v>1660</c:v>
                </c:pt>
                <c:pt idx="16">
                  <c:v>1780</c:v>
                </c:pt>
                <c:pt idx="17">
                  <c:v>1709</c:v>
                </c:pt>
                <c:pt idx="18">
                  <c:v>1752</c:v>
                </c:pt>
              </c:numCache>
            </c:numRef>
          </c:val>
          <c:smooth val="0"/>
          <c:extLst xmlns:c16r2="http://schemas.microsoft.com/office/drawing/2015/06/chart">
            <c:ext xmlns:c16="http://schemas.microsoft.com/office/drawing/2014/chart" uri="{C3380CC4-5D6E-409C-BE32-E72D297353CC}">
              <c16:uniqueId val="{00000001-2213-40E8-AE14-4465B8AAC043}"/>
            </c:ext>
          </c:extLst>
        </c:ser>
        <c:ser>
          <c:idx val="1"/>
          <c:order val="1"/>
          <c:tx>
            <c:strRef>
              <c:f>Лист1!$A$6</c:f>
              <c:strCache>
                <c:ptCount val="1"/>
                <c:pt idx="0">
                  <c:v>число выписанных с ОНМК</c:v>
                </c:pt>
              </c:strCache>
            </c:strRef>
          </c:tx>
          <c:spPr>
            <a:ln>
              <a:solidFill>
                <a:sysClr val="windowText" lastClr="000000"/>
              </a:solidFill>
              <a:prstDash val="sysDot"/>
            </a:ln>
          </c:spPr>
          <c:marker>
            <c:symbol val="none"/>
          </c:marker>
          <c:dLbls>
            <c:spPr>
              <a:noFill/>
              <a:ln>
                <a:noFill/>
              </a:ln>
              <a:effectLst/>
            </c:spPr>
            <c:txPr>
              <a:bodyPr wrap="square" lIns="38100" tIns="19050" rIns="38100" bIns="19050" anchor="ctr">
                <a:spAutoFit/>
              </a:bodyPr>
              <a:lstStyle/>
              <a:p>
                <a:pPr>
                  <a:defRPr sz="700">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Лист1!$B$4:$T$4</c:f>
              <c:strCache>
                <c:ptCount val="19"/>
                <c:pt idx="0">
                  <c:v>2000 г.</c:v>
                </c:pt>
                <c:pt idx="1">
                  <c:v>2001 г.</c:v>
                </c:pt>
                <c:pt idx="2">
                  <c:v>2002 г.</c:v>
                </c:pt>
                <c:pt idx="3">
                  <c:v>2003 г.</c:v>
                </c:pt>
                <c:pt idx="4">
                  <c:v>2004 г.</c:v>
                </c:pt>
                <c:pt idx="5">
                  <c:v>2005 г.</c:v>
                </c:pt>
                <c:pt idx="6">
                  <c:v>2006 г.</c:v>
                </c:pt>
                <c:pt idx="7">
                  <c:v>2007 г.</c:v>
                </c:pt>
                <c:pt idx="8">
                  <c:v>2008 г.</c:v>
                </c:pt>
                <c:pt idx="9">
                  <c:v>2009 г.</c:v>
                </c:pt>
                <c:pt idx="10">
                  <c:v>2010г.</c:v>
                </c:pt>
                <c:pt idx="11">
                  <c:v>2011г.</c:v>
                </c:pt>
                <c:pt idx="12">
                  <c:v>2012г.</c:v>
                </c:pt>
                <c:pt idx="13">
                  <c:v>2013г.</c:v>
                </c:pt>
                <c:pt idx="14">
                  <c:v>2014г.</c:v>
                </c:pt>
                <c:pt idx="15">
                  <c:v>2015г.</c:v>
                </c:pt>
                <c:pt idx="16">
                  <c:v>2016г.</c:v>
                </c:pt>
                <c:pt idx="17">
                  <c:v>2017г.</c:v>
                </c:pt>
                <c:pt idx="18">
                  <c:v>2018г.</c:v>
                </c:pt>
              </c:strCache>
            </c:strRef>
          </c:cat>
          <c:val>
            <c:numRef>
              <c:f>Лист1!$B$6:$T$6</c:f>
              <c:numCache>
                <c:formatCode>General</c:formatCode>
                <c:ptCount val="19"/>
                <c:pt idx="0">
                  <c:v>2713</c:v>
                </c:pt>
                <c:pt idx="1">
                  <c:v>2831</c:v>
                </c:pt>
                <c:pt idx="2">
                  <c:v>2889</c:v>
                </c:pt>
                <c:pt idx="3">
                  <c:v>3178</c:v>
                </c:pt>
                <c:pt idx="4">
                  <c:v>3150</c:v>
                </c:pt>
                <c:pt idx="5">
                  <c:v>3237</c:v>
                </c:pt>
                <c:pt idx="6">
                  <c:v>3239</c:v>
                </c:pt>
                <c:pt idx="7">
                  <c:v>3125</c:v>
                </c:pt>
                <c:pt idx="8">
                  <c:v>3164</c:v>
                </c:pt>
                <c:pt idx="9">
                  <c:v>3136</c:v>
                </c:pt>
                <c:pt idx="10">
                  <c:v>3350</c:v>
                </c:pt>
                <c:pt idx="11">
                  <c:v>3456</c:v>
                </c:pt>
                <c:pt idx="12">
                  <c:v>3413</c:v>
                </c:pt>
                <c:pt idx="13">
                  <c:v>3214</c:v>
                </c:pt>
                <c:pt idx="14">
                  <c:v>3014</c:v>
                </c:pt>
                <c:pt idx="15">
                  <c:v>3258</c:v>
                </c:pt>
                <c:pt idx="16">
                  <c:v>3479</c:v>
                </c:pt>
                <c:pt idx="17">
                  <c:v>3441</c:v>
                </c:pt>
                <c:pt idx="18">
                  <c:v>3451</c:v>
                </c:pt>
              </c:numCache>
            </c:numRef>
          </c:val>
          <c:smooth val="0"/>
          <c:extLst xmlns:c16r2="http://schemas.microsoft.com/office/drawing/2015/06/chart">
            <c:ext xmlns:c16="http://schemas.microsoft.com/office/drawing/2014/chart" uri="{C3380CC4-5D6E-409C-BE32-E72D297353CC}">
              <c16:uniqueId val="{00000002-2213-40E8-AE14-4465B8AAC043}"/>
            </c:ext>
          </c:extLst>
        </c:ser>
        <c:ser>
          <c:idx val="2"/>
          <c:order val="2"/>
          <c:tx>
            <c:strRef>
              <c:f>Лист1!$A$7</c:f>
              <c:strCache>
                <c:ptCount val="1"/>
                <c:pt idx="0">
                  <c:v>Потребность в кардио- и нейрореабилитации</c:v>
                </c:pt>
              </c:strCache>
            </c:strRef>
          </c:tx>
          <c:spPr>
            <a:ln w="22225">
              <a:solidFill>
                <a:sysClr val="windowText" lastClr="000000"/>
              </a:solidFill>
            </a:ln>
          </c:spPr>
          <c:marker>
            <c:symbol val="none"/>
          </c:marker>
          <c:dLbls>
            <c:spPr>
              <a:noFill/>
              <a:ln>
                <a:noFill/>
              </a:ln>
              <a:effectLst/>
            </c:spPr>
            <c:txPr>
              <a:bodyPr wrap="square" lIns="38100" tIns="19050" rIns="38100" bIns="19050" anchor="ctr">
                <a:spAutoFit/>
              </a:bodyPr>
              <a:lstStyle/>
              <a:p>
                <a:pPr>
                  <a:defRPr sz="700">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Лист1!$B$4:$T$4</c:f>
              <c:strCache>
                <c:ptCount val="19"/>
                <c:pt idx="0">
                  <c:v>2000 г.</c:v>
                </c:pt>
                <c:pt idx="1">
                  <c:v>2001 г.</c:v>
                </c:pt>
                <c:pt idx="2">
                  <c:v>2002 г.</c:v>
                </c:pt>
                <c:pt idx="3">
                  <c:v>2003 г.</c:v>
                </c:pt>
                <c:pt idx="4">
                  <c:v>2004 г.</c:v>
                </c:pt>
                <c:pt idx="5">
                  <c:v>2005 г.</c:v>
                </c:pt>
                <c:pt idx="6">
                  <c:v>2006 г.</c:v>
                </c:pt>
                <c:pt idx="7">
                  <c:v>2007 г.</c:v>
                </c:pt>
                <c:pt idx="8">
                  <c:v>2008 г.</c:v>
                </c:pt>
                <c:pt idx="9">
                  <c:v>2009 г.</c:v>
                </c:pt>
                <c:pt idx="10">
                  <c:v>2010г.</c:v>
                </c:pt>
                <c:pt idx="11">
                  <c:v>2011г.</c:v>
                </c:pt>
                <c:pt idx="12">
                  <c:v>2012г.</c:v>
                </c:pt>
                <c:pt idx="13">
                  <c:v>2013г.</c:v>
                </c:pt>
                <c:pt idx="14">
                  <c:v>2014г.</c:v>
                </c:pt>
                <c:pt idx="15">
                  <c:v>2015г.</c:v>
                </c:pt>
                <c:pt idx="16">
                  <c:v>2016г.</c:v>
                </c:pt>
                <c:pt idx="17">
                  <c:v>2017г.</c:v>
                </c:pt>
                <c:pt idx="18">
                  <c:v>2018г.</c:v>
                </c:pt>
              </c:strCache>
            </c:strRef>
          </c:cat>
          <c:val>
            <c:numRef>
              <c:f>Лист1!$B$7:$T$7</c:f>
              <c:numCache>
                <c:formatCode>General</c:formatCode>
                <c:ptCount val="19"/>
                <c:pt idx="0">
                  <c:v>4498</c:v>
                </c:pt>
                <c:pt idx="1">
                  <c:v>4607</c:v>
                </c:pt>
                <c:pt idx="2">
                  <c:v>4719</c:v>
                </c:pt>
                <c:pt idx="3">
                  <c:v>4945</c:v>
                </c:pt>
                <c:pt idx="4">
                  <c:v>4912</c:v>
                </c:pt>
                <c:pt idx="5">
                  <c:v>4909</c:v>
                </c:pt>
                <c:pt idx="6">
                  <c:v>4832</c:v>
                </c:pt>
                <c:pt idx="7">
                  <c:v>4893</c:v>
                </c:pt>
                <c:pt idx="8">
                  <c:v>4802</c:v>
                </c:pt>
                <c:pt idx="9">
                  <c:v>4770</c:v>
                </c:pt>
                <c:pt idx="10">
                  <c:v>5024</c:v>
                </c:pt>
                <c:pt idx="11">
                  <c:v>5062</c:v>
                </c:pt>
                <c:pt idx="12">
                  <c:v>5156</c:v>
                </c:pt>
                <c:pt idx="13">
                  <c:v>4773</c:v>
                </c:pt>
                <c:pt idx="14">
                  <c:v>4610</c:v>
                </c:pt>
                <c:pt idx="15">
                  <c:v>4918</c:v>
                </c:pt>
                <c:pt idx="16">
                  <c:v>5259</c:v>
                </c:pt>
                <c:pt idx="17">
                  <c:v>5150</c:v>
                </c:pt>
                <c:pt idx="18">
                  <c:v>5203</c:v>
                </c:pt>
              </c:numCache>
            </c:numRef>
          </c:val>
          <c:smooth val="0"/>
          <c:extLst xmlns:c16r2="http://schemas.microsoft.com/office/drawing/2015/06/chart">
            <c:ext xmlns:c16="http://schemas.microsoft.com/office/drawing/2014/chart" uri="{C3380CC4-5D6E-409C-BE32-E72D297353CC}">
              <c16:uniqueId val="{00000003-2213-40E8-AE14-4465B8AAC043}"/>
            </c:ext>
          </c:extLst>
        </c:ser>
        <c:ser>
          <c:idx val="3"/>
          <c:order val="3"/>
          <c:tx>
            <c:strRef>
              <c:f>Лист1!$A$8</c:f>
              <c:strCache>
                <c:ptCount val="1"/>
              </c:strCache>
            </c:strRef>
          </c:tx>
          <c:marker>
            <c:symbol val="none"/>
          </c:marker>
          <c:cat>
            <c:strRef>
              <c:f>Лист1!$B$4:$T$4</c:f>
              <c:strCache>
                <c:ptCount val="19"/>
                <c:pt idx="0">
                  <c:v>2000 г.</c:v>
                </c:pt>
                <c:pt idx="1">
                  <c:v>2001 г.</c:v>
                </c:pt>
                <c:pt idx="2">
                  <c:v>2002 г.</c:v>
                </c:pt>
                <c:pt idx="3">
                  <c:v>2003 г.</c:v>
                </c:pt>
                <c:pt idx="4">
                  <c:v>2004 г.</c:v>
                </c:pt>
                <c:pt idx="5">
                  <c:v>2005 г.</c:v>
                </c:pt>
                <c:pt idx="6">
                  <c:v>2006 г.</c:v>
                </c:pt>
                <c:pt idx="7">
                  <c:v>2007 г.</c:v>
                </c:pt>
                <c:pt idx="8">
                  <c:v>2008 г.</c:v>
                </c:pt>
                <c:pt idx="9">
                  <c:v>2009 г.</c:v>
                </c:pt>
                <c:pt idx="10">
                  <c:v>2010г.</c:v>
                </c:pt>
                <c:pt idx="11">
                  <c:v>2011г.</c:v>
                </c:pt>
                <c:pt idx="12">
                  <c:v>2012г.</c:v>
                </c:pt>
                <c:pt idx="13">
                  <c:v>2013г.</c:v>
                </c:pt>
                <c:pt idx="14">
                  <c:v>2014г.</c:v>
                </c:pt>
                <c:pt idx="15">
                  <c:v>2015г.</c:v>
                </c:pt>
                <c:pt idx="16">
                  <c:v>2016г.</c:v>
                </c:pt>
                <c:pt idx="17">
                  <c:v>2017г.</c:v>
                </c:pt>
                <c:pt idx="18">
                  <c:v>2018г.</c:v>
                </c:pt>
              </c:strCache>
            </c:strRef>
          </c:cat>
          <c:val>
            <c:numRef>
              <c:f>Лист1!$B$8:$T$8</c:f>
              <c:numCache>
                <c:formatCode>General</c:formatCode>
                <c:ptCount val="19"/>
              </c:numCache>
            </c:numRef>
          </c:val>
          <c:smooth val="0"/>
          <c:extLst xmlns:c16r2="http://schemas.microsoft.com/office/drawing/2015/06/chart">
            <c:ext xmlns:c16="http://schemas.microsoft.com/office/drawing/2014/chart" uri="{C3380CC4-5D6E-409C-BE32-E72D297353CC}">
              <c16:uniqueId val="{00000004-2213-40E8-AE14-4465B8AAC043}"/>
            </c:ext>
          </c:extLst>
        </c:ser>
        <c:dLbls>
          <c:showLegendKey val="0"/>
          <c:showVal val="0"/>
          <c:showCatName val="0"/>
          <c:showSerName val="0"/>
          <c:showPercent val="0"/>
          <c:showBubbleSize val="0"/>
        </c:dLbls>
        <c:marker val="1"/>
        <c:smooth val="0"/>
        <c:axId val="135051136"/>
        <c:axId val="135052672"/>
      </c:lineChart>
      <c:catAx>
        <c:axId val="135051136"/>
        <c:scaling>
          <c:orientation val="minMax"/>
        </c:scaling>
        <c:delete val="0"/>
        <c:axPos val="b"/>
        <c:numFmt formatCode="General" sourceLinked="0"/>
        <c:majorTickMark val="out"/>
        <c:minorTickMark val="none"/>
        <c:tickLblPos val="nextTo"/>
        <c:txPr>
          <a:bodyPr rot="-5400000"/>
          <a:lstStyle/>
          <a:p>
            <a:pPr>
              <a:defRPr sz="800">
                <a:latin typeface="Arial" pitchFamily="34" charset="0"/>
                <a:cs typeface="Arial" pitchFamily="34" charset="0"/>
              </a:defRPr>
            </a:pPr>
            <a:endParaRPr lang="ru-RU"/>
          </a:p>
        </c:txPr>
        <c:crossAx val="135052672"/>
        <c:crosses val="autoZero"/>
        <c:auto val="1"/>
        <c:lblAlgn val="ctr"/>
        <c:lblOffset val="100"/>
        <c:noMultiLvlLbl val="0"/>
      </c:catAx>
      <c:valAx>
        <c:axId val="135052672"/>
        <c:scaling>
          <c:orientation val="minMax"/>
          <c:max val="6000"/>
        </c:scaling>
        <c:delete val="0"/>
        <c:axPos val="l"/>
        <c:majorGridlines>
          <c:spPr>
            <a:ln>
              <a:noFill/>
            </a:ln>
          </c:spPr>
        </c:majorGridlines>
        <c:numFmt formatCode="General" sourceLinked="1"/>
        <c:majorTickMark val="out"/>
        <c:minorTickMark val="none"/>
        <c:tickLblPos val="nextTo"/>
        <c:txPr>
          <a:bodyPr/>
          <a:lstStyle/>
          <a:p>
            <a:pPr>
              <a:defRPr sz="700">
                <a:latin typeface="Arial" pitchFamily="34" charset="0"/>
                <a:cs typeface="Arial" pitchFamily="34" charset="0"/>
              </a:defRPr>
            </a:pPr>
            <a:endParaRPr lang="ru-RU"/>
          </a:p>
        </c:txPr>
        <c:crossAx val="135051136"/>
        <c:crosses val="autoZero"/>
        <c:crossBetween val="between"/>
      </c:valAx>
      <c:spPr>
        <a:noFill/>
      </c:spPr>
    </c:plotArea>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275485518505286E-2"/>
          <c:y val="5.9225578402595569E-2"/>
          <c:w val="0.91776497398902979"/>
          <c:h val="0.8382697250828911"/>
        </c:manualLayout>
      </c:layout>
      <c:barChart>
        <c:barDir val="col"/>
        <c:grouping val="clustered"/>
        <c:varyColors val="0"/>
        <c:ser>
          <c:idx val="1"/>
          <c:order val="1"/>
          <c:spPr>
            <a:solidFill>
              <a:schemeClr val="bg1">
                <a:lumMod val="75000"/>
              </a:schemeClr>
            </a:solidFill>
          </c:spPr>
          <c:invertIfNegative val="0"/>
          <c:cat>
            <c:strRef>
              <c:f>Лист5!$K$5:$O$5</c:f>
              <c:strCache>
                <c:ptCount val="5"/>
                <c:pt idx="0">
                  <c:v>2014 г.</c:v>
                </c:pt>
                <c:pt idx="1">
                  <c:v>2015 г.</c:v>
                </c:pt>
                <c:pt idx="2">
                  <c:v>2016 г.</c:v>
                </c:pt>
                <c:pt idx="3">
                  <c:v>2017 г.</c:v>
                </c:pt>
                <c:pt idx="4">
                  <c:v>2018 г.</c:v>
                </c:pt>
              </c:strCache>
            </c:strRef>
          </c:cat>
          <c:val>
            <c:numRef>
              <c:f>Лист5!$K$7:$O$7</c:f>
              <c:numCache>
                <c:formatCode>General</c:formatCode>
                <c:ptCount val="5"/>
              </c:numCache>
            </c:numRef>
          </c:val>
          <c:extLst xmlns:c16r2="http://schemas.microsoft.com/office/drawing/2015/06/chart">
            <c:ext xmlns:c16="http://schemas.microsoft.com/office/drawing/2014/chart" uri="{C3380CC4-5D6E-409C-BE32-E72D297353CC}">
              <c16:uniqueId val="{00000000-546D-4E94-A948-03DDCA825538}"/>
            </c:ext>
          </c:extLst>
        </c:ser>
        <c:dLbls>
          <c:showLegendKey val="0"/>
          <c:showVal val="0"/>
          <c:showCatName val="0"/>
          <c:showSerName val="0"/>
          <c:showPercent val="0"/>
          <c:showBubbleSize val="0"/>
        </c:dLbls>
        <c:gapWidth val="0"/>
        <c:axId val="135562368"/>
        <c:axId val="135563904"/>
      </c:barChart>
      <c:lineChart>
        <c:grouping val="standard"/>
        <c:varyColors val="0"/>
        <c:ser>
          <c:idx val="0"/>
          <c:order val="0"/>
          <c:spPr>
            <a:ln w="22225">
              <a:solidFill>
                <a:srgbClr val="000000"/>
              </a:solidFill>
              <a:prstDash val="solid"/>
            </a:ln>
          </c:spPr>
          <c:marker>
            <c:symbol val="none"/>
          </c:marker>
          <c:dLbls>
            <c:dLbl>
              <c:idx val="2"/>
              <c:layout>
                <c:manualLayout>
                  <c:x val="-6.8306592110768838E-2"/>
                  <c:y val="-7.855091361987394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46D-4E94-A948-03DDCA825538}"/>
                </c:ext>
              </c:extLst>
            </c:dLbl>
            <c:spPr>
              <a:noFill/>
              <a:ln w="25400">
                <a:noFill/>
              </a:ln>
            </c:spPr>
            <c:txPr>
              <a:bodyPr/>
              <a:lstStyle/>
              <a:p>
                <a:pPr>
                  <a:defRPr sz="800" b="0" i="0" u="none" strike="noStrike" baseline="0">
                    <a:solidFill>
                      <a:srgbClr val="000000"/>
                    </a:solidFill>
                    <a:latin typeface="Arial" pitchFamily="34" charset="0"/>
                    <a:ea typeface="Arial Cyr"/>
                    <a:cs typeface="Arial"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Лист5!$K$5:$O$5</c:f>
              <c:strCache>
                <c:ptCount val="5"/>
                <c:pt idx="0">
                  <c:v>2014 г.</c:v>
                </c:pt>
                <c:pt idx="1">
                  <c:v>2015 г.</c:v>
                </c:pt>
                <c:pt idx="2">
                  <c:v>2016 г.</c:v>
                </c:pt>
                <c:pt idx="3">
                  <c:v>2017 г.</c:v>
                </c:pt>
                <c:pt idx="4">
                  <c:v>2018 г.</c:v>
                </c:pt>
              </c:strCache>
            </c:strRef>
          </c:cat>
          <c:val>
            <c:numRef>
              <c:f>Лист5!$K$6:$O$6</c:f>
              <c:numCache>
                <c:formatCode>0.0</c:formatCode>
                <c:ptCount val="5"/>
                <c:pt idx="0">
                  <c:v>47.635574837310195</c:v>
                </c:pt>
                <c:pt idx="1">
                  <c:v>41.744611630744203</c:v>
                </c:pt>
                <c:pt idx="2">
                  <c:v>63.262977752424419</c:v>
                </c:pt>
                <c:pt idx="3">
                  <c:v>56.252427184466015</c:v>
                </c:pt>
                <c:pt idx="4">
                  <c:v>52.738804535844707</c:v>
                </c:pt>
              </c:numCache>
            </c:numRef>
          </c:val>
          <c:smooth val="0"/>
          <c:extLst xmlns:c16r2="http://schemas.microsoft.com/office/drawing/2015/06/chart">
            <c:ext xmlns:c16="http://schemas.microsoft.com/office/drawing/2014/chart" uri="{C3380CC4-5D6E-409C-BE32-E72D297353CC}">
              <c16:uniqueId val="{00000002-546D-4E94-A948-03DDCA825538}"/>
            </c:ext>
          </c:extLst>
        </c:ser>
        <c:dLbls>
          <c:showLegendKey val="0"/>
          <c:showVal val="0"/>
          <c:showCatName val="0"/>
          <c:showSerName val="0"/>
          <c:showPercent val="0"/>
          <c:showBubbleSize val="0"/>
        </c:dLbls>
        <c:marker val="1"/>
        <c:smooth val="0"/>
        <c:axId val="135562368"/>
        <c:axId val="135563904"/>
      </c:lineChart>
      <c:catAx>
        <c:axId val="135562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35563904"/>
        <c:crosses val="autoZero"/>
        <c:auto val="1"/>
        <c:lblAlgn val="ctr"/>
        <c:lblOffset val="100"/>
        <c:tickLblSkip val="1"/>
        <c:tickMarkSkip val="1"/>
        <c:noMultiLvlLbl val="0"/>
      </c:catAx>
      <c:valAx>
        <c:axId val="135563904"/>
        <c:scaling>
          <c:orientation val="minMax"/>
          <c:max val="70"/>
        </c:scaling>
        <c:delete val="0"/>
        <c:axPos val="l"/>
        <c:majorGridlines>
          <c:spPr>
            <a:ln w="3175">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35562368"/>
        <c:crosses val="autoZero"/>
        <c:crossBetween val="between"/>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0.70298</cdr:x>
      <cdr:y>0.72514</cdr:y>
    </cdr:from>
    <cdr:to>
      <cdr:x>0.84156</cdr:x>
      <cdr:y>0.78846</cdr:y>
    </cdr:to>
    <cdr:sp macro="" textlink="">
      <cdr:nvSpPr>
        <cdr:cNvPr id="4" name="TextBox 2"/>
        <cdr:cNvSpPr txBox="1"/>
      </cdr:nvSpPr>
      <cdr:spPr>
        <a:xfrm xmlns:a="http://schemas.openxmlformats.org/drawingml/2006/main">
          <a:off x="3689884" y="2632930"/>
          <a:ext cx="727394" cy="2299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i="1">
              <a:latin typeface="Arial" pitchFamily="34" charset="0"/>
              <a:cs typeface="Arial" pitchFamily="34" charset="0"/>
            </a:rPr>
            <a:t>Франция</a:t>
          </a:r>
        </a:p>
      </cdr:txBody>
    </cdr:sp>
  </cdr:relSizeAnchor>
  <cdr:relSizeAnchor xmlns:cdr="http://schemas.openxmlformats.org/drawingml/2006/chartDrawing">
    <cdr:from>
      <cdr:x>0.13069</cdr:x>
      <cdr:y>0.32248</cdr:y>
    </cdr:from>
    <cdr:to>
      <cdr:x>0.27543</cdr:x>
      <cdr:y>0.42275</cdr:y>
    </cdr:to>
    <cdr:sp macro="" textlink="">
      <cdr:nvSpPr>
        <cdr:cNvPr id="6" name="TextBox 4"/>
        <cdr:cNvSpPr txBox="1"/>
      </cdr:nvSpPr>
      <cdr:spPr>
        <a:xfrm xmlns:a="http://schemas.openxmlformats.org/drawingml/2006/main">
          <a:off x="685957" y="1170919"/>
          <a:ext cx="759728" cy="3640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0">
              <a:latin typeface="Arial" pitchFamily="34" charset="0"/>
              <a:cs typeface="Arial" pitchFamily="34" charset="0"/>
            </a:rPr>
            <a:t>+2,4%</a:t>
          </a:r>
        </a:p>
        <a:p xmlns:a="http://schemas.openxmlformats.org/drawingml/2006/main">
          <a:pPr algn="ctr"/>
          <a:r>
            <a:rPr lang="ru-RU" sz="900" b="0">
              <a:latin typeface="Arial" pitchFamily="34" charset="0"/>
              <a:cs typeface="Arial" pitchFamily="34" charset="0"/>
            </a:rPr>
            <a:t>в год</a:t>
          </a:r>
        </a:p>
      </cdr:txBody>
    </cdr:sp>
  </cdr:relSizeAnchor>
  <cdr:relSizeAnchor xmlns:cdr="http://schemas.openxmlformats.org/drawingml/2006/chartDrawing">
    <cdr:from>
      <cdr:x>0.80939</cdr:x>
      <cdr:y>0.183</cdr:y>
    </cdr:from>
    <cdr:to>
      <cdr:x>0.97737</cdr:x>
      <cdr:y>0.27462</cdr:y>
    </cdr:to>
    <cdr:sp macro="" textlink="">
      <cdr:nvSpPr>
        <cdr:cNvPr id="9" name="TextBox 7"/>
        <cdr:cNvSpPr txBox="1"/>
      </cdr:nvSpPr>
      <cdr:spPr>
        <a:xfrm xmlns:a="http://schemas.openxmlformats.org/drawingml/2006/main">
          <a:off x="4248419" y="664456"/>
          <a:ext cx="881709" cy="332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i="1">
              <a:latin typeface="Arial" pitchFamily="34" charset="0"/>
              <a:cs typeface="Arial" pitchFamily="34" charset="0"/>
            </a:rPr>
            <a:t>Вологодская область</a:t>
          </a:r>
        </a:p>
      </cdr:txBody>
    </cdr:sp>
  </cdr:relSizeAnchor>
  <cdr:relSizeAnchor xmlns:cdr="http://schemas.openxmlformats.org/drawingml/2006/chartDrawing">
    <cdr:from>
      <cdr:x>0.84352</cdr:x>
      <cdr:y>0.54242</cdr:y>
    </cdr:from>
    <cdr:to>
      <cdr:x>0.94807</cdr:x>
      <cdr:y>0.59085</cdr:y>
    </cdr:to>
    <cdr:sp macro="" textlink="">
      <cdr:nvSpPr>
        <cdr:cNvPr id="10" name="TextBox 8"/>
        <cdr:cNvSpPr txBox="1"/>
      </cdr:nvSpPr>
      <cdr:spPr>
        <a:xfrm xmlns:a="http://schemas.openxmlformats.org/drawingml/2006/main">
          <a:off x="4427575" y="1969476"/>
          <a:ext cx="548774" cy="1758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i="1">
              <a:latin typeface="Arial" pitchFamily="34" charset="0"/>
              <a:cs typeface="Arial" pitchFamily="34" charset="0"/>
            </a:rPr>
            <a:t>РФ</a:t>
          </a:r>
        </a:p>
      </cdr:txBody>
    </cdr:sp>
  </cdr:relSizeAnchor>
  <cdr:relSizeAnchor xmlns:cdr="http://schemas.openxmlformats.org/drawingml/2006/chartDrawing">
    <cdr:from>
      <cdr:x>0.72846</cdr:x>
      <cdr:y>0.66165</cdr:y>
    </cdr:from>
    <cdr:to>
      <cdr:x>0.88023</cdr:x>
      <cdr:y>0.71326</cdr:y>
    </cdr:to>
    <cdr:sp macro="" textlink="">
      <cdr:nvSpPr>
        <cdr:cNvPr id="11" name="TextBox 9"/>
        <cdr:cNvSpPr txBox="1"/>
      </cdr:nvSpPr>
      <cdr:spPr>
        <a:xfrm xmlns:a="http://schemas.openxmlformats.org/drawingml/2006/main">
          <a:off x="3823602" y="2402414"/>
          <a:ext cx="796627" cy="187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i="1">
              <a:latin typeface="Arial" pitchFamily="34" charset="0"/>
              <a:cs typeface="Arial" pitchFamily="34" charset="0"/>
            </a:rPr>
            <a:t>Германия</a:t>
          </a:r>
        </a:p>
        <a:p xmlns:a="http://schemas.openxmlformats.org/drawingml/2006/main">
          <a:pPr algn="ctr"/>
          <a:endParaRPr lang="ru-RU" sz="900" b="1" i="1">
            <a:latin typeface="Arial" pitchFamily="34" charset="0"/>
            <a:cs typeface="Arial" pitchFamily="34" charset="0"/>
          </a:endParaRPr>
        </a:p>
      </cdr:txBody>
    </cdr:sp>
  </cdr:relSizeAnchor>
  <cdr:relSizeAnchor xmlns:cdr="http://schemas.openxmlformats.org/drawingml/2006/chartDrawing">
    <cdr:from>
      <cdr:x>0.13153</cdr:x>
      <cdr:y>0.05712</cdr:y>
    </cdr:from>
    <cdr:to>
      <cdr:x>0.23973</cdr:x>
      <cdr:y>0.14822</cdr:y>
    </cdr:to>
    <cdr:sp macro="" textlink="">
      <cdr:nvSpPr>
        <cdr:cNvPr id="14" name="TextBox 4"/>
        <cdr:cNvSpPr txBox="1"/>
      </cdr:nvSpPr>
      <cdr:spPr>
        <a:xfrm xmlns:a="http://schemas.openxmlformats.org/drawingml/2006/main">
          <a:off x="690383" y="207391"/>
          <a:ext cx="567931" cy="3307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0">
              <a:latin typeface="Arial" pitchFamily="34" charset="0"/>
              <a:cs typeface="Arial" pitchFamily="34" charset="0"/>
            </a:rPr>
            <a:t>+</a:t>
          </a:r>
          <a:r>
            <a:rPr lang="ru-RU" sz="900" b="0">
              <a:latin typeface="Arial" pitchFamily="34" charset="0"/>
              <a:cs typeface="Arial" pitchFamily="34" charset="0"/>
            </a:rPr>
            <a:t>3,0%</a:t>
          </a:r>
        </a:p>
        <a:p xmlns:a="http://schemas.openxmlformats.org/drawingml/2006/main">
          <a:pPr algn="ctr"/>
          <a:r>
            <a:rPr lang="ru-RU" sz="900" b="0">
              <a:latin typeface="Arial" pitchFamily="34" charset="0"/>
              <a:cs typeface="Arial" pitchFamily="34" charset="0"/>
            </a:rPr>
            <a:t>в год</a:t>
          </a:r>
        </a:p>
      </cdr:txBody>
    </cdr:sp>
  </cdr:relSizeAnchor>
  <cdr:relSizeAnchor xmlns:cdr="http://schemas.openxmlformats.org/drawingml/2006/chartDrawing">
    <cdr:from>
      <cdr:x>0.4633</cdr:x>
      <cdr:y>0.07867</cdr:y>
    </cdr:from>
    <cdr:to>
      <cdr:x>0.54673</cdr:x>
      <cdr:y>0.13679</cdr:y>
    </cdr:to>
    <cdr:sp macro="" textlink="">
      <cdr:nvSpPr>
        <cdr:cNvPr id="8" name="TextBox 4"/>
        <cdr:cNvSpPr txBox="1"/>
      </cdr:nvSpPr>
      <cdr:spPr>
        <a:xfrm xmlns:a="http://schemas.openxmlformats.org/drawingml/2006/main">
          <a:off x="2957275" y="285645"/>
          <a:ext cx="532535" cy="211030"/>
        </a:xfrm>
        <a:prstGeom xmlns:a="http://schemas.openxmlformats.org/drawingml/2006/main" prst="rect">
          <a:avLst/>
        </a:prstGeom>
      </cdr:spPr>
    </cdr:sp>
  </cdr:relSizeAnchor>
  <cdr:relSizeAnchor xmlns:cdr="http://schemas.openxmlformats.org/drawingml/2006/chartDrawing">
    <cdr:from>
      <cdr:x>0.4503</cdr:x>
      <cdr:y>0.04581</cdr:y>
    </cdr:from>
    <cdr:to>
      <cdr:x>0.5578</cdr:x>
      <cdr:y>0.12834</cdr:y>
    </cdr:to>
    <cdr:sp macro="" textlink="">
      <cdr:nvSpPr>
        <cdr:cNvPr id="12" name="TextBox 4"/>
        <cdr:cNvSpPr txBox="1"/>
      </cdr:nvSpPr>
      <cdr:spPr>
        <a:xfrm xmlns:a="http://schemas.openxmlformats.org/drawingml/2006/main">
          <a:off x="2363584" y="166336"/>
          <a:ext cx="564255" cy="29965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latin typeface="Arial" pitchFamily="34" charset="0"/>
              <a:cs typeface="Arial" pitchFamily="34" charset="0"/>
            </a:rPr>
            <a:t>+0,2%</a:t>
          </a:r>
          <a:r>
            <a:rPr lang="ru-RU" sz="900" baseline="0">
              <a:latin typeface="Arial" pitchFamily="34" charset="0"/>
              <a:cs typeface="Arial" pitchFamily="34" charset="0"/>
            </a:rPr>
            <a:t> </a:t>
          </a:r>
          <a:br>
            <a:rPr lang="ru-RU" sz="900" baseline="0">
              <a:latin typeface="Arial" pitchFamily="34" charset="0"/>
              <a:cs typeface="Arial" pitchFamily="34" charset="0"/>
            </a:rPr>
          </a:br>
          <a:r>
            <a:rPr lang="ru-RU" sz="900" baseline="0">
              <a:latin typeface="Arial" pitchFamily="34" charset="0"/>
              <a:cs typeface="Arial" pitchFamily="34" charset="0"/>
            </a:rPr>
            <a:t>в год</a:t>
          </a:r>
          <a:endParaRPr lang="ru-RU" sz="900">
            <a:latin typeface="Arial" pitchFamily="34" charset="0"/>
            <a:cs typeface="Arial" pitchFamily="34" charset="0"/>
          </a:endParaRPr>
        </a:p>
      </cdr:txBody>
    </cdr:sp>
  </cdr:relSizeAnchor>
  <cdr:relSizeAnchor xmlns:cdr="http://schemas.openxmlformats.org/drawingml/2006/chartDrawing">
    <cdr:from>
      <cdr:x>0.44652</cdr:x>
      <cdr:y>0.34934</cdr:y>
    </cdr:from>
    <cdr:to>
      <cdr:x>0.56115</cdr:x>
      <cdr:y>0.43829</cdr:y>
    </cdr:to>
    <cdr:sp macro="" textlink="">
      <cdr:nvSpPr>
        <cdr:cNvPr id="13" name="TextBox 4"/>
        <cdr:cNvSpPr txBox="1"/>
      </cdr:nvSpPr>
      <cdr:spPr>
        <a:xfrm xmlns:a="http://schemas.openxmlformats.org/drawingml/2006/main">
          <a:off x="2343768" y="1268428"/>
          <a:ext cx="601656" cy="3229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latin typeface="Arial" pitchFamily="34" charset="0"/>
              <a:cs typeface="Arial" pitchFamily="34" charset="0"/>
            </a:rPr>
            <a:t>-1,9%</a:t>
          </a:r>
          <a:r>
            <a:rPr lang="ru-RU" sz="900" baseline="0">
              <a:latin typeface="Arial" pitchFamily="34" charset="0"/>
              <a:cs typeface="Arial" pitchFamily="34" charset="0"/>
            </a:rPr>
            <a:t> </a:t>
          </a:r>
        </a:p>
        <a:p xmlns:a="http://schemas.openxmlformats.org/drawingml/2006/main">
          <a:pPr algn="ctr"/>
          <a:r>
            <a:rPr lang="ru-RU" sz="900" baseline="0">
              <a:latin typeface="Arial" pitchFamily="34" charset="0"/>
              <a:cs typeface="Arial" pitchFamily="34" charset="0"/>
            </a:rPr>
            <a:t>в год</a:t>
          </a:r>
          <a:endParaRPr lang="ru-RU" sz="90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0.27123</cdr:x>
      <cdr:y>0.00818</cdr:y>
    </cdr:from>
    <cdr:to>
      <cdr:x>0.5237</cdr:x>
      <cdr:y>0.10083</cdr:y>
    </cdr:to>
    <cdr:sp macro="" textlink="">
      <cdr:nvSpPr>
        <cdr:cNvPr id="2" name="TextBox 7"/>
        <cdr:cNvSpPr txBox="1"/>
      </cdr:nvSpPr>
      <cdr:spPr>
        <a:xfrm xmlns:a="http://schemas.openxmlformats.org/drawingml/2006/main">
          <a:off x="1461709" y="26377"/>
          <a:ext cx="1360622" cy="2989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800" i="1">
              <a:latin typeface="Arial" panose="020B0604020202020204" pitchFamily="34" charset="0"/>
              <a:cs typeface="Arial" panose="020B0604020202020204" pitchFamily="34" charset="0"/>
            </a:rPr>
            <a:t>Потребность в кардио-</a:t>
          </a:r>
          <a:r>
            <a:rPr lang="ru-RU" sz="800" i="1" baseline="0">
              <a:latin typeface="Arial" panose="020B0604020202020204" pitchFamily="34" charset="0"/>
              <a:cs typeface="Arial" panose="020B0604020202020204" pitchFamily="34" charset="0"/>
            </a:rPr>
            <a:t> и нейрореабилитации </a:t>
          </a:r>
          <a:endParaRPr lang="ru-RU" sz="800" i="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0.28097</cdr:x>
      <cdr:y>0.22642</cdr:y>
    </cdr:from>
    <cdr:to>
      <cdr:x>0.50249</cdr:x>
      <cdr:y>0.31338</cdr:y>
    </cdr:to>
    <cdr:sp macro="" textlink="">
      <cdr:nvSpPr>
        <cdr:cNvPr id="3" name="TextBox 7"/>
        <cdr:cNvSpPr txBox="1"/>
      </cdr:nvSpPr>
      <cdr:spPr>
        <a:xfrm xmlns:a="http://schemas.openxmlformats.org/drawingml/2006/main">
          <a:off x="1514237" y="730529"/>
          <a:ext cx="1193793" cy="2805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800" i="1">
              <a:latin typeface="Arial" panose="020B0604020202020204" pitchFamily="34" charset="0"/>
              <a:cs typeface="Arial" panose="020B0604020202020204" pitchFamily="34" charset="0"/>
            </a:rPr>
            <a:t>Число выписанных </a:t>
          </a:r>
          <a:br>
            <a:rPr lang="ru-RU" sz="800" i="1">
              <a:latin typeface="Arial" panose="020B0604020202020204" pitchFamily="34" charset="0"/>
              <a:cs typeface="Arial" panose="020B0604020202020204" pitchFamily="34" charset="0"/>
            </a:rPr>
          </a:br>
          <a:r>
            <a:rPr lang="ru-RU" sz="800" i="1">
              <a:latin typeface="Arial" panose="020B0604020202020204" pitchFamily="34" charset="0"/>
              <a:cs typeface="Arial" panose="020B0604020202020204" pitchFamily="34" charset="0"/>
            </a:rPr>
            <a:t>с ОНМК</a:t>
          </a:r>
        </a:p>
      </cdr:txBody>
    </cdr:sp>
  </cdr:relSizeAnchor>
  <cdr:relSizeAnchor xmlns:cdr="http://schemas.openxmlformats.org/drawingml/2006/chartDrawing">
    <cdr:from>
      <cdr:x>0.24794</cdr:x>
      <cdr:y>0.44838</cdr:y>
    </cdr:from>
    <cdr:to>
      <cdr:x>0.5188</cdr:x>
      <cdr:y>0.55864</cdr:y>
    </cdr:to>
    <cdr:sp macro="" textlink="">
      <cdr:nvSpPr>
        <cdr:cNvPr id="5" name="TextBox 7"/>
        <cdr:cNvSpPr txBox="1"/>
      </cdr:nvSpPr>
      <cdr:spPr>
        <a:xfrm xmlns:a="http://schemas.openxmlformats.org/drawingml/2006/main">
          <a:off x="1336193" y="1446668"/>
          <a:ext cx="1459760" cy="3557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800" i="1">
              <a:latin typeface="Arial" panose="020B0604020202020204" pitchFamily="34" charset="0"/>
              <a:cs typeface="Arial" panose="020B0604020202020204" pitchFamily="34" charset="0"/>
            </a:rPr>
            <a:t>Число выписанных с ОИМ и повторным ИМ</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66CF-21B0-43B0-B1EA-F77D6BDF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Груздева</dc:creator>
  <cp:keywords/>
  <dc:description/>
  <cp:lastModifiedBy>Мария Груздева</cp:lastModifiedBy>
  <cp:revision>29</cp:revision>
  <cp:lastPrinted>2020-03-20T06:31:00Z</cp:lastPrinted>
  <dcterms:created xsi:type="dcterms:W3CDTF">2018-03-22T07:39:00Z</dcterms:created>
  <dcterms:modified xsi:type="dcterms:W3CDTF">2020-03-20T07:59:00Z</dcterms:modified>
</cp:coreProperties>
</file>