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A7" w:rsidRPr="006B2B11" w:rsidRDefault="00906FC1" w:rsidP="00D25AA7">
      <w:pPr>
        <w:spacing w:after="0" w:line="360" w:lineRule="auto"/>
        <w:jc w:val="both"/>
        <w:rPr>
          <w:rFonts w:ascii="Times New Roman" w:hAnsi="Times New Roman" w:cs="Times New Roman"/>
          <w:sz w:val="24"/>
        </w:rPr>
      </w:pPr>
      <w:r w:rsidRPr="006B2B11">
        <w:rPr>
          <w:rFonts w:ascii="Times New Roman" w:hAnsi="Times New Roman" w:cs="Times New Roman"/>
          <w:sz w:val="24"/>
        </w:rPr>
        <w:t>УДК</w:t>
      </w:r>
      <w:r w:rsidR="00213D23" w:rsidRPr="006B2B11">
        <w:rPr>
          <w:rFonts w:ascii="Times New Roman" w:hAnsi="Times New Roman" w:cs="Times New Roman"/>
          <w:sz w:val="24"/>
        </w:rPr>
        <w:t xml:space="preserve"> 314.44 </w:t>
      </w:r>
      <w:r w:rsidRPr="006B2B11">
        <w:rPr>
          <w:rFonts w:ascii="Times New Roman" w:hAnsi="Times New Roman" w:cs="Times New Roman"/>
          <w:sz w:val="24"/>
        </w:rPr>
        <w:t>/</w:t>
      </w:r>
      <w:r w:rsidR="00213D23" w:rsidRPr="006B2B11">
        <w:rPr>
          <w:rFonts w:ascii="Times New Roman" w:hAnsi="Times New Roman" w:cs="Times New Roman"/>
          <w:sz w:val="24"/>
        </w:rPr>
        <w:t xml:space="preserve"> </w:t>
      </w:r>
      <w:r w:rsidRPr="006B2B11">
        <w:rPr>
          <w:rFonts w:ascii="Times New Roman" w:hAnsi="Times New Roman" w:cs="Times New Roman"/>
          <w:sz w:val="24"/>
        </w:rPr>
        <w:t>ББК</w:t>
      </w:r>
      <w:r w:rsidR="00213D23" w:rsidRPr="006B2B11">
        <w:rPr>
          <w:rFonts w:ascii="Times New Roman" w:hAnsi="Times New Roman" w:cs="Times New Roman"/>
          <w:sz w:val="24"/>
        </w:rPr>
        <w:t xml:space="preserve"> 60.7</w:t>
      </w:r>
    </w:p>
    <w:p w:rsidR="00D25AA7" w:rsidRPr="006B2B11" w:rsidRDefault="00906FC1" w:rsidP="00906FC1">
      <w:pPr>
        <w:spacing w:after="0" w:line="360" w:lineRule="auto"/>
        <w:jc w:val="right"/>
        <w:rPr>
          <w:rFonts w:ascii="Times New Roman" w:hAnsi="Times New Roman" w:cs="Times New Roman"/>
          <w:b/>
          <w:sz w:val="24"/>
        </w:rPr>
      </w:pPr>
      <w:r w:rsidRPr="006B2B11">
        <w:rPr>
          <w:rFonts w:ascii="Times New Roman" w:hAnsi="Times New Roman" w:cs="Times New Roman"/>
          <w:b/>
          <w:sz w:val="24"/>
        </w:rPr>
        <w:t>Нацун Л.Н.</w:t>
      </w:r>
    </w:p>
    <w:p w:rsidR="00D25AA7" w:rsidRPr="00B04457" w:rsidRDefault="00B04457" w:rsidP="00B04457">
      <w:pPr>
        <w:spacing w:after="0" w:line="360" w:lineRule="auto"/>
        <w:jc w:val="center"/>
        <w:rPr>
          <w:rFonts w:ascii="Times New Roman" w:hAnsi="Times New Roman" w:cs="Times New Roman"/>
          <w:b/>
          <w:bCs/>
          <w:sz w:val="24"/>
        </w:rPr>
      </w:pPr>
      <w:r w:rsidRPr="00B04457">
        <w:rPr>
          <w:rFonts w:ascii="Times New Roman" w:hAnsi="Times New Roman" w:cs="Times New Roman"/>
          <w:b/>
          <w:bCs/>
          <w:sz w:val="24"/>
        </w:rPr>
        <w:t xml:space="preserve">РЕТРОСПЕКТИВНЫЙ АНАЛИЗ ЗДОРОВЬЯ ДЕТЕЙ 2001 ГОДА РОЖДЕНИЯ </w:t>
      </w:r>
      <w:r>
        <w:rPr>
          <w:rFonts w:ascii="Times New Roman" w:hAnsi="Times New Roman" w:cs="Times New Roman"/>
          <w:b/>
          <w:bCs/>
          <w:sz w:val="24"/>
        </w:rPr>
        <w:br/>
      </w:r>
      <w:r w:rsidRPr="00B04457">
        <w:rPr>
          <w:rFonts w:ascii="Times New Roman" w:hAnsi="Times New Roman" w:cs="Times New Roman"/>
          <w:b/>
          <w:bCs/>
          <w:sz w:val="24"/>
        </w:rPr>
        <w:t>(ПО ДАННЫМ КОГОРТНОГО МОНИТОРИНГОВОГО ИССЛЕДОВАНИЯ)</w:t>
      </w:r>
    </w:p>
    <w:p w:rsidR="00906FC1" w:rsidRDefault="00906FC1" w:rsidP="00D25AA7">
      <w:pPr>
        <w:spacing w:after="0" w:line="360" w:lineRule="auto"/>
        <w:jc w:val="both"/>
        <w:rPr>
          <w:rFonts w:ascii="Times New Roman" w:hAnsi="Times New Roman" w:cs="Times New Roman"/>
          <w:sz w:val="24"/>
        </w:rPr>
      </w:pPr>
    </w:p>
    <w:p w:rsidR="00B86215" w:rsidRPr="00B86215" w:rsidRDefault="00B86215" w:rsidP="006B2B11">
      <w:pPr>
        <w:spacing w:after="0" w:line="240" w:lineRule="auto"/>
        <w:ind w:firstLine="709"/>
        <w:jc w:val="both"/>
        <w:rPr>
          <w:rFonts w:ascii="Times New Roman" w:hAnsi="Times New Roman" w:cs="Times New Roman"/>
          <w:sz w:val="24"/>
        </w:rPr>
      </w:pPr>
      <w:r w:rsidRPr="00B86215">
        <w:rPr>
          <w:rFonts w:ascii="Times New Roman" w:hAnsi="Times New Roman" w:cs="Times New Roman"/>
          <w:b/>
          <w:bCs/>
          <w:sz w:val="24"/>
        </w:rPr>
        <w:t>Аннотация</w:t>
      </w:r>
      <w:r w:rsidR="00815C2F">
        <w:rPr>
          <w:rFonts w:ascii="Times New Roman" w:hAnsi="Times New Roman" w:cs="Times New Roman"/>
          <w:b/>
          <w:bCs/>
          <w:sz w:val="24"/>
        </w:rPr>
        <w:t xml:space="preserve">. </w:t>
      </w:r>
      <w:r w:rsidR="00644FFE">
        <w:rPr>
          <w:rFonts w:ascii="Times New Roman" w:hAnsi="Times New Roman" w:cs="Times New Roman"/>
          <w:i/>
          <w:iCs/>
          <w:sz w:val="24"/>
        </w:rPr>
        <w:t>Н</w:t>
      </w:r>
      <w:r w:rsidR="00815C2F">
        <w:rPr>
          <w:rFonts w:ascii="Times New Roman" w:hAnsi="Times New Roman" w:cs="Times New Roman"/>
          <w:i/>
          <w:iCs/>
          <w:sz w:val="24"/>
        </w:rPr>
        <w:t xml:space="preserve">арушения здоровья детей формируются на </w:t>
      </w:r>
      <w:r w:rsidR="006F56A7">
        <w:rPr>
          <w:rFonts w:ascii="Times New Roman" w:hAnsi="Times New Roman" w:cs="Times New Roman"/>
          <w:i/>
          <w:iCs/>
          <w:sz w:val="24"/>
        </w:rPr>
        <w:t xml:space="preserve">протяжении длительного времени. </w:t>
      </w:r>
      <w:r w:rsidR="00CF5CDC">
        <w:rPr>
          <w:rFonts w:ascii="Times New Roman" w:hAnsi="Times New Roman" w:cs="Times New Roman"/>
          <w:i/>
          <w:iCs/>
          <w:sz w:val="24"/>
        </w:rPr>
        <w:t>К</w:t>
      </w:r>
      <w:r w:rsidR="006F56A7">
        <w:rPr>
          <w:rFonts w:ascii="Times New Roman" w:hAnsi="Times New Roman" w:cs="Times New Roman"/>
          <w:i/>
          <w:iCs/>
          <w:sz w:val="24"/>
        </w:rPr>
        <w:t>огортн</w:t>
      </w:r>
      <w:r w:rsidR="00CF5CDC">
        <w:rPr>
          <w:rFonts w:ascii="Times New Roman" w:hAnsi="Times New Roman" w:cs="Times New Roman"/>
          <w:i/>
          <w:iCs/>
          <w:sz w:val="24"/>
        </w:rPr>
        <w:t>ый мониторинг</w:t>
      </w:r>
      <w:r w:rsidR="00B90DB0">
        <w:rPr>
          <w:rFonts w:ascii="Times New Roman" w:hAnsi="Times New Roman" w:cs="Times New Roman"/>
          <w:i/>
          <w:iCs/>
          <w:sz w:val="24"/>
        </w:rPr>
        <w:t xml:space="preserve"> позволяет отсле</w:t>
      </w:r>
      <w:r w:rsidR="001D1303">
        <w:rPr>
          <w:rFonts w:ascii="Times New Roman" w:hAnsi="Times New Roman" w:cs="Times New Roman"/>
          <w:i/>
          <w:iCs/>
          <w:sz w:val="24"/>
        </w:rPr>
        <w:t>ди</w:t>
      </w:r>
      <w:r w:rsidR="006F56A7">
        <w:rPr>
          <w:rFonts w:ascii="Times New Roman" w:hAnsi="Times New Roman" w:cs="Times New Roman"/>
          <w:i/>
          <w:iCs/>
          <w:sz w:val="24"/>
        </w:rPr>
        <w:t>ть</w:t>
      </w:r>
      <w:r w:rsidR="001D1303">
        <w:rPr>
          <w:rFonts w:ascii="Times New Roman" w:hAnsi="Times New Roman" w:cs="Times New Roman"/>
          <w:i/>
          <w:iCs/>
          <w:sz w:val="24"/>
        </w:rPr>
        <w:t xml:space="preserve"> соответствующие из</w:t>
      </w:r>
      <w:r w:rsidR="002E2746">
        <w:rPr>
          <w:rFonts w:ascii="Times New Roman" w:hAnsi="Times New Roman" w:cs="Times New Roman"/>
          <w:i/>
          <w:iCs/>
          <w:sz w:val="24"/>
        </w:rPr>
        <w:t>мене</w:t>
      </w:r>
      <w:r w:rsidR="001D1303">
        <w:rPr>
          <w:rFonts w:ascii="Times New Roman" w:hAnsi="Times New Roman" w:cs="Times New Roman"/>
          <w:i/>
          <w:iCs/>
          <w:sz w:val="24"/>
        </w:rPr>
        <w:t>ния</w:t>
      </w:r>
      <w:r w:rsidR="002E2746">
        <w:rPr>
          <w:rFonts w:ascii="Times New Roman" w:hAnsi="Times New Roman" w:cs="Times New Roman"/>
          <w:i/>
          <w:iCs/>
          <w:sz w:val="24"/>
        </w:rPr>
        <w:t xml:space="preserve"> здоровья </w:t>
      </w:r>
      <w:r w:rsidR="001C2802">
        <w:rPr>
          <w:rFonts w:ascii="Times New Roman" w:hAnsi="Times New Roman" w:cs="Times New Roman"/>
          <w:i/>
          <w:iCs/>
          <w:sz w:val="24"/>
        </w:rPr>
        <w:t>детей в процессе их взросления</w:t>
      </w:r>
      <w:r w:rsidR="00644FFE">
        <w:rPr>
          <w:rFonts w:ascii="Times New Roman" w:hAnsi="Times New Roman" w:cs="Times New Roman"/>
          <w:i/>
          <w:iCs/>
          <w:sz w:val="24"/>
        </w:rPr>
        <w:t>.</w:t>
      </w:r>
      <w:r w:rsidR="001C2802">
        <w:rPr>
          <w:rFonts w:ascii="Times New Roman" w:hAnsi="Times New Roman" w:cs="Times New Roman"/>
          <w:i/>
          <w:iCs/>
          <w:sz w:val="24"/>
        </w:rPr>
        <w:t xml:space="preserve"> </w:t>
      </w:r>
      <w:r w:rsidR="003378E9">
        <w:rPr>
          <w:rFonts w:ascii="Times New Roman" w:hAnsi="Times New Roman" w:cs="Times New Roman"/>
          <w:i/>
          <w:iCs/>
          <w:sz w:val="24"/>
        </w:rPr>
        <w:t>П</w:t>
      </w:r>
      <w:r w:rsidR="004867E8">
        <w:rPr>
          <w:rFonts w:ascii="Times New Roman" w:hAnsi="Times New Roman" w:cs="Times New Roman"/>
          <w:i/>
          <w:iCs/>
          <w:sz w:val="24"/>
        </w:rPr>
        <w:t>отенциал здоровья детей 2001 года рождения к совершеннолети</w:t>
      </w:r>
      <w:r w:rsidR="000C2570">
        <w:rPr>
          <w:rFonts w:ascii="Times New Roman" w:hAnsi="Times New Roman" w:cs="Times New Roman"/>
          <w:i/>
          <w:iCs/>
          <w:sz w:val="24"/>
        </w:rPr>
        <w:t>ю</w:t>
      </w:r>
      <w:r w:rsidR="004867E8">
        <w:rPr>
          <w:rFonts w:ascii="Times New Roman" w:hAnsi="Times New Roman" w:cs="Times New Roman"/>
          <w:i/>
          <w:iCs/>
          <w:sz w:val="24"/>
        </w:rPr>
        <w:t xml:space="preserve"> снизился</w:t>
      </w:r>
      <w:r w:rsidR="000C2570">
        <w:rPr>
          <w:rFonts w:ascii="Times New Roman" w:hAnsi="Times New Roman" w:cs="Times New Roman"/>
          <w:i/>
          <w:iCs/>
          <w:sz w:val="24"/>
        </w:rPr>
        <w:t xml:space="preserve"> из-за развития </w:t>
      </w:r>
      <w:r w:rsidR="007E21DC">
        <w:rPr>
          <w:rFonts w:ascii="Times New Roman" w:hAnsi="Times New Roman" w:cs="Times New Roman"/>
          <w:i/>
          <w:iCs/>
          <w:sz w:val="24"/>
        </w:rPr>
        <w:t>хронически</w:t>
      </w:r>
      <w:r w:rsidR="000C2570">
        <w:rPr>
          <w:rFonts w:ascii="Times New Roman" w:hAnsi="Times New Roman" w:cs="Times New Roman"/>
          <w:i/>
          <w:iCs/>
          <w:sz w:val="24"/>
        </w:rPr>
        <w:t>х</w:t>
      </w:r>
      <w:r w:rsidR="007E21DC">
        <w:rPr>
          <w:rFonts w:ascii="Times New Roman" w:hAnsi="Times New Roman" w:cs="Times New Roman"/>
          <w:i/>
          <w:iCs/>
          <w:sz w:val="24"/>
        </w:rPr>
        <w:t xml:space="preserve"> заболевани</w:t>
      </w:r>
      <w:r w:rsidR="000C2570">
        <w:rPr>
          <w:rFonts w:ascii="Times New Roman" w:hAnsi="Times New Roman" w:cs="Times New Roman"/>
          <w:i/>
          <w:iCs/>
          <w:sz w:val="24"/>
        </w:rPr>
        <w:t>й</w:t>
      </w:r>
      <w:r w:rsidR="007B237E">
        <w:rPr>
          <w:rFonts w:ascii="Times New Roman" w:hAnsi="Times New Roman" w:cs="Times New Roman"/>
          <w:i/>
          <w:iCs/>
          <w:sz w:val="24"/>
        </w:rPr>
        <w:t xml:space="preserve">. </w:t>
      </w:r>
      <w:r w:rsidR="00CF5CDC">
        <w:rPr>
          <w:rFonts w:ascii="Times New Roman" w:hAnsi="Times New Roman" w:cs="Times New Roman"/>
          <w:i/>
          <w:iCs/>
          <w:sz w:val="24"/>
        </w:rPr>
        <w:t>Но</w:t>
      </w:r>
      <w:r w:rsidR="007B237E">
        <w:rPr>
          <w:rFonts w:ascii="Times New Roman" w:hAnsi="Times New Roman" w:cs="Times New Roman"/>
          <w:i/>
          <w:iCs/>
          <w:sz w:val="24"/>
        </w:rPr>
        <w:t xml:space="preserve"> основным фактором, снижающим самооценк</w:t>
      </w:r>
      <w:r w:rsidR="008A0CB6">
        <w:rPr>
          <w:rFonts w:ascii="Times New Roman" w:hAnsi="Times New Roman" w:cs="Times New Roman"/>
          <w:i/>
          <w:iCs/>
          <w:sz w:val="24"/>
        </w:rPr>
        <w:t>и</w:t>
      </w:r>
      <w:r w:rsidR="007B237E">
        <w:rPr>
          <w:rFonts w:ascii="Times New Roman" w:hAnsi="Times New Roman" w:cs="Times New Roman"/>
          <w:i/>
          <w:iCs/>
          <w:sz w:val="24"/>
        </w:rPr>
        <w:t xml:space="preserve"> здоровья</w:t>
      </w:r>
      <w:r w:rsidR="008A0CB6" w:rsidRPr="008A0CB6">
        <w:rPr>
          <w:rFonts w:ascii="Times New Roman" w:hAnsi="Times New Roman" w:cs="Times New Roman"/>
          <w:i/>
          <w:iCs/>
          <w:sz w:val="24"/>
        </w:rPr>
        <w:t xml:space="preserve"> </w:t>
      </w:r>
      <w:r w:rsidR="008A0CB6">
        <w:rPr>
          <w:rFonts w:ascii="Times New Roman" w:hAnsi="Times New Roman" w:cs="Times New Roman"/>
          <w:i/>
          <w:iCs/>
          <w:sz w:val="24"/>
        </w:rPr>
        <w:t>детей, стали острые респираторные и респираторно-вирусные заболеван</w:t>
      </w:r>
      <w:r w:rsidR="00DF7FF3">
        <w:rPr>
          <w:rFonts w:ascii="Times New Roman" w:hAnsi="Times New Roman" w:cs="Times New Roman"/>
          <w:i/>
          <w:iCs/>
          <w:sz w:val="24"/>
        </w:rPr>
        <w:t>ия, а не хронические патологии.</w:t>
      </w:r>
    </w:p>
    <w:p w:rsidR="00B86215" w:rsidRPr="00B86215" w:rsidRDefault="00B86215" w:rsidP="006B2B11">
      <w:pPr>
        <w:spacing w:after="0" w:line="240" w:lineRule="auto"/>
        <w:ind w:firstLine="709"/>
        <w:jc w:val="both"/>
        <w:rPr>
          <w:rFonts w:ascii="Times New Roman" w:hAnsi="Times New Roman" w:cs="Times New Roman"/>
          <w:sz w:val="24"/>
        </w:rPr>
      </w:pPr>
      <w:r w:rsidRPr="00B86215">
        <w:rPr>
          <w:rFonts w:ascii="Times New Roman" w:hAnsi="Times New Roman" w:cs="Times New Roman"/>
          <w:b/>
          <w:bCs/>
          <w:sz w:val="24"/>
        </w:rPr>
        <w:t>Ключевые слова</w:t>
      </w:r>
      <w:r w:rsidR="00C73AE6">
        <w:rPr>
          <w:rFonts w:ascii="Times New Roman" w:hAnsi="Times New Roman" w:cs="Times New Roman"/>
          <w:b/>
          <w:bCs/>
          <w:sz w:val="24"/>
        </w:rPr>
        <w:t xml:space="preserve">: </w:t>
      </w:r>
      <w:r w:rsidR="00C73AE6">
        <w:rPr>
          <w:rFonts w:ascii="Times New Roman" w:hAnsi="Times New Roman" w:cs="Times New Roman"/>
          <w:bCs/>
          <w:i/>
          <w:sz w:val="24"/>
        </w:rPr>
        <w:t xml:space="preserve">здоровье детского населения, </w:t>
      </w:r>
      <w:r w:rsidR="00815C2F">
        <w:rPr>
          <w:rFonts w:ascii="Times New Roman" w:hAnsi="Times New Roman" w:cs="Times New Roman"/>
          <w:bCs/>
          <w:i/>
          <w:sz w:val="24"/>
        </w:rPr>
        <w:t xml:space="preserve">самооценки здоровья, заболеваемость детей, </w:t>
      </w:r>
      <w:r w:rsidR="00C73AE6">
        <w:rPr>
          <w:rFonts w:ascii="Times New Roman" w:hAnsi="Times New Roman" w:cs="Times New Roman"/>
          <w:bCs/>
          <w:i/>
          <w:sz w:val="24"/>
        </w:rPr>
        <w:t>кого</w:t>
      </w:r>
      <w:r w:rsidR="00815C2F">
        <w:rPr>
          <w:rFonts w:ascii="Times New Roman" w:hAnsi="Times New Roman" w:cs="Times New Roman"/>
          <w:bCs/>
          <w:i/>
          <w:sz w:val="24"/>
        </w:rPr>
        <w:t>ртное мониторинговое наблюдение.</w:t>
      </w:r>
    </w:p>
    <w:p w:rsidR="009B4C93" w:rsidRDefault="009B4C93" w:rsidP="00F00FA4">
      <w:pPr>
        <w:spacing w:after="0" w:line="240" w:lineRule="auto"/>
        <w:ind w:firstLine="709"/>
        <w:jc w:val="both"/>
        <w:rPr>
          <w:rFonts w:ascii="Times New Roman" w:hAnsi="Times New Roman" w:cs="Times New Roman"/>
          <w:sz w:val="24"/>
          <w:lang w:val="en-US"/>
        </w:rPr>
      </w:pPr>
    </w:p>
    <w:p w:rsidR="00D25AA7" w:rsidRDefault="00DA5A82" w:rsidP="00F00FA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Нарушения </w:t>
      </w:r>
      <w:r w:rsidR="00A5104E">
        <w:rPr>
          <w:rFonts w:ascii="Times New Roman" w:hAnsi="Times New Roman" w:cs="Times New Roman"/>
          <w:sz w:val="24"/>
        </w:rPr>
        <w:t>здоровья</w:t>
      </w:r>
      <w:r w:rsidRPr="00DA5A82">
        <w:rPr>
          <w:rFonts w:ascii="Times New Roman" w:hAnsi="Times New Roman" w:cs="Times New Roman"/>
          <w:sz w:val="24"/>
        </w:rPr>
        <w:t xml:space="preserve"> </w:t>
      </w:r>
      <w:r>
        <w:rPr>
          <w:rFonts w:ascii="Times New Roman" w:hAnsi="Times New Roman" w:cs="Times New Roman"/>
          <w:sz w:val="24"/>
        </w:rPr>
        <w:t>детей</w:t>
      </w:r>
      <w:r w:rsidRPr="00DA5A82">
        <w:rPr>
          <w:rFonts w:ascii="Times New Roman" w:hAnsi="Times New Roman" w:cs="Times New Roman"/>
          <w:sz w:val="24"/>
        </w:rPr>
        <w:t xml:space="preserve"> </w:t>
      </w:r>
      <w:r>
        <w:rPr>
          <w:rFonts w:ascii="Times New Roman" w:hAnsi="Times New Roman" w:cs="Times New Roman"/>
          <w:sz w:val="24"/>
        </w:rPr>
        <w:t xml:space="preserve">формируются </w:t>
      </w:r>
      <w:r w:rsidR="00FA5514">
        <w:rPr>
          <w:rFonts w:ascii="Times New Roman" w:hAnsi="Times New Roman" w:cs="Times New Roman"/>
          <w:sz w:val="24"/>
        </w:rPr>
        <w:t xml:space="preserve">на протяжении длительного периода взросления </w:t>
      </w:r>
      <w:r>
        <w:rPr>
          <w:rFonts w:ascii="Times New Roman" w:hAnsi="Times New Roman" w:cs="Times New Roman"/>
          <w:sz w:val="24"/>
        </w:rPr>
        <w:t xml:space="preserve">под действием </w:t>
      </w:r>
      <w:r w:rsidR="00FA5514">
        <w:rPr>
          <w:rFonts w:ascii="Times New Roman" w:hAnsi="Times New Roman" w:cs="Times New Roman"/>
          <w:sz w:val="24"/>
        </w:rPr>
        <w:t xml:space="preserve">неблагоприятных факторов, таких как </w:t>
      </w:r>
      <w:r w:rsidR="00740560">
        <w:rPr>
          <w:rFonts w:ascii="Times New Roman" w:hAnsi="Times New Roman" w:cs="Times New Roman"/>
          <w:sz w:val="24"/>
        </w:rPr>
        <w:t xml:space="preserve">вредные привычки родителей, некачественное медицинское наблюдение, </w:t>
      </w:r>
      <w:r w:rsidR="006226AA">
        <w:rPr>
          <w:rFonts w:ascii="Times New Roman" w:hAnsi="Times New Roman" w:cs="Times New Roman"/>
          <w:sz w:val="24"/>
        </w:rPr>
        <w:t xml:space="preserve">неправильное </w:t>
      </w:r>
      <w:r w:rsidR="00740560">
        <w:rPr>
          <w:rFonts w:ascii="Times New Roman" w:hAnsi="Times New Roman" w:cs="Times New Roman"/>
          <w:sz w:val="24"/>
        </w:rPr>
        <w:t xml:space="preserve">лечение острых заболеваний, </w:t>
      </w:r>
      <w:r w:rsidR="006226AA">
        <w:rPr>
          <w:rFonts w:ascii="Times New Roman" w:hAnsi="Times New Roman" w:cs="Times New Roman"/>
          <w:sz w:val="24"/>
        </w:rPr>
        <w:t>низкая медицинская активность семьи, несоблюдение других норм здорового образа жизни родителями и детьми (нарушения питания, недостаточная физическая активность).</w:t>
      </w:r>
      <w:r w:rsidR="00C138F7">
        <w:rPr>
          <w:rFonts w:ascii="Times New Roman" w:hAnsi="Times New Roman" w:cs="Times New Roman"/>
          <w:sz w:val="24"/>
        </w:rPr>
        <w:t xml:space="preserve"> </w:t>
      </w:r>
      <w:r w:rsidR="00C138F7" w:rsidRPr="001205FE">
        <w:rPr>
          <w:rFonts w:ascii="Times New Roman" w:hAnsi="Times New Roman" w:cs="Times New Roman"/>
          <w:sz w:val="24"/>
        </w:rPr>
        <w:t xml:space="preserve">Цель настоящего исследования – проанализировать </w:t>
      </w:r>
      <w:r w:rsidR="008E300F" w:rsidRPr="001205FE">
        <w:rPr>
          <w:rFonts w:ascii="Times New Roman" w:hAnsi="Times New Roman" w:cs="Times New Roman"/>
          <w:sz w:val="24"/>
        </w:rPr>
        <w:t xml:space="preserve">изменения </w:t>
      </w:r>
      <w:r w:rsidR="001205FE">
        <w:rPr>
          <w:rFonts w:ascii="Times New Roman" w:hAnsi="Times New Roman" w:cs="Times New Roman"/>
          <w:sz w:val="24"/>
        </w:rPr>
        <w:t xml:space="preserve">объективных и субъективных показателей </w:t>
      </w:r>
      <w:r w:rsidR="008E300F" w:rsidRPr="001205FE">
        <w:rPr>
          <w:rFonts w:ascii="Times New Roman" w:hAnsi="Times New Roman" w:cs="Times New Roman"/>
          <w:sz w:val="24"/>
        </w:rPr>
        <w:t>здоровья детей на протяжении периода их взросления</w:t>
      </w:r>
      <w:r w:rsidR="001205FE" w:rsidRPr="001205FE">
        <w:rPr>
          <w:rFonts w:ascii="Times New Roman" w:hAnsi="Times New Roman" w:cs="Times New Roman"/>
          <w:sz w:val="24"/>
        </w:rPr>
        <w:t>.</w:t>
      </w:r>
      <w:r w:rsidR="0026329B" w:rsidRPr="001205FE">
        <w:rPr>
          <w:rFonts w:ascii="Times New Roman" w:hAnsi="Times New Roman" w:cs="Times New Roman"/>
          <w:sz w:val="24"/>
        </w:rPr>
        <w:t xml:space="preserve"> </w:t>
      </w:r>
      <w:r w:rsidR="0026329B">
        <w:rPr>
          <w:rFonts w:ascii="Times New Roman" w:hAnsi="Times New Roman" w:cs="Times New Roman"/>
          <w:sz w:val="24"/>
        </w:rPr>
        <w:t>В силу определённых методических особенностей статистические данные не могут служить достаточной инф</w:t>
      </w:r>
      <w:r w:rsidR="007043C2">
        <w:rPr>
          <w:rFonts w:ascii="Times New Roman" w:hAnsi="Times New Roman" w:cs="Times New Roman"/>
          <w:sz w:val="24"/>
        </w:rPr>
        <w:t>ормационной базой для наблюдения за изменением состояния здоровья детей в реальном времени. Поэтому, для достижения поставленной цели исследования</w:t>
      </w:r>
      <w:r w:rsidR="00CB4C3F">
        <w:rPr>
          <w:rFonts w:ascii="Times New Roman" w:hAnsi="Times New Roman" w:cs="Times New Roman"/>
          <w:sz w:val="24"/>
        </w:rPr>
        <w:t xml:space="preserve"> воспользуемся данными когортного мониторингового наблюдения «Изучение условий формирования здорового поколения», которое ведётся в ФГБУН ВолНЦ РАН с 1995 года</w:t>
      </w:r>
      <w:r w:rsidR="00C50295">
        <w:rPr>
          <w:rFonts w:ascii="Times New Roman" w:hAnsi="Times New Roman" w:cs="Times New Roman"/>
          <w:sz w:val="24"/>
          <w:lang w:val="en-US"/>
        </w:rPr>
        <w:t xml:space="preserve"> [2]</w:t>
      </w:r>
      <w:r w:rsidR="00CB4C3F">
        <w:rPr>
          <w:rFonts w:ascii="Times New Roman" w:hAnsi="Times New Roman" w:cs="Times New Roman"/>
          <w:sz w:val="24"/>
        </w:rPr>
        <w:t xml:space="preserve">. </w:t>
      </w:r>
      <w:r w:rsidR="00BE2617">
        <w:rPr>
          <w:rFonts w:ascii="Times New Roman" w:hAnsi="Times New Roman" w:cs="Times New Roman"/>
          <w:sz w:val="24"/>
        </w:rPr>
        <w:t xml:space="preserve">По состоянию на 2019 год в нём принимали участие 3 когорты детей: 2001, 2004 и 2014 годов рождения. </w:t>
      </w:r>
      <w:r w:rsidR="00DD1313">
        <w:rPr>
          <w:rFonts w:ascii="Times New Roman" w:hAnsi="Times New Roman" w:cs="Times New Roman"/>
          <w:sz w:val="24"/>
        </w:rPr>
        <w:t xml:space="preserve">Наблюдение за здоровьем детей ведётся с момента рождения до достижения возраста 18 лет. </w:t>
      </w:r>
      <w:r w:rsidR="00BE2617">
        <w:rPr>
          <w:rFonts w:ascii="Times New Roman" w:hAnsi="Times New Roman" w:cs="Times New Roman"/>
          <w:sz w:val="24"/>
        </w:rPr>
        <w:t>Для когорты 2001 года рождения 2019 год был последним этапом наб</w:t>
      </w:r>
      <w:r w:rsidR="00123BAD">
        <w:rPr>
          <w:rFonts w:ascii="Times New Roman" w:hAnsi="Times New Roman" w:cs="Times New Roman"/>
          <w:sz w:val="24"/>
        </w:rPr>
        <w:t>людения,</w:t>
      </w:r>
      <w:r w:rsidR="00BE2617">
        <w:rPr>
          <w:rFonts w:ascii="Times New Roman" w:hAnsi="Times New Roman" w:cs="Times New Roman"/>
          <w:sz w:val="24"/>
        </w:rPr>
        <w:t xml:space="preserve"> </w:t>
      </w:r>
      <w:r w:rsidR="00123BAD">
        <w:rPr>
          <w:rFonts w:ascii="Times New Roman" w:hAnsi="Times New Roman" w:cs="Times New Roman"/>
          <w:sz w:val="24"/>
        </w:rPr>
        <w:t xml:space="preserve">численность </w:t>
      </w:r>
      <w:r w:rsidR="00462582">
        <w:rPr>
          <w:rFonts w:ascii="Times New Roman" w:hAnsi="Times New Roman" w:cs="Times New Roman"/>
          <w:sz w:val="24"/>
        </w:rPr>
        <w:t xml:space="preserve">участников </w:t>
      </w:r>
      <w:r w:rsidR="00123BAD">
        <w:rPr>
          <w:rFonts w:ascii="Times New Roman" w:hAnsi="Times New Roman" w:cs="Times New Roman"/>
          <w:sz w:val="24"/>
        </w:rPr>
        <w:t xml:space="preserve">на момент </w:t>
      </w:r>
      <w:r w:rsidR="00462582">
        <w:rPr>
          <w:rFonts w:ascii="Times New Roman" w:hAnsi="Times New Roman" w:cs="Times New Roman"/>
          <w:sz w:val="24"/>
        </w:rPr>
        <w:t xml:space="preserve">его проведения </w:t>
      </w:r>
      <w:r w:rsidR="00E13801">
        <w:rPr>
          <w:rFonts w:ascii="Times New Roman" w:hAnsi="Times New Roman" w:cs="Times New Roman"/>
          <w:sz w:val="24"/>
        </w:rPr>
        <w:t xml:space="preserve">составляла </w:t>
      </w:r>
      <w:r w:rsidR="00123BAD" w:rsidRPr="00123BAD">
        <w:rPr>
          <w:rFonts w:ascii="Times New Roman" w:hAnsi="Times New Roman" w:cs="Times New Roman"/>
          <w:sz w:val="24"/>
        </w:rPr>
        <w:t xml:space="preserve">32 </w:t>
      </w:r>
      <w:r w:rsidR="00E13801" w:rsidRPr="00123BAD">
        <w:rPr>
          <w:rFonts w:ascii="Times New Roman" w:hAnsi="Times New Roman" w:cs="Times New Roman"/>
          <w:sz w:val="24"/>
        </w:rPr>
        <w:t>человек</w:t>
      </w:r>
      <w:r w:rsidR="00123BAD" w:rsidRPr="00123BAD">
        <w:rPr>
          <w:rFonts w:ascii="Times New Roman" w:hAnsi="Times New Roman" w:cs="Times New Roman"/>
          <w:sz w:val="24"/>
        </w:rPr>
        <w:t>а</w:t>
      </w:r>
      <w:r w:rsidR="00E13801" w:rsidRPr="00123BAD">
        <w:rPr>
          <w:rFonts w:ascii="Times New Roman" w:hAnsi="Times New Roman" w:cs="Times New Roman"/>
          <w:sz w:val="24"/>
        </w:rPr>
        <w:t xml:space="preserve">. </w:t>
      </w:r>
      <w:r w:rsidR="00E43A70">
        <w:rPr>
          <w:rFonts w:ascii="Times New Roman" w:hAnsi="Times New Roman" w:cs="Times New Roman"/>
          <w:sz w:val="24"/>
        </w:rPr>
        <w:t>Н</w:t>
      </w:r>
      <w:r w:rsidR="00BE2617">
        <w:rPr>
          <w:rFonts w:ascii="Times New Roman" w:hAnsi="Times New Roman" w:cs="Times New Roman"/>
          <w:sz w:val="24"/>
        </w:rPr>
        <w:t>а примере данной когорты мы и будем рас</w:t>
      </w:r>
      <w:r w:rsidR="000762A6">
        <w:rPr>
          <w:rFonts w:ascii="Times New Roman" w:hAnsi="Times New Roman" w:cs="Times New Roman"/>
          <w:sz w:val="24"/>
        </w:rPr>
        <w:t xml:space="preserve">сматривать изменения здоровья детей </w:t>
      </w:r>
      <w:r w:rsidR="00B22821">
        <w:rPr>
          <w:rFonts w:ascii="Times New Roman" w:hAnsi="Times New Roman" w:cs="Times New Roman"/>
          <w:sz w:val="24"/>
        </w:rPr>
        <w:t>в процессе взросления</w:t>
      </w:r>
      <w:r w:rsidR="000762A6">
        <w:rPr>
          <w:rFonts w:ascii="Times New Roman" w:hAnsi="Times New Roman" w:cs="Times New Roman"/>
          <w:sz w:val="24"/>
        </w:rPr>
        <w:t xml:space="preserve">. </w:t>
      </w:r>
    </w:p>
    <w:p w:rsidR="00D25AA7" w:rsidRDefault="00BD0B52" w:rsidP="00F00FA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рамках мониторингового наблюдения </w:t>
      </w:r>
      <w:r w:rsidR="00EB1874">
        <w:rPr>
          <w:rFonts w:ascii="Times New Roman" w:hAnsi="Times New Roman" w:cs="Times New Roman"/>
          <w:sz w:val="24"/>
        </w:rPr>
        <w:t>здоро</w:t>
      </w:r>
      <w:r w:rsidR="00690270">
        <w:rPr>
          <w:rFonts w:ascii="Times New Roman" w:hAnsi="Times New Roman" w:cs="Times New Roman"/>
          <w:sz w:val="24"/>
        </w:rPr>
        <w:t>вье детей оценивалось на основе</w:t>
      </w:r>
      <w:r w:rsidR="00971853">
        <w:rPr>
          <w:rFonts w:ascii="Times New Roman" w:hAnsi="Times New Roman" w:cs="Times New Roman"/>
          <w:sz w:val="24"/>
        </w:rPr>
        <w:t xml:space="preserve"> </w:t>
      </w:r>
      <w:r w:rsidR="00ED753F">
        <w:rPr>
          <w:rFonts w:ascii="Times New Roman" w:hAnsi="Times New Roman" w:cs="Times New Roman"/>
          <w:sz w:val="24"/>
        </w:rPr>
        <w:t>самооцен</w:t>
      </w:r>
      <w:r w:rsidR="00971853">
        <w:rPr>
          <w:rFonts w:ascii="Times New Roman" w:hAnsi="Times New Roman" w:cs="Times New Roman"/>
          <w:sz w:val="24"/>
        </w:rPr>
        <w:t>о</w:t>
      </w:r>
      <w:r w:rsidR="00ED753F">
        <w:rPr>
          <w:rFonts w:ascii="Times New Roman" w:hAnsi="Times New Roman" w:cs="Times New Roman"/>
          <w:sz w:val="24"/>
        </w:rPr>
        <w:t>к</w:t>
      </w:r>
      <w:r w:rsidR="00971853">
        <w:rPr>
          <w:rFonts w:ascii="Times New Roman" w:hAnsi="Times New Roman" w:cs="Times New Roman"/>
          <w:sz w:val="24"/>
        </w:rPr>
        <w:t xml:space="preserve"> здоровья, высказанных</w:t>
      </w:r>
      <w:r w:rsidR="00ED753F">
        <w:rPr>
          <w:rFonts w:ascii="Times New Roman" w:hAnsi="Times New Roman" w:cs="Times New Roman"/>
          <w:sz w:val="24"/>
        </w:rPr>
        <w:t xml:space="preserve"> и</w:t>
      </w:r>
      <w:r w:rsidR="009410E2">
        <w:rPr>
          <w:rFonts w:ascii="Times New Roman" w:hAnsi="Times New Roman" w:cs="Times New Roman"/>
          <w:sz w:val="24"/>
        </w:rPr>
        <w:t>х родителями и самими детьми (с </w:t>
      </w:r>
      <w:r w:rsidR="00ED753F">
        <w:rPr>
          <w:rFonts w:ascii="Times New Roman" w:hAnsi="Times New Roman" w:cs="Times New Roman"/>
          <w:sz w:val="24"/>
        </w:rPr>
        <w:t>возраста 10 лет)</w:t>
      </w:r>
      <w:r w:rsidR="009410E2">
        <w:rPr>
          <w:rFonts w:ascii="Times New Roman" w:hAnsi="Times New Roman" w:cs="Times New Roman"/>
          <w:sz w:val="24"/>
        </w:rPr>
        <w:t xml:space="preserve">, </w:t>
      </w:r>
      <w:r w:rsidR="0019493E">
        <w:rPr>
          <w:rFonts w:ascii="Times New Roman" w:hAnsi="Times New Roman" w:cs="Times New Roman"/>
          <w:sz w:val="24"/>
        </w:rPr>
        <w:t xml:space="preserve">а также ответов </w:t>
      </w:r>
      <w:r w:rsidR="006D5DB1">
        <w:rPr>
          <w:rFonts w:ascii="Times New Roman" w:hAnsi="Times New Roman" w:cs="Times New Roman"/>
          <w:sz w:val="24"/>
        </w:rPr>
        <w:t>родителей</w:t>
      </w:r>
      <w:r w:rsidR="0019493E">
        <w:rPr>
          <w:rFonts w:ascii="Times New Roman" w:hAnsi="Times New Roman" w:cs="Times New Roman"/>
          <w:sz w:val="24"/>
        </w:rPr>
        <w:t xml:space="preserve"> о перенесённых </w:t>
      </w:r>
      <w:r w:rsidR="006D5DB1">
        <w:rPr>
          <w:rFonts w:ascii="Times New Roman" w:hAnsi="Times New Roman" w:cs="Times New Roman"/>
          <w:sz w:val="24"/>
        </w:rPr>
        <w:t xml:space="preserve">детьми </w:t>
      </w:r>
      <w:r w:rsidR="008361C4">
        <w:rPr>
          <w:rFonts w:ascii="Times New Roman" w:hAnsi="Times New Roman" w:cs="Times New Roman"/>
          <w:sz w:val="24"/>
        </w:rPr>
        <w:t>заболеваниях, самочувствии</w:t>
      </w:r>
      <w:r w:rsidR="0019493E">
        <w:rPr>
          <w:rFonts w:ascii="Times New Roman" w:hAnsi="Times New Roman" w:cs="Times New Roman"/>
          <w:sz w:val="24"/>
        </w:rPr>
        <w:t xml:space="preserve">. </w:t>
      </w:r>
      <w:r w:rsidR="005E2483">
        <w:rPr>
          <w:rFonts w:ascii="Times New Roman" w:hAnsi="Times New Roman" w:cs="Times New Roman"/>
          <w:sz w:val="24"/>
        </w:rPr>
        <w:t>О</w:t>
      </w:r>
      <w:r w:rsidR="00971853">
        <w:rPr>
          <w:rFonts w:ascii="Times New Roman" w:hAnsi="Times New Roman" w:cs="Times New Roman"/>
          <w:sz w:val="24"/>
        </w:rPr>
        <w:t>бъективные данные о состоянии здоровья и наличии заболеваний у детей предоставлялись врачами-</w:t>
      </w:r>
      <w:r w:rsidR="009410E2">
        <w:rPr>
          <w:rFonts w:ascii="Times New Roman" w:hAnsi="Times New Roman" w:cs="Times New Roman"/>
          <w:sz w:val="24"/>
        </w:rPr>
        <w:t xml:space="preserve">педиатрами, </w:t>
      </w:r>
      <w:r w:rsidR="00971853">
        <w:rPr>
          <w:rFonts w:ascii="Times New Roman" w:hAnsi="Times New Roman" w:cs="Times New Roman"/>
          <w:sz w:val="24"/>
        </w:rPr>
        <w:t>у которых они н</w:t>
      </w:r>
      <w:r w:rsidR="005143C1">
        <w:rPr>
          <w:rFonts w:ascii="Times New Roman" w:hAnsi="Times New Roman" w:cs="Times New Roman"/>
          <w:sz w:val="24"/>
        </w:rPr>
        <w:t>аблюдались по месту жительства.</w:t>
      </w:r>
    </w:p>
    <w:p w:rsidR="00A21150" w:rsidRPr="00A21150" w:rsidRDefault="00A21150" w:rsidP="00F00FA4">
      <w:pPr>
        <w:spacing w:after="0" w:line="240" w:lineRule="auto"/>
        <w:ind w:firstLine="709"/>
        <w:jc w:val="both"/>
        <w:rPr>
          <w:rFonts w:ascii="Times New Roman" w:hAnsi="Times New Roman" w:cs="Times New Roman"/>
          <w:sz w:val="24"/>
        </w:rPr>
      </w:pPr>
      <w:r w:rsidRPr="00A21150">
        <w:rPr>
          <w:rFonts w:ascii="Times New Roman" w:hAnsi="Times New Roman" w:cs="Times New Roman"/>
          <w:sz w:val="24"/>
        </w:rPr>
        <w:t xml:space="preserve">Рассмотрим, как менялись родительские оценки </w:t>
      </w:r>
      <w:r w:rsidR="002717CF" w:rsidRPr="00A21150">
        <w:rPr>
          <w:rFonts w:ascii="Times New Roman" w:hAnsi="Times New Roman" w:cs="Times New Roman"/>
          <w:sz w:val="24"/>
        </w:rPr>
        <w:t xml:space="preserve">здоровья детей </w:t>
      </w:r>
      <w:r w:rsidRPr="00A21150">
        <w:rPr>
          <w:rFonts w:ascii="Times New Roman" w:hAnsi="Times New Roman" w:cs="Times New Roman"/>
          <w:sz w:val="24"/>
        </w:rPr>
        <w:t xml:space="preserve">на разных этапах </w:t>
      </w:r>
      <w:r w:rsidR="002717CF">
        <w:rPr>
          <w:rFonts w:ascii="Times New Roman" w:hAnsi="Times New Roman" w:cs="Times New Roman"/>
          <w:sz w:val="24"/>
        </w:rPr>
        <w:t xml:space="preserve">их </w:t>
      </w:r>
      <w:r w:rsidRPr="00A21150">
        <w:rPr>
          <w:rFonts w:ascii="Times New Roman" w:hAnsi="Times New Roman" w:cs="Times New Roman"/>
          <w:sz w:val="24"/>
        </w:rPr>
        <w:t xml:space="preserve">взросления: в возрасте 1 года, 3 лет (поступление в детский сад), 7 (начало школьного обучения), 11 (переход в среднюю школу), 15 (переход в старшую школу), 17 лет (завершение школьного обучения). </w:t>
      </w:r>
    </w:p>
    <w:p w:rsidR="00A21150" w:rsidRPr="00A21150" w:rsidRDefault="002717CF" w:rsidP="00F00FA4">
      <w:pPr>
        <w:spacing w:after="0" w:line="240" w:lineRule="auto"/>
        <w:ind w:firstLine="709"/>
        <w:jc w:val="both"/>
        <w:rPr>
          <w:rFonts w:ascii="Times New Roman" w:hAnsi="Times New Roman" w:cs="Times New Roman"/>
          <w:sz w:val="24"/>
        </w:rPr>
      </w:pPr>
      <w:r>
        <w:rPr>
          <w:rFonts w:ascii="Times New Roman" w:hAnsi="Times New Roman" w:cs="Times New Roman"/>
          <w:sz w:val="24"/>
        </w:rPr>
        <w:t>Н</w:t>
      </w:r>
      <w:r w:rsidR="00A21150" w:rsidRPr="00A21150">
        <w:rPr>
          <w:rFonts w:ascii="Times New Roman" w:hAnsi="Times New Roman" w:cs="Times New Roman"/>
          <w:sz w:val="24"/>
        </w:rPr>
        <w:t>а протяжении всего периода мониторингового исследования доминировали нейтральные оценки. Исключение составлял первый год жизни, когда преобладали позитивные оценки: 51% родителей считали здоровье своих детей хорошим. К трёхлетнему возрасту среди родителей уже преобладало мнение, что здоровье их детей можно назвать лишь «удовлетворительным» (64%). Аналогичная ситуация наблюдалась и в последующие годы исследования. Существенно выросла доля позитивных оценок здоровья только на семнад</w:t>
      </w:r>
      <w:r w:rsidR="00013049">
        <w:rPr>
          <w:rFonts w:ascii="Times New Roman" w:hAnsi="Times New Roman" w:cs="Times New Roman"/>
          <w:sz w:val="24"/>
        </w:rPr>
        <w:t>цатом году жизни детей – до 42%.</w:t>
      </w:r>
      <w:r w:rsidR="00A21150" w:rsidRPr="00A21150">
        <w:rPr>
          <w:rFonts w:ascii="Times New Roman" w:hAnsi="Times New Roman" w:cs="Times New Roman"/>
          <w:sz w:val="24"/>
        </w:rPr>
        <w:t xml:space="preserve"> В целом, родители очень редко оценивали здоровье своих детей как «плохое». В 2018 году так ответили родители только одного ребёнка, которому был поставлен диагноз «бронхиальная астма».</w:t>
      </w:r>
    </w:p>
    <w:p w:rsidR="00A21150" w:rsidRPr="00A21150" w:rsidRDefault="00A21150" w:rsidP="00F00FA4">
      <w:pPr>
        <w:spacing w:after="0" w:line="240" w:lineRule="auto"/>
        <w:ind w:firstLine="709"/>
        <w:jc w:val="both"/>
        <w:rPr>
          <w:rFonts w:ascii="Times New Roman" w:hAnsi="Times New Roman" w:cs="Times New Roman"/>
          <w:sz w:val="24"/>
        </w:rPr>
      </w:pPr>
      <w:r w:rsidRPr="00A21150">
        <w:rPr>
          <w:rFonts w:ascii="Times New Roman" w:hAnsi="Times New Roman" w:cs="Times New Roman"/>
          <w:sz w:val="24"/>
        </w:rPr>
        <w:lastRenderedPageBreak/>
        <w:t>Самим детям также задавались вопросы об их здоровье, начиная с возраста 10 лет (с письменного согласия родителей). За период проведения мониторингового наблюдения среди детей рассматриваемой когорты уменьшилась доля тех, кто оценивал своё здоровье как хорошее, увеличилась доля оценивающих своё здоровье негативно или нейтрально. В первые годы наблюдения происходило постепенное снижение доли положительных самооценок здоровья среди детей: с 74% в 10 лет до 56% в 13 лет. Наиболее существенное снижение самооценок здоровья наблюдалось в возрасте 14 лет – тогда лишь 33% подростков были довольны своим здоровьем, при том, что год назад среди них более половины называли своё здоровье хорошим. В следующие три года доля положительных оценок возрастала. Однако в 15 и 16 лет среди детей было отмечено наибольшее число отрицательных самооценок здоровья (8,3% и 8,5%, соответственно). Такое распределение самооценок здоровья и их динамика в возрасте от 10 до 18 лет свидетельствуют о том, что дети наиболее подвержены различным недомоганиям и чувствительны к ним в период с 14 до 16 лет.</w:t>
      </w:r>
    </w:p>
    <w:p w:rsidR="00A21150" w:rsidRPr="00A21150" w:rsidRDefault="00E806B8" w:rsidP="00F00FA4">
      <w:pPr>
        <w:spacing w:after="0" w:line="240" w:lineRule="auto"/>
        <w:ind w:firstLine="709"/>
        <w:jc w:val="both"/>
        <w:rPr>
          <w:rFonts w:ascii="Times New Roman" w:hAnsi="Times New Roman" w:cs="Times New Roman"/>
          <w:sz w:val="24"/>
        </w:rPr>
      </w:pPr>
      <w:r>
        <w:rPr>
          <w:rFonts w:ascii="Times New Roman" w:hAnsi="Times New Roman" w:cs="Times New Roman"/>
          <w:sz w:val="24"/>
        </w:rPr>
        <w:t>С</w:t>
      </w:r>
      <w:r w:rsidR="00A21150" w:rsidRPr="00A21150">
        <w:rPr>
          <w:rFonts w:ascii="Times New Roman" w:hAnsi="Times New Roman" w:cs="Times New Roman"/>
          <w:sz w:val="24"/>
        </w:rPr>
        <w:t>амооценки здоровья, высказанные детьми, расходились с оценками, которые давали их родители. Причём дети были склонны давать более позитивные ответы. Так, разница в доле оценивших здоровье как «хорошее» среди детей в возрасте 17 лет и их родителей достигала 22% (в «пользу» детей). В возрасте 11 лет считали своё здоровье хорошим 70% детей, тогда как аналогичного мнения придерживались только 38% их родителей.</w:t>
      </w:r>
    </w:p>
    <w:p w:rsidR="00984D71" w:rsidRPr="00984D71" w:rsidRDefault="00BE2134" w:rsidP="00F00FA4">
      <w:pPr>
        <w:spacing w:after="0" w:line="240" w:lineRule="auto"/>
        <w:ind w:firstLine="709"/>
        <w:jc w:val="both"/>
        <w:rPr>
          <w:rFonts w:ascii="Times New Roman" w:hAnsi="Times New Roman" w:cs="Times New Roman"/>
          <w:sz w:val="24"/>
        </w:rPr>
      </w:pPr>
      <w:r>
        <w:rPr>
          <w:rFonts w:ascii="Times New Roman" w:hAnsi="Times New Roman" w:cs="Times New Roman"/>
          <w:sz w:val="24"/>
        </w:rPr>
        <w:t>З</w:t>
      </w:r>
      <w:r w:rsidRPr="00984D71">
        <w:rPr>
          <w:rFonts w:ascii="Times New Roman" w:hAnsi="Times New Roman" w:cs="Times New Roman"/>
          <w:sz w:val="24"/>
        </w:rPr>
        <w:t xml:space="preserve">аболеваемость детей </w:t>
      </w:r>
      <w:r w:rsidR="00497269">
        <w:rPr>
          <w:rFonts w:ascii="Times New Roman" w:hAnsi="Times New Roman" w:cs="Times New Roman"/>
          <w:sz w:val="24"/>
        </w:rPr>
        <w:t xml:space="preserve">до 17 лет </w:t>
      </w:r>
      <w:r w:rsidR="00984D71" w:rsidRPr="00984D71">
        <w:rPr>
          <w:rFonts w:ascii="Times New Roman" w:hAnsi="Times New Roman" w:cs="Times New Roman"/>
          <w:sz w:val="24"/>
        </w:rPr>
        <w:t>в рамках мониторингового исследования фиксировал</w:t>
      </w:r>
      <w:r>
        <w:rPr>
          <w:rFonts w:ascii="Times New Roman" w:hAnsi="Times New Roman" w:cs="Times New Roman"/>
          <w:sz w:val="24"/>
        </w:rPr>
        <w:t>а</w:t>
      </w:r>
      <w:r w:rsidR="00984D71" w:rsidRPr="00984D71">
        <w:rPr>
          <w:rFonts w:ascii="Times New Roman" w:hAnsi="Times New Roman" w:cs="Times New Roman"/>
          <w:sz w:val="24"/>
        </w:rPr>
        <w:t>с</w:t>
      </w:r>
      <w:r>
        <w:rPr>
          <w:rFonts w:ascii="Times New Roman" w:hAnsi="Times New Roman" w:cs="Times New Roman"/>
          <w:sz w:val="24"/>
        </w:rPr>
        <w:t>ь</w:t>
      </w:r>
      <w:r w:rsidR="00984D71" w:rsidRPr="00984D71">
        <w:rPr>
          <w:rFonts w:ascii="Times New Roman" w:hAnsi="Times New Roman" w:cs="Times New Roman"/>
          <w:sz w:val="24"/>
        </w:rPr>
        <w:t xml:space="preserve"> на основе распределения оценок педиатров. У врачей также уточнялись данные о диагнозах, поставленных ребёнку на текущем году жизни, имеющихся хронических заболеваниях, а также </w:t>
      </w:r>
      <w:r w:rsidR="00F558DF">
        <w:rPr>
          <w:rFonts w:ascii="Times New Roman" w:hAnsi="Times New Roman" w:cs="Times New Roman"/>
          <w:sz w:val="24"/>
        </w:rPr>
        <w:t>о перенесённых им заболеваниях.</w:t>
      </w:r>
    </w:p>
    <w:p w:rsidR="00984D71" w:rsidRDefault="00984D71" w:rsidP="00F00FA4">
      <w:pPr>
        <w:spacing w:after="0" w:line="240" w:lineRule="auto"/>
        <w:ind w:firstLine="709"/>
        <w:jc w:val="both"/>
        <w:rPr>
          <w:rFonts w:ascii="Times New Roman" w:hAnsi="Times New Roman" w:cs="Times New Roman"/>
          <w:sz w:val="24"/>
          <w:lang w:val="en-US"/>
        </w:rPr>
      </w:pPr>
      <w:r w:rsidRPr="00984D71">
        <w:rPr>
          <w:rFonts w:ascii="Times New Roman" w:hAnsi="Times New Roman" w:cs="Times New Roman"/>
          <w:sz w:val="24"/>
        </w:rPr>
        <w:t xml:space="preserve">За период наблюдения доля детей, ни разу не болевших в течение года, увеличилась. При этом </w:t>
      </w:r>
      <w:r w:rsidR="009917B6">
        <w:rPr>
          <w:rFonts w:ascii="Times New Roman" w:hAnsi="Times New Roman" w:cs="Times New Roman"/>
          <w:sz w:val="24"/>
        </w:rPr>
        <w:t>зафиксированы</w:t>
      </w:r>
      <w:r w:rsidRPr="00984D71">
        <w:rPr>
          <w:rFonts w:ascii="Times New Roman" w:hAnsi="Times New Roman" w:cs="Times New Roman"/>
          <w:sz w:val="24"/>
        </w:rPr>
        <w:t xml:space="preserve"> её выраженные колебания. Наибольшая заболеваемость регистрировалась в возрастные периоды от 0 до 5 лет, наименьшая – в 9, 13 и 16 лет</w:t>
      </w:r>
      <w:r w:rsidR="008D6748">
        <w:rPr>
          <w:rFonts w:ascii="Times New Roman" w:hAnsi="Times New Roman" w:cs="Times New Roman"/>
          <w:sz w:val="24"/>
        </w:rPr>
        <w:t xml:space="preserve"> (рис. 1</w:t>
      </w:r>
      <w:r w:rsidRPr="00984D71">
        <w:rPr>
          <w:rFonts w:ascii="Times New Roman" w:hAnsi="Times New Roman" w:cs="Times New Roman"/>
          <w:sz w:val="24"/>
        </w:rPr>
        <w:t>).</w:t>
      </w:r>
    </w:p>
    <w:p w:rsidR="009B4C93" w:rsidRPr="009B4C93" w:rsidRDefault="009B4C93" w:rsidP="00F00FA4">
      <w:pPr>
        <w:spacing w:after="0" w:line="240" w:lineRule="auto"/>
        <w:ind w:firstLine="709"/>
        <w:jc w:val="both"/>
        <w:rPr>
          <w:rFonts w:ascii="Times New Roman" w:hAnsi="Times New Roman" w:cs="Times New Roman"/>
          <w:sz w:val="24"/>
          <w:lang w:val="en-US"/>
        </w:rPr>
      </w:pPr>
    </w:p>
    <w:p w:rsidR="00984D71" w:rsidRPr="00984D71" w:rsidRDefault="002310CD" w:rsidP="00984D71">
      <w:pPr>
        <w:spacing w:after="0" w:line="360" w:lineRule="auto"/>
        <w:jc w:val="both"/>
        <w:rPr>
          <w:rFonts w:ascii="Times New Roman" w:hAnsi="Times New Roman" w:cs="Times New Roman"/>
          <w:sz w:val="24"/>
        </w:rPr>
      </w:pPr>
      <w:r>
        <w:rPr>
          <w:noProof/>
          <w:lang w:eastAsia="ru-RU"/>
        </w:rPr>
        <w:drawing>
          <wp:inline distT="0" distB="0" distL="0" distR="0" wp14:anchorId="23BE6448" wp14:editId="5A19E111">
            <wp:extent cx="5939790" cy="2785675"/>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4D71" w:rsidRPr="00984D71" w:rsidRDefault="00984D71" w:rsidP="009B4C93">
      <w:pPr>
        <w:spacing w:after="0" w:line="240" w:lineRule="auto"/>
        <w:jc w:val="center"/>
        <w:rPr>
          <w:rFonts w:ascii="Times New Roman" w:hAnsi="Times New Roman" w:cs="Times New Roman"/>
          <w:sz w:val="24"/>
        </w:rPr>
      </w:pPr>
      <w:r w:rsidRPr="00984D71">
        <w:rPr>
          <w:rFonts w:ascii="Times New Roman" w:hAnsi="Times New Roman" w:cs="Times New Roman"/>
          <w:sz w:val="24"/>
        </w:rPr>
        <w:t xml:space="preserve">Рисунок </w:t>
      </w:r>
      <w:r w:rsidR="008D6748">
        <w:rPr>
          <w:rFonts w:ascii="Times New Roman" w:hAnsi="Times New Roman" w:cs="Times New Roman"/>
          <w:sz w:val="24"/>
        </w:rPr>
        <w:t>1</w:t>
      </w:r>
      <w:r w:rsidRPr="00984D71">
        <w:rPr>
          <w:rFonts w:ascii="Times New Roman" w:hAnsi="Times New Roman" w:cs="Times New Roman"/>
          <w:sz w:val="24"/>
        </w:rPr>
        <w:t>. Численность детей когорты 2001 г.р. и доля не болевших среди них (</w:t>
      </w:r>
      <w:proofErr w:type="gramStart"/>
      <w:r w:rsidRPr="00984D71">
        <w:rPr>
          <w:rFonts w:ascii="Times New Roman" w:hAnsi="Times New Roman" w:cs="Times New Roman"/>
          <w:sz w:val="24"/>
        </w:rPr>
        <w:t>в</w:t>
      </w:r>
      <w:proofErr w:type="gramEnd"/>
      <w:r w:rsidRPr="00984D71">
        <w:rPr>
          <w:rFonts w:ascii="Times New Roman" w:hAnsi="Times New Roman" w:cs="Times New Roman"/>
          <w:sz w:val="24"/>
        </w:rPr>
        <w:t xml:space="preserve"> %)</w:t>
      </w:r>
    </w:p>
    <w:p w:rsidR="009B4C93" w:rsidRDefault="009B4C93" w:rsidP="00F00FA4">
      <w:pPr>
        <w:spacing w:after="0" w:line="240" w:lineRule="auto"/>
        <w:ind w:firstLine="709"/>
        <w:jc w:val="both"/>
        <w:rPr>
          <w:rFonts w:ascii="Times New Roman" w:hAnsi="Times New Roman" w:cs="Times New Roman"/>
          <w:sz w:val="24"/>
          <w:lang w:val="en-US"/>
        </w:rPr>
      </w:pPr>
    </w:p>
    <w:p w:rsidR="00984D71" w:rsidRPr="00984D71" w:rsidRDefault="00984D71" w:rsidP="00F00FA4">
      <w:pPr>
        <w:spacing w:after="0" w:line="240" w:lineRule="auto"/>
        <w:ind w:firstLine="709"/>
        <w:jc w:val="both"/>
        <w:rPr>
          <w:rFonts w:ascii="Times New Roman" w:hAnsi="Times New Roman" w:cs="Times New Roman"/>
          <w:sz w:val="24"/>
        </w:rPr>
      </w:pPr>
      <w:r w:rsidRPr="00984D71">
        <w:rPr>
          <w:rFonts w:ascii="Times New Roman" w:hAnsi="Times New Roman" w:cs="Times New Roman"/>
          <w:sz w:val="24"/>
        </w:rPr>
        <w:t xml:space="preserve">Соотношение численности здоровых и болеющих детей </w:t>
      </w:r>
      <w:r w:rsidR="008D6748" w:rsidRPr="00984D71">
        <w:rPr>
          <w:rFonts w:ascii="Times New Roman" w:hAnsi="Times New Roman" w:cs="Times New Roman"/>
          <w:sz w:val="24"/>
        </w:rPr>
        <w:t xml:space="preserve">в период наблюдения </w:t>
      </w:r>
      <w:r w:rsidRPr="00984D71">
        <w:rPr>
          <w:rFonts w:ascii="Times New Roman" w:hAnsi="Times New Roman" w:cs="Times New Roman"/>
          <w:sz w:val="24"/>
        </w:rPr>
        <w:t xml:space="preserve">также </w:t>
      </w:r>
      <w:r w:rsidR="00E165A2">
        <w:rPr>
          <w:rFonts w:ascii="Times New Roman" w:hAnsi="Times New Roman" w:cs="Times New Roman"/>
          <w:sz w:val="24"/>
        </w:rPr>
        <w:t>изме</w:t>
      </w:r>
      <w:r w:rsidRPr="00984D71">
        <w:rPr>
          <w:rFonts w:ascii="Times New Roman" w:hAnsi="Times New Roman" w:cs="Times New Roman"/>
          <w:sz w:val="24"/>
        </w:rPr>
        <w:t>ня</w:t>
      </w:r>
      <w:r w:rsidR="00E165A2">
        <w:rPr>
          <w:rFonts w:ascii="Times New Roman" w:hAnsi="Times New Roman" w:cs="Times New Roman"/>
          <w:sz w:val="24"/>
        </w:rPr>
        <w:t>лось. С</w:t>
      </w:r>
      <w:r w:rsidRPr="00984D71">
        <w:rPr>
          <w:rFonts w:ascii="Times New Roman" w:hAnsi="Times New Roman" w:cs="Times New Roman"/>
          <w:sz w:val="24"/>
        </w:rPr>
        <w:t xml:space="preserve">реди новорожденных полностью здоровыми </w:t>
      </w:r>
      <w:r w:rsidR="009917B6">
        <w:rPr>
          <w:rFonts w:ascii="Times New Roman" w:hAnsi="Times New Roman" w:cs="Times New Roman"/>
          <w:sz w:val="24"/>
        </w:rPr>
        <w:t xml:space="preserve">педиатрами </w:t>
      </w:r>
      <w:r w:rsidRPr="00984D71">
        <w:rPr>
          <w:rFonts w:ascii="Times New Roman" w:hAnsi="Times New Roman" w:cs="Times New Roman"/>
          <w:sz w:val="24"/>
        </w:rPr>
        <w:t xml:space="preserve">были признаны 35% детей, тогда как к моменту 17-тилетия в этой категории </w:t>
      </w:r>
      <w:r w:rsidR="00E165A2" w:rsidRPr="00984D71">
        <w:rPr>
          <w:rFonts w:ascii="Times New Roman" w:hAnsi="Times New Roman" w:cs="Times New Roman"/>
          <w:sz w:val="24"/>
        </w:rPr>
        <w:t xml:space="preserve">остались </w:t>
      </w:r>
      <w:r w:rsidRPr="00984D71">
        <w:rPr>
          <w:rFonts w:ascii="Times New Roman" w:hAnsi="Times New Roman" w:cs="Times New Roman"/>
          <w:sz w:val="24"/>
        </w:rPr>
        <w:t>только 15%. Учитывая, что численность когорты за время наблюдения существенно сократилась, мы проанализируем изменения в состоянии здоровья тех детей, которые остались в её составе к своему семнадцатилетию.</w:t>
      </w:r>
    </w:p>
    <w:p w:rsidR="00984D71" w:rsidRPr="00984D71" w:rsidRDefault="00984D71" w:rsidP="00F00FA4">
      <w:pPr>
        <w:spacing w:after="0" w:line="240" w:lineRule="auto"/>
        <w:ind w:firstLine="709"/>
        <w:jc w:val="both"/>
        <w:rPr>
          <w:rFonts w:ascii="Times New Roman" w:hAnsi="Times New Roman" w:cs="Times New Roman"/>
          <w:sz w:val="24"/>
        </w:rPr>
      </w:pPr>
      <w:r w:rsidRPr="00984D71">
        <w:rPr>
          <w:rFonts w:ascii="Times New Roman" w:hAnsi="Times New Roman" w:cs="Times New Roman"/>
          <w:sz w:val="24"/>
        </w:rPr>
        <w:t xml:space="preserve">К 2018 г. в составе когорты остались 14 мальчиков и 21 девочка. Первую группу здоровья </w:t>
      </w:r>
      <w:r w:rsidR="00F14359">
        <w:rPr>
          <w:rFonts w:ascii="Times New Roman" w:hAnsi="Times New Roman" w:cs="Times New Roman"/>
          <w:sz w:val="24"/>
        </w:rPr>
        <w:t>при рождении имели 29%, а к</w:t>
      </w:r>
      <w:r w:rsidRPr="00984D71">
        <w:rPr>
          <w:rFonts w:ascii="Times New Roman" w:hAnsi="Times New Roman" w:cs="Times New Roman"/>
          <w:sz w:val="24"/>
        </w:rPr>
        <w:t xml:space="preserve"> 17 годам </w:t>
      </w:r>
      <w:r w:rsidR="00F14359">
        <w:rPr>
          <w:rFonts w:ascii="Times New Roman" w:hAnsi="Times New Roman" w:cs="Times New Roman"/>
          <w:sz w:val="24"/>
        </w:rPr>
        <w:t xml:space="preserve">– </w:t>
      </w:r>
      <w:r w:rsidRPr="00984D71">
        <w:rPr>
          <w:rFonts w:ascii="Times New Roman" w:hAnsi="Times New Roman" w:cs="Times New Roman"/>
          <w:sz w:val="24"/>
        </w:rPr>
        <w:t xml:space="preserve">21% мальчиков, вторую – </w:t>
      </w:r>
      <w:r w:rsidR="00F14359">
        <w:rPr>
          <w:rFonts w:ascii="Times New Roman" w:hAnsi="Times New Roman" w:cs="Times New Roman"/>
          <w:sz w:val="24"/>
        </w:rPr>
        <w:t xml:space="preserve">71% и </w:t>
      </w:r>
      <w:r w:rsidRPr="00984D71">
        <w:rPr>
          <w:rFonts w:ascii="Times New Roman" w:hAnsi="Times New Roman" w:cs="Times New Roman"/>
          <w:sz w:val="24"/>
        </w:rPr>
        <w:t>64%,</w:t>
      </w:r>
      <w:r w:rsidR="00F14359">
        <w:rPr>
          <w:rFonts w:ascii="Times New Roman" w:hAnsi="Times New Roman" w:cs="Times New Roman"/>
          <w:sz w:val="24"/>
        </w:rPr>
        <w:t xml:space="preserve"> </w:t>
      </w:r>
      <w:r w:rsidR="00F14359">
        <w:rPr>
          <w:rFonts w:ascii="Times New Roman" w:hAnsi="Times New Roman" w:cs="Times New Roman"/>
          <w:sz w:val="24"/>
        </w:rPr>
        <w:lastRenderedPageBreak/>
        <w:t>соответственно,</w:t>
      </w:r>
      <w:r w:rsidR="00820BF4">
        <w:rPr>
          <w:rFonts w:ascii="Times New Roman" w:hAnsi="Times New Roman" w:cs="Times New Roman"/>
          <w:sz w:val="24"/>
        </w:rPr>
        <w:t xml:space="preserve"> к 17 годам </w:t>
      </w:r>
      <w:r w:rsidRPr="00984D71">
        <w:rPr>
          <w:rFonts w:ascii="Times New Roman" w:hAnsi="Times New Roman" w:cs="Times New Roman"/>
          <w:sz w:val="24"/>
        </w:rPr>
        <w:t>14%</w:t>
      </w:r>
      <w:r w:rsidR="00820BF4">
        <w:rPr>
          <w:rFonts w:ascii="Times New Roman" w:hAnsi="Times New Roman" w:cs="Times New Roman"/>
          <w:sz w:val="24"/>
        </w:rPr>
        <w:t xml:space="preserve"> мальчиков</w:t>
      </w:r>
      <w:r w:rsidR="008B37B0">
        <w:rPr>
          <w:rFonts w:ascii="Times New Roman" w:hAnsi="Times New Roman" w:cs="Times New Roman"/>
          <w:sz w:val="24"/>
        </w:rPr>
        <w:t xml:space="preserve"> уже имели третью группу здоровья</w:t>
      </w:r>
      <w:r w:rsidRPr="00984D71">
        <w:rPr>
          <w:rFonts w:ascii="Times New Roman" w:hAnsi="Times New Roman" w:cs="Times New Roman"/>
          <w:sz w:val="24"/>
        </w:rPr>
        <w:t>. Хронические заболевания впервые диагностированы у 8% мальчиков на втором году жизни. В возрасте трёх лет педиатры не ставили первую группу здоровья ни одному из детей. Резк</w:t>
      </w:r>
      <w:r w:rsidR="00446895">
        <w:rPr>
          <w:rFonts w:ascii="Times New Roman" w:hAnsi="Times New Roman" w:cs="Times New Roman"/>
          <w:sz w:val="24"/>
        </w:rPr>
        <w:t>ое увеличение</w:t>
      </w:r>
      <w:r w:rsidRPr="00984D71">
        <w:rPr>
          <w:rFonts w:ascii="Times New Roman" w:hAnsi="Times New Roman" w:cs="Times New Roman"/>
          <w:sz w:val="24"/>
        </w:rPr>
        <w:t xml:space="preserve"> доли детей с хроническими заболеваниями (3 группа здоровья) происходит на</w:t>
      </w:r>
      <w:r w:rsidR="00E90844">
        <w:rPr>
          <w:rFonts w:ascii="Times New Roman" w:hAnsi="Times New Roman" w:cs="Times New Roman"/>
          <w:sz w:val="24"/>
        </w:rPr>
        <w:t xml:space="preserve"> четвёртом (</w:t>
      </w:r>
      <w:r w:rsidR="00747281">
        <w:rPr>
          <w:rFonts w:ascii="Times New Roman" w:hAnsi="Times New Roman" w:cs="Times New Roman"/>
          <w:sz w:val="24"/>
        </w:rPr>
        <w:t xml:space="preserve">с 18 до </w:t>
      </w:r>
      <w:r w:rsidR="00E90844">
        <w:rPr>
          <w:rFonts w:ascii="Times New Roman" w:hAnsi="Times New Roman" w:cs="Times New Roman"/>
          <w:sz w:val="24"/>
        </w:rPr>
        <w:t>30%)</w:t>
      </w:r>
      <w:r w:rsidR="00446895">
        <w:rPr>
          <w:rFonts w:ascii="Times New Roman" w:hAnsi="Times New Roman" w:cs="Times New Roman"/>
          <w:sz w:val="24"/>
        </w:rPr>
        <w:t>,</w:t>
      </w:r>
      <w:r w:rsidRPr="00984D71">
        <w:rPr>
          <w:rFonts w:ascii="Times New Roman" w:hAnsi="Times New Roman" w:cs="Times New Roman"/>
          <w:sz w:val="24"/>
        </w:rPr>
        <w:t xml:space="preserve"> десятом</w:t>
      </w:r>
      <w:r w:rsidR="003F1BDD">
        <w:rPr>
          <w:rFonts w:ascii="Times New Roman" w:hAnsi="Times New Roman" w:cs="Times New Roman"/>
          <w:sz w:val="24"/>
        </w:rPr>
        <w:t xml:space="preserve"> (</w:t>
      </w:r>
      <w:r w:rsidR="00747281">
        <w:rPr>
          <w:rFonts w:ascii="Times New Roman" w:hAnsi="Times New Roman" w:cs="Times New Roman"/>
          <w:sz w:val="24"/>
        </w:rPr>
        <w:t xml:space="preserve">с 15 до </w:t>
      </w:r>
      <w:r w:rsidR="003F1BDD">
        <w:rPr>
          <w:rFonts w:ascii="Times New Roman" w:hAnsi="Times New Roman" w:cs="Times New Roman"/>
          <w:sz w:val="24"/>
        </w:rPr>
        <w:t>42%)</w:t>
      </w:r>
      <w:r w:rsidRPr="00984D71">
        <w:rPr>
          <w:rFonts w:ascii="Times New Roman" w:hAnsi="Times New Roman" w:cs="Times New Roman"/>
          <w:sz w:val="24"/>
        </w:rPr>
        <w:t xml:space="preserve"> и пятнадцатом</w:t>
      </w:r>
      <w:r w:rsidR="003F1BDD">
        <w:rPr>
          <w:rFonts w:ascii="Times New Roman" w:hAnsi="Times New Roman" w:cs="Times New Roman"/>
          <w:sz w:val="24"/>
        </w:rPr>
        <w:t xml:space="preserve"> (</w:t>
      </w:r>
      <w:r w:rsidR="00747281">
        <w:rPr>
          <w:rFonts w:ascii="Times New Roman" w:hAnsi="Times New Roman" w:cs="Times New Roman"/>
          <w:sz w:val="24"/>
        </w:rPr>
        <w:t xml:space="preserve">с 25 </w:t>
      </w:r>
      <w:proofErr w:type="gramStart"/>
      <w:r w:rsidR="00747281">
        <w:rPr>
          <w:rFonts w:ascii="Times New Roman" w:hAnsi="Times New Roman" w:cs="Times New Roman"/>
          <w:sz w:val="24"/>
        </w:rPr>
        <w:t>до</w:t>
      </w:r>
      <w:proofErr w:type="gramEnd"/>
      <w:r w:rsidR="00747281">
        <w:rPr>
          <w:rFonts w:ascii="Times New Roman" w:hAnsi="Times New Roman" w:cs="Times New Roman"/>
          <w:sz w:val="24"/>
        </w:rPr>
        <w:t xml:space="preserve"> </w:t>
      </w:r>
      <w:r w:rsidR="003F1BDD">
        <w:rPr>
          <w:rFonts w:ascii="Times New Roman" w:hAnsi="Times New Roman" w:cs="Times New Roman"/>
          <w:sz w:val="24"/>
        </w:rPr>
        <w:t>42%)</w:t>
      </w:r>
      <w:r w:rsidRPr="00984D71">
        <w:rPr>
          <w:rFonts w:ascii="Times New Roman" w:hAnsi="Times New Roman" w:cs="Times New Roman"/>
          <w:sz w:val="24"/>
        </w:rPr>
        <w:t xml:space="preserve"> </w:t>
      </w:r>
      <w:proofErr w:type="gramStart"/>
      <w:r w:rsidRPr="00984D71">
        <w:rPr>
          <w:rFonts w:ascii="Times New Roman" w:hAnsi="Times New Roman" w:cs="Times New Roman"/>
          <w:sz w:val="24"/>
        </w:rPr>
        <w:t>годах</w:t>
      </w:r>
      <w:proofErr w:type="gramEnd"/>
      <w:r w:rsidRPr="00984D71">
        <w:rPr>
          <w:rFonts w:ascii="Times New Roman" w:hAnsi="Times New Roman" w:cs="Times New Roman"/>
          <w:sz w:val="24"/>
        </w:rPr>
        <w:t xml:space="preserve"> жизни. А наибольшая доля здоровых детей (1 группа здоровья) отмечается </w:t>
      </w:r>
      <w:r w:rsidR="000A0DE5">
        <w:rPr>
          <w:rFonts w:ascii="Times New Roman" w:hAnsi="Times New Roman" w:cs="Times New Roman"/>
          <w:sz w:val="24"/>
        </w:rPr>
        <w:t>в</w:t>
      </w:r>
      <w:r w:rsidRPr="00984D71">
        <w:rPr>
          <w:rFonts w:ascii="Times New Roman" w:hAnsi="Times New Roman" w:cs="Times New Roman"/>
          <w:sz w:val="24"/>
        </w:rPr>
        <w:t xml:space="preserve"> одиннадцат</w:t>
      </w:r>
      <w:r w:rsidR="000A0DE5">
        <w:rPr>
          <w:rFonts w:ascii="Times New Roman" w:hAnsi="Times New Roman" w:cs="Times New Roman"/>
          <w:sz w:val="24"/>
        </w:rPr>
        <w:t xml:space="preserve">ь (30%) и </w:t>
      </w:r>
      <w:r w:rsidRPr="00984D71">
        <w:rPr>
          <w:rFonts w:ascii="Times New Roman" w:hAnsi="Times New Roman" w:cs="Times New Roman"/>
          <w:sz w:val="24"/>
        </w:rPr>
        <w:t>двенадцат</w:t>
      </w:r>
      <w:r w:rsidR="000A0DE5">
        <w:rPr>
          <w:rFonts w:ascii="Times New Roman" w:hAnsi="Times New Roman" w:cs="Times New Roman"/>
          <w:sz w:val="24"/>
        </w:rPr>
        <w:t>ь</w:t>
      </w:r>
      <w:r w:rsidRPr="00984D71">
        <w:rPr>
          <w:rFonts w:ascii="Times New Roman" w:hAnsi="Times New Roman" w:cs="Times New Roman"/>
          <w:sz w:val="24"/>
        </w:rPr>
        <w:t xml:space="preserve"> </w:t>
      </w:r>
      <w:r w:rsidR="000A0DE5">
        <w:rPr>
          <w:rFonts w:ascii="Times New Roman" w:hAnsi="Times New Roman" w:cs="Times New Roman"/>
          <w:sz w:val="24"/>
        </w:rPr>
        <w:t>лет</w:t>
      </w:r>
      <w:r w:rsidRPr="00984D71">
        <w:rPr>
          <w:rFonts w:ascii="Times New Roman" w:hAnsi="Times New Roman" w:cs="Times New Roman"/>
          <w:sz w:val="24"/>
        </w:rPr>
        <w:t xml:space="preserve"> (</w:t>
      </w:r>
      <w:r w:rsidR="000A0DE5">
        <w:rPr>
          <w:rFonts w:ascii="Times New Roman" w:hAnsi="Times New Roman" w:cs="Times New Roman"/>
          <w:sz w:val="24"/>
        </w:rPr>
        <w:t xml:space="preserve">27%). </w:t>
      </w:r>
    </w:p>
    <w:p w:rsidR="00984D71" w:rsidRPr="00984D71" w:rsidRDefault="00984D71" w:rsidP="00F00FA4">
      <w:pPr>
        <w:spacing w:after="0" w:line="240" w:lineRule="auto"/>
        <w:ind w:firstLine="709"/>
        <w:jc w:val="both"/>
        <w:rPr>
          <w:rFonts w:ascii="Times New Roman" w:hAnsi="Times New Roman" w:cs="Times New Roman"/>
          <w:sz w:val="24"/>
        </w:rPr>
      </w:pPr>
      <w:r w:rsidRPr="00984D71">
        <w:rPr>
          <w:rFonts w:ascii="Times New Roman" w:hAnsi="Times New Roman" w:cs="Times New Roman"/>
          <w:sz w:val="24"/>
        </w:rPr>
        <w:t>Среди мальчиков один ребёнок имел инвалидность, обусловленную психическим заболеванием (аутизм). Инвалидность впервые была установлена</w:t>
      </w:r>
      <w:r w:rsidR="00ED15B6">
        <w:rPr>
          <w:rFonts w:ascii="Times New Roman" w:hAnsi="Times New Roman" w:cs="Times New Roman"/>
          <w:sz w:val="24"/>
        </w:rPr>
        <w:t xml:space="preserve"> ему</w:t>
      </w:r>
      <w:r w:rsidRPr="00984D71">
        <w:rPr>
          <w:rFonts w:ascii="Times New Roman" w:hAnsi="Times New Roman" w:cs="Times New Roman"/>
          <w:sz w:val="24"/>
        </w:rPr>
        <w:t xml:space="preserve"> в возрасте 7 лет. Ранее диагностировалась задержка психического развития ребёнка, а в раннем детстве отмечалось отставание в речевом развитии. К семнадцати годам ребёнок состоял на диспансерном наблюдении у невролога и психиатра.</w:t>
      </w:r>
    </w:p>
    <w:p w:rsidR="00984D71" w:rsidRPr="00984D71" w:rsidRDefault="00984D71" w:rsidP="00F00FA4">
      <w:pPr>
        <w:spacing w:after="0" w:line="240" w:lineRule="auto"/>
        <w:ind w:firstLine="709"/>
        <w:jc w:val="both"/>
        <w:rPr>
          <w:rFonts w:ascii="Times New Roman" w:hAnsi="Times New Roman" w:cs="Times New Roman"/>
          <w:sz w:val="24"/>
        </w:rPr>
      </w:pPr>
      <w:r w:rsidRPr="00984D71">
        <w:rPr>
          <w:rFonts w:ascii="Times New Roman" w:hAnsi="Times New Roman" w:cs="Times New Roman"/>
          <w:sz w:val="24"/>
        </w:rPr>
        <w:t>Хронические заболевания, не при</w:t>
      </w:r>
      <w:r w:rsidR="003A164A">
        <w:rPr>
          <w:rFonts w:ascii="Times New Roman" w:hAnsi="Times New Roman" w:cs="Times New Roman"/>
          <w:sz w:val="24"/>
        </w:rPr>
        <w:t>водящие к ограничениям жизнедея</w:t>
      </w:r>
      <w:r w:rsidRPr="00984D71">
        <w:rPr>
          <w:rFonts w:ascii="Times New Roman" w:hAnsi="Times New Roman" w:cs="Times New Roman"/>
          <w:sz w:val="24"/>
        </w:rPr>
        <w:t xml:space="preserve">тельности, имели двое детей. У одного из них </w:t>
      </w:r>
      <w:r w:rsidR="00ED15B6">
        <w:rPr>
          <w:rFonts w:ascii="Times New Roman" w:hAnsi="Times New Roman" w:cs="Times New Roman"/>
          <w:sz w:val="24"/>
        </w:rPr>
        <w:t xml:space="preserve">была </w:t>
      </w:r>
      <w:r w:rsidRPr="00984D71">
        <w:rPr>
          <w:rFonts w:ascii="Times New Roman" w:hAnsi="Times New Roman" w:cs="Times New Roman"/>
          <w:sz w:val="24"/>
        </w:rPr>
        <w:t>диагностирована бронхиальная астма</w:t>
      </w:r>
      <w:r w:rsidR="008E18E0">
        <w:rPr>
          <w:rFonts w:ascii="Times New Roman" w:hAnsi="Times New Roman" w:cs="Times New Roman"/>
          <w:sz w:val="24"/>
        </w:rPr>
        <w:t xml:space="preserve">, у другого – </w:t>
      </w:r>
      <w:r w:rsidRPr="00984D71">
        <w:rPr>
          <w:rFonts w:ascii="Times New Roman" w:hAnsi="Times New Roman" w:cs="Times New Roman"/>
          <w:sz w:val="24"/>
        </w:rPr>
        <w:t xml:space="preserve">ожирение третьей степени, в </w:t>
      </w:r>
      <w:proofErr w:type="gramStart"/>
      <w:r w:rsidRPr="00984D71">
        <w:rPr>
          <w:rFonts w:ascii="Times New Roman" w:hAnsi="Times New Roman" w:cs="Times New Roman"/>
          <w:sz w:val="24"/>
        </w:rPr>
        <w:t>связи</w:t>
      </w:r>
      <w:proofErr w:type="gramEnd"/>
      <w:r w:rsidRPr="00984D71">
        <w:rPr>
          <w:rFonts w:ascii="Times New Roman" w:hAnsi="Times New Roman" w:cs="Times New Roman"/>
          <w:sz w:val="24"/>
        </w:rPr>
        <w:t xml:space="preserve"> с чем он состоял на диспансерном наблюдении у эндокринолога. Наиболее распространённой среди мальчиков на семнадцатом году жизни проблемой со здоровьем были остры</w:t>
      </w:r>
      <w:r w:rsidR="007152AF">
        <w:rPr>
          <w:rFonts w:ascii="Times New Roman" w:hAnsi="Times New Roman" w:cs="Times New Roman"/>
          <w:sz w:val="24"/>
        </w:rPr>
        <w:t>е</w:t>
      </w:r>
      <w:r w:rsidRPr="00984D71">
        <w:rPr>
          <w:rFonts w:ascii="Times New Roman" w:hAnsi="Times New Roman" w:cs="Times New Roman"/>
          <w:sz w:val="24"/>
        </w:rPr>
        <w:t xml:space="preserve"> респираторны</w:t>
      </w:r>
      <w:r w:rsidR="007152AF">
        <w:rPr>
          <w:rFonts w:ascii="Times New Roman" w:hAnsi="Times New Roman" w:cs="Times New Roman"/>
          <w:sz w:val="24"/>
        </w:rPr>
        <w:t>е или респираторно-вирусные</w:t>
      </w:r>
      <w:r w:rsidRPr="00984D71">
        <w:rPr>
          <w:rFonts w:ascii="Times New Roman" w:hAnsi="Times New Roman" w:cs="Times New Roman"/>
          <w:sz w:val="24"/>
        </w:rPr>
        <w:t xml:space="preserve"> инфекции (</w:t>
      </w:r>
      <w:r w:rsidR="00801867">
        <w:rPr>
          <w:rFonts w:ascii="Times New Roman" w:hAnsi="Times New Roman" w:cs="Times New Roman"/>
          <w:sz w:val="24"/>
        </w:rPr>
        <w:t xml:space="preserve">переболели </w:t>
      </w:r>
      <w:r w:rsidRPr="00984D71">
        <w:rPr>
          <w:rFonts w:ascii="Times New Roman" w:hAnsi="Times New Roman" w:cs="Times New Roman"/>
          <w:sz w:val="24"/>
        </w:rPr>
        <w:t>50%). Ничем не болели на семнадцатом году жизни только двое мальчиков. Первую группу здоровья педиатр</w:t>
      </w:r>
      <w:r w:rsidR="00D41AEE">
        <w:rPr>
          <w:rFonts w:ascii="Times New Roman" w:hAnsi="Times New Roman" w:cs="Times New Roman"/>
          <w:sz w:val="24"/>
        </w:rPr>
        <w:t>ы установили только трём детям.</w:t>
      </w:r>
    </w:p>
    <w:p w:rsidR="006446F1" w:rsidRDefault="00984D71" w:rsidP="00F00FA4">
      <w:pPr>
        <w:spacing w:after="0" w:line="240" w:lineRule="auto"/>
        <w:ind w:firstLine="709"/>
        <w:jc w:val="both"/>
        <w:rPr>
          <w:rFonts w:ascii="Times New Roman" w:hAnsi="Times New Roman" w:cs="Times New Roman"/>
          <w:sz w:val="24"/>
        </w:rPr>
      </w:pPr>
      <w:r w:rsidRPr="00984D71">
        <w:rPr>
          <w:rFonts w:ascii="Times New Roman" w:hAnsi="Times New Roman" w:cs="Times New Roman"/>
          <w:sz w:val="24"/>
        </w:rPr>
        <w:t>При рождении у 6 из 14 мальчиков были диагностированы те или иные проблемы со здоровьем. Примечательно, что у ребёнка, которому в дальнейшем был поставлен диагноз «аутизм» все показатели здоровья при рождении были в пределах нормы, тогда как мальчик, которому при рождении поставили диагноз «перинатальная энцефалопатия» в дальнейшем не имел проблем с развитием. В 7 лет ему был поставлен диагноз «</w:t>
      </w:r>
      <w:proofErr w:type="spellStart"/>
      <w:r w:rsidRPr="00984D71">
        <w:rPr>
          <w:rFonts w:ascii="Times New Roman" w:hAnsi="Times New Roman" w:cs="Times New Roman"/>
          <w:sz w:val="24"/>
        </w:rPr>
        <w:t>дискенезия</w:t>
      </w:r>
      <w:proofErr w:type="spellEnd"/>
      <w:r w:rsidRPr="00984D71">
        <w:rPr>
          <w:rFonts w:ascii="Times New Roman" w:hAnsi="Times New Roman" w:cs="Times New Roman"/>
          <w:sz w:val="24"/>
        </w:rPr>
        <w:t xml:space="preserve"> желчевыводящих путей», который к семнадцати годам был снят</w:t>
      </w:r>
      <w:r w:rsidR="00EF1539">
        <w:rPr>
          <w:rFonts w:ascii="Times New Roman" w:hAnsi="Times New Roman" w:cs="Times New Roman"/>
          <w:sz w:val="24"/>
        </w:rPr>
        <w:t>.</w:t>
      </w:r>
    </w:p>
    <w:p w:rsidR="00B15437" w:rsidRPr="00B15437" w:rsidRDefault="00B15437" w:rsidP="00F00FA4">
      <w:pPr>
        <w:spacing w:after="0" w:line="240" w:lineRule="auto"/>
        <w:ind w:firstLine="709"/>
        <w:jc w:val="both"/>
        <w:rPr>
          <w:rFonts w:ascii="Times New Roman" w:hAnsi="Times New Roman" w:cs="Times New Roman"/>
          <w:sz w:val="24"/>
        </w:rPr>
      </w:pPr>
      <w:r w:rsidRPr="00B15437">
        <w:rPr>
          <w:rFonts w:ascii="Times New Roman" w:hAnsi="Times New Roman" w:cs="Times New Roman"/>
          <w:sz w:val="24"/>
        </w:rPr>
        <w:t xml:space="preserve">Здоровье девочек исследуемой когорты также менялось в ходе взросления. Среди них к 17 годам большинство имели те или иные нарушения здоровья. Первая группа по здоровью была установлена только двум девушкам. Наиболее значительные потери здоровья </w:t>
      </w:r>
      <w:r w:rsidR="00EF1539">
        <w:rPr>
          <w:rFonts w:ascii="Times New Roman" w:hAnsi="Times New Roman" w:cs="Times New Roman"/>
          <w:sz w:val="24"/>
        </w:rPr>
        <w:t xml:space="preserve">были </w:t>
      </w:r>
      <w:r w:rsidRPr="00B15437">
        <w:rPr>
          <w:rFonts w:ascii="Times New Roman" w:hAnsi="Times New Roman" w:cs="Times New Roman"/>
          <w:sz w:val="24"/>
        </w:rPr>
        <w:t xml:space="preserve">отмечены на первом году жизни детей: если при рождении к первой группе по здоровью </w:t>
      </w:r>
      <w:r w:rsidR="007B1874">
        <w:rPr>
          <w:rFonts w:ascii="Times New Roman" w:hAnsi="Times New Roman" w:cs="Times New Roman"/>
          <w:sz w:val="24"/>
        </w:rPr>
        <w:t xml:space="preserve">были </w:t>
      </w:r>
      <w:r w:rsidRPr="00B15437">
        <w:rPr>
          <w:rFonts w:ascii="Times New Roman" w:hAnsi="Times New Roman" w:cs="Times New Roman"/>
          <w:sz w:val="24"/>
        </w:rPr>
        <w:t>отнесены 33% девочек, то в возрасте одного года ни одна из них не была признана полност</w:t>
      </w:r>
      <w:r w:rsidR="007B1874">
        <w:rPr>
          <w:rFonts w:ascii="Times New Roman" w:hAnsi="Times New Roman" w:cs="Times New Roman"/>
          <w:sz w:val="24"/>
        </w:rPr>
        <w:t xml:space="preserve">ью здоровой. Такая же ситуация </w:t>
      </w:r>
      <w:r w:rsidRPr="00B15437">
        <w:rPr>
          <w:rFonts w:ascii="Times New Roman" w:hAnsi="Times New Roman" w:cs="Times New Roman"/>
          <w:sz w:val="24"/>
        </w:rPr>
        <w:t>наб</w:t>
      </w:r>
      <w:r>
        <w:rPr>
          <w:rFonts w:ascii="Times New Roman" w:hAnsi="Times New Roman" w:cs="Times New Roman"/>
          <w:sz w:val="24"/>
        </w:rPr>
        <w:t>людалась в возрасте 3 и 6 лет. С</w:t>
      </w:r>
      <w:r w:rsidRPr="00B15437">
        <w:rPr>
          <w:rFonts w:ascii="Times New Roman" w:hAnsi="Times New Roman" w:cs="Times New Roman"/>
          <w:sz w:val="24"/>
        </w:rPr>
        <w:t>ущественное увеличение доли девочек, имеющих хронические заболевания</w:t>
      </w:r>
      <w:r w:rsidR="00EF1539">
        <w:rPr>
          <w:rFonts w:ascii="Times New Roman" w:hAnsi="Times New Roman" w:cs="Times New Roman"/>
          <w:sz w:val="24"/>
        </w:rPr>
        <w:t>,</w:t>
      </w:r>
      <w:r w:rsidRPr="00B15437">
        <w:rPr>
          <w:rFonts w:ascii="Times New Roman" w:hAnsi="Times New Roman" w:cs="Times New Roman"/>
          <w:sz w:val="24"/>
        </w:rPr>
        <w:t xml:space="preserve"> отмечалось на втором, седьмом, одиннадцатом, двенад</w:t>
      </w:r>
      <w:r w:rsidR="0062284C">
        <w:rPr>
          <w:rFonts w:ascii="Times New Roman" w:hAnsi="Times New Roman" w:cs="Times New Roman"/>
          <w:sz w:val="24"/>
        </w:rPr>
        <w:t>цатом и пятнадцатом годах жизни.</w:t>
      </w:r>
    </w:p>
    <w:p w:rsidR="006446F1" w:rsidRDefault="00B15437" w:rsidP="00F00FA4">
      <w:pPr>
        <w:spacing w:after="0" w:line="240" w:lineRule="auto"/>
        <w:ind w:firstLine="709"/>
        <w:jc w:val="both"/>
        <w:rPr>
          <w:rFonts w:ascii="Times New Roman" w:hAnsi="Times New Roman" w:cs="Times New Roman"/>
          <w:sz w:val="24"/>
        </w:rPr>
      </w:pPr>
      <w:r w:rsidRPr="00B15437">
        <w:rPr>
          <w:rFonts w:ascii="Times New Roman" w:hAnsi="Times New Roman" w:cs="Times New Roman"/>
          <w:sz w:val="24"/>
        </w:rPr>
        <w:t>К семнадцати годам среди девушек только трое были здоровы и не имели хронических заболеваний. Остальные имели нарушения здоровья, связанные с частыми острыми заболеваниями и хроническими состояниями. Для большинства девушек рассматриваемой когорты основными проблемами со здоровьем на семнадцатом году жизни выступали повторяющиеся острые респираторно-вирусные инфекции. При рождении у четырёх из них были диагностированы различные нарушения здоровья и развития. В раннем детстве большинство девочек страдали, главным образом, от заболеваний ЛОР-органов. Вместе с тем, перенесённые в детстве заболевания, в основном, не отразились на состоянии здоровья девушек впоследствии. На состоянии опорно-двигательного аппарата детей негативно сказался процесс школьного обучения уже с начальных классов. К старшему школьному возрасту у трёх девушек отмечались нарушения зрения, что также может быть связано с возрастанием зрительных нагрузок во время подготовки к выпускным экзаменам</w:t>
      </w:r>
      <w:r w:rsidR="00A91576">
        <w:rPr>
          <w:rFonts w:ascii="Times New Roman" w:hAnsi="Times New Roman" w:cs="Times New Roman"/>
          <w:sz w:val="24"/>
        </w:rPr>
        <w:t>. Следует отметить, что</w:t>
      </w:r>
      <w:r w:rsidR="00517EE6">
        <w:rPr>
          <w:rFonts w:ascii="Times New Roman" w:hAnsi="Times New Roman" w:cs="Times New Roman"/>
          <w:sz w:val="24"/>
        </w:rPr>
        <w:t xml:space="preserve">, согласно данным, ранее полученным в ходе когортного мониторинга, </w:t>
      </w:r>
      <w:r w:rsidR="00A91576">
        <w:rPr>
          <w:rFonts w:ascii="Times New Roman" w:hAnsi="Times New Roman" w:cs="Times New Roman"/>
          <w:sz w:val="24"/>
        </w:rPr>
        <w:t xml:space="preserve">на время обучения в школе </w:t>
      </w:r>
      <w:r w:rsidR="00A91576" w:rsidRPr="00A91576">
        <w:rPr>
          <w:rFonts w:ascii="Times New Roman" w:hAnsi="Times New Roman" w:cs="Times New Roman"/>
          <w:sz w:val="24"/>
        </w:rPr>
        <w:t xml:space="preserve">приходятся критические возраста детей, когда потенциал их здоровья может существенно </w:t>
      </w:r>
      <w:r w:rsidR="00055F92">
        <w:rPr>
          <w:rFonts w:ascii="Times New Roman" w:hAnsi="Times New Roman" w:cs="Times New Roman"/>
          <w:sz w:val="24"/>
        </w:rPr>
        <w:t>снижаться</w:t>
      </w:r>
      <w:r w:rsidR="00364E81">
        <w:rPr>
          <w:rFonts w:ascii="Times New Roman" w:hAnsi="Times New Roman" w:cs="Times New Roman"/>
          <w:sz w:val="24"/>
          <w:lang w:val="en-US"/>
        </w:rPr>
        <w:t xml:space="preserve"> [2]</w:t>
      </w:r>
      <w:r w:rsidR="00A91576" w:rsidRPr="00A91576">
        <w:rPr>
          <w:rFonts w:ascii="Times New Roman" w:hAnsi="Times New Roman" w:cs="Times New Roman"/>
          <w:sz w:val="24"/>
        </w:rPr>
        <w:t>.</w:t>
      </w:r>
    </w:p>
    <w:p w:rsidR="006728E2" w:rsidRDefault="00F05612" w:rsidP="00F00FA4">
      <w:pPr>
        <w:spacing w:after="0" w:line="240" w:lineRule="auto"/>
        <w:ind w:firstLine="709"/>
        <w:jc w:val="both"/>
        <w:rPr>
          <w:rFonts w:ascii="Times New Roman" w:hAnsi="Times New Roman" w:cs="Times New Roman"/>
          <w:sz w:val="24"/>
        </w:rPr>
      </w:pPr>
      <w:r w:rsidRPr="00F05612">
        <w:rPr>
          <w:rFonts w:ascii="Times New Roman" w:hAnsi="Times New Roman" w:cs="Times New Roman"/>
          <w:sz w:val="24"/>
        </w:rPr>
        <w:t xml:space="preserve">Общая картина состояния здоровья девушек на семнадцатом году жизни практически не отличается от той, которая сложилась среди юношей когорты. </w:t>
      </w:r>
    </w:p>
    <w:p w:rsidR="00B15437" w:rsidRDefault="00F05612" w:rsidP="00F00FA4">
      <w:pPr>
        <w:spacing w:after="0" w:line="240" w:lineRule="auto"/>
        <w:ind w:firstLine="709"/>
        <w:jc w:val="both"/>
        <w:rPr>
          <w:rFonts w:ascii="Times New Roman" w:hAnsi="Times New Roman" w:cs="Times New Roman"/>
          <w:sz w:val="24"/>
        </w:rPr>
      </w:pPr>
      <w:r w:rsidRPr="00F05612">
        <w:rPr>
          <w:rFonts w:ascii="Times New Roman" w:hAnsi="Times New Roman" w:cs="Times New Roman"/>
          <w:sz w:val="24"/>
        </w:rPr>
        <w:t xml:space="preserve">В целом за время проведения мониторингового наблюдения здоровье детей когорты ухудшилось. Однако каждый этап взросления сопровождался появлением новых </w:t>
      </w:r>
      <w:r w:rsidRPr="00F05612">
        <w:rPr>
          <w:rFonts w:ascii="Times New Roman" w:hAnsi="Times New Roman" w:cs="Times New Roman"/>
          <w:sz w:val="24"/>
        </w:rPr>
        <w:lastRenderedPageBreak/>
        <w:t>заболеваний, а не прогрессированием ранее диагностированных. Это свидетельствует о том, что для большинства детей принятые терапевтические меры были качественными, особенно в отношении респираторных заболеваний. В меньшей мере это наблюдение касается заболеваний опорно-двигательного аппарата, лечение которых требует дисциплинированности от самого ребёнка и его родителей в части выполнения назначений врача (к примеру, ЛФК; сохранение правильной рабочей позы при выполнении учебных заданий в школе и дома).</w:t>
      </w:r>
    </w:p>
    <w:p w:rsidR="001A2D2A" w:rsidRDefault="001A2D2A" w:rsidP="00F00FA4">
      <w:pPr>
        <w:spacing w:after="0" w:line="240" w:lineRule="auto"/>
        <w:ind w:firstLine="709"/>
        <w:jc w:val="both"/>
        <w:rPr>
          <w:rFonts w:ascii="Times New Roman" w:hAnsi="Times New Roman" w:cs="Times New Roman"/>
          <w:sz w:val="24"/>
          <w:lang w:val="en-US"/>
        </w:rPr>
      </w:pPr>
      <w:r w:rsidRPr="001A2D2A">
        <w:rPr>
          <w:rFonts w:ascii="Times New Roman" w:hAnsi="Times New Roman" w:cs="Times New Roman"/>
          <w:sz w:val="24"/>
        </w:rPr>
        <w:t xml:space="preserve">Субъективные оценки здоровья детей, которые высказывали их родители, расходятся и с самооценками детей, которые они высказывали с десятилетнего возраста, и с оценками здоровья, поставленными педиатрами. При этом родительские оценки отличаются от оценок специалистов слабее, чем самооценки здоровья, высказанные детьми. Объяснение здесь может быть связано с тем, что дети ещё не способны критически оценивать состояние своего здоровья, поскольку не всегда обладают полной информацией о потенциальной опасности тех или иных его нарушений, не имеют представлений о рисках осложнений </w:t>
      </w:r>
      <w:r w:rsidR="00FC3A55">
        <w:rPr>
          <w:rFonts w:ascii="Times New Roman" w:hAnsi="Times New Roman" w:cs="Times New Roman"/>
          <w:sz w:val="24"/>
        </w:rPr>
        <w:t xml:space="preserve">имеющихся </w:t>
      </w:r>
      <w:r w:rsidRPr="001A2D2A">
        <w:rPr>
          <w:rFonts w:ascii="Times New Roman" w:hAnsi="Times New Roman" w:cs="Times New Roman"/>
          <w:sz w:val="24"/>
        </w:rPr>
        <w:t>заболеваний. Кроме того, педиатры, как правило, взаимодействуют именно с родителями заболевшего ребёнка, а не с ним самим. С другой стороны, субъективные оценки здоровья всегда учитывают самочувствие человека, его состояние в текущий момент, тогда как оценки специалистов опираются на точные критерии</w:t>
      </w:r>
      <w:r w:rsidR="00FC3A55">
        <w:rPr>
          <w:rFonts w:ascii="Times New Roman" w:hAnsi="Times New Roman" w:cs="Times New Roman"/>
          <w:sz w:val="24"/>
        </w:rPr>
        <w:t>,</w:t>
      </w:r>
      <w:r w:rsidRPr="001A2D2A">
        <w:rPr>
          <w:rFonts w:ascii="Times New Roman" w:hAnsi="Times New Roman" w:cs="Times New Roman"/>
          <w:sz w:val="24"/>
        </w:rPr>
        <w:t xml:space="preserve"> возрастные нормы развития</w:t>
      </w:r>
      <w:r w:rsidR="00B5469E">
        <w:rPr>
          <w:rFonts w:ascii="Times New Roman" w:hAnsi="Times New Roman" w:cs="Times New Roman"/>
          <w:sz w:val="24"/>
        </w:rPr>
        <w:t>, факты наличия патологий</w:t>
      </w:r>
      <w:r w:rsidRPr="001A2D2A">
        <w:rPr>
          <w:rFonts w:ascii="Times New Roman" w:hAnsi="Times New Roman" w:cs="Times New Roman"/>
          <w:sz w:val="24"/>
        </w:rPr>
        <w:t xml:space="preserve">. Эти обстоятельства и определяют, на наш взгляд, наблюдаемое расхождение субъективных и объективных оценок. </w:t>
      </w:r>
      <w:r w:rsidR="00B5469E">
        <w:rPr>
          <w:rFonts w:ascii="Times New Roman" w:hAnsi="Times New Roman" w:cs="Times New Roman"/>
          <w:sz w:val="24"/>
        </w:rPr>
        <w:t>Н</w:t>
      </w:r>
      <w:r w:rsidRPr="001A2D2A">
        <w:rPr>
          <w:rFonts w:ascii="Times New Roman" w:hAnsi="Times New Roman" w:cs="Times New Roman"/>
          <w:sz w:val="24"/>
        </w:rPr>
        <w:t>а основе полученных результатов можно заключить, что даже при наличии хронических заболеваний дети могут сохранять хорошее самочувствие при условии правильного подбора терапевтических методов. Важную роль в обеспечении приемлемого качества жизни детей играет взаимодействие родителей и педиатров по поводу организации лечебных и восстановительных мероприятий, соблюдения врачебных назначений. Положительный эффект на здоровье детей также оказывает наиболее полная информированность их родителей в данной сфере</w:t>
      </w:r>
      <w:r w:rsidR="00364E81">
        <w:rPr>
          <w:rFonts w:ascii="Times New Roman" w:hAnsi="Times New Roman" w:cs="Times New Roman"/>
          <w:sz w:val="24"/>
        </w:rPr>
        <w:t xml:space="preserve"> </w:t>
      </w:r>
      <w:r w:rsidR="00364E81">
        <w:rPr>
          <w:rFonts w:ascii="Times New Roman" w:hAnsi="Times New Roman" w:cs="Times New Roman"/>
          <w:sz w:val="24"/>
          <w:lang w:val="en-US"/>
        </w:rPr>
        <w:t>[1]</w:t>
      </w:r>
      <w:r w:rsidRPr="001A2D2A">
        <w:rPr>
          <w:rFonts w:ascii="Times New Roman" w:hAnsi="Times New Roman" w:cs="Times New Roman"/>
          <w:sz w:val="24"/>
        </w:rPr>
        <w:t>.</w:t>
      </w:r>
    </w:p>
    <w:p w:rsidR="00BD779D" w:rsidRPr="00BD779D" w:rsidRDefault="00BD779D" w:rsidP="00F00FA4">
      <w:pPr>
        <w:spacing w:after="0" w:line="240" w:lineRule="auto"/>
        <w:ind w:firstLine="709"/>
        <w:jc w:val="both"/>
        <w:rPr>
          <w:rFonts w:ascii="Times New Roman" w:hAnsi="Times New Roman" w:cs="Times New Roman"/>
          <w:sz w:val="24"/>
          <w:lang w:val="en-US"/>
        </w:rPr>
      </w:pPr>
    </w:p>
    <w:p w:rsidR="00B86215" w:rsidRPr="00B86215" w:rsidRDefault="00802C5D" w:rsidP="00BD779D">
      <w:pPr>
        <w:spacing w:after="0" w:line="240" w:lineRule="auto"/>
        <w:jc w:val="center"/>
        <w:rPr>
          <w:rFonts w:ascii="Times New Roman" w:hAnsi="Times New Roman" w:cs="Times New Roman"/>
          <w:sz w:val="24"/>
        </w:rPr>
      </w:pPr>
      <w:r>
        <w:rPr>
          <w:rFonts w:ascii="Times New Roman" w:hAnsi="Times New Roman" w:cs="Times New Roman"/>
          <w:b/>
          <w:bCs/>
          <w:sz w:val="24"/>
        </w:rPr>
        <w:t>Библиографический список</w:t>
      </w:r>
    </w:p>
    <w:p w:rsidR="00607494" w:rsidRPr="0079185E" w:rsidRDefault="00607494" w:rsidP="0079185E">
      <w:pPr>
        <w:spacing w:after="0" w:line="240" w:lineRule="auto"/>
        <w:ind w:firstLine="709"/>
        <w:jc w:val="both"/>
        <w:rPr>
          <w:rFonts w:ascii="Times New Roman" w:hAnsi="Times New Roman" w:cs="Times New Roman"/>
          <w:sz w:val="24"/>
        </w:rPr>
      </w:pPr>
      <w:r w:rsidRPr="0079185E">
        <w:rPr>
          <w:rFonts w:ascii="Times New Roman" w:hAnsi="Times New Roman" w:cs="Times New Roman"/>
          <w:sz w:val="24"/>
        </w:rPr>
        <w:t xml:space="preserve">1. </w:t>
      </w:r>
      <w:proofErr w:type="spellStart"/>
      <w:r w:rsidR="005A5768" w:rsidRPr="0079185E">
        <w:rPr>
          <w:rFonts w:ascii="Times New Roman" w:hAnsi="Times New Roman" w:cs="Times New Roman"/>
          <w:sz w:val="24"/>
        </w:rPr>
        <w:t>Вяльшина</w:t>
      </w:r>
      <w:proofErr w:type="spellEnd"/>
      <w:r w:rsidR="005A5768" w:rsidRPr="0079185E">
        <w:rPr>
          <w:rFonts w:ascii="Times New Roman" w:hAnsi="Times New Roman" w:cs="Times New Roman"/>
          <w:sz w:val="24"/>
        </w:rPr>
        <w:t xml:space="preserve">, А.А. Социально-экономические факторы формирования человеческого капитала детей / А.А. </w:t>
      </w:r>
      <w:proofErr w:type="spellStart"/>
      <w:r w:rsidR="005A5768" w:rsidRPr="0079185E">
        <w:rPr>
          <w:rFonts w:ascii="Times New Roman" w:hAnsi="Times New Roman" w:cs="Times New Roman"/>
          <w:sz w:val="24"/>
        </w:rPr>
        <w:t>Вяльшина</w:t>
      </w:r>
      <w:proofErr w:type="spellEnd"/>
      <w:r w:rsidR="005A5768" w:rsidRPr="0079185E">
        <w:rPr>
          <w:rFonts w:ascii="Times New Roman" w:hAnsi="Times New Roman" w:cs="Times New Roman"/>
          <w:sz w:val="24"/>
        </w:rPr>
        <w:t xml:space="preserve"> // Народонаселение. 2017. – №1. – С. 125–134.</w:t>
      </w:r>
    </w:p>
    <w:p w:rsidR="00B87B28" w:rsidRPr="0079185E" w:rsidRDefault="00607494" w:rsidP="0079185E">
      <w:pPr>
        <w:spacing w:after="0" w:line="240" w:lineRule="auto"/>
        <w:ind w:firstLine="709"/>
        <w:jc w:val="both"/>
        <w:rPr>
          <w:rFonts w:ascii="Times New Roman" w:hAnsi="Times New Roman" w:cs="Times New Roman"/>
          <w:sz w:val="24"/>
        </w:rPr>
      </w:pPr>
      <w:r w:rsidRPr="0079185E">
        <w:rPr>
          <w:rFonts w:ascii="Times New Roman" w:hAnsi="Times New Roman" w:cs="Times New Roman"/>
          <w:sz w:val="24"/>
        </w:rPr>
        <w:t xml:space="preserve">2. </w:t>
      </w:r>
      <w:r w:rsidR="005A5768" w:rsidRPr="0079185E">
        <w:rPr>
          <w:rFonts w:ascii="Times New Roman" w:hAnsi="Times New Roman" w:cs="Times New Roman"/>
          <w:sz w:val="24"/>
        </w:rPr>
        <w:t>Шабунова</w:t>
      </w:r>
      <w:r w:rsidR="005A5768">
        <w:rPr>
          <w:rFonts w:ascii="Times New Roman" w:hAnsi="Times New Roman" w:cs="Times New Roman"/>
          <w:sz w:val="24"/>
        </w:rPr>
        <w:t>,</w:t>
      </w:r>
      <w:r w:rsidR="005A5768" w:rsidRPr="0079185E">
        <w:rPr>
          <w:rFonts w:ascii="Times New Roman" w:hAnsi="Times New Roman" w:cs="Times New Roman"/>
          <w:sz w:val="24"/>
        </w:rPr>
        <w:t xml:space="preserve"> А.А. Двадцать лет мониторинга детского здоровья: организация, результаты, выводы // Экономические и социальные перемены: факты, тенденции, прогноз. 2015.</w:t>
      </w:r>
      <w:r w:rsidR="005A5768">
        <w:rPr>
          <w:rFonts w:ascii="Times New Roman" w:hAnsi="Times New Roman" w:cs="Times New Roman"/>
          <w:sz w:val="24"/>
        </w:rPr>
        <w:t xml:space="preserve"> –</w:t>
      </w:r>
      <w:r w:rsidR="005A5768" w:rsidRPr="0079185E">
        <w:rPr>
          <w:rFonts w:ascii="Times New Roman" w:hAnsi="Times New Roman" w:cs="Times New Roman"/>
          <w:sz w:val="24"/>
        </w:rPr>
        <w:t xml:space="preserve"> № 2 (38). </w:t>
      </w:r>
      <w:r w:rsidR="005A5768">
        <w:rPr>
          <w:rFonts w:ascii="Times New Roman" w:hAnsi="Times New Roman" w:cs="Times New Roman"/>
          <w:sz w:val="24"/>
        </w:rPr>
        <w:t xml:space="preserve">– </w:t>
      </w:r>
      <w:r w:rsidR="005A5768" w:rsidRPr="0079185E">
        <w:rPr>
          <w:rFonts w:ascii="Times New Roman" w:hAnsi="Times New Roman" w:cs="Times New Roman"/>
          <w:sz w:val="24"/>
        </w:rPr>
        <w:t>С. 116–128.</w:t>
      </w:r>
    </w:p>
    <w:p w:rsidR="00D75317" w:rsidRPr="00DD13A8" w:rsidRDefault="00D75317" w:rsidP="00B86215">
      <w:pPr>
        <w:spacing w:after="0" w:line="360" w:lineRule="auto"/>
        <w:jc w:val="both"/>
        <w:rPr>
          <w:rFonts w:ascii="Times New Roman" w:hAnsi="Times New Roman" w:cs="Times New Roman"/>
          <w:bCs/>
          <w:sz w:val="24"/>
        </w:rPr>
      </w:pPr>
    </w:p>
    <w:p w:rsidR="00802C5D" w:rsidRPr="00BD779D" w:rsidRDefault="006011A3" w:rsidP="00BD779D">
      <w:pPr>
        <w:spacing w:after="0" w:line="240" w:lineRule="auto"/>
        <w:jc w:val="center"/>
        <w:rPr>
          <w:rFonts w:ascii="Times New Roman" w:hAnsi="Times New Roman" w:cs="Times New Roman"/>
          <w:b/>
          <w:bCs/>
          <w:sz w:val="24"/>
        </w:rPr>
      </w:pPr>
      <w:r w:rsidRPr="00B86215">
        <w:rPr>
          <w:rFonts w:ascii="Times New Roman" w:hAnsi="Times New Roman" w:cs="Times New Roman"/>
          <w:b/>
          <w:bCs/>
          <w:sz w:val="24"/>
        </w:rPr>
        <w:t>Информация об авторе</w:t>
      </w:r>
    </w:p>
    <w:p w:rsidR="00B86215" w:rsidRPr="00B86215" w:rsidRDefault="00BC3B59" w:rsidP="009B4C93">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Нацун Лейла Натиговна</w:t>
      </w:r>
      <w:r w:rsidR="00B86215" w:rsidRPr="00B86215">
        <w:rPr>
          <w:rFonts w:ascii="Times New Roman" w:hAnsi="Times New Roman" w:cs="Times New Roman"/>
          <w:sz w:val="24"/>
        </w:rPr>
        <w:t xml:space="preserve"> (</w:t>
      </w:r>
      <w:r>
        <w:rPr>
          <w:rFonts w:ascii="Times New Roman" w:hAnsi="Times New Roman" w:cs="Times New Roman"/>
          <w:sz w:val="24"/>
        </w:rPr>
        <w:t>Россия</w:t>
      </w:r>
      <w:r w:rsidR="00B86215" w:rsidRPr="00B86215">
        <w:rPr>
          <w:rFonts w:ascii="Times New Roman" w:hAnsi="Times New Roman" w:cs="Times New Roman"/>
          <w:sz w:val="24"/>
        </w:rPr>
        <w:t xml:space="preserve">, </w:t>
      </w:r>
      <w:r>
        <w:rPr>
          <w:rFonts w:ascii="Times New Roman" w:hAnsi="Times New Roman" w:cs="Times New Roman"/>
          <w:sz w:val="24"/>
        </w:rPr>
        <w:t>Вологда</w:t>
      </w:r>
      <w:r w:rsidR="00B86215" w:rsidRPr="00B86215">
        <w:rPr>
          <w:rFonts w:ascii="Times New Roman" w:hAnsi="Times New Roman" w:cs="Times New Roman"/>
          <w:sz w:val="24"/>
        </w:rPr>
        <w:t xml:space="preserve">) – </w:t>
      </w:r>
      <w:r>
        <w:rPr>
          <w:rFonts w:ascii="Times New Roman" w:hAnsi="Times New Roman" w:cs="Times New Roman"/>
          <w:sz w:val="24"/>
        </w:rPr>
        <w:t>научный сотрудник</w:t>
      </w:r>
      <w:r w:rsidR="00B86215" w:rsidRPr="00B86215">
        <w:rPr>
          <w:rFonts w:ascii="Times New Roman" w:hAnsi="Times New Roman" w:cs="Times New Roman"/>
          <w:sz w:val="24"/>
        </w:rPr>
        <w:t xml:space="preserve">, </w:t>
      </w:r>
      <w:r w:rsidR="00497C1D" w:rsidRPr="00497C1D">
        <w:rPr>
          <w:rFonts w:ascii="Times New Roman" w:hAnsi="Times New Roman" w:cs="Times New Roman"/>
          <w:sz w:val="24"/>
        </w:rPr>
        <w:t xml:space="preserve">ФГБУН ВолНЦ РАН </w:t>
      </w:r>
      <w:r w:rsidR="00B87B28">
        <w:rPr>
          <w:rFonts w:ascii="Times New Roman" w:hAnsi="Times New Roman" w:cs="Times New Roman"/>
          <w:sz w:val="24"/>
        </w:rPr>
        <w:t>(</w:t>
      </w:r>
      <w:r w:rsidR="00B87B28" w:rsidRPr="00B87B28">
        <w:rPr>
          <w:rFonts w:ascii="Times New Roman" w:hAnsi="Times New Roman" w:cs="Times New Roman"/>
          <w:sz w:val="24"/>
        </w:rPr>
        <w:t>Россия, 160014, г. Вологда, ул. Горького, д. 56а</w:t>
      </w:r>
      <w:r w:rsidR="00B87B28">
        <w:rPr>
          <w:rFonts w:ascii="Times New Roman" w:hAnsi="Times New Roman" w:cs="Times New Roman"/>
          <w:sz w:val="24"/>
        </w:rPr>
        <w:t>)</w:t>
      </w:r>
      <w:r w:rsidR="006714CD">
        <w:rPr>
          <w:rFonts w:ascii="Times New Roman" w:hAnsi="Times New Roman" w:cs="Times New Roman"/>
          <w:sz w:val="24"/>
        </w:rPr>
        <w:t>,</w:t>
      </w:r>
      <w:r w:rsidR="00B87B28">
        <w:rPr>
          <w:rFonts w:ascii="Times New Roman" w:hAnsi="Times New Roman" w:cs="Times New Roman"/>
          <w:sz w:val="24"/>
        </w:rPr>
        <w:t xml:space="preserve"> </w:t>
      </w:r>
      <w:r w:rsidR="00B87B28" w:rsidRPr="00B87B28">
        <w:rPr>
          <w:rFonts w:ascii="Times New Roman" w:hAnsi="Times New Roman" w:cs="Times New Roman"/>
          <w:sz w:val="24"/>
        </w:rPr>
        <w:t>leyla.natsun@yandex.ru</w:t>
      </w:r>
      <w:r w:rsidR="00B86215" w:rsidRPr="00B86215">
        <w:rPr>
          <w:rFonts w:ascii="Times New Roman" w:hAnsi="Times New Roman" w:cs="Times New Roman"/>
          <w:sz w:val="24"/>
        </w:rPr>
        <w:t>.</w:t>
      </w:r>
      <w:proofErr w:type="gramEnd"/>
    </w:p>
    <w:p w:rsidR="00B86215" w:rsidRPr="00B86215" w:rsidRDefault="00B86215" w:rsidP="00B86215">
      <w:pPr>
        <w:spacing w:after="0" w:line="360" w:lineRule="auto"/>
        <w:jc w:val="both"/>
        <w:rPr>
          <w:rFonts w:ascii="Times New Roman" w:hAnsi="Times New Roman" w:cs="Times New Roman"/>
          <w:sz w:val="24"/>
        </w:rPr>
      </w:pPr>
    </w:p>
    <w:p w:rsidR="00B86215" w:rsidRPr="00523C72" w:rsidRDefault="00523C72" w:rsidP="00364E81">
      <w:pPr>
        <w:spacing w:after="0" w:line="360" w:lineRule="auto"/>
        <w:jc w:val="right"/>
        <w:rPr>
          <w:rFonts w:ascii="Times New Roman" w:hAnsi="Times New Roman" w:cs="Times New Roman"/>
          <w:sz w:val="24"/>
          <w:lang w:val="en-US"/>
        </w:rPr>
      </w:pPr>
      <w:r>
        <w:rPr>
          <w:rFonts w:ascii="Times New Roman" w:hAnsi="Times New Roman" w:cs="Times New Roman"/>
          <w:b/>
          <w:bCs/>
          <w:sz w:val="24"/>
          <w:lang w:val="en-US"/>
        </w:rPr>
        <w:t>Natsun L.N.</w:t>
      </w:r>
    </w:p>
    <w:p w:rsidR="00B86215" w:rsidRPr="00B86215" w:rsidRDefault="006A5525" w:rsidP="006A5525">
      <w:pPr>
        <w:spacing w:after="0" w:line="240" w:lineRule="auto"/>
        <w:jc w:val="center"/>
        <w:rPr>
          <w:rFonts w:ascii="Times New Roman" w:hAnsi="Times New Roman" w:cs="Times New Roman"/>
          <w:sz w:val="24"/>
        </w:rPr>
      </w:pPr>
      <w:r w:rsidRPr="006A5525">
        <w:rPr>
          <w:rFonts w:ascii="Times New Roman" w:hAnsi="Times New Roman" w:cs="Times New Roman"/>
          <w:b/>
          <w:bCs/>
          <w:sz w:val="24"/>
        </w:rPr>
        <w:t>A RETROSPECTIVE ANALYSIS OF THE HEALTH OF CHILDREN BORN IN 2001 (BASED ON DATA FROM A COHORT MONITORING STUDY)</w:t>
      </w:r>
    </w:p>
    <w:p w:rsidR="006A5525" w:rsidRPr="00454868" w:rsidRDefault="006A5525" w:rsidP="00EC0ABE">
      <w:pPr>
        <w:spacing w:after="0" w:line="240" w:lineRule="auto"/>
        <w:ind w:firstLine="709"/>
        <w:jc w:val="both"/>
        <w:rPr>
          <w:rFonts w:ascii="Times New Roman" w:hAnsi="Times New Roman" w:cs="Times New Roman"/>
          <w:bCs/>
          <w:sz w:val="24"/>
          <w:lang w:val="en-US"/>
        </w:rPr>
      </w:pPr>
    </w:p>
    <w:p w:rsidR="00915C8F" w:rsidRPr="00915C8F" w:rsidRDefault="00454868" w:rsidP="00EC0ABE">
      <w:pPr>
        <w:spacing w:after="0" w:line="240" w:lineRule="auto"/>
        <w:ind w:firstLine="709"/>
        <w:jc w:val="both"/>
        <w:rPr>
          <w:rFonts w:ascii="Times New Roman" w:hAnsi="Times New Roman" w:cs="Times New Roman"/>
          <w:i/>
          <w:iCs/>
          <w:sz w:val="24"/>
        </w:rPr>
      </w:pPr>
      <w:proofErr w:type="spellStart"/>
      <w:r>
        <w:rPr>
          <w:rFonts w:ascii="TimesNewRomanPS-BoldItalicMT" w:hAnsi="TimesNewRomanPS-BoldItalicMT" w:cs="TimesNewRomanPS-BoldItalicMT"/>
          <w:b/>
          <w:bCs/>
          <w:i/>
          <w:iCs/>
          <w:sz w:val="21"/>
          <w:szCs w:val="21"/>
        </w:rPr>
        <w:t>Abstract</w:t>
      </w:r>
      <w:proofErr w:type="spellEnd"/>
      <w:r>
        <w:rPr>
          <w:rFonts w:ascii="TimesNewRomanPS-BoldItalicMT" w:hAnsi="TimesNewRomanPS-BoldItalicMT" w:cs="TimesNewRomanPS-BoldItalicMT"/>
          <w:b/>
          <w:bCs/>
          <w:i/>
          <w:iCs/>
          <w:sz w:val="21"/>
          <w:szCs w:val="21"/>
        </w:rPr>
        <w:t>.</w:t>
      </w:r>
      <w:r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Violations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of</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children's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health</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are</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formed</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over</w:t>
      </w:r>
      <w:proofErr w:type="spellEnd"/>
      <w:r w:rsidR="00915C8F" w:rsidRPr="00915C8F">
        <w:rPr>
          <w:rFonts w:ascii="Times New Roman" w:hAnsi="Times New Roman" w:cs="Times New Roman"/>
          <w:i/>
          <w:iCs/>
          <w:sz w:val="24"/>
        </w:rPr>
        <w:t xml:space="preserve"> a </w:t>
      </w:r>
      <w:proofErr w:type="spellStart"/>
      <w:r w:rsidR="00915C8F" w:rsidRPr="00915C8F">
        <w:rPr>
          <w:rFonts w:ascii="Times New Roman" w:hAnsi="Times New Roman" w:cs="Times New Roman"/>
          <w:i/>
          <w:iCs/>
          <w:sz w:val="24"/>
        </w:rPr>
        <w:t>long</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time</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Cohort</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monitoring</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allows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you</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to</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track</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the</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corresponding</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changes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in</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children's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health</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as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they</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grow</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up</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The</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health</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potential</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of</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children</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born</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in</w:t>
      </w:r>
      <w:proofErr w:type="spellEnd"/>
      <w:r w:rsidR="00915C8F" w:rsidRPr="00915C8F">
        <w:rPr>
          <w:rFonts w:ascii="Times New Roman" w:hAnsi="Times New Roman" w:cs="Times New Roman"/>
          <w:i/>
          <w:iCs/>
          <w:sz w:val="24"/>
        </w:rPr>
        <w:t xml:space="preserve"> 2001 </w:t>
      </w:r>
      <w:proofErr w:type="spellStart"/>
      <w:r w:rsidR="00915C8F" w:rsidRPr="00915C8F">
        <w:rPr>
          <w:rFonts w:ascii="Times New Roman" w:hAnsi="Times New Roman" w:cs="Times New Roman"/>
          <w:i/>
          <w:iCs/>
          <w:sz w:val="24"/>
        </w:rPr>
        <w:t>to</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adulthood</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has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decreased</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due</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to</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w:t>
      </w:r>
      <w:bookmarkStart w:id="0" w:name="_GoBack"/>
      <w:bookmarkEnd w:id="0"/>
      <w:r w:rsidR="00915C8F" w:rsidRPr="00915C8F">
        <w:rPr>
          <w:rFonts w:ascii="Times New Roman" w:hAnsi="Times New Roman" w:cs="Times New Roman"/>
          <w:i/>
          <w:iCs/>
          <w:sz w:val="24"/>
        </w:rPr>
        <w:t>he</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development</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of</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chronic</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diseases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However</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acute</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respiratory</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and</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respiratory</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viral</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diseases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rather</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than</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chronic</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pathologies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have</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become</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the</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main</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factor</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that</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reduces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children's</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self-esteem</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of</w:t>
      </w:r>
      <w:proofErr w:type="spellEnd"/>
      <w:r w:rsidR="00915C8F" w:rsidRPr="00915C8F">
        <w:rPr>
          <w:rFonts w:ascii="Times New Roman" w:hAnsi="Times New Roman" w:cs="Times New Roman"/>
          <w:i/>
          <w:iCs/>
          <w:sz w:val="24"/>
        </w:rPr>
        <w:t xml:space="preserve"> </w:t>
      </w:r>
      <w:proofErr w:type="spellStart"/>
      <w:r w:rsidR="00915C8F" w:rsidRPr="00915C8F">
        <w:rPr>
          <w:rFonts w:ascii="Times New Roman" w:hAnsi="Times New Roman" w:cs="Times New Roman"/>
          <w:i/>
          <w:iCs/>
          <w:sz w:val="24"/>
        </w:rPr>
        <w:t>health</w:t>
      </w:r>
      <w:proofErr w:type="spellEnd"/>
      <w:r w:rsidR="00915C8F" w:rsidRPr="00915C8F">
        <w:rPr>
          <w:rFonts w:ascii="Times New Roman" w:hAnsi="Times New Roman" w:cs="Times New Roman"/>
          <w:i/>
          <w:iCs/>
          <w:sz w:val="24"/>
        </w:rPr>
        <w:t>.</w:t>
      </w:r>
    </w:p>
    <w:p w:rsidR="005C2C16" w:rsidRPr="005C2C16" w:rsidRDefault="00454868" w:rsidP="00EC0ABE">
      <w:pPr>
        <w:spacing w:after="0" w:line="240" w:lineRule="auto"/>
        <w:ind w:firstLine="709"/>
        <w:jc w:val="both"/>
        <w:rPr>
          <w:rFonts w:ascii="Times New Roman" w:hAnsi="Times New Roman" w:cs="Times New Roman"/>
          <w:i/>
          <w:iCs/>
          <w:sz w:val="24"/>
        </w:rPr>
      </w:pPr>
      <w:proofErr w:type="spellStart"/>
      <w:r>
        <w:rPr>
          <w:rFonts w:ascii="TimesNewRomanPS-BoldItalicMT" w:hAnsi="TimesNewRomanPS-BoldItalicMT" w:cs="TimesNewRomanPS-BoldItalicMT"/>
          <w:b/>
          <w:bCs/>
          <w:i/>
          <w:iCs/>
          <w:sz w:val="21"/>
          <w:szCs w:val="21"/>
        </w:rPr>
        <w:t>Key</w:t>
      </w:r>
      <w:proofErr w:type="spellEnd"/>
      <w:r>
        <w:rPr>
          <w:rFonts w:ascii="TimesNewRomanPS-BoldItalicMT" w:hAnsi="TimesNewRomanPS-BoldItalicMT" w:cs="TimesNewRomanPS-BoldItalicMT"/>
          <w:b/>
          <w:bCs/>
          <w:i/>
          <w:iCs/>
          <w:sz w:val="21"/>
          <w:szCs w:val="21"/>
        </w:rPr>
        <w:t xml:space="preserve"> </w:t>
      </w:r>
      <w:proofErr w:type="spellStart"/>
      <w:r>
        <w:rPr>
          <w:rFonts w:ascii="TimesNewRomanPS-BoldItalicMT" w:hAnsi="TimesNewRomanPS-BoldItalicMT" w:cs="TimesNewRomanPS-BoldItalicMT"/>
          <w:b/>
          <w:bCs/>
          <w:i/>
          <w:iCs/>
          <w:sz w:val="21"/>
          <w:szCs w:val="21"/>
        </w:rPr>
        <w:t>words</w:t>
      </w:r>
      <w:proofErr w:type="spellEnd"/>
      <w:r>
        <w:rPr>
          <w:rFonts w:cs="TimesNewRomanPS-BoldItalicMT"/>
          <w:b/>
          <w:bCs/>
          <w:i/>
          <w:iCs/>
          <w:sz w:val="21"/>
          <w:szCs w:val="21"/>
        </w:rPr>
        <w:t>:</w:t>
      </w:r>
      <w:r w:rsidRPr="005C2C16">
        <w:rPr>
          <w:rFonts w:ascii="Times New Roman" w:hAnsi="Times New Roman" w:cs="Times New Roman"/>
          <w:i/>
          <w:iCs/>
          <w:sz w:val="24"/>
        </w:rPr>
        <w:t xml:space="preserve"> </w:t>
      </w:r>
      <w:proofErr w:type="spellStart"/>
      <w:r w:rsidR="005C2C16" w:rsidRPr="005C2C16">
        <w:rPr>
          <w:rFonts w:ascii="Times New Roman" w:hAnsi="Times New Roman" w:cs="Times New Roman"/>
          <w:i/>
          <w:iCs/>
          <w:sz w:val="24"/>
        </w:rPr>
        <w:t>children's</w:t>
      </w:r>
      <w:proofErr w:type="spellEnd"/>
      <w:r w:rsidR="005C2C16" w:rsidRPr="005C2C16">
        <w:rPr>
          <w:rFonts w:ascii="Times New Roman" w:hAnsi="Times New Roman" w:cs="Times New Roman"/>
          <w:i/>
          <w:iCs/>
          <w:sz w:val="24"/>
        </w:rPr>
        <w:t xml:space="preserve"> </w:t>
      </w:r>
      <w:proofErr w:type="spellStart"/>
      <w:r w:rsidR="005C2C16" w:rsidRPr="005C2C16">
        <w:rPr>
          <w:rFonts w:ascii="Times New Roman" w:hAnsi="Times New Roman" w:cs="Times New Roman"/>
          <w:i/>
          <w:iCs/>
          <w:sz w:val="24"/>
        </w:rPr>
        <w:t>health</w:t>
      </w:r>
      <w:proofErr w:type="spellEnd"/>
      <w:r w:rsidR="005C2C16" w:rsidRPr="005C2C16">
        <w:rPr>
          <w:rFonts w:ascii="Times New Roman" w:hAnsi="Times New Roman" w:cs="Times New Roman"/>
          <w:i/>
          <w:iCs/>
          <w:sz w:val="24"/>
        </w:rPr>
        <w:t xml:space="preserve">, </w:t>
      </w:r>
      <w:proofErr w:type="spellStart"/>
      <w:r w:rsidR="005C2C16" w:rsidRPr="005C2C16">
        <w:rPr>
          <w:rFonts w:ascii="Times New Roman" w:hAnsi="Times New Roman" w:cs="Times New Roman"/>
          <w:i/>
          <w:iCs/>
          <w:sz w:val="24"/>
        </w:rPr>
        <w:t>self-assessment</w:t>
      </w:r>
      <w:proofErr w:type="spellEnd"/>
      <w:r w:rsidR="005C2C16" w:rsidRPr="005C2C16">
        <w:rPr>
          <w:rFonts w:ascii="Times New Roman" w:hAnsi="Times New Roman" w:cs="Times New Roman"/>
          <w:i/>
          <w:iCs/>
          <w:sz w:val="24"/>
        </w:rPr>
        <w:t xml:space="preserve"> </w:t>
      </w:r>
      <w:proofErr w:type="spellStart"/>
      <w:r w:rsidR="005C2C16" w:rsidRPr="005C2C16">
        <w:rPr>
          <w:rFonts w:ascii="Times New Roman" w:hAnsi="Times New Roman" w:cs="Times New Roman"/>
          <w:i/>
          <w:iCs/>
          <w:sz w:val="24"/>
        </w:rPr>
        <w:t>of</w:t>
      </w:r>
      <w:proofErr w:type="spellEnd"/>
      <w:r w:rsidR="005C2C16" w:rsidRPr="005C2C16">
        <w:rPr>
          <w:rFonts w:ascii="Times New Roman" w:hAnsi="Times New Roman" w:cs="Times New Roman"/>
          <w:i/>
          <w:iCs/>
          <w:sz w:val="24"/>
        </w:rPr>
        <w:t xml:space="preserve"> </w:t>
      </w:r>
      <w:proofErr w:type="spellStart"/>
      <w:r w:rsidR="005C2C16" w:rsidRPr="005C2C16">
        <w:rPr>
          <w:rFonts w:ascii="Times New Roman" w:hAnsi="Times New Roman" w:cs="Times New Roman"/>
          <w:i/>
          <w:iCs/>
          <w:sz w:val="24"/>
        </w:rPr>
        <w:t>health</w:t>
      </w:r>
      <w:proofErr w:type="spellEnd"/>
      <w:r w:rsidR="005C2C16" w:rsidRPr="005C2C16">
        <w:rPr>
          <w:rFonts w:ascii="Times New Roman" w:hAnsi="Times New Roman" w:cs="Times New Roman"/>
          <w:i/>
          <w:iCs/>
          <w:sz w:val="24"/>
        </w:rPr>
        <w:t xml:space="preserve">, </w:t>
      </w:r>
      <w:proofErr w:type="spellStart"/>
      <w:r w:rsidR="005C2C16" w:rsidRPr="005C2C16">
        <w:rPr>
          <w:rFonts w:ascii="Times New Roman" w:hAnsi="Times New Roman" w:cs="Times New Roman"/>
          <w:i/>
          <w:iCs/>
          <w:sz w:val="24"/>
        </w:rPr>
        <w:t>morbidity</w:t>
      </w:r>
      <w:proofErr w:type="spellEnd"/>
      <w:r w:rsidR="005C2C16" w:rsidRPr="005C2C16">
        <w:rPr>
          <w:rFonts w:ascii="Times New Roman" w:hAnsi="Times New Roman" w:cs="Times New Roman"/>
          <w:i/>
          <w:iCs/>
          <w:sz w:val="24"/>
        </w:rPr>
        <w:t xml:space="preserve"> </w:t>
      </w:r>
      <w:proofErr w:type="spellStart"/>
      <w:r w:rsidR="005C2C16" w:rsidRPr="005C2C16">
        <w:rPr>
          <w:rFonts w:ascii="Times New Roman" w:hAnsi="Times New Roman" w:cs="Times New Roman"/>
          <w:i/>
          <w:iCs/>
          <w:sz w:val="24"/>
        </w:rPr>
        <w:t>of</w:t>
      </w:r>
      <w:proofErr w:type="spellEnd"/>
      <w:r w:rsidR="005C2C16" w:rsidRPr="005C2C16">
        <w:rPr>
          <w:rFonts w:ascii="Times New Roman" w:hAnsi="Times New Roman" w:cs="Times New Roman"/>
          <w:i/>
          <w:iCs/>
          <w:sz w:val="24"/>
        </w:rPr>
        <w:t xml:space="preserve"> </w:t>
      </w:r>
      <w:proofErr w:type="spellStart"/>
      <w:r w:rsidR="005C2C16" w:rsidRPr="005C2C16">
        <w:rPr>
          <w:rFonts w:ascii="Times New Roman" w:hAnsi="Times New Roman" w:cs="Times New Roman"/>
          <w:i/>
          <w:iCs/>
          <w:sz w:val="24"/>
        </w:rPr>
        <w:t>children</w:t>
      </w:r>
      <w:proofErr w:type="spellEnd"/>
      <w:r w:rsidR="005C2C16" w:rsidRPr="005C2C16">
        <w:rPr>
          <w:rFonts w:ascii="Times New Roman" w:hAnsi="Times New Roman" w:cs="Times New Roman"/>
          <w:i/>
          <w:iCs/>
          <w:sz w:val="24"/>
        </w:rPr>
        <w:t xml:space="preserve">, </w:t>
      </w:r>
      <w:proofErr w:type="spellStart"/>
      <w:r w:rsidR="005C2C16" w:rsidRPr="005C2C16">
        <w:rPr>
          <w:rFonts w:ascii="Times New Roman" w:hAnsi="Times New Roman" w:cs="Times New Roman"/>
          <w:i/>
          <w:iCs/>
          <w:sz w:val="24"/>
        </w:rPr>
        <w:t>cohort</w:t>
      </w:r>
      <w:proofErr w:type="spellEnd"/>
      <w:r w:rsidR="005C2C16" w:rsidRPr="005C2C16">
        <w:rPr>
          <w:rFonts w:ascii="Times New Roman" w:hAnsi="Times New Roman" w:cs="Times New Roman"/>
          <w:i/>
          <w:iCs/>
          <w:sz w:val="24"/>
        </w:rPr>
        <w:t xml:space="preserve"> </w:t>
      </w:r>
      <w:proofErr w:type="spellStart"/>
      <w:r w:rsidR="005C2C16" w:rsidRPr="005C2C16">
        <w:rPr>
          <w:rFonts w:ascii="Times New Roman" w:hAnsi="Times New Roman" w:cs="Times New Roman"/>
          <w:i/>
          <w:iCs/>
          <w:sz w:val="24"/>
        </w:rPr>
        <w:t>monitoring</w:t>
      </w:r>
      <w:proofErr w:type="spellEnd"/>
    </w:p>
    <w:p w:rsidR="00C30A9F" w:rsidRDefault="00C30A9F" w:rsidP="00EC0ABE">
      <w:pPr>
        <w:spacing w:after="0" w:line="240" w:lineRule="auto"/>
        <w:ind w:firstLine="709"/>
        <w:jc w:val="both"/>
        <w:rPr>
          <w:rFonts w:ascii="Times New Roman" w:hAnsi="Times New Roman" w:cs="Times New Roman"/>
          <w:sz w:val="24"/>
          <w:u w:val="single"/>
          <w:lang w:val="en-US"/>
        </w:rPr>
      </w:pPr>
    </w:p>
    <w:p w:rsidR="00B86215" w:rsidRPr="00BD779D" w:rsidRDefault="006011A3" w:rsidP="00BD779D">
      <w:pPr>
        <w:spacing w:after="0" w:line="240" w:lineRule="auto"/>
        <w:jc w:val="center"/>
        <w:rPr>
          <w:rFonts w:ascii="Times New Roman" w:hAnsi="Times New Roman" w:cs="Times New Roman"/>
          <w:b/>
          <w:bCs/>
          <w:sz w:val="24"/>
        </w:rPr>
      </w:pPr>
      <w:r w:rsidRPr="00BD779D">
        <w:rPr>
          <w:rFonts w:ascii="Times New Roman" w:hAnsi="Times New Roman" w:cs="Times New Roman"/>
          <w:b/>
          <w:bCs/>
          <w:sz w:val="24"/>
        </w:rPr>
        <w:t>Information about the author</w:t>
      </w:r>
    </w:p>
    <w:p w:rsidR="00C30A9F" w:rsidRPr="006714CD" w:rsidRDefault="00B11E03" w:rsidP="00EC0ABE">
      <w:pPr>
        <w:spacing w:after="0" w:line="240" w:lineRule="auto"/>
        <w:ind w:firstLine="709"/>
        <w:jc w:val="both"/>
        <w:rPr>
          <w:rFonts w:ascii="Times New Roman" w:hAnsi="Times New Roman" w:cs="Times New Roman"/>
          <w:sz w:val="24"/>
        </w:rPr>
      </w:pPr>
      <w:r w:rsidRPr="009B4C93">
        <w:rPr>
          <w:rFonts w:ascii="Times New Roman" w:hAnsi="Times New Roman" w:cs="Times New Roman"/>
          <w:sz w:val="24"/>
        </w:rPr>
        <w:lastRenderedPageBreak/>
        <w:t xml:space="preserve">Natsun </w:t>
      </w:r>
      <w:r w:rsidR="009478F5" w:rsidRPr="009B4C93">
        <w:rPr>
          <w:rFonts w:ascii="Times New Roman" w:hAnsi="Times New Roman" w:cs="Times New Roman"/>
          <w:sz w:val="24"/>
        </w:rPr>
        <w:t>Lei</w:t>
      </w:r>
      <w:r w:rsidRPr="009B4C93">
        <w:rPr>
          <w:rFonts w:ascii="Times New Roman" w:hAnsi="Times New Roman" w:cs="Times New Roman"/>
          <w:sz w:val="24"/>
        </w:rPr>
        <w:t xml:space="preserve">la Natigovna – </w:t>
      </w:r>
      <w:r w:rsidR="00C30A9F" w:rsidRPr="009B4C93">
        <w:rPr>
          <w:rFonts w:ascii="Times New Roman" w:hAnsi="Times New Roman" w:cs="Times New Roman"/>
          <w:sz w:val="24"/>
        </w:rPr>
        <w:t>researcher</w:t>
      </w:r>
      <w:r w:rsidR="00C30A9F" w:rsidRPr="00C30A9F">
        <w:rPr>
          <w:rFonts w:ascii="Times New Roman" w:hAnsi="Times New Roman" w:cs="Times New Roman"/>
          <w:sz w:val="24"/>
        </w:rPr>
        <w:t xml:space="preserve">, </w:t>
      </w:r>
      <w:r w:rsidR="00C30A9F" w:rsidRPr="009B4C93">
        <w:rPr>
          <w:rFonts w:ascii="Times New Roman" w:hAnsi="Times New Roman" w:cs="Times New Roman"/>
          <w:sz w:val="24"/>
        </w:rPr>
        <w:t>Federal State Budgetary Institution of Sciences</w:t>
      </w:r>
      <w:r w:rsidR="00C30A9F" w:rsidRPr="00C30A9F">
        <w:rPr>
          <w:rFonts w:ascii="Times New Roman" w:hAnsi="Times New Roman" w:cs="Times New Roman"/>
          <w:sz w:val="24"/>
        </w:rPr>
        <w:t xml:space="preserve"> </w:t>
      </w:r>
      <w:r w:rsidR="00C30A9F" w:rsidRPr="009B4C93">
        <w:rPr>
          <w:rFonts w:ascii="Times New Roman" w:hAnsi="Times New Roman" w:cs="Times New Roman"/>
          <w:sz w:val="24"/>
        </w:rPr>
        <w:t xml:space="preserve">Vologda Research Center of </w:t>
      </w:r>
      <w:proofErr w:type="spellStart"/>
      <w:r w:rsidR="00C30A9F" w:rsidRPr="009B4C93">
        <w:rPr>
          <w:rFonts w:ascii="Times New Roman" w:hAnsi="Times New Roman" w:cs="Times New Roman"/>
          <w:sz w:val="24"/>
        </w:rPr>
        <w:t>the</w:t>
      </w:r>
      <w:proofErr w:type="spellEnd"/>
      <w:r w:rsidR="00C30A9F" w:rsidRPr="009B4C93">
        <w:rPr>
          <w:rFonts w:ascii="Times New Roman" w:hAnsi="Times New Roman" w:cs="Times New Roman"/>
          <w:sz w:val="24"/>
        </w:rPr>
        <w:t xml:space="preserve"> </w:t>
      </w:r>
      <w:proofErr w:type="spellStart"/>
      <w:r w:rsidR="00C30A9F" w:rsidRPr="009B4C93">
        <w:rPr>
          <w:rFonts w:ascii="Times New Roman" w:hAnsi="Times New Roman" w:cs="Times New Roman"/>
          <w:sz w:val="24"/>
        </w:rPr>
        <w:t>Russian</w:t>
      </w:r>
      <w:proofErr w:type="spellEnd"/>
      <w:r w:rsidR="00C30A9F" w:rsidRPr="009B4C93">
        <w:rPr>
          <w:rFonts w:ascii="Times New Roman" w:hAnsi="Times New Roman" w:cs="Times New Roman"/>
          <w:sz w:val="24"/>
        </w:rPr>
        <w:t xml:space="preserve"> </w:t>
      </w:r>
      <w:proofErr w:type="spellStart"/>
      <w:r w:rsidR="00C30A9F" w:rsidRPr="009B4C93">
        <w:rPr>
          <w:rFonts w:ascii="Times New Roman" w:hAnsi="Times New Roman" w:cs="Times New Roman"/>
          <w:sz w:val="24"/>
        </w:rPr>
        <w:t>Academy</w:t>
      </w:r>
      <w:proofErr w:type="spellEnd"/>
      <w:r w:rsidR="00C30A9F" w:rsidRPr="009B4C93">
        <w:rPr>
          <w:rFonts w:ascii="Times New Roman" w:hAnsi="Times New Roman" w:cs="Times New Roman"/>
          <w:sz w:val="24"/>
        </w:rPr>
        <w:t xml:space="preserve"> </w:t>
      </w:r>
      <w:proofErr w:type="spellStart"/>
      <w:r w:rsidR="00C30A9F" w:rsidRPr="009B4C93">
        <w:rPr>
          <w:rFonts w:ascii="Times New Roman" w:hAnsi="Times New Roman" w:cs="Times New Roman"/>
          <w:sz w:val="24"/>
        </w:rPr>
        <w:t>of</w:t>
      </w:r>
      <w:proofErr w:type="spellEnd"/>
      <w:r w:rsidR="00C30A9F" w:rsidRPr="009B4C93">
        <w:rPr>
          <w:rFonts w:ascii="Times New Roman" w:hAnsi="Times New Roman" w:cs="Times New Roman"/>
          <w:sz w:val="24"/>
        </w:rPr>
        <w:t xml:space="preserve"> </w:t>
      </w:r>
      <w:proofErr w:type="spellStart"/>
      <w:r w:rsidR="00C30A9F" w:rsidRPr="009B4C93">
        <w:rPr>
          <w:rFonts w:ascii="Times New Roman" w:hAnsi="Times New Roman" w:cs="Times New Roman"/>
          <w:sz w:val="24"/>
        </w:rPr>
        <w:t>Sciences</w:t>
      </w:r>
      <w:proofErr w:type="spellEnd"/>
      <w:r w:rsidR="004E7B0F" w:rsidRPr="009B4C93">
        <w:rPr>
          <w:rFonts w:ascii="Times New Roman" w:hAnsi="Times New Roman" w:cs="Times New Roman"/>
          <w:sz w:val="24"/>
        </w:rPr>
        <w:t xml:space="preserve"> (</w:t>
      </w:r>
      <w:proofErr w:type="spellStart"/>
      <w:r w:rsidR="004E7B0F" w:rsidRPr="009B4C93">
        <w:rPr>
          <w:rFonts w:ascii="Times New Roman" w:hAnsi="Times New Roman" w:cs="Times New Roman"/>
          <w:sz w:val="24"/>
        </w:rPr>
        <w:t>VolRC</w:t>
      </w:r>
      <w:proofErr w:type="spellEnd"/>
      <w:r w:rsidR="004E7B0F" w:rsidRPr="009B4C93">
        <w:rPr>
          <w:rFonts w:ascii="Times New Roman" w:hAnsi="Times New Roman" w:cs="Times New Roman"/>
          <w:sz w:val="24"/>
        </w:rPr>
        <w:t xml:space="preserve"> RAS</w:t>
      </w:r>
      <w:r w:rsidR="006714CD">
        <w:rPr>
          <w:rFonts w:ascii="Times New Roman" w:hAnsi="Times New Roman" w:cs="Times New Roman"/>
          <w:sz w:val="24"/>
        </w:rPr>
        <w:t>;</w:t>
      </w:r>
      <w:r w:rsidR="004E7B0F" w:rsidRPr="009B4C93">
        <w:rPr>
          <w:rFonts w:ascii="Times New Roman" w:hAnsi="Times New Roman" w:cs="Times New Roman"/>
          <w:sz w:val="24"/>
        </w:rPr>
        <w:t xml:space="preserve"> 56A, </w:t>
      </w:r>
      <w:proofErr w:type="spellStart"/>
      <w:r w:rsidR="004E7B0F" w:rsidRPr="009B4C93">
        <w:rPr>
          <w:rFonts w:ascii="Times New Roman" w:hAnsi="Times New Roman" w:cs="Times New Roman"/>
          <w:sz w:val="24"/>
        </w:rPr>
        <w:t>Gorky</w:t>
      </w:r>
      <w:proofErr w:type="spellEnd"/>
      <w:r w:rsidR="004E7B0F" w:rsidRPr="009B4C93">
        <w:rPr>
          <w:rFonts w:ascii="Times New Roman" w:hAnsi="Times New Roman" w:cs="Times New Roman"/>
          <w:sz w:val="24"/>
        </w:rPr>
        <w:t xml:space="preserve"> </w:t>
      </w:r>
      <w:proofErr w:type="spellStart"/>
      <w:r w:rsidR="004E7B0F" w:rsidRPr="009B4C93">
        <w:rPr>
          <w:rFonts w:ascii="Times New Roman" w:hAnsi="Times New Roman" w:cs="Times New Roman"/>
          <w:sz w:val="24"/>
        </w:rPr>
        <w:t>Street</w:t>
      </w:r>
      <w:proofErr w:type="spellEnd"/>
      <w:r w:rsidR="004E7B0F" w:rsidRPr="009B4C93">
        <w:rPr>
          <w:rFonts w:ascii="Times New Roman" w:hAnsi="Times New Roman" w:cs="Times New Roman"/>
          <w:sz w:val="24"/>
        </w:rPr>
        <w:t xml:space="preserve">, </w:t>
      </w:r>
      <w:proofErr w:type="spellStart"/>
      <w:r w:rsidR="004E7B0F" w:rsidRPr="009B4C93">
        <w:rPr>
          <w:rFonts w:ascii="Times New Roman" w:hAnsi="Times New Roman" w:cs="Times New Roman"/>
          <w:sz w:val="24"/>
        </w:rPr>
        <w:t>Vologda</w:t>
      </w:r>
      <w:proofErr w:type="spellEnd"/>
      <w:r w:rsidR="004E7B0F" w:rsidRPr="009B4C93">
        <w:rPr>
          <w:rFonts w:ascii="Times New Roman" w:hAnsi="Times New Roman" w:cs="Times New Roman"/>
          <w:sz w:val="24"/>
        </w:rPr>
        <w:t>, 160014, Russia)</w:t>
      </w:r>
      <w:r w:rsidRPr="009B4C93">
        <w:rPr>
          <w:rFonts w:ascii="Times New Roman" w:hAnsi="Times New Roman" w:cs="Times New Roman"/>
          <w:sz w:val="24"/>
        </w:rPr>
        <w:t xml:space="preserve">, </w:t>
      </w:r>
      <w:r w:rsidR="00C30A9F" w:rsidRPr="009B4C93">
        <w:rPr>
          <w:rFonts w:ascii="Times New Roman" w:hAnsi="Times New Roman" w:cs="Times New Roman"/>
          <w:sz w:val="24"/>
        </w:rPr>
        <w:t>leyla.natsun@yandex.ru</w:t>
      </w:r>
      <w:r w:rsidR="006714CD">
        <w:rPr>
          <w:rFonts w:ascii="Times New Roman" w:hAnsi="Times New Roman" w:cs="Times New Roman"/>
          <w:sz w:val="24"/>
        </w:rPr>
        <w:t>.</w:t>
      </w:r>
    </w:p>
    <w:p w:rsidR="00C30A9F" w:rsidRDefault="00C30A9F" w:rsidP="00EC0ABE">
      <w:pPr>
        <w:spacing w:after="0" w:line="240" w:lineRule="auto"/>
        <w:ind w:firstLine="709"/>
        <w:jc w:val="both"/>
        <w:rPr>
          <w:rFonts w:ascii="Times New Roman" w:hAnsi="Times New Roman" w:cs="Times New Roman"/>
          <w:sz w:val="24"/>
          <w:u w:val="single"/>
          <w:lang w:val="en-US"/>
        </w:rPr>
      </w:pPr>
    </w:p>
    <w:p w:rsidR="00B86215" w:rsidRPr="00BD779D" w:rsidRDefault="00B86215" w:rsidP="00BD779D">
      <w:pPr>
        <w:spacing w:after="0" w:line="240" w:lineRule="auto"/>
        <w:jc w:val="center"/>
        <w:rPr>
          <w:rFonts w:ascii="Times New Roman" w:hAnsi="Times New Roman" w:cs="Times New Roman"/>
          <w:b/>
          <w:bCs/>
          <w:sz w:val="24"/>
        </w:rPr>
      </w:pPr>
      <w:r w:rsidRPr="00B86215">
        <w:rPr>
          <w:rFonts w:ascii="Times New Roman" w:hAnsi="Times New Roman" w:cs="Times New Roman"/>
          <w:b/>
          <w:bCs/>
          <w:sz w:val="24"/>
        </w:rPr>
        <w:t>Библиографический список на английском языке</w:t>
      </w:r>
    </w:p>
    <w:p w:rsidR="00723C5B" w:rsidRDefault="00723C5B" w:rsidP="0079185E">
      <w:pPr>
        <w:spacing w:after="0" w:line="240" w:lineRule="auto"/>
        <w:ind w:firstLine="709"/>
        <w:jc w:val="both"/>
        <w:rPr>
          <w:rFonts w:ascii="Times New Roman" w:hAnsi="Times New Roman" w:cs="Times New Roman"/>
          <w:sz w:val="24"/>
          <w:lang w:val="en-US"/>
        </w:rPr>
      </w:pPr>
      <w:r>
        <w:rPr>
          <w:rFonts w:ascii="Times New Roman" w:hAnsi="Times New Roman" w:cs="Times New Roman"/>
          <w:sz w:val="24"/>
        </w:rPr>
        <w:t xml:space="preserve">1. </w:t>
      </w:r>
      <w:proofErr w:type="spellStart"/>
      <w:r w:rsidR="005A5768" w:rsidRPr="00C20690">
        <w:rPr>
          <w:rFonts w:ascii="Times New Roman" w:hAnsi="Times New Roman" w:cs="Times New Roman"/>
          <w:sz w:val="24"/>
          <w:lang w:val="en-US"/>
        </w:rPr>
        <w:t>Vyalshina</w:t>
      </w:r>
      <w:proofErr w:type="spellEnd"/>
      <w:r w:rsidR="005A5768">
        <w:rPr>
          <w:rFonts w:ascii="Times New Roman" w:hAnsi="Times New Roman" w:cs="Times New Roman"/>
          <w:sz w:val="24"/>
        </w:rPr>
        <w:t xml:space="preserve"> </w:t>
      </w:r>
      <w:r w:rsidR="005A5768">
        <w:rPr>
          <w:rFonts w:ascii="Times New Roman" w:hAnsi="Times New Roman" w:cs="Times New Roman"/>
          <w:sz w:val="24"/>
          <w:lang w:val="en-US"/>
        </w:rPr>
        <w:t xml:space="preserve">A. A. </w:t>
      </w:r>
      <w:proofErr w:type="spellStart"/>
      <w:r w:rsidR="005A5768" w:rsidRPr="00C20690">
        <w:rPr>
          <w:rFonts w:ascii="Times New Roman" w:hAnsi="Times New Roman" w:cs="Times New Roman"/>
          <w:sz w:val="24"/>
        </w:rPr>
        <w:t>Socio-economic</w:t>
      </w:r>
      <w:proofErr w:type="spellEnd"/>
      <w:r w:rsidR="005A5768" w:rsidRPr="00C20690">
        <w:rPr>
          <w:rFonts w:ascii="Times New Roman" w:hAnsi="Times New Roman" w:cs="Times New Roman"/>
          <w:sz w:val="24"/>
        </w:rPr>
        <w:t xml:space="preserve"> </w:t>
      </w:r>
      <w:proofErr w:type="spellStart"/>
      <w:r w:rsidR="005A5768" w:rsidRPr="00C20690">
        <w:rPr>
          <w:rFonts w:ascii="Times New Roman" w:hAnsi="Times New Roman" w:cs="Times New Roman"/>
          <w:sz w:val="24"/>
        </w:rPr>
        <w:t>factors</w:t>
      </w:r>
      <w:proofErr w:type="spellEnd"/>
      <w:r w:rsidR="005A5768" w:rsidRPr="00C20690">
        <w:rPr>
          <w:rFonts w:ascii="Times New Roman" w:hAnsi="Times New Roman" w:cs="Times New Roman"/>
          <w:sz w:val="24"/>
        </w:rPr>
        <w:t xml:space="preserve"> </w:t>
      </w:r>
      <w:proofErr w:type="spellStart"/>
      <w:r w:rsidR="005A5768" w:rsidRPr="00C20690">
        <w:rPr>
          <w:rFonts w:ascii="Times New Roman" w:hAnsi="Times New Roman" w:cs="Times New Roman"/>
          <w:sz w:val="24"/>
        </w:rPr>
        <w:t>of</w:t>
      </w:r>
      <w:proofErr w:type="spellEnd"/>
      <w:r w:rsidR="005A5768" w:rsidRPr="00C20690">
        <w:rPr>
          <w:rFonts w:ascii="Times New Roman" w:hAnsi="Times New Roman" w:cs="Times New Roman"/>
          <w:sz w:val="24"/>
        </w:rPr>
        <w:t xml:space="preserve"> </w:t>
      </w:r>
      <w:proofErr w:type="spellStart"/>
      <w:r w:rsidR="005A5768" w:rsidRPr="00C20690">
        <w:rPr>
          <w:rFonts w:ascii="Times New Roman" w:hAnsi="Times New Roman" w:cs="Times New Roman"/>
          <w:sz w:val="24"/>
        </w:rPr>
        <w:t>the</w:t>
      </w:r>
      <w:proofErr w:type="spellEnd"/>
      <w:r w:rsidR="005A5768" w:rsidRPr="00C20690">
        <w:rPr>
          <w:rFonts w:ascii="Times New Roman" w:hAnsi="Times New Roman" w:cs="Times New Roman"/>
          <w:sz w:val="24"/>
        </w:rPr>
        <w:t xml:space="preserve"> </w:t>
      </w:r>
      <w:proofErr w:type="spellStart"/>
      <w:r w:rsidR="005A5768" w:rsidRPr="00C20690">
        <w:rPr>
          <w:rFonts w:ascii="Times New Roman" w:hAnsi="Times New Roman" w:cs="Times New Roman"/>
          <w:sz w:val="24"/>
        </w:rPr>
        <w:t>formation</w:t>
      </w:r>
      <w:proofErr w:type="spellEnd"/>
      <w:r w:rsidR="005A5768" w:rsidRPr="00C20690">
        <w:rPr>
          <w:rFonts w:ascii="Times New Roman" w:hAnsi="Times New Roman" w:cs="Times New Roman"/>
          <w:sz w:val="24"/>
        </w:rPr>
        <w:t xml:space="preserve"> </w:t>
      </w:r>
      <w:proofErr w:type="spellStart"/>
      <w:r w:rsidR="005A5768" w:rsidRPr="00C20690">
        <w:rPr>
          <w:rFonts w:ascii="Times New Roman" w:hAnsi="Times New Roman" w:cs="Times New Roman"/>
          <w:sz w:val="24"/>
        </w:rPr>
        <w:t>of</w:t>
      </w:r>
      <w:proofErr w:type="spellEnd"/>
      <w:r w:rsidR="005A5768" w:rsidRPr="00C20690">
        <w:rPr>
          <w:rFonts w:ascii="Times New Roman" w:hAnsi="Times New Roman" w:cs="Times New Roman"/>
          <w:sz w:val="24"/>
        </w:rPr>
        <w:t xml:space="preserve"> </w:t>
      </w:r>
      <w:proofErr w:type="spellStart"/>
      <w:r w:rsidR="005A5768" w:rsidRPr="00C20690">
        <w:rPr>
          <w:rFonts w:ascii="Times New Roman" w:hAnsi="Times New Roman" w:cs="Times New Roman"/>
          <w:sz w:val="24"/>
        </w:rPr>
        <w:t>children’s</w:t>
      </w:r>
      <w:proofErr w:type="spellEnd"/>
      <w:r w:rsidR="005A5768" w:rsidRPr="00C20690">
        <w:rPr>
          <w:rFonts w:ascii="Times New Roman" w:hAnsi="Times New Roman" w:cs="Times New Roman"/>
          <w:sz w:val="24"/>
        </w:rPr>
        <w:t xml:space="preserve"> </w:t>
      </w:r>
      <w:proofErr w:type="spellStart"/>
      <w:r w:rsidR="005A5768" w:rsidRPr="00C20690">
        <w:rPr>
          <w:rFonts w:ascii="Times New Roman" w:hAnsi="Times New Roman" w:cs="Times New Roman"/>
          <w:sz w:val="24"/>
        </w:rPr>
        <w:t>human</w:t>
      </w:r>
      <w:proofErr w:type="spellEnd"/>
      <w:r w:rsidR="005A5768" w:rsidRPr="00C20690">
        <w:rPr>
          <w:rFonts w:ascii="Times New Roman" w:hAnsi="Times New Roman" w:cs="Times New Roman"/>
          <w:sz w:val="24"/>
        </w:rPr>
        <w:t xml:space="preserve"> </w:t>
      </w:r>
      <w:proofErr w:type="spellStart"/>
      <w:r w:rsidR="005A5768" w:rsidRPr="00C20690">
        <w:rPr>
          <w:rFonts w:ascii="Times New Roman" w:hAnsi="Times New Roman" w:cs="Times New Roman"/>
          <w:sz w:val="24"/>
        </w:rPr>
        <w:t>capital</w:t>
      </w:r>
      <w:proofErr w:type="spellEnd"/>
      <w:r w:rsidR="005A5768">
        <w:rPr>
          <w:rFonts w:ascii="Times New Roman" w:hAnsi="Times New Roman" w:cs="Times New Roman"/>
          <w:sz w:val="24"/>
          <w:lang w:val="en-US"/>
        </w:rPr>
        <w:t xml:space="preserve"> / A. A. </w:t>
      </w:r>
      <w:proofErr w:type="spellStart"/>
      <w:r w:rsidR="005A5768" w:rsidRPr="00C20690">
        <w:rPr>
          <w:rFonts w:ascii="Times New Roman" w:hAnsi="Times New Roman" w:cs="Times New Roman"/>
          <w:sz w:val="24"/>
          <w:lang w:val="en-US"/>
        </w:rPr>
        <w:t>Vyalshina</w:t>
      </w:r>
      <w:proofErr w:type="spellEnd"/>
      <w:r w:rsidR="005A5768">
        <w:rPr>
          <w:rFonts w:ascii="Times New Roman" w:hAnsi="Times New Roman" w:cs="Times New Roman"/>
          <w:sz w:val="24"/>
        </w:rPr>
        <w:t xml:space="preserve"> </w:t>
      </w:r>
      <w:r w:rsidR="005A5768">
        <w:rPr>
          <w:rFonts w:ascii="Times New Roman" w:hAnsi="Times New Roman" w:cs="Times New Roman"/>
          <w:sz w:val="24"/>
          <w:lang w:val="en-US"/>
        </w:rPr>
        <w:t xml:space="preserve">// Population. 2017. </w:t>
      </w:r>
      <w:r w:rsidR="005A5768">
        <w:rPr>
          <w:rFonts w:ascii="Times New Roman" w:hAnsi="Times New Roman" w:cs="Times New Roman"/>
          <w:sz w:val="24"/>
        </w:rPr>
        <w:t>№</w:t>
      </w:r>
      <w:r w:rsidR="005A5768">
        <w:rPr>
          <w:rFonts w:ascii="Times New Roman" w:hAnsi="Times New Roman" w:cs="Times New Roman"/>
          <w:sz w:val="24"/>
          <w:lang w:val="en-US"/>
        </w:rPr>
        <w:t>1</w:t>
      </w:r>
      <w:r w:rsidR="005A5768">
        <w:rPr>
          <w:rFonts w:ascii="Times New Roman" w:hAnsi="Times New Roman" w:cs="Times New Roman"/>
          <w:sz w:val="24"/>
        </w:rPr>
        <w:t xml:space="preserve"> </w:t>
      </w:r>
      <w:r w:rsidR="005A5768">
        <w:rPr>
          <w:rFonts w:ascii="Times New Roman" w:hAnsi="Times New Roman" w:cs="Times New Roman"/>
          <w:sz w:val="24"/>
          <w:lang w:val="en-US"/>
        </w:rPr>
        <w:t>(75)</w:t>
      </w:r>
      <w:r w:rsidR="005A5768">
        <w:rPr>
          <w:rFonts w:ascii="Times New Roman" w:hAnsi="Times New Roman" w:cs="Times New Roman"/>
          <w:sz w:val="24"/>
        </w:rPr>
        <w:t xml:space="preserve">. </w:t>
      </w:r>
      <w:r w:rsidR="005A5768">
        <w:rPr>
          <w:rFonts w:ascii="Times New Roman" w:hAnsi="Times New Roman" w:cs="Times New Roman"/>
          <w:sz w:val="24"/>
          <w:lang w:val="en-US"/>
        </w:rPr>
        <w:t>P. 125–134.</w:t>
      </w:r>
    </w:p>
    <w:p w:rsidR="00B2232F" w:rsidRPr="00841D1A" w:rsidRDefault="00B2232F" w:rsidP="0079185E">
      <w:pPr>
        <w:spacing w:after="0" w:line="240" w:lineRule="auto"/>
        <w:ind w:firstLine="709"/>
        <w:jc w:val="both"/>
        <w:rPr>
          <w:rFonts w:ascii="Times New Roman" w:hAnsi="Times New Roman" w:cs="Times New Roman"/>
          <w:sz w:val="24"/>
        </w:rPr>
      </w:pPr>
      <w:r>
        <w:rPr>
          <w:rFonts w:ascii="Times New Roman" w:hAnsi="Times New Roman" w:cs="Times New Roman"/>
          <w:sz w:val="24"/>
          <w:lang w:val="en-US"/>
        </w:rPr>
        <w:t>2</w:t>
      </w:r>
      <w:r>
        <w:rPr>
          <w:rFonts w:ascii="Times New Roman" w:hAnsi="Times New Roman" w:cs="Times New Roman"/>
          <w:sz w:val="24"/>
        </w:rPr>
        <w:t>.</w:t>
      </w:r>
      <w:r w:rsidR="00C20690">
        <w:rPr>
          <w:rFonts w:ascii="Times New Roman" w:hAnsi="Times New Roman" w:cs="Times New Roman"/>
          <w:sz w:val="24"/>
          <w:lang w:val="en-US"/>
        </w:rPr>
        <w:t xml:space="preserve"> </w:t>
      </w:r>
      <w:proofErr w:type="spellStart"/>
      <w:r w:rsidR="005A5768" w:rsidRPr="00723C5B">
        <w:rPr>
          <w:rFonts w:ascii="Times New Roman" w:hAnsi="Times New Roman" w:cs="Times New Roman"/>
          <w:sz w:val="24"/>
        </w:rPr>
        <w:t>Shabunova</w:t>
      </w:r>
      <w:proofErr w:type="spellEnd"/>
      <w:r w:rsidR="005A5768" w:rsidRPr="00723C5B">
        <w:rPr>
          <w:rFonts w:ascii="Times New Roman" w:hAnsi="Times New Roman" w:cs="Times New Roman"/>
          <w:sz w:val="24"/>
        </w:rPr>
        <w:t xml:space="preserve"> A.</w:t>
      </w:r>
      <w:r w:rsidR="005A5768">
        <w:rPr>
          <w:rFonts w:ascii="Times New Roman" w:hAnsi="Times New Roman" w:cs="Times New Roman"/>
          <w:sz w:val="24"/>
        </w:rPr>
        <w:t> </w:t>
      </w:r>
      <w:r w:rsidR="005A5768" w:rsidRPr="00723C5B">
        <w:rPr>
          <w:rFonts w:ascii="Times New Roman" w:hAnsi="Times New Roman" w:cs="Times New Roman"/>
          <w:sz w:val="24"/>
        </w:rPr>
        <w:t>A.</w:t>
      </w:r>
      <w:r w:rsidR="005A5768">
        <w:rPr>
          <w:rFonts w:ascii="Times New Roman" w:hAnsi="Times New Roman" w:cs="Times New Roman"/>
          <w:sz w:val="24"/>
        </w:rPr>
        <w:t xml:space="preserve"> </w:t>
      </w:r>
      <w:proofErr w:type="spellStart"/>
      <w:r w:rsidR="005A5768" w:rsidRPr="00723C5B">
        <w:rPr>
          <w:rFonts w:ascii="Times New Roman" w:hAnsi="Times New Roman" w:cs="Times New Roman"/>
          <w:sz w:val="24"/>
        </w:rPr>
        <w:t>Children</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and</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young</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people</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in</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russia</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global</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challenges</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of</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modernity</w:t>
      </w:r>
      <w:proofErr w:type="spellEnd"/>
      <w:r w:rsidR="005A5768">
        <w:rPr>
          <w:rFonts w:ascii="Times New Roman" w:hAnsi="Times New Roman" w:cs="Times New Roman"/>
          <w:sz w:val="24"/>
        </w:rPr>
        <w:t xml:space="preserve"> / </w:t>
      </w:r>
      <w:r w:rsidR="005A5768" w:rsidRPr="00723C5B">
        <w:rPr>
          <w:rFonts w:ascii="Times New Roman" w:hAnsi="Times New Roman" w:cs="Times New Roman"/>
          <w:sz w:val="24"/>
        </w:rPr>
        <w:t>A.</w:t>
      </w:r>
      <w:r w:rsidR="005A5768">
        <w:rPr>
          <w:rFonts w:ascii="Times New Roman" w:hAnsi="Times New Roman" w:cs="Times New Roman"/>
          <w:sz w:val="24"/>
        </w:rPr>
        <w:t> </w:t>
      </w:r>
      <w:r w:rsidR="005A5768" w:rsidRPr="00723C5B">
        <w:rPr>
          <w:rFonts w:ascii="Times New Roman" w:hAnsi="Times New Roman" w:cs="Times New Roman"/>
          <w:sz w:val="24"/>
        </w:rPr>
        <w:t>A.</w:t>
      </w:r>
      <w:r w:rsidR="005A5768" w:rsidRPr="004F031E">
        <w:rPr>
          <w:rFonts w:ascii="Times New Roman" w:hAnsi="Times New Roman" w:cs="Times New Roman"/>
          <w:sz w:val="24"/>
        </w:rPr>
        <w:t xml:space="preserve"> </w:t>
      </w:r>
      <w:proofErr w:type="spellStart"/>
      <w:r w:rsidR="005A5768" w:rsidRPr="00723C5B">
        <w:rPr>
          <w:rFonts w:ascii="Times New Roman" w:hAnsi="Times New Roman" w:cs="Times New Roman"/>
          <w:sz w:val="24"/>
        </w:rPr>
        <w:t>Shabunova</w:t>
      </w:r>
      <w:proofErr w:type="spellEnd"/>
      <w:r w:rsidR="005A5768" w:rsidRPr="00723C5B">
        <w:rPr>
          <w:rFonts w:ascii="Times New Roman" w:hAnsi="Times New Roman" w:cs="Times New Roman"/>
          <w:sz w:val="24"/>
        </w:rPr>
        <w:t>, G.</w:t>
      </w:r>
      <w:r w:rsidR="005A5768">
        <w:rPr>
          <w:rFonts w:ascii="Times New Roman" w:hAnsi="Times New Roman" w:cs="Times New Roman"/>
          <w:sz w:val="24"/>
        </w:rPr>
        <w:t> </w:t>
      </w:r>
      <w:r w:rsidR="005A5768" w:rsidRPr="00723C5B">
        <w:rPr>
          <w:rFonts w:ascii="Times New Roman" w:hAnsi="Times New Roman" w:cs="Times New Roman"/>
          <w:sz w:val="24"/>
        </w:rPr>
        <w:t>V.</w:t>
      </w:r>
      <w:r w:rsidR="005A5768" w:rsidRPr="004F031E">
        <w:rPr>
          <w:rFonts w:ascii="Times New Roman" w:hAnsi="Times New Roman" w:cs="Times New Roman"/>
          <w:sz w:val="24"/>
        </w:rPr>
        <w:t xml:space="preserve"> </w:t>
      </w:r>
      <w:proofErr w:type="spellStart"/>
      <w:r w:rsidR="005A5768" w:rsidRPr="00723C5B">
        <w:rPr>
          <w:rFonts w:ascii="Times New Roman" w:hAnsi="Times New Roman" w:cs="Times New Roman"/>
          <w:sz w:val="24"/>
        </w:rPr>
        <w:t>Leonidova</w:t>
      </w:r>
      <w:proofErr w:type="spellEnd"/>
      <w:r w:rsidR="005A5768" w:rsidRPr="00723C5B">
        <w:rPr>
          <w:rFonts w:ascii="Times New Roman" w:hAnsi="Times New Roman" w:cs="Times New Roman"/>
          <w:sz w:val="24"/>
        </w:rPr>
        <w:t>, O.</w:t>
      </w:r>
      <w:r w:rsidR="005A5768">
        <w:rPr>
          <w:rFonts w:ascii="Times New Roman" w:hAnsi="Times New Roman" w:cs="Times New Roman"/>
          <w:sz w:val="24"/>
        </w:rPr>
        <w:t> </w:t>
      </w:r>
      <w:r w:rsidR="005A5768" w:rsidRPr="00723C5B">
        <w:rPr>
          <w:rFonts w:ascii="Times New Roman" w:hAnsi="Times New Roman" w:cs="Times New Roman"/>
          <w:sz w:val="24"/>
        </w:rPr>
        <w:t>N.</w:t>
      </w:r>
      <w:r w:rsidR="005A5768">
        <w:rPr>
          <w:rFonts w:ascii="Times New Roman" w:hAnsi="Times New Roman" w:cs="Times New Roman"/>
          <w:sz w:val="24"/>
        </w:rPr>
        <w:t xml:space="preserve"> </w:t>
      </w:r>
      <w:proofErr w:type="spellStart"/>
      <w:r w:rsidR="005A5768" w:rsidRPr="00723C5B">
        <w:rPr>
          <w:rFonts w:ascii="Times New Roman" w:hAnsi="Times New Roman" w:cs="Times New Roman"/>
          <w:sz w:val="24"/>
        </w:rPr>
        <w:t>Kalachikova</w:t>
      </w:r>
      <w:proofErr w:type="spellEnd"/>
      <w:r w:rsidR="005A5768" w:rsidRPr="00723C5B">
        <w:rPr>
          <w:rFonts w:ascii="Times New Roman" w:hAnsi="Times New Roman" w:cs="Times New Roman"/>
          <w:sz w:val="24"/>
        </w:rPr>
        <w:t xml:space="preserve"> </w:t>
      </w:r>
      <w:r w:rsidR="005A5768">
        <w:rPr>
          <w:rFonts w:ascii="Times New Roman" w:hAnsi="Times New Roman" w:cs="Times New Roman"/>
          <w:sz w:val="24"/>
        </w:rPr>
        <w:t xml:space="preserve">// </w:t>
      </w:r>
      <w:proofErr w:type="spellStart"/>
      <w:r w:rsidR="005A5768" w:rsidRPr="00723C5B">
        <w:rPr>
          <w:rFonts w:ascii="Times New Roman" w:hAnsi="Times New Roman" w:cs="Times New Roman"/>
          <w:sz w:val="24"/>
        </w:rPr>
        <w:t>Economic</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and</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Social</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Changes</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Facts</w:t>
      </w:r>
      <w:proofErr w:type="spellEnd"/>
      <w:r w:rsidR="005A5768" w:rsidRPr="00723C5B">
        <w:rPr>
          <w:rFonts w:ascii="Times New Roman" w:hAnsi="Times New Roman" w:cs="Times New Roman"/>
          <w:sz w:val="24"/>
        </w:rPr>
        <w:t xml:space="preserve">, </w:t>
      </w:r>
      <w:proofErr w:type="spellStart"/>
      <w:r w:rsidR="005A5768" w:rsidRPr="00723C5B">
        <w:rPr>
          <w:rFonts w:ascii="Times New Roman" w:hAnsi="Times New Roman" w:cs="Times New Roman"/>
          <w:sz w:val="24"/>
        </w:rPr>
        <w:t>Trends</w:t>
      </w:r>
      <w:proofErr w:type="spellEnd"/>
      <w:r w:rsidR="005A5768" w:rsidRPr="00723C5B">
        <w:rPr>
          <w:rFonts w:ascii="Times New Roman" w:hAnsi="Times New Roman" w:cs="Times New Roman"/>
          <w:sz w:val="24"/>
        </w:rPr>
        <w:t xml:space="preserve">, </w:t>
      </w:r>
      <w:proofErr w:type="spellStart"/>
      <w:r w:rsidR="005A5768">
        <w:rPr>
          <w:rFonts w:ascii="Times New Roman" w:hAnsi="Times New Roman" w:cs="Times New Roman"/>
          <w:sz w:val="24"/>
        </w:rPr>
        <w:t>Forecast</w:t>
      </w:r>
      <w:proofErr w:type="spellEnd"/>
      <w:r w:rsidR="005A5768">
        <w:rPr>
          <w:rFonts w:ascii="Times New Roman" w:hAnsi="Times New Roman" w:cs="Times New Roman"/>
          <w:sz w:val="24"/>
        </w:rPr>
        <w:t xml:space="preserve">. 2015. № 6 (42). </w:t>
      </w:r>
      <w:r w:rsidR="005A5768">
        <w:rPr>
          <w:rFonts w:ascii="Times New Roman" w:hAnsi="Times New Roman" w:cs="Times New Roman"/>
          <w:sz w:val="24"/>
          <w:lang w:val="en-US"/>
        </w:rPr>
        <w:t>P</w:t>
      </w:r>
      <w:r w:rsidR="005A5768">
        <w:rPr>
          <w:rFonts w:ascii="Times New Roman" w:hAnsi="Times New Roman" w:cs="Times New Roman"/>
          <w:sz w:val="24"/>
        </w:rPr>
        <w:t>. 36–</w:t>
      </w:r>
      <w:r w:rsidR="005A5768" w:rsidRPr="00723C5B">
        <w:rPr>
          <w:rFonts w:ascii="Times New Roman" w:hAnsi="Times New Roman" w:cs="Times New Roman"/>
          <w:sz w:val="24"/>
        </w:rPr>
        <w:t>57.</w:t>
      </w:r>
    </w:p>
    <w:p w:rsidR="00B2232F" w:rsidRDefault="00B2232F" w:rsidP="00EC0ABE">
      <w:pPr>
        <w:spacing w:after="0" w:line="240" w:lineRule="auto"/>
        <w:ind w:firstLine="709"/>
        <w:jc w:val="both"/>
        <w:rPr>
          <w:rFonts w:ascii="Times New Roman" w:hAnsi="Times New Roman" w:cs="Times New Roman"/>
          <w:sz w:val="24"/>
          <w:lang w:val="en-US"/>
        </w:rPr>
      </w:pPr>
    </w:p>
    <w:sectPr w:rsidR="00B2232F" w:rsidSect="00F5469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C7" w:rsidRDefault="00D66FC7" w:rsidP="001A2D2A">
      <w:pPr>
        <w:spacing w:after="0" w:line="240" w:lineRule="auto"/>
      </w:pPr>
      <w:r>
        <w:separator/>
      </w:r>
    </w:p>
  </w:endnote>
  <w:endnote w:type="continuationSeparator" w:id="0">
    <w:p w:rsidR="00D66FC7" w:rsidRDefault="00D66FC7" w:rsidP="001A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C7" w:rsidRDefault="00D66FC7" w:rsidP="001A2D2A">
      <w:pPr>
        <w:spacing w:after="0" w:line="240" w:lineRule="auto"/>
      </w:pPr>
      <w:r>
        <w:separator/>
      </w:r>
    </w:p>
  </w:footnote>
  <w:footnote w:type="continuationSeparator" w:id="0">
    <w:p w:rsidR="00D66FC7" w:rsidRDefault="00D66FC7" w:rsidP="001A2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0D"/>
    <w:rsid w:val="00013049"/>
    <w:rsid w:val="0005460D"/>
    <w:rsid w:val="00055F92"/>
    <w:rsid w:val="000762A6"/>
    <w:rsid w:val="00095261"/>
    <w:rsid w:val="000A0DE5"/>
    <w:rsid w:val="000C2570"/>
    <w:rsid w:val="000D4E0E"/>
    <w:rsid w:val="001205FE"/>
    <w:rsid w:val="00123BAD"/>
    <w:rsid w:val="00136610"/>
    <w:rsid w:val="00153A90"/>
    <w:rsid w:val="001553D8"/>
    <w:rsid w:val="00156D8D"/>
    <w:rsid w:val="0019493E"/>
    <w:rsid w:val="001A2D2A"/>
    <w:rsid w:val="001C2802"/>
    <w:rsid w:val="001C579F"/>
    <w:rsid w:val="001D1303"/>
    <w:rsid w:val="001F2560"/>
    <w:rsid w:val="00213D23"/>
    <w:rsid w:val="00216D5D"/>
    <w:rsid w:val="002310CD"/>
    <w:rsid w:val="0026329B"/>
    <w:rsid w:val="002717CF"/>
    <w:rsid w:val="002E2746"/>
    <w:rsid w:val="003378E9"/>
    <w:rsid w:val="00364E81"/>
    <w:rsid w:val="00394F3C"/>
    <w:rsid w:val="003A164A"/>
    <w:rsid w:val="003D5A5F"/>
    <w:rsid w:val="003F1BDD"/>
    <w:rsid w:val="004138C4"/>
    <w:rsid w:val="00446895"/>
    <w:rsid w:val="00454868"/>
    <w:rsid w:val="00462582"/>
    <w:rsid w:val="0047459F"/>
    <w:rsid w:val="0047505D"/>
    <w:rsid w:val="00486665"/>
    <w:rsid w:val="004867E8"/>
    <w:rsid w:val="004941FE"/>
    <w:rsid w:val="00497269"/>
    <w:rsid w:val="00497C1D"/>
    <w:rsid w:val="004A20B3"/>
    <w:rsid w:val="004D5456"/>
    <w:rsid w:val="004E7B0F"/>
    <w:rsid w:val="004F031E"/>
    <w:rsid w:val="005143C1"/>
    <w:rsid w:val="00517EE6"/>
    <w:rsid w:val="005232A2"/>
    <w:rsid w:val="00523C72"/>
    <w:rsid w:val="00580DE7"/>
    <w:rsid w:val="005A5768"/>
    <w:rsid w:val="005B5EDD"/>
    <w:rsid w:val="005C2C16"/>
    <w:rsid w:val="005E2483"/>
    <w:rsid w:val="006011A3"/>
    <w:rsid w:val="00607494"/>
    <w:rsid w:val="00614891"/>
    <w:rsid w:val="006226AA"/>
    <w:rsid w:val="0062284C"/>
    <w:rsid w:val="006446F1"/>
    <w:rsid w:val="00644FFE"/>
    <w:rsid w:val="006714CD"/>
    <w:rsid w:val="006728E2"/>
    <w:rsid w:val="006828B5"/>
    <w:rsid w:val="006867CE"/>
    <w:rsid w:val="00690270"/>
    <w:rsid w:val="006A5525"/>
    <w:rsid w:val="006B2B11"/>
    <w:rsid w:val="006D5DB1"/>
    <w:rsid w:val="006F56A7"/>
    <w:rsid w:val="007043C2"/>
    <w:rsid w:val="007152AF"/>
    <w:rsid w:val="007217C1"/>
    <w:rsid w:val="00723C5B"/>
    <w:rsid w:val="007365A3"/>
    <w:rsid w:val="00740560"/>
    <w:rsid w:val="00744DE4"/>
    <w:rsid w:val="00747281"/>
    <w:rsid w:val="0079185E"/>
    <w:rsid w:val="007B1874"/>
    <w:rsid w:val="007B237E"/>
    <w:rsid w:val="007D79F7"/>
    <w:rsid w:val="007E21DC"/>
    <w:rsid w:val="00801867"/>
    <w:rsid w:val="00802C5D"/>
    <w:rsid w:val="00815C2F"/>
    <w:rsid w:val="00820BF4"/>
    <w:rsid w:val="008316AD"/>
    <w:rsid w:val="008361C4"/>
    <w:rsid w:val="00841D1A"/>
    <w:rsid w:val="008A0CB6"/>
    <w:rsid w:val="008A2535"/>
    <w:rsid w:val="008B37B0"/>
    <w:rsid w:val="008D6748"/>
    <w:rsid w:val="008E18E0"/>
    <w:rsid w:val="008E300F"/>
    <w:rsid w:val="00906FC1"/>
    <w:rsid w:val="00915C8F"/>
    <w:rsid w:val="009410E2"/>
    <w:rsid w:val="009478F5"/>
    <w:rsid w:val="00971853"/>
    <w:rsid w:val="0098135E"/>
    <w:rsid w:val="00984D71"/>
    <w:rsid w:val="009917B6"/>
    <w:rsid w:val="009B4C93"/>
    <w:rsid w:val="009B6621"/>
    <w:rsid w:val="009C216B"/>
    <w:rsid w:val="009D467B"/>
    <w:rsid w:val="00A120E1"/>
    <w:rsid w:val="00A13E81"/>
    <w:rsid w:val="00A14DFE"/>
    <w:rsid w:val="00A21150"/>
    <w:rsid w:val="00A25615"/>
    <w:rsid w:val="00A45B0D"/>
    <w:rsid w:val="00A47397"/>
    <w:rsid w:val="00A5104E"/>
    <w:rsid w:val="00A77357"/>
    <w:rsid w:val="00A91576"/>
    <w:rsid w:val="00AD0FE6"/>
    <w:rsid w:val="00B04457"/>
    <w:rsid w:val="00B11E03"/>
    <w:rsid w:val="00B15437"/>
    <w:rsid w:val="00B2232F"/>
    <w:rsid w:val="00B22821"/>
    <w:rsid w:val="00B5469E"/>
    <w:rsid w:val="00B5605E"/>
    <w:rsid w:val="00B85F0A"/>
    <w:rsid w:val="00B86215"/>
    <w:rsid w:val="00B87B28"/>
    <w:rsid w:val="00B90DB0"/>
    <w:rsid w:val="00B96B0A"/>
    <w:rsid w:val="00BC3B59"/>
    <w:rsid w:val="00BC3F2A"/>
    <w:rsid w:val="00BD0B52"/>
    <w:rsid w:val="00BD779D"/>
    <w:rsid w:val="00BE0BC2"/>
    <w:rsid w:val="00BE2134"/>
    <w:rsid w:val="00BE2617"/>
    <w:rsid w:val="00C138F7"/>
    <w:rsid w:val="00C20690"/>
    <w:rsid w:val="00C30A9F"/>
    <w:rsid w:val="00C50295"/>
    <w:rsid w:val="00C513F8"/>
    <w:rsid w:val="00C73AE6"/>
    <w:rsid w:val="00CB4C3F"/>
    <w:rsid w:val="00CF590A"/>
    <w:rsid w:val="00CF5CDC"/>
    <w:rsid w:val="00D25AA7"/>
    <w:rsid w:val="00D310B9"/>
    <w:rsid w:val="00D41AEE"/>
    <w:rsid w:val="00D66FC7"/>
    <w:rsid w:val="00D75317"/>
    <w:rsid w:val="00DA5A82"/>
    <w:rsid w:val="00DD0FC5"/>
    <w:rsid w:val="00DD1313"/>
    <w:rsid w:val="00DD13A8"/>
    <w:rsid w:val="00DF7FF3"/>
    <w:rsid w:val="00E01783"/>
    <w:rsid w:val="00E11805"/>
    <w:rsid w:val="00E13801"/>
    <w:rsid w:val="00E1513C"/>
    <w:rsid w:val="00E165A2"/>
    <w:rsid w:val="00E22B11"/>
    <w:rsid w:val="00E266AF"/>
    <w:rsid w:val="00E43A70"/>
    <w:rsid w:val="00E7799B"/>
    <w:rsid w:val="00E806B8"/>
    <w:rsid w:val="00E90844"/>
    <w:rsid w:val="00E91B90"/>
    <w:rsid w:val="00EB1874"/>
    <w:rsid w:val="00EC0ABE"/>
    <w:rsid w:val="00ED15B6"/>
    <w:rsid w:val="00ED690B"/>
    <w:rsid w:val="00ED753F"/>
    <w:rsid w:val="00EF1539"/>
    <w:rsid w:val="00EF7AF3"/>
    <w:rsid w:val="00F00FA4"/>
    <w:rsid w:val="00F05612"/>
    <w:rsid w:val="00F14359"/>
    <w:rsid w:val="00F5469C"/>
    <w:rsid w:val="00F558DF"/>
    <w:rsid w:val="00F9174C"/>
    <w:rsid w:val="00FA5514"/>
    <w:rsid w:val="00FB508B"/>
    <w:rsid w:val="00FC3A55"/>
    <w:rsid w:val="00FC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486665"/>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ки"/>
    <w:basedOn w:val="a"/>
    <w:link w:val="a4"/>
    <w:autoRedefine/>
    <w:qFormat/>
    <w:rsid w:val="00F9174C"/>
    <w:pPr>
      <w:spacing w:after="0" w:line="240" w:lineRule="auto"/>
      <w:jc w:val="center"/>
    </w:pPr>
    <w:rPr>
      <w:rFonts w:ascii="Times New Roman" w:hAnsi="Times New Roman"/>
      <w:sz w:val="24"/>
      <w:szCs w:val="24"/>
    </w:rPr>
  </w:style>
  <w:style w:type="character" w:customStyle="1" w:styleId="a4">
    <w:name w:val="Рисунки Знак"/>
    <w:basedOn w:val="a0"/>
    <w:link w:val="a3"/>
    <w:rsid w:val="00F9174C"/>
    <w:rPr>
      <w:rFonts w:ascii="Times New Roman" w:hAnsi="Times New Roman"/>
      <w:sz w:val="24"/>
      <w:szCs w:val="24"/>
    </w:rPr>
  </w:style>
  <w:style w:type="paragraph" w:customStyle="1" w:styleId="a5">
    <w:name w:val="Подпись рисунка"/>
    <w:basedOn w:val="a"/>
    <w:link w:val="a6"/>
    <w:autoRedefine/>
    <w:qFormat/>
    <w:rsid w:val="00F9174C"/>
    <w:pPr>
      <w:spacing w:after="120" w:line="240" w:lineRule="auto"/>
      <w:jc w:val="both"/>
    </w:pPr>
    <w:rPr>
      <w:rFonts w:ascii="Times New Roman" w:hAnsi="Times New Roman"/>
      <w:sz w:val="20"/>
      <w:szCs w:val="24"/>
    </w:rPr>
  </w:style>
  <w:style w:type="character" w:customStyle="1" w:styleId="a6">
    <w:name w:val="Подпись рисунка Знак"/>
    <w:basedOn w:val="a0"/>
    <w:link w:val="a5"/>
    <w:rsid w:val="00F9174C"/>
    <w:rPr>
      <w:rFonts w:ascii="Times New Roman" w:hAnsi="Times New Roman"/>
      <w:sz w:val="20"/>
      <w:szCs w:val="24"/>
    </w:rPr>
  </w:style>
  <w:style w:type="paragraph" w:customStyle="1" w:styleId="a7">
    <w:name w:val="Таблицы"/>
    <w:basedOn w:val="a"/>
    <w:link w:val="a8"/>
    <w:autoRedefine/>
    <w:qFormat/>
    <w:rsid w:val="00FB508B"/>
    <w:pPr>
      <w:spacing w:after="120" w:line="240" w:lineRule="auto"/>
    </w:pPr>
    <w:rPr>
      <w:rFonts w:eastAsia="Calibri"/>
      <w:sz w:val="24"/>
      <w:szCs w:val="24"/>
    </w:rPr>
  </w:style>
  <w:style w:type="character" w:customStyle="1" w:styleId="a8">
    <w:name w:val="Таблицы Знак"/>
    <w:link w:val="a7"/>
    <w:rsid w:val="00FB508B"/>
    <w:rPr>
      <w:rFonts w:eastAsia="Calibri"/>
      <w:sz w:val="24"/>
      <w:szCs w:val="24"/>
    </w:rPr>
  </w:style>
  <w:style w:type="character" w:customStyle="1" w:styleId="10">
    <w:name w:val="Заголовок 1 Знак"/>
    <w:link w:val="1"/>
    <w:uiPriority w:val="9"/>
    <w:rsid w:val="00486665"/>
    <w:rPr>
      <w:rFonts w:ascii="Cambria" w:hAnsi="Cambria"/>
      <w:b/>
      <w:bCs/>
      <w:color w:val="365F91"/>
      <w:sz w:val="28"/>
      <w:szCs w:val="28"/>
    </w:rPr>
  </w:style>
  <w:style w:type="paragraph" w:styleId="a9">
    <w:name w:val="footnote text"/>
    <w:basedOn w:val="a"/>
    <w:link w:val="aa"/>
    <w:uiPriority w:val="99"/>
    <w:semiHidden/>
    <w:unhideWhenUsed/>
    <w:rsid w:val="001A2D2A"/>
    <w:pPr>
      <w:spacing w:after="0" w:line="240" w:lineRule="auto"/>
    </w:pPr>
    <w:rPr>
      <w:sz w:val="20"/>
      <w:szCs w:val="20"/>
    </w:rPr>
  </w:style>
  <w:style w:type="character" w:customStyle="1" w:styleId="aa">
    <w:name w:val="Текст сноски Знак"/>
    <w:basedOn w:val="a0"/>
    <w:link w:val="a9"/>
    <w:uiPriority w:val="99"/>
    <w:semiHidden/>
    <w:rsid w:val="001A2D2A"/>
    <w:rPr>
      <w:sz w:val="20"/>
      <w:szCs w:val="20"/>
    </w:rPr>
  </w:style>
  <w:style w:type="character" w:styleId="ab">
    <w:name w:val="footnote reference"/>
    <w:basedOn w:val="a0"/>
    <w:uiPriority w:val="99"/>
    <w:semiHidden/>
    <w:unhideWhenUsed/>
    <w:rsid w:val="001A2D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486665"/>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ки"/>
    <w:basedOn w:val="a"/>
    <w:link w:val="a4"/>
    <w:autoRedefine/>
    <w:qFormat/>
    <w:rsid w:val="00F9174C"/>
    <w:pPr>
      <w:spacing w:after="0" w:line="240" w:lineRule="auto"/>
      <w:jc w:val="center"/>
    </w:pPr>
    <w:rPr>
      <w:rFonts w:ascii="Times New Roman" w:hAnsi="Times New Roman"/>
      <w:sz w:val="24"/>
      <w:szCs w:val="24"/>
    </w:rPr>
  </w:style>
  <w:style w:type="character" w:customStyle="1" w:styleId="a4">
    <w:name w:val="Рисунки Знак"/>
    <w:basedOn w:val="a0"/>
    <w:link w:val="a3"/>
    <w:rsid w:val="00F9174C"/>
    <w:rPr>
      <w:rFonts w:ascii="Times New Roman" w:hAnsi="Times New Roman"/>
      <w:sz w:val="24"/>
      <w:szCs w:val="24"/>
    </w:rPr>
  </w:style>
  <w:style w:type="paragraph" w:customStyle="1" w:styleId="a5">
    <w:name w:val="Подпись рисунка"/>
    <w:basedOn w:val="a"/>
    <w:link w:val="a6"/>
    <w:autoRedefine/>
    <w:qFormat/>
    <w:rsid w:val="00F9174C"/>
    <w:pPr>
      <w:spacing w:after="120" w:line="240" w:lineRule="auto"/>
      <w:jc w:val="both"/>
    </w:pPr>
    <w:rPr>
      <w:rFonts w:ascii="Times New Roman" w:hAnsi="Times New Roman"/>
      <w:sz w:val="20"/>
      <w:szCs w:val="24"/>
    </w:rPr>
  </w:style>
  <w:style w:type="character" w:customStyle="1" w:styleId="a6">
    <w:name w:val="Подпись рисунка Знак"/>
    <w:basedOn w:val="a0"/>
    <w:link w:val="a5"/>
    <w:rsid w:val="00F9174C"/>
    <w:rPr>
      <w:rFonts w:ascii="Times New Roman" w:hAnsi="Times New Roman"/>
      <w:sz w:val="20"/>
      <w:szCs w:val="24"/>
    </w:rPr>
  </w:style>
  <w:style w:type="paragraph" w:customStyle="1" w:styleId="a7">
    <w:name w:val="Таблицы"/>
    <w:basedOn w:val="a"/>
    <w:link w:val="a8"/>
    <w:autoRedefine/>
    <w:qFormat/>
    <w:rsid w:val="00FB508B"/>
    <w:pPr>
      <w:spacing w:after="120" w:line="240" w:lineRule="auto"/>
    </w:pPr>
    <w:rPr>
      <w:rFonts w:eastAsia="Calibri"/>
      <w:sz w:val="24"/>
      <w:szCs w:val="24"/>
    </w:rPr>
  </w:style>
  <w:style w:type="character" w:customStyle="1" w:styleId="a8">
    <w:name w:val="Таблицы Знак"/>
    <w:link w:val="a7"/>
    <w:rsid w:val="00FB508B"/>
    <w:rPr>
      <w:rFonts w:eastAsia="Calibri"/>
      <w:sz w:val="24"/>
      <w:szCs w:val="24"/>
    </w:rPr>
  </w:style>
  <w:style w:type="character" w:customStyle="1" w:styleId="10">
    <w:name w:val="Заголовок 1 Знак"/>
    <w:link w:val="1"/>
    <w:uiPriority w:val="9"/>
    <w:rsid w:val="00486665"/>
    <w:rPr>
      <w:rFonts w:ascii="Cambria" w:hAnsi="Cambria"/>
      <w:b/>
      <w:bCs/>
      <w:color w:val="365F91"/>
      <w:sz w:val="28"/>
      <w:szCs w:val="28"/>
    </w:rPr>
  </w:style>
  <w:style w:type="paragraph" w:styleId="a9">
    <w:name w:val="footnote text"/>
    <w:basedOn w:val="a"/>
    <w:link w:val="aa"/>
    <w:uiPriority w:val="99"/>
    <w:semiHidden/>
    <w:unhideWhenUsed/>
    <w:rsid w:val="001A2D2A"/>
    <w:pPr>
      <w:spacing w:after="0" w:line="240" w:lineRule="auto"/>
    </w:pPr>
    <w:rPr>
      <w:sz w:val="20"/>
      <w:szCs w:val="20"/>
    </w:rPr>
  </w:style>
  <w:style w:type="character" w:customStyle="1" w:styleId="aa">
    <w:name w:val="Текст сноски Знак"/>
    <w:basedOn w:val="a0"/>
    <w:link w:val="a9"/>
    <w:uiPriority w:val="99"/>
    <w:semiHidden/>
    <w:rsid w:val="001A2D2A"/>
    <w:rPr>
      <w:sz w:val="20"/>
      <w:szCs w:val="20"/>
    </w:rPr>
  </w:style>
  <w:style w:type="character" w:styleId="ab">
    <w:name w:val="footnote reference"/>
    <w:basedOn w:val="a0"/>
    <w:uiPriority w:val="99"/>
    <w:semiHidden/>
    <w:unhideWhenUsed/>
    <w:rsid w:val="001A2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6825">
      <w:bodyDiv w:val="1"/>
      <w:marLeft w:val="0"/>
      <w:marRight w:val="0"/>
      <w:marTop w:val="0"/>
      <w:marBottom w:val="0"/>
      <w:divBdr>
        <w:top w:val="none" w:sz="0" w:space="0" w:color="auto"/>
        <w:left w:val="none" w:sz="0" w:space="0" w:color="auto"/>
        <w:bottom w:val="none" w:sz="0" w:space="0" w:color="auto"/>
        <w:right w:val="none" w:sz="0" w:space="0" w:color="auto"/>
      </w:divBdr>
    </w:div>
    <w:div w:id="553348331">
      <w:bodyDiv w:val="1"/>
      <w:marLeft w:val="0"/>
      <w:marRight w:val="0"/>
      <w:marTop w:val="0"/>
      <w:marBottom w:val="0"/>
      <w:divBdr>
        <w:top w:val="none" w:sz="0" w:space="0" w:color="auto"/>
        <w:left w:val="none" w:sz="0" w:space="0" w:color="auto"/>
        <w:bottom w:val="none" w:sz="0" w:space="0" w:color="auto"/>
        <w:right w:val="none" w:sz="0" w:space="0" w:color="auto"/>
      </w:divBdr>
    </w:div>
    <w:div w:id="1467047837">
      <w:bodyDiv w:val="1"/>
      <w:marLeft w:val="0"/>
      <w:marRight w:val="0"/>
      <w:marTop w:val="0"/>
      <w:marBottom w:val="0"/>
      <w:divBdr>
        <w:top w:val="none" w:sz="0" w:space="0" w:color="auto"/>
        <w:left w:val="none" w:sz="0" w:space="0" w:color="auto"/>
        <w:bottom w:val="none" w:sz="0" w:space="0" w:color="auto"/>
        <w:right w:val="none" w:sz="0" w:space="0" w:color="auto"/>
      </w:divBdr>
    </w:div>
    <w:div w:id="1797873586">
      <w:bodyDiv w:val="1"/>
      <w:marLeft w:val="0"/>
      <w:marRight w:val="0"/>
      <w:marTop w:val="0"/>
      <w:marBottom w:val="0"/>
      <w:divBdr>
        <w:top w:val="none" w:sz="0" w:space="0" w:color="auto"/>
        <w:left w:val="none" w:sz="0" w:space="0" w:color="auto"/>
        <w:bottom w:val="none" w:sz="0" w:space="0" w:color="auto"/>
        <w:right w:val="none" w:sz="0" w:space="0" w:color="auto"/>
      </w:divBdr>
    </w:div>
    <w:div w:id="19037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1"/>
          <c:tx>
            <c:strRef>
              <c:f>Лист5!$K$61</c:f>
              <c:strCache>
                <c:ptCount val="1"/>
                <c:pt idx="0">
                  <c:v>Число детей, принимавших участие в обследовании, чел.</c:v>
                </c:pt>
              </c:strCache>
            </c:strRef>
          </c:tx>
          <c:dLbls>
            <c:dLbl>
              <c:idx val="7"/>
              <c:layout>
                <c:manualLayout>
                  <c:x val="-2.9705087573442413E-2"/>
                  <c:y val="3.3113125010317108E-2"/>
                </c:manualLayout>
              </c:layout>
              <c:dLblPos val="r"/>
              <c:showLegendKey val="0"/>
              <c:showVal val="1"/>
              <c:showCatName val="0"/>
              <c:showSerName val="0"/>
              <c:showPercent val="0"/>
              <c:showBubbleSize val="0"/>
            </c:dLbl>
            <c:dLbl>
              <c:idx val="8"/>
              <c:layout>
                <c:manualLayout>
                  <c:x val="-3.3638223640904061E-2"/>
                  <c:y val="3.7305997127717566E-2"/>
                </c:manualLayout>
              </c:layout>
              <c:dLblPos val="r"/>
              <c:showLegendKey val="0"/>
              <c:showVal val="1"/>
              <c:showCatName val="0"/>
              <c:showSerName val="0"/>
              <c:showPercent val="0"/>
              <c:showBubbleSize val="0"/>
            </c:dLbl>
            <c:dLbl>
              <c:idx val="9"/>
              <c:layout>
                <c:manualLayout>
                  <c:x val="-2.8652896251458088E-2"/>
                  <c:y val="3.3113125010317108E-2"/>
                </c:manualLayout>
              </c:layout>
              <c:dLblPos val="r"/>
              <c:showLegendKey val="0"/>
              <c:showVal val="1"/>
              <c:showCatName val="0"/>
              <c:showSerName val="0"/>
              <c:showPercent val="0"/>
              <c:showBubbleSize val="0"/>
            </c:dLbl>
            <c:dLbl>
              <c:idx val="13"/>
              <c:layout>
                <c:manualLayout>
                  <c:x val="-3.2586032318919732E-2"/>
                  <c:y val="5.4077485597319203E-2"/>
                </c:manualLayout>
              </c:layout>
              <c:dLblPos val="r"/>
              <c:showLegendKey val="0"/>
              <c:showVal val="1"/>
              <c:showCatName val="0"/>
              <c:showSerName val="0"/>
              <c:showPercent val="0"/>
              <c:showBubbleSize val="0"/>
            </c:dLbl>
            <c:spPr>
              <a:solidFill>
                <a:schemeClr val="bg1"/>
              </a:solidFill>
              <a:ln>
                <a:solidFill>
                  <a:schemeClr val="accent2"/>
                </a:solidFill>
              </a:ln>
            </c:spPr>
            <c:dLblPos val="t"/>
            <c:showLegendKey val="0"/>
            <c:showVal val="1"/>
            <c:showCatName val="0"/>
            <c:showSerName val="0"/>
            <c:showPercent val="0"/>
            <c:showBubbleSize val="0"/>
            <c:showLeaderLines val="0"/>
          </c:dLbls>
          <c:cat>
            <c:multiLvlStrRef>
              <c:f>Лист5!$L$58:$AC$59</c:f>
              <c:multiLvlStrCache>
                <c:ptCount val="18"/>
                <c:lvl>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lvl>
                <c:lvl>
                  <c:pt idx="0">
                    <c:v>1 год</c:v>
                  </c:pt>
                  <c:pt idx="1">
                    <c:v>2 года</c:v>
                  </c:pt>
                  <c:pt idx="2">
                    <c:v>3 года</c:v>
                  </c:pt>
                  <c:pt idx="3">
                    <c:v>4 года</c:v>
                  </c:pt>
                  <c:pt idx="4">
                    <c:v>5 лет</c:v>
                  </c:pt>
                  <c:pt idx="5">
                    <c:v>6 лет</c:v>
                  </c:pt>
                  <c:pt idx="6">
                    <c:v>7 лет</c:v>
                  </c:pt>
                  <c:pt idx="7">
                    <c:v>8 лет</c:v>
                  </c:pt>
                  <c:pt idx="8">
                    <c:v>9 лет</c:v>
                  </c:pt>
                  <c:pt idx="9">
                    <c:v>10 лет</c:v>
                  </c:pt>
                  <c:pt idx="10">
                    <c:v>11 лет</c:v>
                  </c:pt>
                  <c:pt idx="11">
                    <c:v>12 лет</c:v>
                  </c:pt>
                  <c:pt idx="12">
                    <c:v>13 лет</c:v>
                  </c:pt>
                  <c:pt idx="13">
                    <c:v>14 лет</c:v>
                  </c:pt>
                  <c:pt idx="14">
                    <c:v>15 лет</c:v>
                  </c:pt>
                  <c:pt idx="15">
                    <c:v>16 лет</c:v>
                  </c:pt>
                  <c:pt idx="16">
                    <c:v>17 лет</c:v>
                  </c:pt>
                  <c:pt idx="17">
                    <c:v>18 лет</c:v>
                  </c:pt>
                </c:lvl>
              </c:multiLvlStrCache>
            </c:multiLvlStrRef>
          </c:cat>
          <c:val>
            <c:numRef>
              <c:f>Лист5!$L$61:$AC$61</c:f>
              <c:numCache>
                <c:formatCode>General</c:formatCode>
                <c:ptCount val="18"/>
                <c:pt idx="0">
                  <c:v>182</c:v>
                </c:pt>
                <c:pt idx="1">
                  <c:v>149</c:v>
                </c:pt>
                <c:pt idx="2">
                  <c:v>144</c:v>
                </c:pt>
                <c:pt idx="3">
                  <c:v>131</c:v>
                </c:pt>
                <c:pt idx="4">
                  <c:v>132</c:v>
                </c:pt>
                <c:pt idx="5">
                  <c:v>122</c:v>
                </c:pt>
                <c:pt idx="6">
                  <c:v>123</c:v>
                </c:pt>
                <c:pt idx="7">
                  <c:v>106</c:v>
                </c:pt>
                <c:pt idx="8">
                  <c:v>114</c:v>
                </c:pt>
                <c:pt idx="9">
                  <c:v>95</c:v>
                </c:pt>
                <c:pt idx="10">
                  <c:v>78</c:v>
                </c:pt>
                <c:pt idx="11">
                  <c:v>71</c:v>
                </c:pt>
                <c:pt idx="12">
                  <c:v>65</c:v>
                </c:pt>
                <c:pt idx="13">
                  <c:v>54</c:v>
                </c:pt>
                <c:pt idx="14">
                  <c:v>52</c:v>
                </c:pt>
                <c:pt idx="15">
                  <c:v>47</c:v>
                </c:pt>
                <c:pt idx="16">
                  <c:v>35</c:v>
                </c:pt>
                <c:pt idx="17">
                  <c:v>32</c:v>
                </c:pt>
              </c:numCache>
            </c:numRef>
          </c:val>
          <c:smooth val="0"/>
        </c:ser>
        <c:dLbls>
          <c:showLegendKey val="0"/>
          <c:showVal val="0"/>
          <c:showCatName val="0"/>
          <c:showSerName val="0"/>
          <c:showPercent val="0"/>
          <c:showBubbleSize val="0"/>
        </c:dLbls>
        <c:marker val="1"/>
        <c:smooth val="0"/>
        <c:axId val="73817472"/>
        <c:axId val="86096512"/>
      </c:lineChart>
      <c:lineChart>
        <c:grouping val="standard"/>
        <c:varyColors val="0"/>
        <c:ser>
          <c:idx val="0"/>
          <c:order val="0"/>
          <c:tx>
            <c:strRef>
              <c:f>Лист5!$K$60</c:f>
              <c:strCache>
                <c:ptCount val="1"/>
                <c:pt idx="0">
                  <c:v>Доля ни разу не болевших детей, %</c:v>
                </c:pt>
              </c:strCache>
            </c:strRef>
          </c:tx>
          <c:dLbls>
            <c:dLbl>
              <c:idx val="6"/>
              <c:layout>
                <c:manualLayout>
                  <c:x val="-3.6091478551014092E-2"/>
                  <c:y val="-3.816570098549002E-2"/>
                </c:manualLayout>
              </c:layout>
              <c:dLblPos val="r"/>
              <c:showLegendKey val="0"/>
              <c:showVal val="1"/>
              <c:showCatName val="0"/>
              <c:showSerName val="0"/>
              <c:showPercent val="0"/>
              <c:showBubbleSize val="0"/>
            </c:dLbl>
            <c:dLbl>
              <c:idx val="7"/>
              <c:layout>
                <c:manualLayout>
                  <c:x val="-3.0191774449821622E-2"/>
                  <c:y val="-5.9130061572492121E-2"/>
                </c:manualLayout>
              </c:layout>
              <c:dLblPos val="r"/>
              <c:showLegendKey val="0"/>
              <c:showVal val="1"/>
              <c:showCatName val="0"/>
              <c:showSerName val="0"/>
              <c:showPercent val="0"/>
              <c:showBubbleSize val="0"/>
            </c:dLbl>
            <c:dLbl>
              <c:idx val="13"/>
              <c:layout>
                <c:manualLayout>
                  <c:x val="-2.82252064160908E-2"/>
                  <c:y val="-5.9130061572492121E-2"/>
                </c:manualLayout>
              </c:layout>
              <c:dLblPos val="r"/>
              <c:showLegendKey val="0"/>
              <c:showVal val="1"/>
              <c:showCatName val="0"/>
              <c:showSerName val="0"/>
              <c:showPercent val="0"/>
              <c:showBubbleSize val="0"/>
            </c:dLbl>
            <c:spPr>
              <a:solidFill>
                <a:schemeClr val="bg1"/>
              </a:solidFill>
              <a:ln>
                <a:solidFill>
                  <a:schemeClr val="accent1"/>
                </a:solidFill>
              </a:ln>
            </c:spPr>
            <c:dLblPos val="t"/>
            <c:showLegendKey val="0"/>
            <c:showVal val="1"/>
            <c:showCatName val="0"/>
            <c:showSerName val="0"/>
            <c:showPercent val="0"/>
            <c:showBubbleSize val="0"/>
            <c:showLeaderLines val="0"/>
          </c:dLbls>
          <c:cat>
            <c:multiLvlStrRef>
              <c:f>Лист5!$L$58:$AC$59</c:f>
              <c:multiLvlStrCache>
                <c:ptCount val="18"/>
                <c:lvl>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lvl>
                <c:lvl>
                  <c:pt idx="0">
                    <c:v>1 год</c:v>
                  </c:pt>
                  <c:pt idx="1">
                    <c:v>2 года</c:v>
                  </c:pt>
                  <c:pt idx="2">
                    <c:v>3 года</c:v>
                  </c:pt>
                  <c:pt idx="3">
                    <c:v>4 года</c:v>
                  </c:pt>
                  <c:pt idx="4">
                    <c:v>5 лет</c:v>
                  </c:pt>
                  <c:pt idx="5">
                    <c:v>6 лет</c:v>
                  </c:pt>
                  <c:pt idx="6">
                    <c:v>7 лет</c:v>
                  </c:pt>
                  <c:pt idx="7">
                    <c:v>8 лет</c:v>
                  </c:pt>
                  <c:pt idx="8">
                    <c:v>9 лет</c:v>
                  </c:pt>
                  <c:pt idx="9">
                    <c:v>10 лет</c:v>
                  </c:pt>
                  <c:pt idx="10">
                    <c:v>11 лет</c:v>
                  </c:pt>
                  <c:pt idx="11">
                    <c:v>12 лет</c:v>
                  </c:pt>
                  <c:pt idx="12">
                    <c:v>13 лет</c:v>
                  </c:pt>
                  <c:pt idx="13">
                    <c:v>14 лет</c:v>
                  </c:pt>
                  <c:pt idx="14">
                    <c:v>15 лет</c:v>
                  </c:pt>
                  <c:pt idx="15">
                    <c:v>16 лет</c:v>
                  </c:pt>
                  <c:pt idx="16">
                    <c:v>17 лет</c:v>
                  </c:pt>
                  <c:pt idx="17">
                    <c:v>18 лет</c:v>
                  </c:pt>
                </c:lvl>
              </c:multiLvlStrCache>
            </c:multiLvlStrRef>
          </c:cat>
          <c:val>
            <c:numRef>
              <c:f>Лист5!$L$60:$AB$60</c:f>
              <c:numCache>
                <c:formatCode>General</c:formatCode>
                <c:ptCount val="17"/>
                <c:pt idx="0">
                  <c:v>10.4</c:v>
                </c:pt>
                <c:pt idx="1">
                  <c:v>4.7</c:v>
                </c:pt>
                <c:pt idx="2">
                  <c:v>7.6</c:v>
                </c:pt>
                <c:pt idx="3">
                  <c:v>9.1999999999999993</c:v>
                </c:pt>
                <c:pt idx="4">
                  <c:v>15.3</c:v>
                </c:pt>
                <c:pt idx="5">
                  <c:v>14.8</c:v>
                </c:pt>
                <c:pt idx="6">
                  <c:v>18.7</c:v>
                </c:pt>
                <c:pt idx="7">
                  <c:v>24.5</c:v>
                </c:pt>
                <c:pt idx="8">
                  <c:v>29.8</c:v>
                </c:pt>
                <c:pt idx="9">
                  <c:v>18.899999999999999</c:v>
                </c:pt>
                <c:pt idx="10">
                  <c:v>25.6</c:v>
                </c:pt>
                <c:pt idx="11">
                  <c:v>28.2</c:v>
                </c:pt>
                <c:pt idx="12">
                  <c:v>32.299999999999997</c:v>
                </c:pt>
                <c:pt idx="13">
                  <c:v>14.8</c:v>
                </c:pt>
                <c:pt idx="14">
                  <c:v>23.1</c:v>
                </c:pt>
                <c:pt idx="15">
                  <c:v>34</c:v>
                </c:pt>
                <c:pt idx="16">
                  <c:v>15.2</c:v>
                </c:pt>
              </c:numCache>
            </c:numRef>
          </c:val>
          <c:smooth val="0"/>
        </c:ser>
        <c:dLbls>
          <c:showLegendKey val="0"/>
          <c:showVal val="0"/>
          <c:showCatName val="0"/>
          <c:showSerName val="0"/>
          <c:showPercent val="0"/>
          <c:showBubbleSize val="0"/>
        </c:dLbls>
        <c:marker val="1"/>
        <c:smooth val="0"/>
        <c:axId val="104958592"/>
        <c:axId val="104956672"/>
      </c:lineChart>
      <c:catAx>
        <c:axId val="73817472"/>
        <c:scaling>
          <c:orientation val="minMax"/>
        </c:scaling>
        <c:delete val="0"/>
        <c:axPos val="b"/>
        <c:majorTickMark val="out"/>
        <c:minorTickMark val="none"/>
        <c:tickLblPos val="nextTo"/>
        <c:txPr>
          <a:bodyPr rot="-5400000" vert="horz"/>
          <a:lstStyle/>
          <a:p>
            <a:pPr>
              <a:defRPr/>
            </a:pPr>
            <a:endParaRPr lang="ru-RU"/>
          </a:p>
        </c:txPr>
        <c:crossAx val="86096512"/>
        <c:crosses val="autoZero"/>
        <c:auto val="1"/>
        <c:lblAlgn val="ctr"/>
        <c:lblOffset val="100"/>
        <c:noMultiLvlLbl val="0"/>
      </c:catAx>
      <c:valAx>
        <c:axId val="86096512"/>
        <c:scaling>
          <c:orientation val="minMax"/>
        </c:scaling>
        <c:delete val="0"/>
        <c:axPos val="l"/>
        <c:majorGridlines/>
        <c:numFmt formatCode="General" sourceLinked="1"/>
        <c:majorTickMark val="out"/>
        <c:minorTickMark val="none"/>
        <c:tickLblPos val="nextTo"/>
        <c:crossAx val="73817472"/>
        <c:crosses val="autoZero"/>
        <c:crossBetween val="between"/>
      </c:valAx>
      <c:valAx>
        <c:axId val="104956672"/>
        <c:scaling>
          <c:orientation val="minMax"/>
        </c:scaling>
        <c:delete val="0"/>
        <c:axPos val="r"/>
        <c:numFmt formatCode="General" sourceLinked="1"/>
        <c:majorTickMark val="out"/>
        <c:minorTickMark val="none"/>
        <c:tickLblPos val="nextTo"/>
        <c:crossAx val="104958592"/>
        <c:crosses val="max"/>
        <c:crossBetween val="between"/>
      </c:valAx>
      <c:catAx>
        <c:axId val="104958592"/>
        <c:scaling>
          <c:orientation val="minMax"/>
        </c:scaling>
        <c:delete val="1"/>
        <c:axPos val="b"/>
        <c:majorTickMark val="out"/>
        <c:minorTickMark val="none"/>
        <c:tickLblPos val="nextTo"/>
        <c:crossAx val="104956672"/>
        <c:crosses val="autoZero"/>
        <c:auto val="1"/>
        <c:lblAlgn val="ctr"/>
        <c:lblOffset val="100"/>
        <c:noMultiLvlLbl val="0"/>
      </c:catAx>
    </c:plotArea>
    <c:legend>
      <c:legendPos val="b"/>
      <c:layout/>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80E5-FCDA-4156-A476-FE817C01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Н. Нацун</dc:creator>
  <cp:lastModifiedBy>Лейла Н. Нацун</cp:lastModifiedBy>
  <cp:revision>32</cp:revision>
  <cp:lastPrinted>2020-03-20T08:58:00Z</cp:lastPrinted>
  <dcterms:created xsi:type="dcterms:W3CDTF">2020-03-16T09:40:00Z</dcterms:created>
  <dcterms:modified xsi:type="dcterms:W3CDTF">2020-03-20T09:06:00Z</dcterms:modified>
</cp:coreProperties>
</file>