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99A4" w14:textId="1295FC6A" w:rsidR="00BC6E7D" w:rsidRPr="00BC6E7D" w:rsidRDefault="00BC6E7D" w:rsidP="0043134A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C6E7D">
        <w:rPr>
          <w:rFonts w:ascii="Times New Roman" w:hAnsi="Times New Roman"/>
          <w:b/>
          <w:sz w:val="24"/>
          <w:szCs w:val="24"/>
        </w:rPr>
        <w:t>УДК 332.14, 336.13</w:t>
      </w:r>
    </w:p>
    <w:p w14:paraId="58291D64" w14:textId="77777777" w:rsidR="00BC6E7D" w:rsidRPr="00BC6E7D" w:rsidRDefault="00BC6E7D" w:rsidP="0043134A">
      <w:pPr>
        <w:spacing w:after="0" w:line="240" w:lineRule="auto"/>
        <w:ind w:firstLine="709"/>
        <w:jc w:val="right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C6E7D">
        <w:rPr>
          <w:rFonts w:ascii="Times New Roman" w:eastAsia="SimSun" w:hAnsi="Times New Roman"/>
          <w:b/>
          <w:sz w:val="24"/>
          <w:szCs w:val="24"/>
          <w:lang w:eastAsia="ru-RU"/>
        </w:rPr>
        <w:t>Тимушев Е.Н.</w:t>
      </w:r>
    </w:p>
    <w:p w14:paraId="3C596610" w14:textId="5E154528" w:rsidR="000F5DD0" w:rsidRPr="00BC6E7D" w:rsidRDefault="009761CD" w:rsidP="0046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1CD">
        <w:rPr>
          <w:rFonts w:ascii="Times New Roman" w:hAnsi="Times New Roman"/>
          <w:b/>
          <w:sz w:val="24"/>
          <w:szCs w:val="24"/>
        </w:rPr>
        <w:t>МЕСТНАЯ БЮДЖЕТНАЯ ДЕЦЕНТРАЛИЗАЦИЯ: РОЛЬ СОСЕДСТВА</w:t>
      </w:r>
      <w:r w:rsidR="00AC088C">
        <w:rPr>
          <w:rFonts w:ascii="Times New Roman" w:hAnsi="Times New Roman"/>
          <w:b/>
          <w:sz w:val="24"/>
          <w:szCs w:val="24"/>
        </w:rPr>
        <w:t xml:space="preserve"> </w:t>
      </w:r>
      <w:r w:rsidR="00EA5123">
        <w:rPr>
          <w:rFonts w:ascii="Times New Roman" w:hAnsi="Times New Roman"/>
          <w:b/>
          <w:sz w:val="24"/>
          <w:szCs w:val="24"/>
        </w:rPr>
        <w:t xml:space="preserve">И </w:t>
      </w:r>
      <w:r w:rsidRPr="009761CD">
        <w:rPr>
          <w:rFonts w:ascii="Times New Roman" w:hAnsi="Times New Roman"/>
          <w:b/>
          <w:sz w:val="24"/>
          <w:szCs w:val="24"/>
        </w:rPr>
        <w:t xml:space="preserve">РАССТОЯНИЙ </w:t>
      </w:r>
      <w:r w:rsidR="00EA5123">
        <w:rPr>
          <w:rFonts w:ascii="Times New Roman" w:hAnsi="Times New Roman"/>
          <w:b/>
          <w:sz w:val="24"/>
          <w:szCs w:val="24"/>
        </w:rPr>
        <w:t xml:space="preserve">МЕЖДУ </w:t>
      </w:r>
      <w:r w:rsidR="00461865">
        <w:rPr>
          <w:rFonts w:ascii="Times New Roman" w:hAnsi="Times New Roman"/>
          <w:b/>
          <w:sz w:val="24"/>
          <w:szCs w:val="24"/>
        </w:rPr>
        <w:t>РЕГИОН</w:t>
      </w:r>
      <w:r w:rsidR="00461865">
        <w:rPr>
          <w:rFonts w:ascii="Times New Roman" w:hAnsi="Times New Roman"/>
          <w:b/>
          <w:sz w:val="24"/>
          <w:szCs w:val="24"/>
        </w:rPr>
        <w:t>АМИ</w:t>
      </w:r>
    </w:p>
    <w:p w14:paraId="4CAD3A65" w14:textId="77777777" w:rsidR="000F5DD0" w:rsidRDefault="000F5DD0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4AD8C" w14:textId="52506B42" w:rsidR="00BE1DEC" w:rsidRDefault="00642E2A" w:rsidP="004313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Hlk8567680"/>
      <w:r w:rsidRPr="00B22D12">
        <w:rPr>
          <w:rFonts w:ascii="Times New Roman" w:hAnsi="Times New Roman"/>
          <w:i/>
          <w:sz w:val="24"/>
          <w:szCs w:val="24"/>
        </w:rPr>
        <w:t>Аннотация.</w:t>
      </w:r>
      <w:bookmarkStart w:id="1" w:name="_Hlk8567649"/>
      <w:r w:rsidR="001C2574">
        <w:rPr>
          <w:rFonts w:ascii="Times New Roman" w:hAnsi="Times New Roman"/>
          <w:i/>
          <w:sz w:val="24"/>
          <w:szCs w:val="24"/>
        </w:rPr>
        <w:t xml:space="preserve"> </w:t>
      </w:r>
      <w:r w:rsidR="001C2574" w:rsidRPr="001C2574">
        <w:rPr>
          <w:rFonts w:ascii="Times New Roman" w:hAnsi="Times New Roman"/>
          <w:i/>
          <w:sz w:val="24"/>
          <w:szCs w:val="24"/>
        </w:rPr>
        <w:t>Найдено, что пространственные факторы показателя Доли Налога на доходы физлиц, поступающей в местные бюджеты, в доходах консолидированного бюджета субъекта России значимы и положительны. Результаты важны для изучения межрегионального взаимодействия в сфере бюджетной политики в России.</w:t>
      </w:r>
    </w:p>
    <w:bookmarkEnd w:id="0"/>
    <w:bookmarkEnd w:id="1"/>
    <w:p w14:paraId="7A238217" w14:textId="38680545" w:rsidR="00642E2A" w:rsidRPr="008232F9" w:rsidRDefault="00642E2A" w:rsidP="004313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2D12">
        <w:rPr>
          <w:rFonts w:ascii="Times New Roman" w:hAnsi="Times New Roman"/>
          <w:i/>
          <w:sz w:val="24"/>
          <w:szCs w:val="24"/>
        </w:rPr>
        <w:t>Ключевые слова</w:t>
      </w:r>
      <w:r w:rsidR="008A591F" w:rsidRPr="00B22D12">
        <w:rPr>
          <w:rFonts w:ascii="Times New Roman" w:hAnsi="Times New Roman"/>
          <w:i/>
          <w:sz w:val="24"/>
          <w:szCs w:val="24"/>
        </w:rPr>
        <w:t>.</w:t>
      </w:r>
      <w:r w:rsidR="008232F9" w:rsidRPr="008232F9">
        <w:rPr>
          <w:rFonts w:ascii="Times New Roman" w:hAnsi="Times New Roman"/>
          <w:i/>
          <w:sz w:val="24"/>
          <w:szCs w:val="24"/>
        </w:rPr>
        <w:t xml:space="preserve"> Налог на доходы физлиц</w:t>
      </w:r>
      <w:r w:rsidR="008232F9">
        <w:rPr>
          <w:rFonts w:ascii="Times New Roman" w:hAnsi="Times New Roman"/>
          <w:i/>
          <w:sz w:val="24"/>
          <w:szCs w:val="24"/>
        </w:rPr>
        <w:t xml:space="preserve">, </w:t>
      </w:r>
      <w:r w:rsidR="008232F9" w:rsidRPr="008232F9">
        <w:rPr>
          <w:rFonts w:ascii="Times New Roman" w:hAnsi="Times New Roman"/>
          <w:i/>
          <w:sz w:val="24"/>
          <w:szCs w:val="24"/>
        </w:rPr>
        <w:t>пространственн</w:t>
      </w:r>
      <w:r w:rsidR="008232F9">
        <w:rPr>
          <w:rFonts w:ascii="Times New Roman" w:hAnsi="Times New Roman"/>
          <w:i/>
          <w:sz w:val="24"/>
          <w:szCs w:val="24"/>
        </w:rPr>
        <w:t>ая</w:t>
      </w:r>
      <w:r w:rsidR="008232F9" w:rsidRPr="008232F9">
        <w:rPr>
          <w:rFonts w:ascii="Times New Roman" w:hAnsi="Times New Roman"/>
          <w:i/>
          <w:sz w:val="24"/>
          <w:szCs w:val="24"/>
        </w:rPr>
        <w:t xml:space="preserve"> корреляци</w:t>
      </w:r>
      <w:r w:rsidR="008232F9">
        <w:rPr>
          <w:rFonts w:ascii="Times New Roman" w:hAnsi="Times New Roman"/>
          <w:i/>
          <w:sz w:val="24"/>
          <w:szCs w:val="24"/>
        </w:rPr>
        <w:t xml:space="preserve">я, корреляция </w:t>
      </w:r>
      <w:proofErr w:type="spellStart"/>
      <w:r w:rsidR="008232F9">
        <w:rPr>
          <w:rFonts w:ascii="Times New Roman" w:hAnsi="Times New Roman"/>
          <w:i/>
          <w:sz w:val="24"/>
          <w:szCs w:val="24"/>
        </w:rPr>
        <w:t>Спирмена</w:t>
      </w:r>
      <w:proofErr w:type="spellEnd"/>
      <w:r w:rsidR="008232F9">
        <w:rPr>
          <w:rFonts w:ascii="Times New Roman" w:hAnsi="Times New Roman"/>
          <w:i/>
          <w:sz w:val="24"/>
          <w:szCs w:val="24"/>
        </w:rPr>
        <w:t xml:space="preserve">, </w:t>
      </w:r>
      <w:r w:rsidR="0025295A" w:rsidRPr="0025295A">
        <w:rPr>
          <w:rFonts w:ascii="Times New Roman" w:hAnsi="Times New Roman"/>
          <w:i/>
          <w:sz w:val="24"/>
          <w:szCs w:val="24"/>
        </w:rPr>
        <w:t>межрегионально</w:t>
      </w:r>
      <w:r w:rsidR="0025295A">
        <w:rPr>
          <w:rFonts w:ascii="Times New Roman" w:hAnsi="Times New Roman"/>
          <w:i/>
          <w:sz w:val="24"/>
          <w:szCs w:val="24"/>
        </w:rPr>
        <w:t>е</w:t>
      </w:r>
      <w:r w:rsidR="0025295A" w:rsidRPr="0025295A">
        <w:rPr>
          <w:rFonts w:ascii="Times New Roman" w:hAnsi="Times New Roman"/>
          <w:i/>
          <w:sz w:val="24"/>
          <w:szCs w:val="24"/>
        </w:rPr>
        <w:t xml:space="preserve"> взаимодействи</w:t>
      </w:r>
      <w:r w:rsidR="0025295A">
        <w:rPr>
          <w:rFonts w:ascii="Times New Roman" w:hAnsi="Times New Roman"/>
          <w:i/>
          <w:sz w:val="24"/>
          <w:szCs w:val="24"/>
        </w:rPr>
        <w:t>е</w:t>
      </w:r>
      <w:r w:rsidR="00926438" w:rsidRPr="0025295A">
        <w:rPr>
          <w:rFonts w:ascii="Times New Roman" w:hAnsi="Times New Roman"/>
          <w:i/>
          <w:sz w:val="24"/>
          <w:szCs w:val="24"/>
        </w:rPr>
        <w:t>.</w:t>
      </w:r>
    </w:p>
    <w:p w14:paraId="3F42B3C0" w14:textId="77777777" w:rsidR="009A52E2" w:rsidRDefault="009A52E2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F6AF47" w14:textId="77777777" w:rsidR="000F5DD0" w:rsidRDefault="00AC3693" w:rsidP="0043134A">
      <w:pPr>
        <w:pStyle w:val="10-4-17"/>
        <w:spacing w:line="240" w:lineRule="auto"/>
      </w:pPr>
      <w:r>
        <w:t>Введение</w:t>
      </w:r>
    </w:p>
    <w:p w14:paraId="1EAF3187" w14:textId="77777777" w:rsidR="00AC3693" w:rsidRDefault="00AC369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D26147" w14:textId="671151A6" w:rsidR="00CD197B" w:rsidRDefault="00927D47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региональном уровне </w:t>
      </w:r>
      <w:r w:rsidR="007A6913">
        <w:rPr>
          <w:rFonts w:ascii="Times New Roman" w:hAnsi="Times New Roman"/>
          <w:bCs/>
          <w:sz w:val="24"/>
          <w:szCs w:val="24"/>
        </w:rPr>
        <w:t>одним из наиболее весомых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="007A6913">
        <w:rPr>
          <w:rFonts w:ascii="Times New Roman" w:hAnsi="Times New Roman"/>
          <w:bCs/>
          <w:sz w:val="24"/>
          <w:szCs w:val="24"/>
        </w:rPr>
        <w:t xml:space="preserve"> при этом</w:t>
      </w:r>
      <w:r>
        <w:rPr>
          <w:rFonts w:ascii="Times New Roman" w:hAnsi="Times New Roman"/>
          <w:bCs/>
          <w:sz w:val="24"/>
          <w:szCs w:val="24"/>
        </w:rPr>
        <w:t xml:space="preserve"> стабильны</w:t>
      </w:r>
      <w:r w:rsidR="00266F65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источником налоговых доходов является </w:t>
      </w:r>
      <w:r w:rsidRPr="00D475CB">
        <w:rPr>
          <w:rFonts w:ascii="Times New Roman" w:hAnsi="Times New Roman"/>
          <w:bCs/>
          <w:sz w:val="24"/>
          <w:szCs w:val="24"/>
        </w:rPr>
        <w:t>Налог на доходы физлиц (далее – НДФЛ)</w:t>
      </w:r>
      <w:r w:rsidR="007A6913">
        <w:rPr>
          <w:rFonts w:ascii="Times New Roman" w:hAnsi="Times New Roman"/>
          <w:bCs/>
          <w:sz w:val="24"/>
          <w:szCs w:val="24"/>
        </w:rPr>
        <w:t xml:space="preserve">. </w:t>
      </w:r>
      <w:r w:rsidR="00CD197B">
        <w:rPr>
          <w:rFonts w:ascii="Times New Roman" w:hAnsi="Times New Roman"/>
          <w:bCs/>
          <w:sz w:val="24"/>
          <w:szCs w:val="24"/>
        </w:rPr>
        <w:t xml:space="preserve">Значительная часть поступлений </w:t>
      </w:r>
      <w:r w:rsidR="000C3CC4">
        <w:rPr>
          <w:rFonts w:ascii="Times New Roman" w:hAnsi="Times New Roman"/>
          <w:bCs/>
          <w:sz w:val="24"/>
          <w:szCs w:val="24"/>
        </w:rPr>
        <w:t xml:space="preserve">от НДФЛ формирует налоговые доходы местных бюджетов. </w:t>
      </w:r>
    </w:p>
    <w:p w14:paraId="5D2BB1D2" w14:textId="7062554D" w:rsidR="00CD197B" w:rsidRDefault="007C4EE4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3CC4">
        <w:rPr>
          <w:rFonts w:ascii="Times New Roman" w:hAnsi="Times New Roman"/>
          <w:bCs/>
          <w:sz w:val="24"/>
          <w:szCs w:val="24"/>
        </w:rPr>
        <w:t>Дол</w:t>
      </w:r>
      <w:r>
        <w:rPr>
          <w:rFonts w:ascii="Times New Roman" w:hAnsi="Times New Roman"/>
          <w:bCs/>
          <w:sz w:val="24"/>
          <w:szCs w:val="24"/>
        </w:rPr>
        <w:t>я</w:t>
      </w:r>
      <w:r w:rsidRPr="000C3CC4">
        <w:rPr>
          <w:rFonts w:ascii="Times New Roman" w:hAnsi="Times New Roman"/>
          <w:bCs/>
          <w:sz w:val="24"/>
          <w:szCs w:val="24"/>
        </w:rPr>
        <w:t xml:space="preserve"> </w:t>
      </w:r>
      <w:r w:rsidR="000C3CC4" w:rsidRPr="000C3CC4">
        <w:rPr>
          <w:rFonts w:ascii="Times New Roman" w:hAnsi="Times New Roman"/>
          <w:bCs/>
          <w:sz w:val="24"/>
          <w:szCs w:val="24"/>
        </w:rPr>
        <w:t>Налога на доходы физлиц, поступающ</w:t>
      </w:r>
      <w:r w:rsidR="000C3CC4">
        <w:rPr>
          <w:rFonts w:ascii="Times New Roman" w:hAnsi="Times New Roman"/>
          <w:bCs/>
          <w:sz w:val="24"/>
          <w:szCs w:val="24"/>
        </w:rPr>
        <w:t>ая</w:t>
      </w:r>
      <w:r w:rsidR="000C3CC4" w:rsidRPr="000C3CC4">
        <w:rPr>
          <w:rFonts w:ascii="Times New Roman" w:hAnsi="Times New Roman"/>
          <w:bCs/>
          <w:sz w:val="24"/>
          <w:szCs w:val="24"/>
        </w:rPr>
        <w:t xml:space="preserve"> в местные бюджеты, в доходах консолидированного бюджета субъекта (</w:t>
      </w:r>
      <w:r w:rsidR="006E7075">
        <w:rPr>
          <w:rFonts w:ascii="Times New Roman" w:hAnsi="Times New Roman"/>
          <w:bCs/>
          <w:sz w:val="24"/>
          <w:szCs w:val="24"/>
        </w:rPr>
        <w:t xml:space="preserve">далее – </w:t>
      </w:r>
      <w:r w:rsidR="00A46762" w:rsidRPr="00A46762">
        <w:rPr>
          <w:rFonts w:ascii="Times New Roman" w:hAnsi="Times New Roman"/>
          <w:bCs/>
          <w:sz w:val="24"/>
          <w:szCs w:val="24"/>
        </w:rPr>
        <w:t>доля НДФЛ местных бюджетов, доля местного НДФЛ</w:t>
      </w:r>
      <w:r w:rsidR="000C3CC4" w:rsidRPr="000C3CC4">
        <w:rPr>
          <w:rFonts w:ascii="Times New Roman" w:hAnsi="Times New Roman"/>
          <w:bCs/>
          <w:sz w:val="24"/>
          <w:szCs w:val="24"/>
        </w:rPr>
        <w:t>)</w:t>
      </w:r>
      <w:r w:rsidR="002D7172">
        <w:rPr>
          <w:rFonts w:ascii="Times New Roman" w:hAnsi="Times New Roman"/>
          <w:bCs/>
          <w:sz w:val="24"/>
          <w:szCs w:val="24"/>
        </w:rPr>
        <w:t xml:space="preserve"> дифференцируется в разрезе регионов</w:t>
      </w:r>
      <w:r w:rsidR="000C3CC4" w:rsidRPr="000C3CC4">
        <w:rPr>
          <w:rFonts w:ascii="Times New Roman" w:hAnsi="Times New Roman"/>
          <w:bCs/>
          <w:sz w:val="24"/>
          <w:szCs w:val="24"/>
        </w:rPr>
        <w:t>.</w:t>
      </w:r>
      <w:r w:rsidR="000C3CC4">
        <w:rPr>
          <w:rFonts w:ascii="Times New Roman" w:hAnsi="Times New Roman"/>
          <w:bCs/>
          <w:sz w:val="24"/>
          <w:szCs w:val="24"/>
        </w:rPr>
        <w:t xml:space="preserve"> Это связан</w:t>
      </w:r>
      <w:r w:rsidR="002D7172">
        <w:rPr>
          <w:rFonts w:ascii="Times New Roman" w:hAnsi="Times New Roman"/>
          <w:bCs/>
          <w:sz w:val="24"/>
          <w:szCs w:val="24"/>
        </w:rPr>
        <w:t>о</w:t>
      </w:r>
      <w:r w:rsidR="000C3CC4">
        <w:rPr>
          <w:rFonts w:ascii="Times New Roman" w:hAnsi="Times New Roman"/>
          <w:bCs/>
          <w:sz w:val="24"/>
          <w:szCs w:val="24"/>
        </w:rPr>
        <w:t xml:space="preserve"> с тем, что </w:t>
      </w:r>
      <w:r w:rsidR="00F47C31">
        <w:rPr>
          <w:rFonts w:ascii="Times New Roman" w:hAnsi="Times New Roman"/>
          <w:bCs/>
          <w:sz w:val="24"/>
          <w:szCs w:val="24"/>
        </w:rPr>
        <w:t xml:space="preserve">фактический норматив зависит </w:t>
      </w:r>
      <w:r w:rsidR="000C3CC4">
        <w:rPr>
          <w:rFonts w:ascii="Times New Roman" w:hAnsi="Times New Roman"/>
          <w:bCs/>
          <w:sz w:val="24"/>
          <w:szCs w:val="24"/>
        </w:rPr>
        <w:t xml:space="preserve">не только </w:t>
      </w:r>
      <w:r w:rsidR="00F47C31">
        <w:rPr>
          <w:rFonts w:ascii="Times New Roman" w:hAnsi="Times New Roman"/>
          <w:bCs/>
          <w:sz w:val="24"/>
          <w:szCs w:val="24"/>
        </w:rPr>
        <w:t xml:space="preserve">от </w:t>
      </w:r>
      <w:r w:rsidR="000C3CC4">
        <w:rPr>
          <w:rFonts w:ascii="Times New Roman" w:hAnsi="Times New Roman"/>
          <w:bCs/>
          <w:sz w:val="24"/>
          <w:szCs w:val="24"/>
        </w:rPr>
        <w:t>един</w:t>
      </w:r>
      <w:r w:rsidR="00F47C31">
        <w:rPr>
          <w:rFonts w:ascii="Times New Roman" w:hAnsi="Times New Roman"/>
          <w:bCs/>
          <w:sz w:val="24"/>
          <w:szCs w:val="24"/>
        </w:rPr>
        <w:t>ого</w:t>
      </w:r>
      <w:r w:rsidR="000C3CC4">
        <w:rPr>
          <w:rFonts w:ascii="Times New Roman" w:hAnsi="Times New Roman"/>
          <w:bCs/>
          <w:sz w:val="24"/>
          <w:szCs w:val="24"/>
        </w:rPr>
        <w:t xml:space="preserve"> федеральн</w:t>
      </w:r>
      <w:r w:rsidR="00F47C31">
        <w:rPr>
          <w:rFonts w:ascii="Times New Roman" w:hAnsi="Times New Roman"/>
          <w:bCs/>
          <w:sz w:val="24"/>
          <w:szCs w:val="24"/>
        </w:rPr>
        <w:t>ого</w:t>
      </w:r>
      <w:r w:rsidR="000C3CC4">
        <w:rPr>
          <w:rFonts w:ascii="Times New Roman" w:hAnsi="Times New Roman"/>
          <w:bCs/>
          <w:sz w:val="24"/>
          <w:szCs w:val="24"/>
        </w:rPr>
        <w:t xml:space="preserve"> норматив</w:t>
      </w:r>
      <w:r w:rsidR="00F47C31">
        <w:rPr>
          <w:rFonts w:ascii="Times New Roman" w:hAnsi="Times New Roman"/>
          <w:bCs/>
          <w:sz w:val="24"/>
          <w:szCs w:val="24"/>
        </w:rPr>
        <w:t>а</w:t>
      </w:r>
      <w:r w:rsidR="000C3CC4">
        <w:rPr>
          <w:rFonts w:ascii="Times New Roman" w:hAnsi="Times New Roman"/>
          <w:bCs/>
          <w:sz w:val="24"/>
          <w:szCs w:val="24"/>
        </w:rPr>
        <w:t xml:space="preserve"> отчислений (</w:t>
      </w:r>
      <w:r w:rsidR="00F47C31">
        <w:rPr>
          <w:rFonts w:ascii="Times New Roman" w:hAnsi="Times New Roman"/>
          <w:bCs/>
          <w:sz w:val="24"/>
          <w:szCs w:val="24"/>
        </w:rPr>
        <w:t>15%</w:t>
      </w:r>
      <w:r w:rsidR="000C3CC4">
        <w:rPr>
          <w:rFonts w:ascii="Times New Roman" w:hAnsi="Times New Roman"/>
          <w:bCs/>
          <w:sz w:val="24"/>
          <w:szCs w:val="24"/>
        </w:rPr>
        <w:t>)</w:t>
      </w:r>
      <w:r w:rsidR="00F47C31">
        <w:rPr>
          <w:rFonts w:ascii="Times New Roman" w:hAnsi="Times New Roman"/>
          <w:bCs/>
          <w:sz w:val="24"/>
          <w:szCs w:val="24"/>
        </w:rPr>
        <w:t xml:space="preserve">, но также от единого регионального и </w:t>
      </w:r>
      <w:r w:rsidR="00590635">
        <w:rPr>
          <w:rFonts w:ascii="Times New Roman" w:hAnsi="Times New Roman"/>
          <w:bCs/>
          <w:sz w:val="24"/>
          <w:szCs w:val="24"/>
        </w:rPr>
        <w:t xml:space="preserve">дополнительных региональных нормативов (последние замещают доходы местного бюджета от выравнивающих дотаций). </w:t>
      </w:r>
      <w:r w:rsidR="009353B7">
        <w:rPr>
          <w:rFonts w:ascii="Times New Roman" w:hAnsi="Times New Roman"/>
          <w:bCs/>
          <w:sz w:val="24"/>
          <w:szCs w:val="24"/>
        </w:rPr>
        <w:t>Региональные нормативы должны в сумме обеспечить перераспределение доходов от НДФЛ в размере не менее 15% доходов консолидированного бюджета субъекта</w:t>
      </w:r>
      <w:r w:rsidR="00590635" w:rsidRPr="0043134A">
        <w:rPr>
          <w:rStyle w:val="a8"/>
        </w:rPr>
        <w:footnoteReference w:id="1"/>
      </w:r>
      <w:r w:rsidR="009353B7">
        <w:rPr>
          <w:rFonts w:ascii="Times New Roman" w:hAnsi="Times New Roman"/>
          <w:bCs/>
          <w:sz w:val="24"/>
          <w:szCs w:val="24"/>
        </w:rPr>
        <w:t>.</w:t>
      </w:r>
    </w:p>
    <w:p w14:paraId="45A15169" w14:textId="3C7EEEB9" w:rsidR="00005F0B" w:rsidRDefault="007C4EE4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Приведенные тезисы</w:t>
      </w:r>
      <w:r w:rsidR="00C22E84">
        <w:rPr>
          <w:rFonts w:ascii="Times New Roman" w:hAnsi="Times New Roman"/>
          <w:bCs/>
          <w:sz w:val="24"/>
          <w:szCs w:val="24"/>
        </w:rPr>
        <w:t xml:space="preserve"> обуславлив</w:t>
      </w:r>
      <w:r>
        <w:rPr>
          <w:rFonts w:ascii="Times New Roman" w:hAnsi="Times New Roman"/>
          <w:bCs/>
          <w:sz w:val="24"/>
          <w:szCs w:val="24"/>
        </w:rPr>
        <w:t>аю</w:t>
      </w:r>
      <w:r w:rsidR="00C22E84">
        <w:rPr>
          <w:rFonts w:ascii="Times New Roman" w:hAnsi="Times New Roman"/>
          <w:bCs/>
          <w:sz w:val="24"/>
          <w:szCs w:val="24"/>
        </w:rPr>
        <w:t xml:space="preserve">т актуальность исследования </w:t>
      </w:r>
      <w:r w:rsidR="00005F0B">
        <w:rPr>
          <w:rFonts w:ascii="Times New Roman" w:hAnsi="Times New Roman"/>
          <w:bCs/>
          <w:sz w:val="24"/>
          <w:szCs w:val="24"/>
        </w:rPr>
        <w:t xml:space="preserve">факторов </w:t>
      </w:r>
      <w:r w:rsidR="001F38B8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005F0B" w:rsidRPr="00D475CB">
        <w:rPr>
          <w:rFonts w:ascii="Times New Roman" w:hAnsi="Times New Roman"/>
          <w:bCs/>
          <w:sz w:val="24"/>
          <w:szCs w:val="24"/>
        </w:rPr>
        <w:t>дол</w:t>
      </w:r>
      <w:r w:rsidR="00005F0B">
        <w:rPr>
          <w:rFonts w:ascii="Times New Roman" w:hAnsi="Times New Roman"/>
          <w:bCs/>
          <w:sz w:val="24"/>
          <w:szCs w:val="24"/>
        </w:rPr>
        <w:t>и</w:t>
      </w:r>
      <w:r w:rsidR="00005F0B" w:rsidRPr="00D475CB">
        <w:rPr>
          <w:rFonts w:ascii="Times New Roman" w:hAnsi="Times New Roman"/>
          <w:bCs/>
          <w:sz w:val="24"/>
          <w:szCs w:val="24"/>
        </w:rPr>
        <w:t xml:space="preserve"> НДФЛ местных бюджетов</w:t>
      </w:r>
      <w:r w:rsidR="001F38B8">
        <w:rPr>
          <w:rFonts w:ascii="Times New Roman" w:hAnsi="Times New Roman"/>
          <w:bCs/>
          <w:sz w:val="24"/>
          <w:szCs w:val="24"/>
        </w:rPr>
        <w:t xml:space="preserve"> как меры местной бюджетной децентрализации в России.</w:t>
      </w:r>
    </w:p>
    <w:p w14:paraId="7578737E" w14:textId="36BDD557" w:rsidR="00377F49" w:rsidRDefault="00D475CB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Hlk35551433"/>
      <w:r>
        <w:rPr>
          <w:rFonts w:ascii="Times New Roman" w:hAnsi="Times New Roman"/>
          <w:bCs/>
          <w:sz w:val="24"/>
          <w:szCs w:val="24"/>
        </w:rPr>
        <w:t xml:space="preserve">Данная работа дополняет </w:t>
      </w:r>
      <w:r w:rsidR="000254E8">
        <w:rPr>
          <w:rFonts w:ascii="Times New Roman" w:hAnsi="Times New Roman"/>
          <w:bCs/>
          <w:sz w:val="24"/>
          <w:szCs w:val="24"/>
        </w:rPr>
        <w:t>результаты, опубликованные ранее</w:t>
      </w:r>
      <w:r w:rsidR="002B05F5">
        <w:rPr>
          <w:rFonts w:ascii="Times New Roman" w:hAnsi="Times New Roman"/>
          <w:bCs/>
          <w:sz w:val="24"/>
          <w:szCs w:val="24"/>
        </w:rPr>
        <w:t xml:space="preserve"> </w:t>
      </w:r>
      <w:r w:rsidR="00470819" w:rsidRPr="00470819">
        <w:rPr>
          <w:rFonts w:ascii="Times New Roman" w:hAnsi="Times New Roman"/>
          <w:bCs/>
          <w:sz w:val="24"/>
          <w:szCs w:val="24"/>
        </w:rPr>
        <w:t>[</w:t>
      </w:r>
      <w:r w:rsidR="0066403D">
        <w:rPr>
          <w:rFonts w:ascii="Times New Roman" w:hAnsi="Times New Roman"/>
          <w:bCs/>
          <w:sz w:val="24"/>
          <w:szCs w:val="24"/>
        </w:rPr>
        <w:fldChar w:fldCharType="begin"/>
      </w:r>
      <w:r w:rsidR="0066403D">
        <w:rPr>
          <w:rFonts w:ascii="Times New Roman" w:hAnsi="Times New Roman"/>
          <w:bCs/>
          <w:sz w:val="24"/>
          <w:szCs w:val="24"/>
        </w:rPr>
        <w:instrText xml:space="preserve"> REF _Ref35601288 \r \h </w:instrText>
      </w:r>
      <w:r w:rsidR="0066403D">
        <w:rPr>
          <w:rFonts w:ascii="Times New Roman" w:hAnsi="Times New Roman"/>
          <w:bCs/>
          <w:sz w:val="24"/>
          <w:szCs w:val="24"/>
        </w:rPr>
      </w:r>
      <w:r w:rsidR="0066403D">
        <w:rPr>
          <w:rFonts w:ascii="Times New Roman" w:hAnsi="Times New Roman"/>
          <w:bCs/>
          <w:sz w:val="24"/>
          <w:szCs w:val="24"/>
        </w:rPr>
        <w:fldChar w:fldCharType="separate"/>
      </w:r>
      <w:r w:rsidR="0066403D">
        <w:rPr>
          <w:rFonts w:ascii="Times New Roman" w:hAnsi="Times New Roman"/>
          <w:bCs/>
          <w:sz w:val="24"/>
          <w:szCs w:val="24"/>
        </w:rPr>
        <w:t>2</w:t>
      </w:r>
      <w:r w:rsidR="0066403D">
        <w:rPr>
          <w:rFonts w:ascii="Times New Roman" w:hAnsi="Times New Roman"/>
          <w:bCs/>
          <w:sz w:val="24"/>
          <w:szCs w:val="24"/>
        </w:rPr>
        <w:fldChar w:fldCharType="end"/>
      </w:r>
      <w:r w:rsidR="00470819" w:rsidRPr="00470819">
        <w:rPr>
          <w:rFonts w:ascii="Times New Roman" w:hAnsi="Times New Roman"/>
          <w:bCs/>
          <w:sz w:val="24"/>
          <w:szCs w:val="24"/>
        </w:rPr>
        <w:t>]</w:t>
      </w:r>
      <w:r w:rsidR="002B05F5">
        <w:rPr>
          <w:rFonts w:ascii="Times New Roman" w:hAnsi="Times New Roman"/>
          <w:bCs/>
          <w:sz w:val="24"/>
          <w:szCs w:val="24"/>
        </w:rPr>
        <w:t xml:space="preserve">. </w:t>
      </w:r>
      <w:r w:rsidR="00C22E84">
        <w:rPr>
          <w:rFonts w:ascii="Times New Roman" w:hAnsi="Times New Roman"/>
          <w:bCs/>
          <w:sz w:val="24"/>
          <w:szCs w:val="24"/>
        </w:rPr>
        <w:t>Прежние результаты</w:t>
      </w:r>
      <w:r w:rsidR="000254E8">
        <w:rPr>
          <w:rFonts w:ascii="Times New Roman" w:hAnsi="Times New Roman"/>
          <w:bCs/>
          <w:sz w:val="24"/>
          <w:szCs w:val="24"/>
        </w:rPr>
        <w:t xml:space="preserve"> состоят в том, что</w:t>
      </w:r>
      <w:r w:rsidR="002C3A5F">
        <w:rPr>
          <w:rFonts w:ascii="Times New Roman" w:hAnsi="Times New Roman"/>
          <w:bCs/>
          <w:sz w:val="24"/>
          <w:szCs w:val="24"/>
        </w:rPr>
        <w:t xml:space="preserve"> </w:t>
      </w:r>
      <w:r w:rsidR="002C3A5F" w:rsidRPr="001F38B8">
        <w:rPr>
          <w:rFonts w:ascii="Times New Roman" w:hAnsi="Times New Roman"/>
          <w:bCs/>
          <w:sz w:val="24"/>
          <w:szCs w:val="24"/>
        </w:rPr>
        <w:t>доля НДФЛ местных бюджетов</w:t>
      </w:r>
      <w:r w:rsidR="00377F49">
        <w:rPr>
          <w:rFonts w:ascii="Times New Roman" w:hAnsi="Times New Roman"/>
          <w:bCs/>
          <w:sz w:val="24"/>
          <w:szCs w:val="24"/>
        </w:rPr>
        <w:t>:</w:t>
      </w:r>
    </w:p>
    <w:p w14:paraId="7D2B13CE" w14:textId="279A9E60" w:rsidR="00377F49" w:rsidRPr="001F38B8" w:rsidRDefault="00546C6B" w:rsidP="004313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38B8">
        <w:rPr>
          <w:rFonts w:ascii="Times New Roman" w:hAnsi="Times New Roman"/>
          <w:bCs/>
          <w:sz w:val="24"/>
          <w:szCs w:val="24"/>
        </w:rPr>
        <w:t>является</w:t>
      </w:r>
      <w:r w:rsidR="001B0AF1" w:rsidRPr="001F38B8">
        <w:rPr>
          <w:rFonts w:ascii="Times New Roman" w:hAnsi="Times New Roman"/>
          <w:bCs/>
          <w:sz w:val="24"/>
          <w:szCs w:val="24"/>
        </w:rPr>
        <w:t xml:space="preserve"> индикатор</w:t>
      </w:r>
      <w:r w:rsidRPr="001F38B8">
        <w:rPr>
          <w:rFonts w:ascii="Times New Roman" w:hAnsi="Times New Roman"/>
          <w:bCs/>
          <w:sz w:val="24"/>
          <w:szCs w:val="24"/>
        </w:rPr>
        <w:t>ом</w:t>
      </w:r>
      <w:r w:rsidR="001B0AF1" w:rsidRPr="001F38B8">
        <w:rPr>
          <w:rFonts w:ascii="Times New Roman" w:hAnsi="Times New Roman"/>
          <w:bCs/>
          <w:sz w:val="24"/>
          <w:szCs w:val="24"/>
        </w:rPr>
        <w:t xml:space="preserve"> местной бюджетной децентрализации в регионе</w:t>
      </w:r>
      <w:r w:rsidRPr="001F38B8">
        <w:rPr>
          <w:rFonts w:ascii="Times New Roman" w:hAnsi="Times New Roman"/>
          <w:bCs/>
          <w:sz w:val="24"/>
          <w:szCs w:val="24"/>
        </w:rPr>
        <w:t xml:space="preserve">, </w:t>
      </w:r>
    </w:p>
    <w:p w14:paraId="3C6A50F8" w14:textId="3B070F48" w:rsidR="00377F49" w:rsidRPr="001F38B8" w:rsidRDefault="00DD4D22" w:rsidP="004313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38B8">
        <w:rPr>
          <w:rFonts w:ascii="Times New Roman" w:hAnsi="Times New Roman"/>
          <w:bCs/>
          <w:sz w:val="24"/>
          <w:szCs w:val="24"/>
        </w:rPr>
        <w:t>формир</w:t>
      </w:r>
      <w:r w:rsidR="00377F49" w:rsidRPr="001F38B8">
        <w:rPr>
          <w:rFonts w:ascii="Times New Roman" w:hAnsi="Times New Roman"/>
          <w:bCs/>
          <w:sz w:val="24"/>
          <w:szCs w:val="24"/>
        </w:rPr>
        <w:t>уется</w:t>
      </w:r>
      <w:r w:rsidRPr="001F38B8">
        <w:rPr>
          <w:rFonts w:ascii="Times New Roman" w:hAnsi="Times New Roman"/>
          <w:bCs/>
          <w:sz w:val="24"/>
          <w:szCs w:val="24"/>
        </w:rPr>
        <w:t xml:space="preserve"> под влиянием пространственных признаков</w:t>
      </w:r>
      <w:r w:rsidR="001B0AF1" w:rsidRPr="001F38B8">
        <w:rPr>
          <w:rFonts w:ascii="Times New Roman" w:hAnsi="Times New Roman"/>
          <w:bCs/>
          <w:sz w:val="24"/>
          <w:szCs w:val="24"/>
        </w:rPr>
        <w:t xml:space="preserve">, </w:t>
      </w:r>
    </w:p>
    <w:p w14:paraId="60671949" w14:textId="180E502D" w:rsidR="00377F49" w:rsidRPr="001F38B8" w:rsidRDefault="001B0AF1" w:rsidP="004313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38B8">
        <w:rPr>
          <w:rFonts w:ascii="Times New Roman" w:hAnsi="Times New Roman"/>
          <w:bCs/>
          <w:sz w:val="24"/>
          <w:szCs w:val="24"/>
        </w:rPr>
        <w:t>в</w:t>
      </w:r>
      <w:r w:rsidR="000254E8" w:rsidRPr="001F38B8">
        <w:rPr>
          <w:rFonts w:ascii="Times New Roman" w:hAnsi="Times New Roman"/>
          <w:bCs/>
          <w:sz w:val="24"/>
          <w:szCs w:val="24"/>
        </w:rPr>
        <w:t>заимосвязан</w:t>
      </w:r>
      <w:r w:rsidR="00546C6B" w:rsidRPr="001F38B8">
        <w:rPr>
          <w:rFonts w:ascii="Times New Roman" w:hAnsi="Times New Roman"/>
          <w:bCs/>
          <w:sz w:val="24"/>
          <w:szCs w:val="24"/>
        </w:rPr>
        <w:t>а</w:t>
      </w:r>
      <w:r w:rsidR="000254E8" w:rsidRPr="001F38B8">
        <w:rPr>
          <w:rFonts w:ascii="Times New Roman" w:hAnsi="Times New Roman"/>
          <w:bCs/>
          <w:sz w:val="24"/>
          <w:szCs w:val="24"/>
        </w:rPr>
        <w:t xml:space="preserve"> с альтернативными показателями </w:t>
      </w:r>
      <w:r w:rsidR="002C3A5F" w:rsidRPr="001F38B8">
        <w:rPr>
          <w:rFonts w:ascii="Times New Roman" w:hAnsi="Times New Roman"/>
          <w:bCs/>
          <w:sz w:val="24"/>
          <w:szCs w:val="24"/>
        </w:rPr>
        <w:t>децентрализации</w:t>
      </w:r>
      <w:r w:rsidR="00377F49" w:rsidRPr="001F38B8">
        <w:rPr>
          <w:rFonts w:ascii="Times New Roman" w:hAnsi="Times New Roman"/>
          <w:bCs/>
          <w:sz w:val="24"/>
          <w:szCs w:val="24"/>
        </w:rPr>
        <w:t>,</w:t>
      </w:r>
    </w:p>
    <w:p w14:paraId="7D751079" w14:textId="6F42A522" w:rsidR="00897A4E" w:rsidRPr="001F38B8" w:rsidRDefault="00897A4E" w:rsidP="0043134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38B8">
        <w:rPr>
          <w:rFonts w:ascii="Times New Roman" w:hAnsi="Times New Roman"/>
          <w:bCs/>
          <w:sz w:val="24"/>
          <w:szCs w:val="24"/>
        </w:rPr>
        <w:t>значим</w:t>
      </w:r>
      <w:r w:rsidR="00546C6B" w:rsidRPr="001F38B8">
        <w:rPr>
          <w:rFonts w:ascii="Times New Roman" w:hAnsi="Times New Roman"/>
          <w:bCs/>
          <w:sz w:val="24"/>
          <w:szCs w:val="24"/>
        </w:rPr>
        <w:t>а</w:t>
      </w:r>
      <w:r w:rsidRPr="001F38B8">
        <w:rPr>
          <w:rFonts w:ascii="Times New Roman" w:hAnsi="Times New Roman"/>
          <w:bCs/>
          <w:sz w:val="24"/>
          <w:szCs w:val="24"/>
        </w:rPr>
        <w:t xml:space="preserve"> при моделировании темпов роста региональных экономик.</w:t>
      </w:r>
    </w:p>
    <w:p w14:paraId="382C2088" w14:textId="55846CCA" w:rsidR="00056F47" w:rsidRDefault="00056F47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_Hlk35553510"/>
      <w:r w:rsidRPr="00404460">
        <w:rPr>
          <w:rFonts w:ascii="Times New Roman" w:hAnsi="Times New Roman"/>
          <w:b/>
          <w:i/>
          <w:iCs/>
          <w:sz w:val="24"/>
          <w:szCs w:val="24"/>
        </w:rPr>
        <w:t xml:space="preserve">Цель </w:t>
      </w:r>
      <w:r w:rsidR="00D475CB" w:rsidRPr="00404460">
        <w:rPr>
          <w:rFonts w:ascii="Times New Roman" w:hAnsi="Times New Roman"/>
          <w:b/>
          <w:i/>
          <w:iCs/>
          <w:sz w:val="24"/>
          <w:szCs w:val="24"/>
        </w:rPr>
        <w:t xml:space="preserve">данной </w:t>
      </w:r>
      <w:r w:rsidRPr="00404460">
        <w:rPr>
          <w:rFonts w:ascii="Times New Roman" w:hAnsi="Times New Roman"/>
          <w:b/>
          <w:i/>
          <w:iCs/>
          <w:sz w:val="24"/>
          <w:szCs w:val="24"/>
        </w:rPr>
        <w:t>работы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377F49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680AB9">
        <w:rPr>
          <w:rFonts w:ascii="Times New Roman" w:hAnsi="Times New Roman"/>
          <w:bCs/>
          <w:sz w:val="24"/>
          <w:szCs w:val="24"/>
        </w:rPr>
        <w:t xml:space="preserve">значимость и характер </w:t>
      </w:r>
      <w:r w:rsidR="00377F49">
        <w:rPr>
          <w:rFonts w:ascii="Times New Roman" w:hAnsi="Times New Roman"/>
          <w:bCs/>
          <w:sz w:val="24"/>
          <w:szCs w:val="24"/>
        </w:rPr>
        <w:t xml:space="preserve">проявления </w:t>
      </w:r>
      <w:r w:rsidR="00680AB9">
        <w:rPr>
          <w:rFonts w:ascii="Times New Roman" w:hAnsi="Times New Roman"/>
          <w:bCs/>
          <w:sz w:val="24"/>
          <w:szCs w:val="24"/>
        </w:rPr>
        <w:t xml:space="preserve">пространственных факторов в формировании </w:t>
      </w:r>
      <w:r w:rsidR="00377F49" w:rsidRPr="00377F49">
        <w:rPr>
          <w:rFonts w:ascii="Times New Roman" w:hAnsi="Times New Roman"/>
          <w:bCs/>
          <w:sz w:val="24"/>
          <w:szCs w:val="24"/>
        </w:rPr>
        <w:t>дол</w:t>
      </w:r>
      <w:r w:rsidR="00377F49">
        <w:rPr>
          <w:rFonts w:ascii="Times New Roman" w:hAnsi="Times New Roman"/>
          <w:bCs/>
          <w:sz w:val="24"/>
          <w:szCs w:val="24"/>
        </w:rPr>
        <w:t>и</w:t>
      </w:r>
      <w:r w:rsidR="00377F49" w:rsidRPr="00377F49">
        <w:rPr>
          <w:rFonts w:ascii="Times New Roman" w:hAnsi="Times New Roman"/>
          <w:bCs/>
          <w:sz w:val="24"/>
          <w:szCs w:val="24"/>
        </w:rPr>
        <w:t xml:space="preserve"> </w:t>
      </w:r>
      <w:r w:rsidR="002C3A5F">
        <w:rPr>
          <w:rFonts w:ascii="Times New Roman" w:hAnsi="Times New Roman"/>
          <w:bCs/>
          <w:sz w:val="24"/>
          <w:szCs w:val="24"/>
        </w:rPr>
        <w:t xml:space="preserve">местного </w:t>
      </w:r>
      <w:r w:rsidR="00377F49" w:rsidRPr="00377F49">
        <w:rPr>
          <w:rFonts w:ascii="Times New Roman" w:hAnsi="Times New Roman"/>
          <w:bCs/>
          <w:sz w:val="24"/>
          <w:szCs w:val="24"/>
        </w:rPr>
        <w:t xml:space="preserve">НДФЛ </w:t>
      </w:r>
      <w:r w:rsidR="00377F49">
        <w:rPr>
          <w:rFonts w:ascii="Times New Roman" w:hAnsi="Times New Roman"/>
          <w:bCs/>
          <w:sz w:val="24"/>
          <w:szCs w:val="24"/>
        </w:rPr>
        <w:t>в субъектах России.</w:t>
      </w:r>
    </w:p>
    <w:p w14:paraId="4E9CD495" w14:textId="6D28A0B3" w:rsidR="00056F47" w:rsidRDefault="00056F47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цели решаются </w:t>
      </w:r>
      <w:r w:rsidRPr="00404460">
        <w:rPr>
          <w:rFonts w:ascii="Times New Roman" w:hAnsi="Times New Roman"/>
          <w:b/>
          <w:i/>
          <w:iCs/>
          <w:sz w:val="24"/>
          <w:szCs w:val="24"/>
        </w:rPr>
        <w:t>следующие задачи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AA9EB23" w14:textId="3B13C3C6" w:rsidR="00056F47" w:rsidRPr="00404460" w:rsidRDefault="00905B15" w:rsidP="0043134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460">
        <w:rPr>
          <w:rFonts w:ascii="Times New Roman" w:hAnsi="Times New Roman"/>
          <w:bCs/>
          <w:sz w:val="24"/>
          <w:szCs w:val="24"/>
        </w:rPr>
        <w:t xml:space="preserve">оценить </w:t>
      </w:r>
      <w:r w:rsidR="00897A4E" w:rsidRPr="00404460">
        <w:rPr>
          <w:rFonts w:ascii="Times New Roman" w:hAnsi="Times New Roman"/>
          <w:bCs/>
          <w:sz w:val="24"/>
          <w:szCs w:val="24"/>
        </w:rPr>
        <w:t>пространственную корреляцию</w:t>
      </w:r>
      <w:r w:rsidR="00056F47" w:rsidRPr="00404460">
        <w:rPr>
          <w:rFonts w:ascii="Times New Roman" w:hAnsi="Times New Roman"/>
          <w:bCs/>
          <w:sz w:val="24"/>
          <w:szCs w:val="24"/>
        </w:rPr>
        <w:t xml:space="preserve"> субъектов России по величине </w:t>
      </w:r>
      <w:r w:rsidRPr="00404460">
        <w:rPr>
          <w:rFonts w:ascii="Times New Roman" w:hAnsi="Times New Roman"/>
          <w:bCs/>
          <w:sz w:val="24"/>
          <w:szCs w:val="24"/>
        </w:rPr>
        <w:t>доли</w:t>
      </w:r>
      <w:r w:rsidR="00D475CB" w:rsidRPr="00404460">
        <w:rPr>
          <w:rFonts w:ascii="Times New Roman" w:hAnsi="Times New Roman"/>
          <w:bCs/>
          <w:sz w:val="24"/>
          <w:szCs w:val="24"/>
        </w:rPr>
        <w:t xml:space="preserve"> НДФЛ местных бюджетов</w:t>
      </w:r>
      <w:r w:rsidR="00C31538">
        <w:rPr>
          <w:rFonts w:ascii="Times New Roman" w:hAnsi="Times New Roman"/>
          <w:bCs/>
          <w:sz w:val="24"/>
          <w:szCs w:val="24"/>
        </w:rPr>
        <w:t xml:space="preserve"> (</w:t>
      </w:r>
      <w:r w:rsidR="008C3F2C">
        <w:rPr>
          <w:rFonts w:ascii="Times New Roman" w:hAnsi="Times New Roman"/>
          <w:bCs/>
          <w:sz w:val="24"/>
          <w:szCs w:val="24"/>
        </w:rPr>
        <w:t xml:space="preserve">применяется </w:t>
      </w:r>
      <w:r w:rsidR="008C3F2C" w:rsidRPr="008C3F2C">
        <w:rPr>
          <w:rFonts w:ascii="Times New Roman" w:hAnsi="Times New Roman"/>
          <w:bCs/>
          <w:sz w:val="24"/>
          <w:szCs w:val="24"/>
        </w:rPr>
        <w:t>пространственн</w:t>
      </w:r>
      <w:r w:rsidR="008C3F2C">
        <w:rPr>
          <w:rFonts w:ascii="Times New Roman" w:hAnsi="Times New Roman"/>
          <w:bCs/>
          <w:sz w:val="24"/>
          <w:szCs w:val="24"/>
        </w:rPr>
        <w:t>ый</w:t>
      </w:r>
      <w:r w:rsidR="008C3F2C" w:rsidRPr="008C3F2C">
        <w:rPr>
          <w:rFonts w:ascii="Times New Roman" w:hAnsi="Times New Roman"/>
          <w:bCs/>
          <w:sz w:val="24"/>
          <w:szCs w:val="24"/>
        </w:rPr>
        <w:t xml:space="preserve"> корреляци</w:t>
      </w:r>
      <w:r w:rsidR="008C3F2C">
        <w:rPr>
          <w:rFonts w:ascii="Times New Roman" w:hAnsi="Times New Roman"/>
          <w:bCs/>
          <w:sz w:val="24"/>
          <w:szCs w:val="24"/>
        </w:rPr>
        <w:t>онный анализ</w:t>
      </w:r>
      <w:r w:rsidR="00C31538">
        <w:rPr>
          <w:rFonts w:ascii="Times New Roman" w:hAnsi="Times New Roman"/>
          <w:bCs/>
          <w:sz w:val="24"/>
          <w:szCs w:val="24"/>
        </w:rPr>
        <w:t>)</w:t>
      </w:r>
      <w:r w:rsidR="002D0994" w:rsidRPr="00404460">
        <w:rPr>
          <w:rFonts w:ascii="Times New Roman" w:hAnsi="Times New Roman"/>
          <w:bCs/>
          <w:sz w:val="24"/>
          <w:szCs w:val="24"/>
        </w:rPr>
        <w:t>,</w:t>
      </w:r>
    </w:p>
    <w:p w14:paraId="5F88189F" w14:textId="762B28FE" w:rsidR="00606E70" w:rsidRPr="00404460" w:rsidRDefault="00606E70" w:rsidP="0043134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4460">
        <w:rPr>
          <w:rFonts w:ascii="Times New Roman" w:hAnsi="Times New Roman"/>
          <w:bCs/>
          <w:sz w:val="24"/>
          <w:szCs w:val="24"/>
        </w:rPr>
        <w:t>определить, влияет ли фактор взаимного расположения регионов на величину дол</w:t>
      </w:r>
      <w:r w:rsidR="005E5723" w:rsidRPr="00404460">
        <w:rPr>
          <w:rFonts w:ascii="Times New Roman" w:hAnsi="Times New Roman"/>
          <w:bCs/>
          <w:sz w:val="24"/>
          <w:szCs w:val="24"/>
        </w:rPr>
        <w:t>и</w:t>
      </w:r>
      <w:r w:rsidRPr="00404460">
        <w:rPr>
          <w:rFonts w:ascii="Times New Roman" w:hAnsi="Times New Roman"/>
          <w:bCs/>
          <w:sz w:val="24"/>
          <w:szCs w:val="24"/>
        </w:rPr>
        <w:t xml:space="preserve"> местного НДФЛ</w:t>
      </w:r>
      <w:r w:rsidR="00DF560D" w:rsidRPr="00404460">
        <w:rPr>
          <w:rFonts w:ascii="Times New Roman" w:hAnsi="Times New Roman"/>
          <w:bCs/>
          <w:sz w:val="24"/>
          <w:szCs w:val="24"/>
        </w:rPr>
        <w:t xml:space="preserve"> в </w:t>
      </w:r>
      <w:r w:rsidR="00547E80" w:rsidRPr="00404460">
        <w:rPr>
          <w:rFonts w:ascii="Times New Roman" w:hAnsi="Times New Roman"/>
          <w:bCs/>
          <w:sz w:val="24"/>
          <w:szCs w:val="24"/>
        </w:rPr>
        <w:t xml:space="preserve">каждом из </w:t>
      </w:r>
      <w:r w:rsidR="00DF560D" w:rsidRPr="00404460">
        <w:rPr>
          <w:rFonts w:ascii="Times New Roman" w:hAnsi="Times New Roman"/>
          <w:bCs/>
          <w:sz w:val="24"/>
          <w:szCs w:val="24"/>
        </w:rPr>
        <w:t>субъект</w:t>
      </w:r>
      <w:r w:rsidR="00547E80" w:rsidRPr="00404460">
        <w:rPr>
          <w:rFonts w:ascii="Times New Roman" w:hAnsi="Times New Roman"/>
          <w:bCs/>
          <w:sz w:val="24"/>
          <w:szCs w:val="24"/>
        </w:rPr>
        <w:t>ов</w:t>
      </w:r>
      <w:r w:rsidR="000741D0">
        <w:rPr>
          <w:rFonts w:ascii="Times New Roman" w:hAnsi="Times New Roman"/>
          <w:bCs/>
          <w:sz w:val="24"/>
          <w:szCs w:val="24"/>
        </w:rPr>
        <w:t xml:space="preserve"> (</w:t>
      </w:r>
      <w:r w:rsidR="00C31538">
        <w:rPr>
          <w:rFonts w:ascii="Times New Roman" w:hAnsi="Times New Roman"/>
          <w:bCs/>
          <w:sz w:val="24"/>
          <w:szCs w:val="24"/>
        </w:rPr>
        <w:t>корреляци</w:t>
      </w:r>
      <w:r w:rsidR="008C3F2C">
        <w:rPr>
          <w:rFonts w:ascii="Times New Roman" w:hAnsi="Times New Roman"/>
          <w:bCs/>
          <w:sz w:val="24"/>
          <w:szCs w:val="24"/>
        </w:rPr>
        <w:t xml:space="preserve">онный анализ </w:t>
      </w:r>
      <w:proofErr w:type="spellStart"/>
      <w:r w:rsidR="008C3F2C">
        <w:rPr>
          <w:rFonts w:ascii="Times New Roman" w:hAnsi="Times New Roman"/>
          <w:bCs/>
          <w:sz w:val="24"/>
          <w:szCs w:val="24"/>
        </w:rPr>
        <w:t>Спирмена</w:t>
      </w:r>
      <w:proofErr w:type="spellEnd"/>
      <w:r w:rsidR="000741D0">
        <w:rPr>
          <w:rFonts w:ascii="Times New Roman" w:hAnsi="Times New Roman"/>
          <w:bCs/>
          <w:sz w:val="24"/>
          <w:szCs w:val="24"/>
        </w:rPr>
        <w:t>)</w:t>
      </w:r>
      <w:r w:rsidR="00485A34">
        <w:rPr>
          <w:rFonts w:ascii="Times New Roman" w:hAnsi="Times New Roman"/>
          <w:bCs/>
          <w:sz w:val="24"/>
          <w:szCs w:val="24"/>
        </w:rPr>
        <w:t>.</w:t>
      </w:r>
      <w:r w:rsidR="008434BE">
        <w:rPr>
          <w:rFonts w:ascii="Times New Roman" w:hAnsi="Times New Roman"/>
          <w:bCs/>
          <w:sz w:val="24"/>
          <w:szCs w:val="24"/>
        </w:rPr>
        <w:t xml:space="preserve"> По сравнению с первой задачей, анализируется</w:t>
      </w:r>
      <w:r w:rsidR="00210D57">
        <w:rPr>
          <w:rFonts w:ascii="Times New Roman" w:hAnsi="Times New Roman"/>
          <w:bCs/>
          <w:sz w:val="24"/>
          <w:szCs w:val="24"/>
        </w:rPr>
        <w:t xml:space="preserve"> не фактор общей границы, а фак</w:t>
      </w:r>
      <w:r w:rsidR="001A2E8F">
        <w:rPr>
          <w:rFonts w:ascii="Times New Roman" w:hAnsi="Times New Roman"/>
          <w:bCs/>
          <w:sz w:val="24"/>
          <w:szCs w:val="24"/>
        </w:rPr>
        <w:t>тор расстояния между регионами.</w:t>
      </w:r>
    </w:p>
    <w:bookmarkEnd w:id="2"/>
    <w:p w14:paraId="3DCB04A4" w14:textId="77777777" w:rsidR="008249DE" w:rsidRDefault="008249DE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14:paraId="2FFC7F60" w14:textId="77777777" w:rsidR="00242E9D" w:rsidRDefault="00242E9D" w:rsidP="0043134A">
      <w:pPr>
        <w:pStyle w:val="10-4-17"/>
        <w:spacing w:line="240" w:lineRule="auto"/>
      </w:pPr>
      <w:r>
        <w:t>Методика исследования</w:t>
      </w:r>
    </w:p>
    <w:p w14:paraId="5A5A9FFF" w14:textId="77777777" w:rsidR="002831CF" w:rsidRDefault="002831CF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21D82B" w14:textId="3201C685" w:rsidR="00412E43" w:rsidRDefault="00412E43" w:rsidP="004313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Hlk35556333"/>
      <w:r>
        <w:rPr>
          <w:rFonts w:ascii="Times New Roman" w:hAnsi="Times New Roman"/>
          <w:sz w:val="24"/>
          <w:szCs w:val="24"/>
        </w:rPr>
        <w:t>В количественных расчетах не участвуют г. Москва, Санкт-Петербург, Севастополь</w:t>
      </w:r>
      <w:r w:rsidRPr="0073351E">
        <w:rPr>
          <w:rFonts w:ascii="Times New Roman" w:hAnsi="Times New Roman"/>
          <w:sz w:val="24"/>
          <w:szCs w:val="24"/>
        </w:rPr>
        <w:t xml:space="preserve"> и Республик</w:t>
      </w:r>
      <w:r>
        <w:rPr>
          <w:rFonts w:ascii="Times New Roman" w:hAnsi="Times New Roman"/>
          <w:sz w:val="24"/>
          <w:szCs w:val="24"/>
        </w:rPr>
        <w:t>а</w:t>
      </w:r>
      <w:r w:rsidRPr="0073351E">
        <w:rPr>
          <w:rFonts w:ascii="Times New Roman" w:hAnsi="Times New Roman"/>
          <w:sz w:val="24"/>
          <w:szCs w:val="24"/>
        </w:rPr>
        <w:t xml:space="preserve"> Крым</w:t>
      </w:r>
      <w:r>
        <w:rPr>
          <w:rFonts w:ascii="Times New Roman" w:hAnsi="Times New Roman"/>
          <w:sz w:val="24"/>
          <w:szCs w:val="24"/>
        </w:rPr>
        <w:t>.</w:t>
      </w:r>
      <w:r w:rsidRPr="00F468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Все расчеты опираются на </w:t>
      </w:r>
      <w:r w:rsidRPr="009A7612">
        <w:rPr>
          <w:rFonts w:ascii="Times New Roman" w:hAnsi="Times New Roman"/>
          <w:bCs/>
          <w:sz w:val="24"/>
          <w:szCs w:val="24"/>
        </w:rPr>
        <w:t>данны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A7612">
        <w:rPr>
          <w:rFonts w:ascii="Times New Roman" w:hAnsi="Times New Roman"/>
          <w:bCs/>
          <w:sz w:val="24"/>
          <w:szCs w:val="24"/>
        </w:rPr>
        <w:t xml:space="preserve"> Казначейства России</w:t>
      </w:r>
      <w:r>
        <w:rPr>
          <w:rFonts w:ascii="Times New Roman" w:hAnsi="Times New Roman"/>
          <w:bCs/>
          <w:sz w:val="24"/>
          <w:szCs w:val="24"/>
        </w:rPr>
        <w:t xml:space="preserve"> (дополнительные источники указаны отдельно). Если не указано иное, величина </w:t>
      </w:r>
      <w:r w:rsidRPr="00087D07">
        <w:rPr>
          <w:rFonts w:ascii="Times New Roman" w:hAnsi="Times New Roman"/>
          <w:bCs/>
          <w:sz w:val="24"/>
          <w:szCs w:val="24"/>
        </w:rPr>
        <w:t>дол</w:t>
      </w:r>
      <w:r>
        <w:rPr>
          <w:rFonts w:ascii="Times New Roman" w:hAnsi="Times New Roman"/>
          <w:bCs/>
          <w:sz w:val="24"/>
          <w:szCs w:val="24"/>
        </w:rPr>
        <w:t>и</w:t>
      </w:r>
      <w:r w:rsidRPr="00087D07">
        <w:rPr>
          <w:rFonts w:ascii="Times New Roman" w:hAnsi="Times New Roman"/>
          <w:bCs/>
          <w:sz w:val="24"/>
          <w:szCs w:val="24"/>
        </w:rPr>
        <w:t xml:space="preserve"> местного НДФЛ</w:t>
      </w:r>
      <w:r>
        <w:rPr>
          <w:rFonts w:ascii="Times New Roman" w:hAnsi="Times New Roman"/>
          <w:bCs/>
          <w:sz w:val="24"/>
          <w:szCs w:val="24"/>
        </w:rPr>
        <w:t xml:space="preserve"> рассчитывается </w:t>
      </w:r>
      <w:r w:rsidR="00E162DE">
        <w:rPr>
          <w:rFonts w:ascii="Times New Roman" w:hAnsi="Times New Roman"/>
          <w:bCs/>
          <w:sz w:val="24"/>
          <w:szCs w:val="24"/>
        </w:rPr>
        <w:t>по средним данным за 2011–</w:t>
      </w:r>
      <w:r w:rsidRPr="00087D07">
        <w:rPr>
          <w:rFonts w:ascii="Times New Roman" w:hAnsi="Times New Roman"/>
          <w:bCs/>
          <w:sz w:val="24"/>
          <w:szCs w:val="24"/>
        </w:rPr>
        <w:t>2018 гг.</w:t>
      </w:r>
    </w:p>
    <w:p w14:paraId="60E42A05" w14:textId="4181A647" w:rsidR="005171A2" w:rsidRDefault="003D7110" w:rsidP="004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110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Пространственный корреляционный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599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15996" w:rsidRPr="00A576D8">
        <w:rPr>
          <w:rFonts w:ascii="Times New Roman" w:hAnsi="Times New Roman"/>
          <w:sz w:val="24"/>
          <w:szCs w:val="24"/>
          <w:lang w:eastAsia="ru-RU"/>
        </w:rPr>
        <w:t xml:space="preserve">традиционном корреляционном анализе </w:t>
      </w:r>
      <w:r w:rsidR="00115996">
        <w:rPr>
          <w:rFonts w:ascii="Times New Roman" w:hAnsi="Times New Roman"/>
          <w:sz w:val="24"/>
          <w:szCs w:val="24"/>
          <w:lang w:eastAsia="ru-RU"/>
        </w:rPr>
        <w:t>пространственные характеристики объектов (координаты, взаимное расположение)</w:t>
      </w:r>
      <w:r w:rsidR="00115996" w:rsidRPr="004E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996">
        <w:rPr>
          <w:rFonts w:ascii="Times New Roman" w:hAnsi="Times New Roman"/>
          <w:sz w:val="24"/>
          <w:szCs w:val="24"/>
          <w:lang w:eastAsia="ru-RU"/>
        </w:rPr>
        <w:t>не рассматриваются.</w:t>
      </w:r>
      <w:r w:rsidR="001E16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ACD">
        <w:rPr>
          <w:rFonts w:ascii="Times New Roman" w:hAnsi="Times New Roman"/>
          <w:sz w:val="24"/>
          <w:szCs w:val="24"/>
          <w:lang w:eastAsia="ru-RU"/>
        </w:rPr>
        <w:t xml:space="preserve">При добавлении в анализ пространственных характеристик </w:t>
      </w:r>
      <w:r w:rsidR="005171A2">
        <w:rPr>
          <w:rFonts w:ascii="Times New Roman" w:hAnsi="Times New Roman"/>
          <w:sz w:val="24"/>
          <w:szCs w:val="24"/>
          <w:lang w:eastAsia="ru-RU"/>
        </w:rPr>
        <w:t xml:space="preserve">акцент смещается с показателей на объекты наблюдения. </w:t>
      </w:r>
    </w:p>
    <w:bookmarkEnd w:id="4"/>
    <w:p w14:paraId="1D095BC5" w14:textId="0EEAE870" w:rsidR="00470819" w:rsidRDefault="00934260" w:rsidP="00431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Объекты характеризуются пространственной корреляцией по тому или иному признаку, если они расположены вблизи друг от друга и величины соответствующего признака </w:t>
      </w:r>
      <w:r w:rsidR="0000305B">
        <w:rPr>
          <w:rFonts w:ascii="Times New Roman" w:hAnsi="Times New Roman"/>
          <w:sz w:val="24"/>
          <w:szCs w:val="24"/>
          <w:lang w:eastAsia="ru-RU"/>
        </w:rPr>
        <w:t xml:space="preserve">у них </w:t>
      </w:r>
      <w:r>
        <w:rPr>
          <w:rFonts w:ascii="Times New Roman" w:hAnsi="Times New Roman"/>
          <w:sz w:val="24"/>
          <w:szCs w:val="24"/>
          <w:lang w:eastAsia="ru-RU"/>
        </w:rPr>
        <w:t xml:space="preserve">схожи </w:t>
      </w:r>
      <w:r w:rsidR="00470819" w:rsidRPr="00470819">
        <w:rPr>
          <w:rFonts w:ascii="Times New Roman" w:hAnsi="Times New Roman"/>
          <w:sz w:val="24"/>
          <w:szCs w:val="24"/>
          <w:lang w:eastAsia="ru-RU"/>
        </w:rPr>
        <w:t>[</w:t>
      </w:r>
      <w:r w:rsidR="0066403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66403D">
        <w:rPr>
          <w:rFonts w:ascii="Times New Roman" w:hAnsi="Times New Roman"/>
          <w:sz w:val="24"/>
          <w:szCs w:val="24"/>
          <w:lang w:eastAsia="ru-RU"/>
        </w:rPr>
        <w:instrText xml:space="preserve"> REF _Ref35601296 \r \h </w:instrText>
      </w:r>
      <w:r w:rsidR="0066403D">
        <w:rPr>
          <w:rFonts w:ascii="Times New Roman" w:hAnsi="Times New Roman"/>
          <w:sz w:val="24"/>
          <w:szCs w:val="24"/>
          <w:lang w:eastAsia="ru-RU"/>
        </w:rPr>
      </w:r>
      <w:r w:rsidR="0066403D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66403D">
        <w:rPr>
          <w:rFonts w:ascii="Times New Roman" w:hAnsi="Times New Roman"/>
          <w:sz w:val="24"/>
          <w:szCs w:val="24"/>
          <w:lang w:eastAsia="ru-RU"/>
        </w:rPr>
        <w:t>4</w:t>
      </w:r>
      <w:r w:rsidR="0066403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470819" w:rsidRPr="00470819">
        <w:rPr>
          <w:rFonts w:ascii="Times New Roman" w:hAnsi="Times New Roman"/>
          <w:sz w:val="24"/>
          <w:szCs w:val="24"/>
          <w:lang w:eastAsia="ru-RU"/>
        </w:rPr>
        <w:t>].</w:t>
      </w:r>
      <w:r w:rsidR="00B953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5BF">
        <w:rPr>
          <w:rFonts w:ascii="Times New Roman" w:hAnsi="Times New Roman"/>
          <w:sz w:val="24"/>
          <w:szCs w:val="24"/>
        </w:rPr>
        <w:t>Мерой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>
        <w:rPr>
          <w:rFonts w:ascii="Times New Roman" w:hAnsi="Times New Roman"/>
          <w:sz w:val="24"/>
          <w:szCs w:val="24"/>
        </w:rPr>
        <w:t>связанности двух объектов по тому или иному признаку в пространстве является пространственный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>
        <w:rPr>
          <w:rFonts w:ascii="Times New Roman" w:hAnsi="Times New Roman"/>
          <w:sz w:val="24"/>
          <w:szCs w:val="24"/>
        </w:rPr>
        <w:t>коэффициент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>
        <w:rPr>
          <w:rFonts w:ascii="Times New Roman" w:hAnsi="Times New Roman"/>
          <w:sz w:val="24"/>
          <w:szCs w:val="24"/>
        </w:rPr>
        <w:t>корреляции</w:t>
      </w:r>
      <w:r w:rsidR="007265BF" w:rsidRPr="002E21ED">
        <w:rPr>
          <w:rFonts w:ascii="Times New Roman" w:hAnsi="Times New Roman"/>
          <w:sz w:val="24"/>
          <w:szCs w:val="24"/>
        </w:rPr>
        <w:t xml:space="preserve"> –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Moran</w:t>
      </w:r>
      <w:r w:rsidR="00E162DE" w:rsidRPr="00E162DE">
        <w:rPr>
          <w:rFonts w:ascii="Times New Roman" w:hAnsi="Times New Roman"/>
          <w:sz w:val="24"/>
          <w:szCs w:val="24"/>
        </w:rPr>
        <w:t>’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s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I</w:t>
      </w:r>
      <w:r w:rsidR="007265BF" w:rsidRPr="002E21ED">
        <w:rPr>
          <w:rFonts w:ascii="Times New Roman" w:hAnsi="Times New Roman"/>
          <w:sz w:val="24"/>
          <w:szCs w:val="24"/>
        </w:rPr>
        <w:t xml:space="preserve"> (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spatial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correlation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coefficient</w:t>
      </w:r>
      <w:r w:rsidR="007265BF" w:rsidRPr="002E21ED">
        <w:rPr>
          <w:rFonts w:ascii="Times New Roman" w:hAnsi="Times New Roman"/>
          <w:sz w:val="24"/>
          <w:szCs w:val="24"/>
        </w:rPr>
        <w:t>)</w:t>
      </w:r>
      <w:r w:rsidR="007265BF">
        <w:rPr>
          <w:rFonts w:ascii="Times New Roman" w:hAnsi="Times New Roman"/>
          <w:sz w:val="24"/>
          <w:szCs w:val="24"/>
        </w:rPr>
        <w:t xml:space="preserve">. </w:t>
      </w:r>
      <w:r w:rsidR="007D0310">
        <w:rPr>
          <w:rFonts w:ascii="Times New Roman" w:hAnsi="Times New Roman"/>
          <w:sz w:val="24"/>
          <w:szCs w:val="24"/>
          <w:lang w:eastAsia="ru-RU"/>
        </w:rPr>
        <w:t>Положительный</w:t>
      </w:r>
      <w:r w:rsidR="007D0310" w:rsidRPr="00726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CE4">
        <w:rPr>
          <w:rFonts w:ascii="Times New Roman" w:hAnsi="Times New Roman"/>
          <w:sz w:val="24"/>
          <w:szCs w:val="24"/>
          <w:lang w:eastAsia="ru-RU"/>
        </w:rPr>
        <w:t>статистически</w:t>
      </w:r>
      <w:r w:rsidR="007D0310" w:rsidRPr="00726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310">
        <w:rPr>
          <w:rFonts w:ascii="Times New Roman" w:hAnsi="Times New Roman"/>
          <w:sz w:val="24"/>
          <w:szCs w:val="24"/>
          <w:lang w:eastAsia="ru-RU"/>
        </w:rPr>
        <w:t>значимый</w:t>
      </w:r>
      <w:r w:rsidR="007D0310" w:rsidRPr="00726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Moran</w:t>
      </w:r>
      <w:r w:rsidR="00E162DE" w:rsidRPr="00E162DE">
        <w:rPr>
          <w:rFonts w:ascii="Times New Roman" w:hAnsi="Times New Roman"/>
          <w:sz w:val="24"/>
          <w:szCs w:val="24"/>
        </w:rPr>
        <w:t>’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s</w:t>
      </w:r>
      <w:r w:rsidR="007265BF" w:rsidRPr="002E21ED">
        <w:rPr>
          <w:rFonts w:ascii="Times New Roman" w:hAnsi="Times New Roman"/>
          <w:sz w:val="24"/>
          <w:szCs w:val="24"/>
        </w:rPr>
        <w:t xml:space="preserve"> </w:t>
      </w:r>
      <w:r w:rsidR="007265BF" w:rsidRPr="00796DDF">
        <w:rPr>
          <w:rFonts w:ascii="Times New Roman" w:hAnsi="Times New Roman"/>
          <w:sz w:val="24"/>
          <w:szCs w:val="24"/>
          <w:lang w:val="en-US"/>
        </w:rPr>
        <w:t>I</w:t>
      </w:r>
      <w:r w:rsidR="007265BF">
        <w:rPr>
          <w:rFonts w:ascii="Times New Roman" w:hAnsi="Times New Roman"/>
          <w:sz w:val="24"/>
          <w:szCs w:val="24"/>
        </w:rPr>
        <w:t xml:space="preserve"> показывает, что схожие величины того или иного показателя (признака) обладают концентрацией в пространстве значительно большей, чем если бы концентрация наблюдалась случайно </w:t>
      </w:r>
      <w:r w:rsidR="00470819" w:rsidRPr="00470819">
        <w:rPr>
          <w:rFonts w:ascii="Times New Roman" w:hAnsi="Times New Roman"/>
          <w:bCs/>
          <w:sz w:val="24"/>
          <w:szCs w:val="24"/>
        </w:rPr>
        <w:t>[</w:t>
      </w:r>
      <w:r w:rsidR="0066403D"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66403D">
        <w:rPr>
          <w:rFonts w:ascii="Times New Roman" w:hAnsi="Times New Roman"/>
          <w:bCs/>
          <w:sz w:val="24"/>
          <w:szCs w:val="24"/>
        </w:rPr>
        <w:instrText xml:space="preserve"> REF _Ref35601300 \r \h </w:instrText>
      </w:r>
      <w:r w:rsidR="0066403D">
        <w:rPr>
          <w:rFonts w:ascii="Times New Roman" w:hAnsi="Times New Roman"/>
          <w:bCs/>
          <w:sz w:val="24"/>
          <w:szCs w:val="24"/>
          <w:lang w:val="en-US"/>
        </w:rPr>
      </w:r>
      <w:r w:rsidR="0066403D"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="0066403D">
        <w:rPr>
          <w:rFonts w:ascii="Times New Roman" w:hAnsi="Times New Roman"/>
          <w:bCs/>
          <w:sz w:val="24"/>
          <w:szCs w:val="24"/>
        </w:rPr>
        <w:t>3</w:t>
      </w:r>
      <w:r w:rsidR="0066403D"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  <w:r w:rsidR="00470819" w:rsidRPr="00470819">
        <w:rPr>
          <w:rFonts w:ascii="Times New Roman" w:hAnsi="Times New Roman"/>
          <w:bCs/>
          <w:sz w:val="24"/>
          <w:szCs w:val="24"/>
        </w:rPr>
        <w:t>].</w:t>
      </w:r>
    </w:p>
    <w:p w14:paraId="5F300522" w14:textId="05ED37F2" w:rsidR="00347EA1" w:rsidRDefault="00112496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35360473"/>
      <w:bookmarkStart w:id="6" w:name="_Hlk8562881"/>
      <w:r>
        <w:rPr>
          <w:rFonts w:ascii="Times New Roman" w:hAnsi="Times New Roman"/>
          <w:sz w:val="24"/>
          <w:szCs w:val="24"/>
        </w:rPr>
        <w:t>Веса</w:t>
      </w:r>
      <w:r w:rsidR="00C4131F">
        <w:rPr>
          <w:rFonts w:ascii="Times New Roman" w:hAnsi="Times New Roman"/>
          <w:sz w:val="24"/>
          <w:szCs w:val="24"/>
        </w:rPr>
        <w:t xml:space="preserve"> в анализе </w:t>
      </w:r>
      <w:r w:rsidR="00C4131F" w:rsidRPr="00C4131F">
        <w:rPr>
          <w:rFonts w:ascii="Times New Roman" w:hAnsi="Times New Roman"/>
          <w:sz w:val="24"/>
          <w:szCs w:val="24"/>
        </w:rPr>
        <w:t>пространственной корреляции</w:t>
      </w:r>
      <w:r>
        <w:rPr>
          <w:rFonts w:ascii="Times New Roman" w:hAnsi="Times New Roman"/>
          <w:sz w:val="24"/>
          <w:szCs w:val="24"/>
        </w:rPr>
        <w:t xml:space="preserve"> в данной работе основываются на </w:t>
      </w:r>
      <w:r w:rsidR="00A66CF1">
        <w:rPr>
          <w:rFonts w:ascii="Times New Roman" w:hAnsi="Times New Roman"/>
          <w:sz w:val="24"/>
          <w:szCs w:val="24"/>
        </w:rPr>
        <w:t>факте наличия общей границы у субъектов России (в том числе общей точки), без учет</w:t>
      </w:r>
      <w:r w:rsidR="00966BFE">
        <w:rPr>
          <w:rFonts w:ascii="Times New Roman" w:hAnsi="Times New Roman"/>
          <w:sz w:val="24"/>
          <w:szCs w:val="24"/>
        </w:rPr>
        <w:t>а</w:t>
      </w:r>
      <w:r w:rsidR="00A66CF1">
        <w:rPr>
          <w:rFonts w:ascii="Times New Roman" w:hAnsi="Times New Roman"/>
          <w:sz w:val="24"/>
          <w:szCs w:val="24"/>
        </w:rPr>
        <w:t xml:space="preserve"> расстояния</w:t>
      </w:r>
      <w:r w:rsidR="00347EA1">
        <w:rPr>
          <w:rFonts w:ascii="Times New Roman" w:hAnsi="Times New Roman"/>
          <w:sz w:val="24"/>
          <w:szCs w:val="24"/>
        </w:rPr>
        <w:t xml:space="preserve"> (</w:t>
      </w:r>
      <w:r w:rsidR="00BA492F">
        <w:rPr>
          <w:rFonts w:ascii="Times New Roman" w:hAnsi="Times New Roman"/>
          <w:sz w:val="24"/>
          <w:szCs w:val="24"/>
        </w:rPr>
        <w:t>применяются «</w:t>
      </w:r>
      <w:proofErr w:type="spellStart"/>
      <w:r w:rsidR="00347EA1" w:rsidRPr="00966BFE">
        <w:rPr>
          <w:rFonts w:ascii="Times New Roman" w:hAnsi="Times New Roman"/>
          <w:sz w:val="24"/>
          <w:szCs w:val="24"/>
        </w:rPr>
        <w:t>queen</w:t>
      </w:r>
      <w:proofErr w:type="spellEnd"/>
      <w:r w:rsidR="00347EA1" w:rsidRPr="00966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EA1" w:rsidRPr="00966BFE">
        <w:rPr>
          <w:rFonts w:ascii="Times New Roman" w:hAnsi="Times New Roman"/>
          <w:sz w:val="24"/>
          <w:szCs w:val="24"/>
        </w:rPr>
        <w:t>contiguity</w:t>
      </w:r>
      <w:proofErr w:type="spellEnd"/>
      <w:r w:rsidR="00347EA1" w:rsidRPr="00966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EA1" w:rsidRPr="00966BFE">
        <w:rPr>
          <w:rFonts w:ascii="Times New Roman" w:hAnsi="Times New Roman"/>
          <w:sz w:val="24"/>
          <w:szCs w:val="24"/>
        </w:rPr>
        <w:t>weights</w:t>
      </w:r>
      <w:proofErr w:type="spellEnd"/>
      <w:r w:rsidR="00BA492F">
        <w:rPr>
          <w:rFonts w:ascii="Times New Roman" w:hAnsi="Times New Roman"/>
          <w:sz w:val="24"/>
          <w:szCs w:val="24"/>
        </w:rPr>
        <w:t>»</w:t>
      </w:r>
      <w:r w:rsidR="00342A77">
        <w:rPr>
          <w:rFonts w:ascii="Times New Roman" w:hAnsi="Times New Roman"/>
          <w:sz w:val="24"/>
          <w:szCs w:val="24"/>
        </w:rPr>
        <w:t>)</w:t>
      </w:r>
      <w:r w:rsidR="00347EA1">
        <w:rPr>
          <w:rFonts w:ascii="Times New Roman" w:hAnsi="Times New Roman"/>
          <w:sz w:val="24"/>
          <w:szCs w:val="24"/>
        </w:rPr>
        <w:t>.</w:t>
      </w:r>
    </w:p>
    <w:p w14:paraId="7794D169" w14:textId="0015CAF1" w:rsidR="000E7B1A" w:rsidRDefault="00FC32CF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2CF">
        <w:rPr>
          <w:rFonts w:ascii="Times New Roman" w:hAnsi="Times New Roman"/>
          <w:b/>
          <w:bCs/>
          <w:i/>
          <w:sz w:val="24"/>
          <w:szCs w:val="24"/>
        </w:rPr>
        <w:t xml:space="preserve">Корреляционный анализ </w:t>
      </w:r>
      <w:proofErr w:type="spellStart"/>
      <w:r w:rsidRPr="00FC32CF">
        <w:rPr>
          <w:rFonts w:ascii="Times New Roman" w:hAnsi="Times New Roman"/>
          <w:b/>
          <w:bCs/>
          <w:i/>
          <w:sz w:val="24"/>
          <w:szCs w:val="24"/>
        </w:rPr>
        <w:t>Спирмена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EC69F0">
        <w:rPr>
          <w:rFonts w:ascii="Times New Roman" w:hAnsi="Times New Roman"/>
          <w:sz w:val="24"/>
          <w:szCs w:val="24"/>
        </w:rPr>
        <w:t xml:space="preserve">Роль </w:t>
      </w:r>
      <w:r w:rsidR="003D7110">
        <w:rPr>
          <w:rFonts w:ascii="Times New Roman" w:hAnsi="Times New Roman"/>
          <w:sz w:val="24"/>
          <w:szCs w:val="24"/>
        </w:rPr>
        <w:t xml:space="preserve">фактора </w:t>
      </w:r>
      <w:r w:rsidR="00DF560D" w:rsidRPr="00DF560D">
        <w:rPr>
          <w:rFonts w:ascii="Times New Roman" w:hAnsi="Times New Roman"/>
          <w:sz w:val="24"/>
          <w:szCs w:val="24"/>
        </w:rPr>
        <w:t xml:space="preserve">взаимного расположения регионов </w:t>
      </w:r>
      <w:r w:rsidR="00A519EC">
        <w:rPr>
          <w:rFonts w:ascii="Times New Roman" w:hAnsi="Times New Roman"/>
          <w:sz w:val="24"/>
          <w:szCs w:val="24"/>
        </w:rPr>
        <w:t xml:space="preserve">(расстояния между регионами) </w:t>
      </w:r>
      <w:r w:rsidR="00EC69F0">
        <w:rPr>
          <w:rFonts w:ascii="Times New Roman" w:hAnsi="Times New Roman"/>
          <w:sz w:val="24"/>
          <w:szCs w:val="24"/>
        </w:rPr>
        <w:t xml:space="preserve">в формировании доли местного НДФЛ в </w:t>
      </w:r>
      <w:r w:rsidR="003D7110">
        <w:rPr>
          <w:rFonts w:ascii="Times New Roman" w:hAnsi="Times New Roman"/>
          <w:sz w:val="24"/>
          <w:szCs w:val="24"/>
        </w:rPr>
        <w:t xml:space="preserve">каждом отдельном </w:t>
      </w:r>
      <w:r w:rsidR="00EC69F0">
        <w:rPr>
          <w:rFonts w:ascii="Times New Roman" w:hAnsi="Times New Roman"/>
          <w:sz w:val="24"/>
          <w:szCs w:val="24"/>
        </w:rPr>
        <w:t>субъекте</w:t>
      </w:r>
      <w:r w:rsidR="003D7110">
        <w:rPr>
          <w:rFonts w:ascii="Times New Roman" w:hAnsi="Times New Roman"/>
          <w:sz w:val="24"/>
          <w:szCs w:val="24"/>
        </w:rPr>
        <w:t xml:space="preserve"> России</w:t>
      </w:r>
      <w:r w:rsidR="00EC69F0">
        <w:rPr>
          <w:rFonts w:ascii="Times New Roman" w:hAnsi="Times New Roman"/>
          <w:sz w:val="24"/>
          <w:szCs w:val="24"/>
        </w:rPr>
        <w:t xml:space="preserve"> определяется следующим образом.</w:t>
      </w:r>
      <w:r w:rsidR="003D7110">
        <w:rPr>
          <w:rFonts w:ascii="Times New Roman" w:hAnsi="Times New Roman"/>
          <w:sz w:val="24"/>
          <w:szCs w:val="24"/>
        </w:rPr>
        <w:t xml:space="preserve"> Вычисляется</w:t>
      </w:r>
      <w:r w:rsidR="00ED1DB6">
        <w:rPr>
          <w:rFonts w:ascii="Times New Roman" w:hAnsi="Times New Roman"/>
          <w:sz w:val="24"/>
          <w:szCs w:val="24"/>
        </w:rPr>
        <w:t>, н</w:t>
      </w:r>
      <w:r w:rsidR="001D5D3F">
        <w:rPr>
          <w:rFonts w:ascii="Times New Roman" w:hAnsi="Times New Roman"/>
          <w:sz w:val="24"/>
          <w:szCs w:val="24"/>
        </w:rPr>
        <w:t xml:space="preserve">асколько </w:t>
      </w:r>
      <w:r w:rsidR="001D5D3F" w:rsidRPr="001D5D3F">
        <w:rPr>
          <w:rFonts w:ascii="Times New Roman" w:hAnsi="Times New Roman"/>
          <w:sz w:val="24"/>
          <w:szCs w:val="24"/>
        </w:rPr>
        <w:t>дол</w:t>
      </w:r>
      <w:r w:rsidR="001D5D3F">
        <w:rPr>
          <w:rFonts w:ascii="Times New Roman" w:hAnsi="Times New Roman"/>
          <w:sz w:val="24"/>
          <w:szCs w:val="24"/>
        </w:rPr>
        <w:t>я</w:t>
      </w:r>
      <w:r w:rsidR="001D5D3F" w:rsidRPr="001D5D3F">
        <w:rPr>
          <w:rFonts w:ascii="Times New Roman" w:hAnsi="Times New Roman"/>
          <w:sz w:val="24"/>
          <w:szCs w:val="24"/>
        </w:rPr>
        <w:t xml:space="preserve"> НДФЛ местных бюджетов</w:t>
      </w:r>
      <w:r w:rsidR="00D2079B">
        <w:rPr>
          <w:rFonts w:ascii="Times New Roman" w:hAnsi="Times New Roman"/>
          <w:sz w:val="24"/>
          <w:szCs w:val="24"/>
        </w:rPr>
        <w:t xml:space="preserve"> в том или ином </w:t>
      </w:r>
      <w:r w:rsidR="000E7B1A">
        <w:rPr>
          <w:rFonts w:ascii="Times New Roman" w:hAnsi="Times New Roman"/>
          <w:sz w:val="24"/>
          <w:szCs w:val="24"/>
        </w:rPr>
        <w:t xml:space="preserve">субъекте </w:t>
      </w:r>
      <w:r w:rsidR="001D5D3F">
        <w:rPr>
          <w:rFonts w:ascii="Times New Roman" w:hAnsi="Times New Roman"/>
          <w:sz w:val="24"/>
          <w:szCs w:val="24"/>
        </w:rPr>
        <w:t>взаимосвязана с фактом близости/удаленности субъектов друг от друга.</w:t>
      </w:r>
      <w:r w:rsidR="00ED1DB6">
        <w:rPr>
          <w:rFonts w:ascii="Times New Roman" w:hAnsi="Times New Roman"/>
          <w:sz w:val="24"/>
          <w:szCs w:val="24"/>
        </w:rPr>
        <w:t xml:space="preserve"> Для этого предварительно </w:t>
      </w:r>
      <w:r>
        <w:rPr>
          <w:rFonts w:ascii="Times New Roman" w:hAnsi="Times New Roman"/>
          <w:sz w:val="24"/>
          <w:szCs w:val="24"/>
        </w:rPr>
        <w:t>рассчитываются</w:t>
      </w:r>
      <w:r w:rsidR="00ED1DB6">
        <w:rPr>
          <w:rFonts w:ascii="Times New Roman" w:hAnsi="Times New Roman"/>
          <w:sz w:val="24"/>
          <w:szCs w:val="24"/>
        </w:rPr>
        <w:t xml:space="preserve"> два показателя:</w:t>
      </w:r>
    </w:p>
    <w:p w14:paraId="452ACA73" w14:textId="110AD69C" w:rsidR="00C03DA4" w:rsidRPr="00C03DA4" w:rsidRDefault="00C03DA4" w:rsidP="0043134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4">
        <w:rPr>
          <w:rFonts w:ascii="Times New Roman" w:hAnsi="Times New Roman"/>
          <w:sz w:val="24"/>
          <w:szCs w:val="24"/>
        </w:rPr>
        <w:t>Индикатор схожести/отличия доли местного НДФЛ в одном субъекте от доли местного НДФЛ в другом субъекте.</w:t>
      </w:r>
    </w:p>
    <w:p w14:paraId="4BAFA98B" w14:textId="4F6B0BB8" w:rsidR="00ED1DB6" w:rsidRPr="00C03DA4" w:rsidRDefault="00ED1DB6" w:rsidP="0043134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DA4">
        <w:rPr>
          <w:rFonts w:ascii="Times New Roman" w:hAnsi="Times New Roman"/>
          <w:sz w:val="24"/>
          <w:szCs w:val="24"/>
        </w:rPr>
        <w:t>Индикатор близости/удаленности (</w:t>
      </w:r>
      <w:r w:rsidR="009251B4">
        <w:rPr>
          <w:rFonts w:ascii="Times New Roman" w:hAnsi="Times New Roman"/>
          <w:sz w:val="24"/>
          <w:szCs w:val="24"/>
        </w:rPr>
        <w:t xml:space="preserve">индикатор </w:t>
      </w:r>
      <w:r w:rsidRPr="00C03DA4">
        <w:rPr>
          <w:rFonts w:ascii="Times New Roman" w:hAnsi="Times New Roman"/>
          <w:sz w:val="24"/>
          <w:szCs w:val="24"/>
        </w:rPr>
        <w:t>расстояни</w:t>
      </w:r>
      <w:r w:rsidR="00C03DA4" w:rsidRPr="00C03DA4">
        <w:rPr>
          <w:rFonts w:ascii="Times New Roman" w:hAnsi="Times New Roman"/>
          <w:sz w:val="24"/>
          <w:szCs w:val="24"/>
        </w:rPr>
        <w:t>я</w:t>
      </w:r>
      <w:r w:rsidRPr="00C03DA4">
        <w:rPr>
          <w:rFonts w:ascii="Times New Roman" w:hAnsi="Times New Roman"/>
          <w:sz w:val="24"/>
          <w:szCs w:val="24"/>
        </w:rPr>
        <w:t>)</w:t>
      </w:r>
      <w:r w:rsidR="00C03DA4" w:rsidRPr="00C03DA4">
        <w:rPr>
          <w:rFonts w:ascii="Times New Roman" w:hAnsi="Times New Roman"/>
          <w:sz w:val="24"/>
          <w:szCs w:val="24"/>
        </w:rPr>
        <w:t xml:space="preserve"> данных субъектов</w:t>
      </w:r>
      <w:r w:rsidR="00A168C7">
        <w:rPr>
          <w:rFonts w:ascii="Times New Roman" w:hAnsi="Times New Roman"/>
          <w:sz w:val="24"/>
          <w:szCs w:val="24"/>
        </w:rPr>
        <w:t>.</w:t>
      </w:r>
    </w:p>
    <w:p w14:paraId="06F76907" w14:textId="2F10216D" w:rsidR="00D668A3" w:rsidRDefault="00766BBE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вычисления </w:t>
      </w:r>
      <w:r w:rsidRPr="00766BBE">
        <w:rPr>
          <w:rFonts w:ascii="Times New Roman" w:hAnsi="Times New Roman"/>
          <w:sz w:val="24"/>
          <w:szCs w:val="24"/>
        </w:rPr>
        <w:t>индикатор</w:t>
      </w:r>
      <w:r>
        <w:rPr>
          <w:rFonts w:ascii="Times New Roman" w:hAnsi="Times New Roman"/>
          <w:sz w:val="24"/>
          <w:szCs w:val="24"/>
        </w:rPr>
        <w:t>а</w:t>
      </w:r>
      <w:r w:rsidRPr="00766BBE">
        <w:rPr>
          <w:rFonts w:ascii="Times New Roman" w:hAnsi="Times New Roman"/>
          <w:sz w:val="24"/>
          <w:szCs w:val="24"/>
        </w:rPr>
        <w:t xml:space="preserve"> схожести/отличия </w:t>
      </w:r>
      <w:r>
        <w:rPr>
          <w:rFonts w:ascii="Times New Roman" w:hAnsi="Times New Roman"/>
          <w:sz w:val="24"/>
          <w:szCs w:val="24"/>
        </w:rPr>
        <w:t xml:space="preserve">фактические </w:t>
      </w:r>
      <w:r w:rsidR="00052EFD">
        <w:rPr>
          <w:rFonts w:ascii="Times New Roman" w:hAnsi="Times New Roman"/>
          <w:sz w:val="24"/>
          <w:szCs w:val="24"/>
        </w:rPr>
        <w:t xml:space="preserve">значения </w:t>
      </w:r>
      <w:r w:rsidR="00052EFD" w:rsidRPr="001D5D3F">
        <w:rPr>
          <w:rFonts w:ascii="Times New Roman" w:hAnsi="Times New Roman"/>
          <w:sz w:val="24"/>
          <w:szCs w:val="24"/>
        </w:rPr>
        <w:t>дол</w:t>
      </w:r>
      <w:r w:rsidR="00052EFD">
        <w:rPr>
          <w:rFonts w:ascii="Times New Roman" w:hAnsi="Times New Roman"/>
          <w:sz w:val="24"/>
          <w:szCs w:val="24"/>
        </w:rPr>
        <w:t>и</w:t>
      </w:r>
      <w:r w:rsidR="00052EFD" w:rsidRPr="001D5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="00052EFD" w:rsidRPr="001D5D3F">
        <w:rPr>
          <w:rFonts w:ascii="Times New Roman" w:hAnsi="Times New Roman"/>
          <w:sz w:val="24"/>
          <w:szCs w:val="24"/>
        </w:rPr>
        <w:t xml:space="preserve">НДФЛ </w:t>
      </w:r>
      <w:r w:rsidR="00052EFD">
        <w:rPr>
          <w:rFonts w:ascii="Times New Roman" w:hAnsi="Times New Roman"/>
          <w:sz w:val="24"/>
          <w:szCs w:val="24"/>
        </w:rPr>
        <w:t>нормируются по формуле</w:t>
      </w:r>
      <w:r w:rsidR="00FC32CF">
        <w:rPr>
          <w:rFonts w:ascii="Times New Roman" w:hAnsi="Times New Roman"/>
          <w:sz w:val="24"/>
          <w:szCs w:val="24"/>
        </w:rPr>
        <w:t xml:space="preserve"> (1</w:t>
      </w:r>
      <w:r w:rsidR="004E65ED">
        <w:rPr>
          <w:rFonts w:ascii="Times New Roman" w:hAnsi="Times New Roman"/>
          <w:sz w:val="24"/>
          <w:szCs w:val="24"/>
        </w:rPr>
        <w:t xml:space="preserve">). </w:t>
      </w:r>
      <w:r w:rsidR="000226EE">
        <w:rPr>
          <w:rFonts w:ascii="Times New Roman" w:hAnsi="Times New Roman"/>
          <w:sz w:val="24"/>
          <w:szCs w:val="24"/>
        </w:rPr>
        <w:t xml:space="preserve">Данный подход был применен в работе </w:t>
      </w:r>
      <w:r w:rsidR="008E028C" w:rsidRPr="008E028C">
        <w:rPr>
          <w:rFonts w:ascii="Times New Roman" w:hAnsi="Times New Roman"/>
          <w:sz w:val="24"/>
          <w:szCs w:val="24"/>
        </w:rPr>
        <w:t>[</w:t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6403D">
        <w:rPr>
          <w:rFonts w:ascii="Times New Roman" w:hAnsi="Times New Roman"/>
          <w:sz w:val="24"/>
          <w:szCs w:val="24"/>
        </w:rPr>
        <w:instrText xml:space="preserve"> REF _Ref35601304 \r \h </w:instrText>
      </w:r>
      <w:r w:rsidR="0066403D">
        <w:rPr>
          <w:rFonts w:ascii="Times New Roman" w:hAnsi="Times New Roman"/>
          <w:sz w:val="24"/>
          <w:szCs w:val="24"/>
          <w:lang w:val="en-US"/>
        </w:rPr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6403D">
        <w:rPr>
          <w:rFonts w:ascii="Times New Roman" w:hAnsi="Times New Roman"/>
          <w:sz w:val="24"/>
          <w:szCs w:val="24"/>
        </w:rPr>
        <w:t>5</w:t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E028C" w:rsidRPr="008E028C">
        <w:rPr>
          <w:rFonts w:ascii="Times New Roman" w:hAnsi="Times New Roman"/>
          <w:sz w:val="24"/>
          <w:szCs w:val="24"/>
        </w:rPr>
        <w:t>]</w:t>
      </w:r>
      <w:r w:rsidR="000226EE">
        <w:rPr>
          <w:rFonts w:ascii="Times New Roman" w:hAnsi="Times New Roman"/>
          <w:sz w:val="24"/>
          <w:szCs w:val="24"/>
        </w:rPr>
        <w:t xml:space="preserve"> для получения количественной характеристики </w:t>
      </w:r>
      <w:r w:rsidR="006B2969">
        <w:rPr>
          <w:rFonts w:ascii="Times New Roman" w:hAnsi="Times New Roman"/>
          <w:sz w:val="24"/>
          <w:szCs w:val="24"/>
        </w:rPr>
        <w:t xml:space="preserve">схожести </w:t>
      </w:r>
      <w:r w:rsidR="000226EE">
        <w:rPr>
          <w:rFonts w:ascii="Times New Roman" w:hAnsi="Times New Roman"/>
          <w:sz w:val="24"/>
          <w:szCs w:val="24"/>
        </w:rPr>
        <w:t>двух стран по признаку их площади.</w:t>
      </w:r>
    </w:p>
    <w:p w14:paraId="782B6A38" w14:textId="14CF4113" w:rsidR="004E65ED" w:rsidRPr="00D668A3" w:rsidRDefault="004E65ED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выше значения</w:t>
      </w:r>
      <w:r w:rsidRPr="00052EFD">
        <w:rPr>
          <w:rFonts w:ascii="Times New Roman" w:hAnsi="Times New Roman"/>
          <w:sz w:val="24"/>
          <w:szCs w:val="24"/>
        </w:rPr>
        <w:t xml:space="preserve"> </w:t>
      </w:r>
      <w:r w:rsidRPr="00D668A3"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максимальным значением «1»), тем приближеннее </w:t>
      </w:r>
      <w:r w:rsidR="00D7342D">
        <w:rPr>
          <w:rFonts w:ascii="Times New Roman" w:hAnsi="Times New Roman"/>
          <w:sz w:val="24"/>
          <w:szCs w:val="24"/>
        </w:rPr>
        <w:t>друг к другу (</w:t>
      </w:r>
      <w:r w:rsidR="00054FFF">
        <w:rPr>
          <w:rFonts w:ascii="Times New Roman" w:hAnsi="Times New Roman"/>
          <w:sz w:val="24"/>
          <w:szCs w:val="24"/>
        </w:rPr>
        <w:t>примерно одинаковы</w:t>
      </w:r>
      <w:r w:rsidR="00D7342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фактические величины доли</w:t>
      </w:r>
      <w:r w:rsidRPr="00D41603">
        <w:rPr>
          <w:rFonts w:ascii="Times New Roman" w:hAnsi="Times New Roman"/>
          <w:sz w:val="24"/>
          <w:szCs w:val="24"/>
        </w:rPr>
        <w:t xml:space="preserve"> НДФЛ местных бюджетов</w:t>
      </w:r>
      <w:r>
        <w:rPr>
          <w:rFonts w:ascii="Times New Roman" w:hAnsi="Times New Roman"/>
          <w:sz w:val="24"/>
          <w:szCs w:val="24"/>
        </w:rPr>
        <w:t xml:space="preserve"> в соответствующих субъектах.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  <w:gridCol w:w="439"/>
      </w:tblGrid>
      <w:tr w:rsidR="00730E2C" w:rsidRPr="001E160C" w14:paraId="63B16986" w14:textId="77777777" w:rsidTr="00A721D1">
        <w:tc>
          <w:tcPr>
            <w:tcW w:w="9189" w:type="dxa"/>
          </w:tcPr>
          <w:p w14:paraId="5FFB0B5A" w14:textId="49EE2E49" w:rsidR="00730E2C" w:rsidRPr="001E160C" w:rsidRDefault="003D4754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(s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)+50*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  <w:p w14:paraId="51727D36" w14:textId="77777777" w:rsidR="00191818" w:rsidRPr="001E160C" w:rsidRDefault="00191818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A1C936" w14:textId="7AD77FF3" w:rsidR="00456B93" w:rsidRPr="001E160C" w:rsidRDefault="00191818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60C">
              <w:rPr>
                <w:rFonts w:ascii="Times New Roman" w:hAnsi="Times New Roman"/>
                <w:sz w:val="18"/>
                <w:szCs w:val="18"/>
              </w:rPr>
              <w:t xml:space="preserve">где </w:t>
            </w:r>
            <w:proofErr w:type="spellStart"/>
            <w:r w:rsidR="00456B93"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="00456B93" w:rsidRPr="001E160C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ij</w:t>
            </w:r>
            <w:proofErr w:type="spellEnd"/>
            <w:r w:rsidR="00456B93" w:rsidRPr="001E160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852C44" w:rsidRPr="001E160C">
              <w:rPr>
                <w:rFonts w:ascii="Times New Roman" w:hAnsi="Times New Roman"/>
                <w:sz w:val="18"/>
                <w:szCs w:val="18"/>
              </w:rPr>
              <w:t>нормированная</w:t>
            </w:r>
            <w:r w:rsidR="00456B93" w:rsidRPr="001E160C">
              <w:rPr>
                <w:rFonts w:ascii="Times New Roman" w:hAnsi="Times New Roman"/>
                <w:sz w:val="18"/>
                <w:szCs w:val="18"/>
              </w:rPr>
              <w:t xml:space="preserve"> величина доли НДФЛ местных бюджетов в субъекте </w:t>
            </w:r>
            <w:proofErr w:type="spellStart"/>
            <w:r w:rsidR="00456B93"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="00852C44" w:rsidRPr="001E160C">
              <w:rPr>
                <w:rFonts w:ascii="Times New Roman" w:hAnsi="Times New Roman"/>
                <w:sz w:val="18"/>
                <w:szCs w:val="18"/>
              </w:rPr>
              <w:t xml:space="preserve"> по отношению к величине доли НДФЛ местных бюджетов в субъекте </w:t>
            </w:r>
            <w:r w:rsidR="00852C44"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</w:t>
            </w:r>
            <w:r w:rsidR="00456B93" w:rsidRPr="001E160C">
              <w:rPr>
                <w:rFonts w:ascii="Times New Roman" w:hAnsi="Times New Roman"/>
                <w:sz w:val="18"/>
                <w:szCs w:val="18"/>
              </w:rPr>
              <w:t>, ед.</w:t>
            </w:r>
          </w:p>
          <w:p w14:paraId="5C14F812" w14:textId="7F8C9E4C" w:rsidR="00730E2C" w:rsidRPr="001E160C" w:rsidRDefault="00A60D75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1E160C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="00730E2C" w:rsidRPr="001E16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1818" w:rsidRPr="001E160C">
              <w:rPr>
                <w:rFonts w:ascii="Times New Roman" w:hAnsi="Times New Roman"/>
                <w:sz w:val="18"/>
                <w:szCs w:val="18"/>
              </w:rPr>
              <w:t>–</w:t>
            </w:r>
            <w:r w:rsidR="00730E2C" w:rsidRPr="001E16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1818" w:rsidRPr="001E160C">
              <w:rPr>
                <w:rFonts w:ascii="Times New Roman" w:hAnsi="Times New Roman"/>
                <w:sz w:val="18"/>
                <w:szCs w:val="18"/>
              </w:rPr>
              <w:t xml:space="preserve">фактическая величина доли НДФЛ местных бюджетов в субъекте </w:t>
            </w:r>
            <w:proofErr w:type="spellStart"/>
            <w:r w:rsidR="00191818"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1E160C">
              <w:rPr>
                <w:rFonts w:ascii="Times New Roman" w:hAnsi="Times New Roman"/>
                <w:sz w:val="18"/>
                <w:szCs w:val="18"/>
              </w:rPr>
              <w:t>,</w:t>
            </w:r>
            <w:r w:rsidR="008223CF" w:rsidRPr="001E160C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  <w:p w14:paraId="5A102BB2" w14:textId="7F591904" w:rsidR="00A60D75" w:rsidRPr="001E160C" w:rsidRDefault="00A60D75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1E160C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  <w:r w:rsidRPr="001E160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E160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91818" w:rsidRPr="001E160C">
              <w:rPr>
                <w:rFonts w:ascii="Times New Roman" w:hAnsi="Times New Roman"/>
                <w:sz w:val="18"/>
                <w:szCs w:val="18"/>
              </w:rPr>
              <w:t xml:space="preserve">фактическая величина доли НДФЛ местных бюджетов в субъекте </w:t>
            </w:r>
            <w:r w:rsidR="00191818"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</w:t>
            </w:r>
            <w:r w:rsidR="00191818" w:rsidRPr="001E160C">
              <w:rPr>
                <w:rFonts w:ascii="Times New Roman" w:hAnsi="Times New Roman"/>
                <w:sz w:val="18"/>
                <w:szCs w:val="18"/>
              </w:rPr>
              <w:t>,</w:t>
            </w:r>
            <w:r w:rsidR="008223CF" w:rsidRPr="001E160C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  <w:p w14:paraId="3CEF627F" w14:textId="7E6521EE" w:rsidR="00A60D75" w:rsidRPr="001E160C" w:rsidRDefault="00A60D75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60C">
              <w:rPr>
                <w:rFonts w:ascii="Times New Roman" w:hAnsi="Times New Roman"/>
                <w:sz w:val="18"/>
                <w:szCs w:val="18"/>
              </w:rPr>
              <w:t xml:space="preserve">«50» - </w:t>
            </w:r>
            <w:r w:rsidR="00A56912" w:rsidRPr="001E160C">
              <w:rPr>
                <w:rFonts w:ascii="Times New Roman" w:hAnsi="Times New Roman"/>
                <w:sz w:val="18"/>
                <w:szCs w:val="18"/>
              </w:rPr>
              <w:t>выбранное значение коэффициента разницы величин по двум объектам.</w:t>
            </w:r>
          </w:p>
        </w:tc>
        <w:tc>
          <w:tcPr>
            <w:tcW w:w="439" w:type="dxa"/>
          </w:tcPr>
          <w:p w14:paraId="46A28411" w14:textId="476464A3" w:rsidR="00730E2C" w:rsidRPr="001E160C" w:rsidRDefault="00730E2C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60C">
              <w:rPr>
                <w:rFonts w:ascii="Times New Roman" w:hAnsi="Times New Roman"/>
                <w:sz w:val="18"/>
                <w:szCs w:val="18"/>
              </w:rPr>
              <w:t>(</w:t>
            </w:r>
            <w:r w:rsidR="00FC32CF">
              <w:rPr>
                <w:rFonts w:ascii="Times New Roman" w:hAnsi="Times New Roman"/>
                <w:sz w:val="18"/>
                <w:szCs w:val="18"/>
              </w:rPr>
              <w:t>1</w:t>
            </w:r>
            <w:r w:rsidRPr="001E160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6119497" w14:textId="3C980EBE" w:rsidR="007E02CD" w:rsidRDefault="007E02CD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количественной характеристики расстояния </w:t>
      </w:r>
      <w:r w:rsidR="00766BBE">
        <w:rPr>
          <w:rFonts w:ascii="Times New Roman" w:hAnsi="Times New Roman"/>
          <w:sz w:val="24"/>
          <w:szCs w:val="24"/>
        </w:rPr>
        <w:t>(</w:t>
      </w:r>
      <w:r w:rsidR="00766BBE" w:rsidRPr="00766BBE">
        <w:rPr>
          <w:rFonts w:ascii="Times New Roman" w:hAnsi="Times New Roman"/>
          <w:sz w:val="24"/>
          <w:szCs w:val="24"/>
        </w:rPr>
        <w:t>индикатор</w:t>
      </w:r>
      <w:r w:rsidR="00766BBE">
        <w:rPr>
          <w:rFonts w:ascii="Times New Roman" w:hAnsi="Times New Roman"/>
          <w:sz w:val="24"/>
          <w:szCs w:val="24"/>
        </w:rPr>
        <w:t>а</w:t>
      </w:r>
      <w:r w:rsidR="00766BBE" w:rsidRPr="00766BBE">
        <w:rPr>
          <w:rFonts w:ascii="Times New Roman" w:hAnsi="Times New Roman"/>
          <w:sz w:val="24"/>
          <w:szCs w:val="24"/>
        </w:rPr>
        <w:t xml:space="preserve"> близости/удаленности)</w:t>
      </w:r>
      <w:r w:rsidR="0076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двумя регионами России в данной работе применяется обратная величина квадратного корня расстоя</w:t>
      </w:r>
      <w:r w:rsidR="0058414A">
        <w:rPr>
          <w:rFonts w:ascii="Times New Roman" w:hAnsi="Times New Roman"/>
          <w:sz w:val="24"/>
          <w:szCs w:val="24"/>
        </w:rPr>
        <w:t>ния между центрами субъектов (2)</w:t>
      </w:r>
      <w:r>
        <w:rPr>
          <w:rFonts w:ascii="Times New Roman" w:hAnsi="Times New Roman"/>
          <w:sz w:val="24"/>
          <w:szCs w:val="24"/>
        </w:rPr>
        <w:t xml:space="preserve">. Данный подход </w:t>
      </w:r>
      <w:r w:rsidR="00F07E81"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sz w:val="24"/>
          <w:szCs w:val="24"/>
        </w:rPr>
        <w:t xml:space="preserve">основан на методике, использованной в работе </w:t>
      </w:r>
      <w:r w:rsidRPr="008E028C">
        <w:rPr>
          <w:rFonts w:ascii="Times New Roman" w:hAnsi="Times New Roman"/>
          <w:sz w:val="24"/>
          <w:szCs w:val="24"/>
        </w:rPr>
        <w:t>[</w:t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6403D">
        <w:rPr>
          <w:rFonts w:ascii="Times New Roman" w:hAnsi="Times New Roman"/>
          <w:sz w:val="24"/>
          <w:szCs w:val="24"/>
        </w:rPr>
        <w:instrText xml:space="preserve"> REF _Ref35601304 \r \h </w:instrText>
      </w:r>
      <w:r w:rsidR="0066403D">
        <w:rPr>
          <w:rFonts w:ascii="Times New Roman" w:hAnsi="Times New Roman"/>
          <w:sz w:val="24"/>
          <w:szCs w:val="24"/>
          <w:lang w:val="en-US"/>
        </w:rPr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6403D">
        <w:rPr>
          <w:rFonts w:ascii="Times New Roman" w:hAnsi="Times New Roman"/>
          <w:sz w:val="24"/>
          <w:szCs w:val="24"/>
        </w:rPr>
        <w:t>5</w:t>
      </w:r>
      <w:r w:rsidR="0066403D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E028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Источник данных о расстоянии между регионами России: </w:t>
      </w:r>
      <w:r w:rsidRPr="008E028C">
        <w:rPr>
          <w:rFonts w:ascii="Times New Roman" w:hAnsi="Times New Roman"/>
          <w:sz w:val="24"/>
          <w:szCs w:val="24"/>
        </w:rPr>
        <w:t>[</w:t>
      </w:r>
      <w:r w:rsidR="0066403D">
        <w:rPr>
          <w:rFonts w:ascii="Times New Roman" w:hAnsi="Times New Roman"/>
          <w:sz w:val="24"/>
          <w:szCs w:val="24"/>
        </w:rPr>
        <w:fldChar w:fldCharType="begin"/>
      </w:r>
      <w:r w:rsidR="0066403D">
        <w:rPr>
          <w:rFonts w:ascii="Times New Roman" w:hAnsi="Times New Roman"/>
          <w:sz w:val="24"/>
          <w:szCs w:val="24"/>
        </w:rPr>
        <w:instrText xml:space="preserve"> REF _Ref35601313 \r \h </w:instrText>
      </w:r>
      <w:r w:rsidR="0066403D">
        <w:rPr>
          <w:rFonts w:ascii="Times New Roman" w:hAnsi="Times New Roman"/>
          <w:sz w:val="24"/>
          <w:szCs w:val="24"/>
        </w:rPr>
      </w:r>
      <w:r w:rsidR="0066403D">
        <w:rPr>
          <w:rFonts w:ascii="Times New Roman" w:hAnsi="Times New Roman"/>
          <w:sz w:val="24"/>
          <w:szCs w:val="24"/>
        </w:rPr>
        <w:fldChar w:fldCharType="separate"/>
      </w:r>
      <w:r w:rsidR="0066403D">
        <w:rPr>
          <w:rFonts w:ascii="Times New Roman" w:hAnsi="Times New Roman"/>
          <w:sz w:val="24"/>
          <w:szCs w:val="24"/>
        </w:rPr>
        <w:t>1</w:t>
      </w:r>
      <w:r w:rsidR="0066403D">
        <w:rPr>
          <w:rFonts w:ascii="Times New Roman" w:hAnsi="Times New Roman"/>
          <w:sz w:val="24"/>
          <w:szCs w:val="24"/>
        </w:rPr>
        <w:fldChar w:fldCharType="end"/>
      </w:r>
      <w:r w:rsidRPr="008E028C">
        <w:rPr>
          <w:rFonts w:ascii="Times New Roman" w:hAnsi="Times New Roman"/>
          <w:sz w:val="24"/>
          <w:szCs w:val="24"/>
        </w:rPr>
        <w:t>].</w:t>
      </w:r>
    </w:p>
    <w:p w14:paraId="6B7E15B5" w14:textId="77777777" w:rsidR="007E02CD" w:rsidRPr="00D668A3" w:rsidRDefault="007E02CD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выше значения</w:t>
      </w:r>
      <w:r w:rsidRPr="00052EFD">
        <w:rPr>
          <w:rFonts w:ascii="Times New Roman" w:hAnsi="Times New Roman"/>
          <w:sz w:val="24"/>
          <w:szCs w:val="24"/>
        </w:rPr>
        <w:t xml:space="preserve"> </w:t>
      </w:r>
      <w:r w:rsidRPr="00D668A3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, тем ближе друг от друга располагаются субъекты.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  <w:gridCol w:w="439"/>
      </w:tblGrid>
      <w:tr w:rsidR="007E02CD" w:rsidRPr="001E160C" w14:paraId="31DC0A83" w14:textId="77777777" w:rsidTr="00A721D1">
        <w:tc>
          <w:tcPr>
            <w:tcW w:w="9189" w:type="dxa"/>
          </w:tcPr>
          <w:p w14:paraId="1096EE84" w14:textId="77777777" w:rsidR="007E02CD" w:rsidRPr="001E160C" w:rsidRDefault="003D4754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18"/>
                                <w:szCs w:val="18"/>
                                <w:lang w:val="en-US"/>
                              </w:rPr>
                              <m:t>ij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14:paraId="0949060A" w14:textId="77777777" w:rsidR="007E02CD" w:rsidRPr="001E160C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1E160C">
              <w:rPr>
                <w:rFonts w:ascii="Times New Roman" w:hAnsi="Times New Roman"/>
                <w:sz w:val="18"/>
                <w:szCs w:val="18"/>
              </w:rPr>
              <w:t xml:space="preserve">где </w:t>
            </w:r>
            <w:proofErr w:type="spellStart"/>
            <w:r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1E160C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ij</w:t>
            </w:r>
            <w:proofErr w:type="spellEnd"/>
            <w:r w:rsidRPr="001E160C">
              <w:rPr>
                <w:rFonts w:ascii="Times New Roman" w:hAnsi="Times New Roman"/>
                <w:sz w:val="18"/>
                <w:szCs w:val="18"/>
              </w:rPr>
              <w:t xml:space="preserve"> – показатель расстояния между двумя субъектами России.</w:t>
            </w:r>
          </w:p>
          <w:p w14:paraId="51795711" w14:textId="77777777" w:rsidR="007E02CD" w:rsidRPr="001E160C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16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1E160C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ij</w:t>
            </w:r>
            <w:proofErr w:type="spellEnd"/>
            <w:r w:rsidRPr="001E160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E160C">
              <w:rPr>
                <w:rFonts w:ascii="Times New Roman" w:hAnsi="Times New Roman"/>
                <w:sz w:val="18"/>
                <w:szCs w:val="18"/>
              </w:rPr>
              <w:t>- расстояние между административными центрами субъектов России, км</w:t>
            </w:r>
          </w:p>
        </w:tc>
        <w:tc>
          <w:tcPr>
            <w:tcW w:w="439" w:type="dxa"/>
          </w:tcPr>
          <w:p w14:paraId="370E122D" w14:textId="786B7C47" w:rsidR="007E02CD" w:rsidRPr="001E160C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60C">
              <w:rPr>
                <w:rFonts w:ascii="Times New Roman" w:hAnsi="Times New Roman"/>
                <w:sz w:val="18"/>
                <w:szCs w:val="18"/>
              </w:rPr>
              <w:t>(</w:t>
            </w:r>
            <w:r w:rsidR="0058414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1E160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297B91B1" w14:textId="62E53156" w:rsidR="00B56818" w:rsidRDefault="007E02CD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</w:t>
      </w:r>
      <w:r w:rsidRPr="00456B9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72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6B93">
        <w:rPr>
          <w:rFonts w:ascii="Times New Roman" w:hAnsi="Times New Roman"/>
          <w:i/>
          <w:sz w:val="24"/>
          <w:szCs w:val="24"/>
          <w:lang w:val="en-US"/>
        </w:rPr>
        <w:t>D</w:t>
      </w:r>
      <w:r w:rsidR="00B5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вычисляются</w:t>
      </w:r>
      <w:r w:rsidRPr="0072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отдельно для каждого региона </w:t>
      </w:r>
      <w:proofErr w:type="spellStart"/>
      <w:r w:rsidRPr="00726720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72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всем регионам </w:t>
      </w:r>
      <w:r w:rsidRPr="00726720">
        <w:rPr>
          <w:rFonts w:ascii="Times New Roman" w:hAnsi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 w:rsidR="00B56818">
        <w:rPr>
          <w:rFonts w:ascii="Times New Roman" w:hAnsi="Times New Roman"/>
          <w:sz w:val="24"/>
          <w:szCs w:val="24"/>
        </w:rPr>
        <w:t xml:space="preserve">Для количественной характеристики взаимосвязи показателей </w:t>
      </w:r>
      <w:r w:rsidR="00B56818" w:rsidRPr="00456B93">
        <w:rPr>
          <w:rFonts w:ascii="Times New Roman" w:hAnsi="Times New Roman"/>
          <w:i/>
          <w:sz w:val="24"/>
          <w:szCs w:val="24"/>
          <w:lang w:val="en-US"/>
        </w:rPr>
        <w:t>S</w:t>
      </w:r>
      <w:r w:rsidR="00B56818" w:rsidRPr="00726720">
        <w:rPr>
          <w:rFonts w:ascii="Times New Roman" w:hAnsi="Times New Roman"/>
          <w:sz w:val="24"/>
          <w:szCs w:val="24"/>
        </w:rPr>
        <w:t xml:space="preserve"> </w:t>
      </w:r>
      <w:r w:rsidR="00B56818">
        <w:rPr>
          <w:rFonts w:ascii="Times New Roman" w:hAnsi="Times New Roman"/>
          <w:sz w:val="24"/>
          <w:szCs w:val="24"/>
        </w:rPr>
        <w:t xml:space="preserve">и </w:t>
      </w:r>
      <w:r w:rsidR="00B56818" w:rsidRPr="00456B93">
        <w:rPr>
          <w:rFonts w:ascii="Times New Roman" w:hAnsi="Times New Roman"/>
          <w:i/>
          <w:sz w:val="24"/>
          <w:szCs w:val="24"/>
          <w:lang w:val="en-US"/>
        </w:rPr>
        <w:t>D</w:t>
      </w:r>
      <w:r w:rsidR="00B56818">
        <w:rPr>
          <w:rFonts w:ascii="Times New Roman" w:hAnsi="Times New Roman"/>
          <w:sz w:val="24"/>
          <w:szCs w:val="24"/>
        </w:rPr>
        <w:t xml:space="preserve"> по каждому региону применяется коэффициент корреляции </w:t>
      </w:r>
      <w:proofErr w:type="spellStart"/>
      <w:r w:rsidR="00B56818">
        <w:rPr>
          <w:rFonts w:ascii="Times New Roman" w:hAnsi="Times New Roman"/>
          <w:sz w:val="24"/>
          <w:szCs w:val="24"/>
        </w:rPr>
        <w:t>Спирмена</w:t>
      </w:r>
      <w:proofErr w:type="spellEnd"/>
      <w:r w:rsidR="00B56818">
        <w:rPr>
          <w:rFonts w:ascii="Times New Roman" w:hAnsi="Times New Roman"/>
          <w:sz w:val="24"/>
          <w:szCs w:val="24"/>
        </w:rPr>
        <w:t xml:space="preserve">. Данный выбор обусловлен тем, что нас интересует не степень связанности </w:t>
      </w:r>
      <w:r w:rsidR="00B56818" w:rsidRPr="00210D57">
        <w:rPr>
          <w:rFonts w:ascii="Times New Roman" w:hAnsi="Times New Roman"/>
          <w:b/>
          <w:sz w:val="24"/>
          <w:szCs w:val="24"/>
        </w:rPr>
        <w:t>величин</w:t>
      </w:r>
      <w:r w:rsidR="00B56818">
        <w:rPr>
          <w:rFonts w:ascii="Times New Roman" w:hAnsi="Times New Roman"/>
          <w:sz w:val="24"/>
          <w:szCs w:val="24"/>
        </w:rPr>
        <w:t xml:space="preserve"> нормативов НДФЛ и </w:t>
      </w:r>
      <w:r w:rsidR="00B56818" w:rsidRPr="00210D57">
        <w:rPr>
          <w:rFonts w:ascii="Times New Roman" w:hAnsi="Times New Roman"/>
          <w:b/>
          <w:sz w:val="24"/>
          <w:szCs w:val="24"/>
        </w:rPr>
        <w:t>величин</w:t>
      </w:r>
      <w:r w:rsidR="00B56818">
        <w:rPr>
          <w:rFonts w:ascii="Times New Roman" w:hAnsi="Times New Roman"/>
          <w:sz w:val="24"/>
          <w:szCs w:val="24"/>
        </w:rPr>
        <w:t xml:space="preserve"> расстояний, а просто </w:t>
      </w:r>
      <w:r w:rsidR="00B56818" w:rsidRPr="00210D57">
        <w:rPr>
          <w:rFonts w:ascii="Times New Roman" w:hAnsi="Times New Roman"/>
          <w:b/>
          <w:sz w:val="24"/>
          <w:szCs w:val="24"/>
        </w:rPr>
        <w:t>факт соответствия между данными величинами</w:t>
      </w:r>
      <w:r w:rsidR="00B56818">
        <w:rPr>
          <w:rFonts w:ascii="Times New Roman" w:hAnsi="Times New Roman"/>
          <w:sz w:val="24"/>
          <w:szCs w:val="24"/>
        </w:rPr>
        <w:t xml:space="preserve"> (например, уменьшается ли схожесть регионов по величине </w:t>
      </w:r>
      <w:r w:rsidR="00B56818" w:rsidRPr="0073351E">
        <w:rPr>
          <w:rFonts w:ascii="Times New Roman" w:hAnsi="Times New Roman"/>
          <w:sz w:val="24"/>
          <w:szCs w:val="24"/>
        </w:rPr>
        <w:t xml:space="preserve">местного НДФЛ </w:t>
      </w:r>
      <w:r w:rsidR="00B56818">
        <w:rPr>
          <w:rFonts w:ascii="Times New Roman" w:hAnsi="Times New Roman"/>
          <w:sz w:val="24"/>
          <w:szCs w:val="24"/>
        </w:rPr>
        <w:t>при росте удаленности между ними).</w:t>
      </w:r>
    </w:p>
    <w:p w14:paraId="390254CA" w14:textId="77777777" w:rsidR="00B56818" w:rsidRDefault="00B56818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9C6A36" w14:textId="3EFC2B99" w:rsidR="007E02CD" w:rsidRDefault="007E02CD" w:rsidP="0043134A">
      <w:pPr>
        <w:pStyle w:val="10-4-17"/>
        <w:spacing w:line="240" w:lineRule="auto"/>
      </w:pPr>
      <w:r>
        <w:t>Результаты</w:t>
      </w:r>
    </w:p>
    <w:p w14:paraId="64C98851" w14:textId="77777777" w:rsidR="00A9182C" w:rsidRDefault="00A9182C" w:rsidP="004313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3913791" w14:textId="07B66FBE" w:rsidR="00965769" w:rsidRDefault="008E6534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10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Пространственный корреляционный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115D">
        <w:rPr>
          <w:rFonts w:ascii="Times New Roman" w:hAnsi="Times New Roman"/>
          <w:sz w:val="24"/>
          <w:szCs w:val="24"/>
        </w:rPr>
        <w:t>В регионах России наблюдается слабая, но статистич</w:t>
      </w:r>
      <w:r w:rsidR="00A168C7">
        <w:rPr>
          <w:rFonts w:ascii="Times New Roman" w:hAnsi="Times New Roman"/>
          <w:sz w:val="24"/>
          <w:szCs w:val="24"/>
        </w:rPr>
        <w:t>ески значимая</w:t>
      </w:r>
      <w:r w:rsidR="0022115D">
        <w:rPr>
          <w:rFonts w:ascii="Times New Roman" w:hAnsi="Times New Roman"/>
          <w:sz w:val="24"/>
          <w:szCs w:val="24"/>
        </w:rPr>
        <w:t xml:space="preserve"> положительная пространственная корреляция доли</w:t>
      </w:r>
      <w:r w:rsidR="0022115D" w:rsidRPr="0022115D">
        <w:rPr>
          <w:rFonts w:ascii="Times New Roman" w:hAnsi="Times New Roman"/>
          <w:sz w:val="24"/>
          <w:szCs w:val="24"/>
        </w:rPr>
        <w:t xml:space="preserve"> НДФЛ местных бюджетов</w:t>
      </w:r>
      <w:r w:rsidR="0022115D">
        <w:rPr>
          <w:rFonts w:ascii="Times New Roman" w:hAnsi="Times New Roman"/>
          <w:sz w:val="24"/>
          <w:szCs w:val="24"/>
        </w:rPr>
        <w:t xml:space="preserve"> </w:t>
      </w:r>
      <w:r w:rsidR="00412E43">
        <w:rPr>
          <w:rFonts w:ascii="Times New Roman" w:hAnsi="Times New Roman"/>
          <w:sz w:val="24"/>
          <w:szCs w:val="24"/>
        </w:rPr>
        <w:t>(таблица 1).</w:t>
      </w:r>
      <w:r w:rsidR="0022115D">
        <w:rPr>
          <w:rFonts w:ascii="Times New Roman" w:hAnsi="Times New Roman"/>
          <w:sz w:val="24"/>
          <w:szCs w:val="24"/>
        </w:rPr>
        <w:t xml:space="preserve"> Таким образом, </w:t>
      </w:r>
      <w:r w:rsidR="00965769">
        <w:rPr>
          <w:rFonts w:ascii="Times New Roman" w:hAnsi="Times New Roman"/>
          <w:sz w:val="24"/>
          <w:szCs w:val="24"/>
        </w:rPr>
        <w:t xml:space="preserve">на формирование уровня децентрализации по НДФЛ в том или ином регионе оказывает </w:t>
      </w:r>
      <w:bookmarkStart w:id="7" w:name="_GoBack"/>
      <w:bookmarkEnd w:id="7"/>
      <w:r w:rsidR="00965769">
        <w:rPr>
          <w:rFonts w:ascii="Times New Roman" w:hAnsi="Times New Roman"/>
          <w:sz w:val="24"/>
          <w:szCs w:val="24"/>
        </w:rPr>
        <w:t>влияние величина показателя в соседнем регионе.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2FF3E0" w14:textId="495817AE" w:rsidR="00965769" w:rsidRDefault="00965769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58652" w14:textId="77777777" w:rsidR="007E02CD" w:rsidRPr="00167161" w:rsidRDefault="007E02CD" w:rsidP="0043134A">
      <w:pPr>
        <w:pStyle w:val="10-4-17"/>
        <w:spacing w:line="240" w:lineRule="auto"/>
        <w:jc w:val="right"/>
        <w:rPr>
          <w:i/>
          <w:iCs/>
        </w:rPr>
      </w:pPr>
      <w:r w:rsidRPr="00167161">
        <w:rPr>
          <w:i/>
          <w:iCs/>
        </w:rPr>
        <w:t>Таблица 1</w:t>
      </w:r>
    </w:p>
    <w:p w14:paraId="29FEDC45" w14:textId="4796B7A4" w:rsidR="007E02CD" w:rsidRDefault="007E02CD" w:rsidP="0043134A">
      <w:pPr>
        <w:pStyle w:val="10-4-17"/>
        <w:spacing w:line="240" w:lineRule="auto"/>
      </w:pPr>
      <w:r>
        <w:t>Коэффициент</w:t>
      </w:r>
      <w:r w:rsidRPr="00530C95">
        <w:t xml:space="preserve"> </w:t>
      </w:r>
      <w:r>
        <w:t xml:space="preserve">пространственной </w:t>
      </w:r>
      <w:r w:rsidRPr="00530C95">
        <w:t xml:space="preserve">корреляции </w:t>
      </w:r>
      <w:r w:rsidRPr="002913B5">
        <w:t>дол</w:t>
      </w:r>
      <w:r>
        <w:t>и</w:t>
      </w:r>
      <w:r w:rsidRPr="002913B5">
        <w:t xml:space="preserve"> НДФЛ местных бюджетов</w:t>
      </w:r>
      <w:r>
        <w:t xml:space="preserve"> в России, ед.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E02CD" w:rsidRPr="0043134A" w14:paraId="523B026D" w14:textId="77777777" w:rsidTr="0043134A">
        <w:trPr>
          <w:jc w:val="center"/>
        </w:trPr>
        <w:tc>
          <w:tcPr>
            <w:tcW w:w="3209" w:type="dxa"/>
          </w:tcPr>
          <w:p w14:paraId="31550CDF" w14:textId="77777777" w:rsidR="007E02CD" w:rsidRPr="0043134A" w:rsidRDefault="007E02CD" w:rsidP="00431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4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09" w:type="dxa"/>
          </w:tcPr>
          <w:p w14:paraId="26DB9DA1" w14:textId="77777777" w:rsidR="007E02CD" w:rsidRPr="0043134A" w:rsidRDefault="007E02CD" w:rsidP="00431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4A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7E02CD" w:rsidRPr="0043134A" w14:paraId="129629D0" w14:textId="77777777" w:rsidTr="0043134A">
        <w:trPr>
          <w:jc w:val="center"/>
        </w:trPr>
        <w:tc>
          <w:tcPr>
            <w:tcW w:w="3209" w:type="dxa"/>
          </w:tcPr>
          <w:p w14:paraId="3CD900BD" w14:textId="4E02BE2C" w:rsidR="007E02CD" w:rsidRPr="0043134A" w:rsidRDefault="00D53150" w:rsidP="0043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корреляции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7E02CD" w:rsidRPr="0043134A">
              <w:rPr>
                <w:rFonts w:ascii="Times New Roman" w:hAnsi="Times New Roman"/>
                <w:sz w:val="24"/>
                <w:szCs w:val="24"/>
              </w:rPr>
              <w:t>s I)</w:t>
            </w:r>
          </w:p>
        </w:tc>
        <w:tc>
          <w:tcPr>
            <w:tcW w:w="3209" w:type="dxa"/>
          </w:tcPr>
          <w:p w14:paraId="6BFE3723" w14:textId="77777777" w:rsidR="007E02CD" w:rsidRPr="0043134A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34A">
              <w:rPr>
                <w:rFonts w:ascii="Times New Roman" w:hAnsi="Times New Roman"/>
                <w:sz w:val="24"/>
                <w:szCs w:val="24"/>
                <w:lang w:val="en-US"/>
              </w:rPr>
              <w:t>0.11</w:t>
            </w:r>
          </w:p>
        </w:tc>
      </w:tr>
      <w:tr w:rsidR="007E02CD" w:rsidRPr="0043134A" w14:paraId="0BF59999" w14:textId="77777777" w:rsidTr="0043134A">
        <w:trPr>
          <w:jc w:val="center"/>
        </w:trPr>
        <w:tc>
          <w:tcPr>
            <w:tcW w:w="3209" w:type="dxa"/>
          </w:tcPr>
          <w:p w14:paraId="25CEB9DA" w14:textId="77777777" w:rsidR="007E02CD" w:rsidRPr="0043134A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34A">
              <w:rPr>
                <w:rFonts w:ascii="Times New Roman" w:hAnsi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3209" w:type="dxa"/>
          </w:tcPr>
          <w:p w14:paraId="06BC96E6" w14:textId="77777777" w:rsidR="007E02CD" w:rsidRPr="0043134A" w:rsidRDefault="007E02CD" w:rsidP="0043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34A"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</w:p>
        </w:tc>
      </w:tr>
    </w:tbl>
    <w:p w14:paraId="68124438" w14:textId="77777777" w:rsidR="007E02CD" w:rsidRDefault="007E02CD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38E196" w14:textId="382A3B03" w:rsidR="00DA6F80" w:rsidRPr="003B481A" w:rsidRDefault="008E6534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2CF">
        <w:rPr>
          <w:rFonts w:ascii="Times New Roman" w:hAnsi="Times New Roman"/>
          <w:b/>
          <w:bCs/>
          <w:i/>
          <w:sz w:val="24"/>
          <w:szCs w:val="24"/>
        </w:rPr>
        <w:t xml:space="preserve">Корреляционный анализ </w:t>
      </w:r>
      <w:proofErr w:type="spellStart"/>
      <w:r w:rsidRPr="00FC32CF">
        <w:rPr>
          <w:rFonts w:ascii="Times New Roman" w:hAnsi="Times New Roman"/>
          <w:b/>
          <w:bCs/>
          <w:i/>
          <w:sz w:val="24"/>
          <w:szCs w:val="24"/>
        </w:rPr>
        <w:t>Спирмена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73351E">
        <w:rPr>
          <w:rFonts w:ascii="Times New Roman" w:hAnsi="Times New Roman"/>
          <w:sz w:val="24"/>
          <w:szCs w:val="24"/>
        </w:rPr>
        <w:t xml:space="preserve">Покажем </w:t>
      </w:r>
      <w:r w:rsidR="00456B93">
        <w:rPr>
          <w:rFonts w:ascii="Times New Roman" w:hAnsi="Times New Roman"/>
          <w:sz w:val="24"/>
          <w:szCs w:val="24"/>
        </w:rPr>
        <w:t xml:space="preserve">распределение </w:t>
      </w:r>
      <w:r w:rsidR="007E02CD">
        <w:rPr>
          <w:rFonts w:ascii="Times New Roman" w:hAnsi="Times New Roman"/>
          <w:sz w:val="24"/>
          <w:szCs w:val="24"/>
        </w:rPr>
        <w:t>нормированной</w:t>
      </w:r>
      <w:r w:rsidR="007E02CD" w:rsidRPr="007E02CD">
        <w:rPr>
          <w:rFonts w:ascii="Times New Roman" w:hAnsi="Times New Roman"/>
          <w:sz w:val="24"/>
          <w:szCs w:val="24"/>
        </w:rPr>
        <w:t xml:space="preserve"> величин</w:t>
      </w:r>
      <w:r w:rsidR="007E02CD">
        <w:rPr>
          <w:rFonts w:ascii="Times New Roman" w:hAnsi="Times New Roman"/>
          <w:sz w:val="24"/>
          <w:szCs w:val="24"/>
        </w:rPr>
        <w:t>ы</w:t>
      </w:r>
      <w:r w:rsidR="007E02CD" w:rsidRPr="007E02CD">
        <w:rPr>
          <w:rFonts w:ascii="Times New Roman" w:hAnsi="Times New Roman"/>
          <w:sz w:val="24"/>
          <w:szCs w:val="24"/>
        </w:rPr>
        <w:t xml:space="preserve"> доли НДФЛ местных бюджетов </w:t>
      </w:r>
      <w:r w:rsidR="00456B93" w:rsidRPr="00456B93">
        <w:rPr>
          <w:rFonts w:ascii="Times New Roman" w:hAnsi="Times New Roman"/>
          <w:i/>
          <w:sz w:val="24"/>
          <w:szCs w:val="24"/>
          <w:lang w:val="en-US"/>
        </w:rPr>
        <w:t>S</w:t>
      </w:r>
      <w:r w:rsidR="00456B93">
        <w:rPr>
          <w:rFonts w:ascii="Times New Roman" w:hAnsi="Times New Roman"/>
          <w:sz w:val="24"/>
          <w:szCs w:val="24"/>
        </w:rPr>
        <w:t xml:space="preserve"> </w:t>
      </w:r>
      <w:r w:rsidR="0073351E">
        <w:rPr>
          <w:rFonts w:ascii="Times New Roman" w:hAnsi="Times New Roman"/>
          <w:sz w:val="24"/>
          <w:szCs w:val="24"/>
        </w:rPr>
        <w:t>на примере</w:t>
      </w:r>
      <w:r w:rsidR="00456B93">
        <w:rPr>
          <w:rFonts w:ascii="Times New Roman" w:hAnsi="Times New Roman"/>
          <w:sz w:val="24"/>
          <w:szCs w:val="24"/>
        </w:rPr>
        <w:t xml:space="preserve"> Республики Коми на рисунке </w:t>
      </w:r>
      <w:r w:rsidR="005C3D63" w:rsidRPr="005C3D63">
        <w:rPr>
          <w:rFonts w:ascii="Times New Roman" w:hAnsi="Times New Roman"/>
          <w:sz w:val="24"/>
          <w:szCs w:val="24"/>
        </w:rPr>
        <w:t>1</w:t>
      </w:r>
      <w:r w:rsidR="00456B93">
        <w:rPr>
          <w:rFonts w:ascii="Times New Roman" w:hAnsi="Times New Roman"/>
          <w:sz w:val="24"/>
          <w:szCs w:val="24"/>
        </w:rPr>
        <w:t>.</w:t>
      </w:r>
      <w:r w:rsidR="00573EAC">
        <w:rPr>
          <w:rFonts w:ascii="Times New Roman" w:hAnsi="Times New Roman"/>
          <w:sz w:val="24"/>
          <w:szCs w:val="24"/>
        </w:rPr>
        <w:t xml:space="preserve"> Мы видим, что со снижением </w:t>
      </w:r>
      <w:r w:rsidR="00C54564" w:rsidRPr="00C54564">
        <w:rPr>
          <w:rFonts w:ascii="Times New Roman" w:hAnsi="Times New Roman"/>
          <w:i/>
          <w:sz w:val="24"/>
          <w:szCs w:val="24"/>
          <w:lang w:val="en-US"/>
        </w:rPr>
        <w:t>S</w:t>
      </w:r>
      <w:r w:rsidR="00C54564" w:rsidRPr="00C54564">
        <w:rPr>
          <w:rFonts w:ascii="Times New Roman" w:hAnsi="Times New Roman"/>
          <w:sz w:val="24"/>
          <w:szCs w:val="24"/>
        </w:rPr>
        <w:t xml:space="preserve"> </w:t>
      </w:r>
      <w:r w:rsidR="00C54564">
        <w:rPr>
          <w:rFonts w:ascii="Times New Roman" w:hAnsi="Times New Roman"/>
          <w:sz w:val="24"/>
          <w:szCs w:val="24"/>
        </w:rPr>
        <w:t xml:space="preserve">увеличивается различие между фактической величиной </w:t>
      </w:r>
      <w:r w:rsidR="00C54564" w:rsidRPr="00C54564">
        <w:rPr>
          <w:rFonts w:ascii="Times New Roman" w:hAnsi="Times New Roman"/>
          <w:sz w:val="24"/>
          <w:szCs w:val="24"/>
        </w:rPr>
        <w:t xml:space="preserve">доли НДФЛ местных бюджетов </w:t>
      </w:r>
      <w:r w:rsidR="00115CA9">
        <w:rPr>
          <w:rFonts w:ascii="Times New Roman" w:hAnsi="Times New Roman"/>
          <w:sz w:val="24"/>
          <w:szCs w:val="24"/>
        </w:rPr>
        <w:t>в</w:t>
      </w:r>
      <w:r w:rsidR="00573EAC">
        <w:rPr>
          <w:rFonts w:ascii="Times New Roman" w:hAnsi="Times New Roman"/>
          <w:sz w:val="24"/>
          <w:szCs w:val="24"/>
        </w:rPr>
        <w:t xml:space="preserve"> данно</w:t>
      </w:r>
      <w:r w:rsidR="00115CA9">
        <w:rPr>
          <w:rFonts w:ascii="Times New Roman" w:hAnsi="Times New Roman"/>
          <w:sz w:val="24"/>
          <w:szCs w:val="24"/>
        </w:rPr>
        <w:t>м</w:t>
      </w:r>
      <w:r w:rsidR="00573EAC">
        <w:rPr>
          <w:rFonts w:ascii="Times New Roman" w:hAnsi="Times New Roman"/>
          <w:sz w:val="24"/>
          <w:szCs w:val="24"/>
        </w:rPr>
        <w:t xml:space="preserve"> субъект</w:t>
      </w:r>
      <w:r w:rsidR="00115CA9">
        <w:rPr>
          <w:rFonts w:ascii="Times New Roman" w:hAnsi="Times New Roman"/>
          <w:sz w:val="24"/>
          <w:szCs w:val="24"/>
        </w:rPr>
        <w:t>е</w:t>
      </w:r>
      <w:r w:rsidR="00C54564">
        <w:rPr>
          <w:rFonts w:ascii="Times New Roman" w:hAnsi="Times New Roman"/>
          <w:sz w:val="24"/>
          <w:szCs w:val="24"/>
        </w:rPr>
        <w:t xml:space="preserve"> </w:t>
      </w:r>
      <w:r w:rsidR="00115CA9">
        <w:rPr>
          <w:rFonts w:ascii="Times New Roman" w:hAnsi="Times New Roman"/>
          <w:sz w:val="24"/>
          <w:szCs w:val="24"/>
        </w:rPr>
        <w:t>по сравнению с величиной показателя в остальных</w:t>
      </w:r>
      <w:r w:rsidR="00C54564">
        <w:rPr>
          <w:rFonts w:ascii="Times New Roman" w:hAnsi="Times New Roman"/>
          <w:sz w:val="24"/>
          <w:szCs w:val="24"/>
        </w:rPr>
        <w:t xml:space="preserve"> региона</w:t>
      </w:r>
      <w:r w:rsidR="00115CA9">
        <w:rPr>
          <w:rFonts w:ascii="Times New Roman" w:hAnsi="Times New Roman"/>
          <w:sz w:val="24"/>
          <w:szCs w:val="24"/>
        </w:rPr>
        <w:t>х</w:t>
      </w:r>
      <w:r w:rsidR="00573EAC">
        <w:rPr>
          <w:rFonts w:ascii="Times New Roman" w:hAnsi="Times New Roman"/>
          <w:sz w:val="24"/>
          <w:szCs w:val="24"/>
        </w:rPr>
        <w:t>.</w:t>
      </w:r>
    </w:p>
    <w:p w14:paraId="6D1C8974" w14:textId="7AD21C66" w:rsidR="003B481A" w:rsidRPr="003B481A" w:rsidRDefault="003B481A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8" w:name="_MON_1646146081"/>
    <w:bookmarkEnd w:id="8"/>
    <w:p w14:paraId="69987F98" w14:textId="57319583" w:rsidR="003B481A" w:rsidRDefault="00AE65A0" w:rsidP="0043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0930" w:dyaOrig="3805" w14:anchorId="5EAB1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68.75pt" o:ole="">
            <v:imagedata r:id="rId8" o:title=""/>
          </v:shape>
          <o:OLEObject Type="Embed" ProgID="Excel.Sheet.12" ShapeID="_x0000_i1025" DrawAspect="Content" ObjectID="_1646223239" r:id="rId9"/>
        </w:object>
      </w:r>
    </w:p>
    <w:p w14:paraId="22E4E7DD" w14:textId="295C309A" w:rsidR="005E5723" w:rsidRDefault="005E5723" w:rsidP="0043134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56BA7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r w:rsidR="00747368" w:rsidRPr="00747368">
        <w:rPr>
          <w:rFonts w:ascii="Times New Roman" w:hAnsi="Times New Roman"/>
          <w:sz w:val="24"/>
          <w:szCs w:val="24"/>
          <w:lang w:eastAsia="ru-RU"/>
        </w:rPr>
        <w:t>Дол</w:t>
      </w:r>
      <w:r w:rsidR="00747368">
        <w:rPr>
          <w:rFonts w:ascii="Times New Roman" w:hAnsi="Times New Roman"/>
          <w:sz w:val="24"/>
          <w:szCs w:val="24"/>
          <w:lang w:eastAsia="ru-RU"/>
        </w:rPr>
        <w:t>я</w:t>
      </w:r>
      <w:r w:rsidR="00747368" w:rsidRPr="00747368">
        <w:rPr>
          <w:rFonts w:ascii="Times New Roman" w:hAnsi="Times New Roman"/>
          <w:sz w:val="24"/>
          <w:szCs w:val="24"/>
          <w:lang w:eastAsia="ru-RU"/>
        </w:rPr>
        <w:t xml:space="preserve"> НДФЛ местных бюджетов </w:t>
      </w:r>
      <w:r w:rsidR="0074736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54D5D" w:rsidRPr="00A33213">
        <w:rPr>
          <w:rFonts w:ascii="Times New Roman" w:hAnsi="Times New Roman"/>
          <w:sz w:val="24"/>
          <w:szCs w:val="24"/>
          <w:lang w:eastAsia="ru-RU"/>
        </w:rPr>
        <w:t>Республик</w:t>
      </w:r>
      <w:r w:rsidR="00654D5D">
        <w:rPr>
          <w:rFonts w:ascii="Times New Roman" w:hAnsi="Times New Roman"/>
          <w:sz w:val="24"/>
          <w:szCs w:val="24"/>
          <w:lang w:eastAsia="ru-RU"/>
        </w:rPr>
        <w:t>е</w:t>
      </w:r>
      <w:r w:rsidR="00654D5D" w:rsidRPr="00A33213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654D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368" w:rsidRPr="00747368">
        <w:rPr>
          <w:rFonts w:ascii="Times New Roman" w:hAnsi="Times New Roman"/>
          <w:sz w:val="24"/>
          <w:szCs w:val="24"/>
          <w:lang w:eastAsia="ru-RU"/>
        </w:rPr>
        <w:t>= 32%</w:t>
      </w:r>
      <w:r w:rsidR="00654D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A5230">
        <w:rPr>
          <w:rFonts w:ascii="Times New Roman" w:hAnsi="Times New Roman"/>
          <w:sz w:val="24"/>
          <w:szCs w:val="24"/>
          <w:lang w:eastAsia="ru-RU"/>
        </w:rPr>
        <w:t xml:space="preserve">Отрицательная величина разницы показывает, что </w:t>
      </w:r>
      <w:r w:rsidR="00A33213" w:rsidRPr="00A33213">
        <w:rPr>
          <w:rFonts w:ascii="Times New Roman" w:hAnsi="Times New Roman"/>
          <w:sz w:val="24"/>
          <w:szCs w:val="24"/>
          <w:lang w:eastAsia="ru-RU"/>
        </w:rPr>
        <w:t>доля местного НДФЛ</w:t>
      </w:r>
      <w:r w:rsidR="00A33213">
        <w:rPr>
          <w:rFonts w:ascii="Times New Roman" w:hAnsi="Times New Roman"/>
          <w:sz w:val="24"/>
          <w:szCs w:val="24"/>
          <w:lang w:eastAsia="ru-RU"/>
        </w:rPr>
        <w:t xml:space="preserve"> в субъекте выше, чем в </w:t>
      </w:r>
      <w:r w:rsidR="00A33213" w:rsidRPr="00A33213">
        <w:rPr>
          <w:rFonts w:ascii="Times New Roman" w:hAnsi="Times New Roman"/>
          <w:sz w:val="24"/>
          <w:szCs w:val="24"/>
          <w:lang w:eastAsia="ru-RU"/>
        </w:rPr>
        <w:t>Коми</w:t>
      </w:r>
      <w:r w:rsidR="00A33213">
        <w:rPr>
          <w:rFonts w:ascii="Times New Roman" w:hAnsi="Times New Roman"/>
          <w:sz w:val="24"/>
          <w:szCs w:val="24"/>
          <w:lang w:eastAsia="ru-RU"/>
        </w:rPr>
        <w:t>.</w:t>
      </w:r>
    </w:p>
    <w:p w14:paraId="2B220400" w14:textId="77777777" w:rsidR="00747368" w:rsidRPr="00A33213" w:rsidRDefault="00747368" w:rsidP="0043134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14:paraId="429FC4EE" w14:textId="69B2F0E5" w:rsidR="005E5723" w:rsidRPr="003B481A" w:rsidRDefault="005C3D63" w:rsidP="0043134A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Рисунок 1</w:t>
      </w:r>
      <w:r w:rsidR="005E5723"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r w:rsidR="00A3321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Фактическая </w:t>
      </w:r>
      <w:r w:rsidR="00747368" w:rsidRPr="00CA523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доля местного НДФЛ</w:t>
      </w:r>
      <w:r w:rsidR="0074736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A3321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(разница </w:t>
      </w:r>
      <w:r w:rsidR="0074736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данных по Республике Коми</w:t>
      </w:r>
      <w:r w:rsidR="00A3321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74736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и по остальным субъектам</w:t>
      </w:r>
      <w:r w:rsidR="00A3321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) </w:t>
      </w:r>
      <w:r w:rsidR="0074736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и нормированная </w:t>
      </w:r>
      <w:r w:rsidR="00747368" w:rsidRPr="00CA523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доля местного НДФЛ</w:t>
      </w:r>
      <w:r w:rsidR="005E5723" w:rsidRPr="00990EA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</w:t>
      </w:r>
      <w:r w:rsidR="005E5723"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ед.</w:t>
      </w:r>
    </w:p>
    <w:p w14:paraId="0652A86B" w14:textId="6BC49332" w:rsidR="005E5723" w:rsidRDefault="005E572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27AFD9" w14:textId="011DBE07" w:rsidR="00C33528" w:rsidRDefault="00ED6737" w:rsidP="00C3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большинстве субъектов России </w:t>
      </w:r>
      <w:r w:rsidRPr="00ED6737">
        <w:rPr>
          <w:rFonts w:ascii="Times New Roman" w:hAnsi="Times New Roman"/>
          <w:sz w:val="24"/>
          <w:szCs w:val="24"/>
        </w:rPr>
        <w:t>доля местного НДФЛ</w:t>
      </w:r>
      <w:r w:rsidR="0028171B">
        <w:rPr>
          <w:rFonts w:ascii="Times New Roman" w:hAnsi="Times New Roman"/>
          <w:sz w:val="24"/>
          <w:szCs w:val="24"/>
        </w:rPr>
        <w:t xml:space="preserve"> располагается в диапазоне 0</w:t>
      </w:r>
      <w:r w:rsidR="0028171B" w:rsidRPr="005E38A0">
        <w:rPr>
          <w:rFonts w:ascii="Times New Roman" w:hAnsi="Times New Roman"/>
          <w:sz w:val="24"/>
          <w:szCs w:val="24"/>
        </w:rPr>
        <w:t xml:space="preserve">.30-0.35 </w:t>
      </w:r>
      <w:r w:rsidR="00AC3E05" w:rsidRPr="00ED6737">
        <w:rPr>
          <w:rFonts w:ascii="Times New Roman" w:hAnsi="Times New Roman"/>
          <w:sz w:val="24"/>
          <w:szCs w:val="24"/>
        </w:rPr>
        <w:t>(</w:t>
      </w:r>
      <w:r w:rsidR="00AC3E05">
        <w:rPr>
          <w:rFonts w:ascii="Times New Roman" w:hAnsi="Times New Roman"/>
          <w:sz w:val="24"/>
          <w:szCs w:val="24"/>
        </w:rPr>
        <w:t xml:space="preserve">рисунок </w:t>
      </w:r>
      <w:r w:rsidR="005C3D63" w:rsidRPr="005C3D63">
        <w:rPr>
          <w:rFonts w:ascii="Times New Roman" w:hAnsi="Times New Roman"/>
          <w:sz w:val="24"/>
          <w:szCs w:val="24"/>
        </w:rPr>
        <w:t>2</w:t>
      </w:r>
      <w:r w:rsidR="00AC3E05" w:rsidRPr="00ED6737">
        <w:rPr>
          <w:rFonts w:ascii="Times New Roman" w:hAnsi="Times New Roman"/>
          <w:sz w:val="24"/>
          <w:szCs w:val="24"/>
        </w:rPr>
        <w:t>)</w:t>
      </w:r>
      <w:r w:rsidR="005E38A0">
        <w:rPr>
          <w:rFonts w:ascii="Times New Roman" w:hAnsi="Times New Roman"/>
          <w:sz w:val="24"/>
          <w:szCs w:val="24"/>
        </w:rPr>
        <w:t>.</w:t>
      </w:r>
      <w:r w:rsidR="00BD2017">
        <w:rPr>
          <w:rFonts w:ascii="Times New Roman" w:hAnsi="Times New Roman"/>
          <w:sz w:val="24"/>
          <w:szCs w:val="24"/>
        </w:rPr>
        <w:t xml:space="preserve"> </w:t>
      </w:r>
      <w:r w:rsidR="004E4114">
        <w:rPr>
          <w:rFonts w:ascii="Times New Roman" w:hAnsi="Times New Roman"/>
          <w:sz w:val="24"/>
          <w:szCs w:val="24"/>
        </w:rPr>
        <w:t>Отметим</w:t>
      </w:r>
      <w:r w:rsidR="009F23D0">
        <w:rPr>
          <w:rFonts w:ascii="Times New Roman" w:hAnsi="Times New Roman"/>
          <w:sz w:val="24"/>
          <w:szCs w:val="24"/>
        </w:rPr>
        <w:t xml:space="preserve"> </w:t>
      </w:r>
      <w:r w:rsidR="004E4114">
        <w:rPr>
          <w:rFonts w:ascii="Times New Roman" w:hAnsi="Times New Roman"/>
          <w:sz w:val="24"/>
          <w:szCs w:val="24"/>
        </w:rPr>
        <w:t xml:space="preserve">группы </w:t>
      </w:r>
      <w:r w:rsidR="009F23D0">
        <w:rPr>
          <w:rFonts w:ascii="Times New Roman" w:hAnsi="Times New Roman"/>
          <w:sz w:val="24"/>
          <w:szCs w:val="24"/>
        </w:rPr>
        <w:t xml:space="preserve">субъектов с высокой </w:t>
      </w:r>
      <w:r w:rsidR="004E4114">
        <w:rPr>
          <w:rFonts w:ascii="Times New Roman" w:hAnsi="Times New Roman"/>
          <w:sz w:val="24"/>
          <w:szCs w:val="24"/>
        </w:rPr>
        <w:t>децентрализацией</w:t>
      </w:r>
      <w:r w:rsidR="00B57885">
        <w:rPr>
          <w:rFonts w:ascii="Times New Roman" w:hAnsi="Times New Roman"/>
          <w:sz w:val="24"/>
          <w:szCs w:val="24"/>
        </w:rPr>
        <w:t xml:space="preserve">. </w:t>
      </w:r>
      <w:r w:rsidR="00C33528">
        <w:rPr>
          <w:rFonts w:ascii="Times New Roman" w:hAnsi="Times New Roman"/>
          <w:sz w:val="24"/>
          <w:szCs w:val="24"/>
        </w:rPr>
        <w:t>Это Республика Калмыкия, Астраханская и Волгоградская области (Южный ФО) и Ханты-Мансийский АО и Тюменская область в Уральском ФО.</w:t>
      </w:r>
    </w:p>
    <w:p w14:paraId="5129E302" w14:textId="77777777" w:rsidR="00C92844" w:rsidRDefault="00C92844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35556299"/>
    </w:p>
    <w:p w14:paraId="4EF6AFC6" w14:textId="77777777" w:rsidR="00C92844" w:rsidRPr="003B481A" w:rsidRDefault="00C92844" w:rsidP="00431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3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3C0AD4" wp14:editId="32323657">
            <wp:extent cx="3218213" cy="1656488"/>
            <wp:effectExtent l="0" t="0" r="1270" b="1270"/>
            <wp:docPr id="1" name="Рисунок 1" descr="D:\Январь, 20, 2015\После Экзаменов 1\R\Копирую сессии\2019.Февраль\НДФЛ.дец.факт-0.00,0.30,0.35,0.6-1800-1200-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варь, 20, 2015\После Экзаменов 1\R\Копирую сессии\2019.Февраль\НДФЛ.дец.факт-0.00,0.30,0.35,0.6-1800-1200-(2)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82" cy="16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B8B4" w14:textId="77777777" w:rsidR="00C92844" w:rsidRPr="003B481A" w:rsidRDefault="00C92844" w:rsidP="004313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5CB7D2" w14:textId="62398BAE" w:rsidR="00C92844" w:rsidRPr="003B481A" w:rsidRDefault="00C92844" w:rsidP="0043134A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Рисунок </w:t>
      </w:r>
      <w:r w:rsidR="005C3D63" w:rsidRPr="0043134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2</w:t>
      </w:r>
      <w:r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Распределение субъектов России по </w:t>
      </w:r>
      <w:r w:rsidRPr="00990EA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</w:t>
      </w:r>
      <w:r w:rsidRPr="00990EA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НДФЛ местных бюджетов,</w:t>
      </w:r>
      <w:r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ед.</w:t>
      </w:r>
    </w:p>
    <w:p w14:paraId="3604B261" w14:textId="77777777" w:rsidR="00C92844" w:rsidRPr="003B481A" w:rsidRDefault="00C92844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14:paraId="4C08E6C3" w14:textId="1C488B81" w:rsidR="00FE6D5E" w:rsidRPr="00233C61" w:rsidRDefault="00FE6D5E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Расчеты показывают, что близость </w:t>
      </w:r>
      <w:r w:rsidRPr="00FE6D5E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и</w:t>
      </w:r>
      <w:r w:rsidRPr="00FE6D5E">
        <w:rPr>
          <w:rFonts w:ascii="Times New Roman" w:hAnsi="Times New Roman"/>
          <w:sz w:val="24"/>
          <w:szCs w:val="24"/>
        </w:rPr>
        <w:t xml:space="preserve"> местного НДФЛ</w:t>
      </w:r>
      <w:r>
        <w:rPr>
          <w:rFonts w:ascii="Times New Roman" w:hAnsi="Times New Roman"/>
          <w:sz w:val="24"/>
          <w:szCs w:val="24"/>
        </w:rPr>
        <w:t xml:space="preserve"> снижается вместе с ростом расстояния между </w:t>
      </w:r>
      <w:r w:rsidR="00554A3E">
        <w:rPr>
          <w:rFonts w:ascii="Times New Roman" w:hAnsi="Times New Roman"/>
          <w:sz w:val="24"/>
          <w:szCs w:val="24"/>
        </w:rPr>
        <w:t>регионами</w:t>
      </w:r>
      <w:r w:rsidR="0042657E">
        <w:rPr>
          <w:rFonts w:ascii="Times New Roman" w:hAnsi="Times New Roman"/>
          <w:sz w:val="24"/>
          <w:szCs w:val="24"/>
        </w:rPr>
        <w:t>. Но это выполняется</w:t>
      </w:r>
      <w:r>
        <w:rPr>
          <w:rFonts w:ascii="Times New Roman" w:hAnsi="Times New Roman"/>
          <w:sz w:val="24"/>
          <w:szCs w:val="24"/>
        </w:rPr>
        <w:t xml:space="preserve"> лишь для небольшого числа регионов, преимущественно располагающихся в Сибирском и Центральном ФО (рисунок 3).</w:t>
      </w:r>
      <w:r w:rsidR="007166EC">
        <w:rPr>
          <w:rFonts w:ascii="Times New Roman" w:hAnsi="Times New Roman"/>
          <w:sz w:val="24"/>
          <w:szCs w:val="24"/>
        </w:rPr>
        <w:t xml:space="preserve"> Субъекты СФО</w:t>
      </w:r>
      <w:r w:rsidR="00596CF2">
        <w:rPr>
          <w:rFonts w:ascii="Times New Roman" w:hAnsi="Times New Roman"/>
          <w:sz w:val="24"/>
          <w:szCs w:val="24"/>
        </w:rPr>
        <w:t xml:space="preserve"> </w:t>
      </w:r>
      <w:r w:rsidR="00233C61">
        <w:rPr>
          <w:rFonts w:ascii="Times New Roman" w:hAnsi="Times New Roman"/>
          <w:sz w:val="24"/>
          <w:szCs w:val="24"/>
        </w:rPr>
        <w:t xml:space="preserve">при этом наиболее децентрализованы, а </w:t>
      </w:r>
      <w:r w:rsidR="00233C61" w:rsidRPr="00233C61">
        <w:rPr>
          <w:rFonts w:ascii="Times New Roman" w:hAnsi="Times New Roman"/>
          <w:sz w:val="24"/>
          <w:szCs w:val="24"/>
        </w:rPr>
        <w:t>доля местного НДФЛ</w:t>
      </w:r>
      <w:r w:rsidR="00233C61">
        <w:rPr>
          <w:rFonts w:ascii="Times New Roman" w:hAnsi="Times New Roman"/>
          <w:sz w:val="24"/>
          <w:szCs w:val="24"/>
        </w:rPr>
        <w:t xml:space="preserve"> в ЦФО не превышает 30%.</w:t>
      </w:r>
    </w:p>
    <w:p w14:paraId="7B400818" w14:textId="62838903" w:rsidR="00FD4D23" w:rsidRDefault="00FD4D2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10" w:name="_Hlk35555715"/>
    <w:bookmarkStart w:id="11" w:name="_MON_1646169230"/>
    <w:bookmarkEnd w:id="11"/>
    <w:p w14:paraId="24736027" w14:textId="5B9B9818" w:rsidR="00FD4D23" w:rsidRDefault="00AE65A0" w:rsidP="004313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830" w:dyaOrig="4318" w14:anchorId="3C85347B">
          <v:shape id="_x0000_i1026" type="#_x0000_t75" style="width:319.5pt;height:156pt" o:ole="">
            <v:imagedata r:id="rId11" o:title=""/>
          </v:shape>
          <o:OLEObject Type="Embed" ProgID="Excel.Sheet.12" ShapeID="_x0000_i1026" DrawAspect="Content" ObjectID="_1646223240" r:id="rId12"/>
        </w:object>
      </w:r>
    </w:p>
    <w:p w14:paraId="569161A3" w14:textId="153E95D1" w:rsidR="00FD4D23" w:rsidRDefault="00FD4D23" w:rsidP="0043134A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C56BA7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r>
        <w:rPr>
          <w:rFonts w:ascii="Times New Roman" w:hAnsi="Times New Roman"/>
          <w:sz w:val="24"/>
          <w:szCs w:val="24"/>
          <w:lang w:eastAsia="ru-RU"/>
        </w:rPr>
        <w:t xml:space="preserve">Показаны регионы со статистически </w:t>
      </w:r>
      <w:r w:rsidRPr="007166EC">
        <w:rPr>
          <w:rFonts w:ascii="Times New Roman" w:hAnsi="Times New Roman"/>
          <w:sz w:val="24"/>
          <w:szCs w:val="24"/>
          <w:lang w:eastAsia="ru-RU"/>
        </w:rPr>
        <w:t xml:space="preserve">значимой </w:t>
      </w:r>
      <w:r w:rsidR="006A4AF0" w:rsidRPr="007166EC">
        <w:rPr>
          <w:rFonts w:ascii="Times New Roman" w:hAnsi="Times New Roman"/>
          <w:sz w:val="24"/>
          <w:szCs w:val="24"/>
          <w:lang w:eastAsia="ru-RU"/>
        </w:rPr>
        <w:t xml:space="preserve">корреляцией </w:t>
      </w:r>
      <w:r w:rsidR="00FE6D5E" w:rsidRPr="007166EC">
        <w:rPr>
          <w:rFonts w:ascii="Times New Roman" w:hAnsi="Times New Roman"/>
          <w:sz w:val="24"/>
          <w:szCs w:val="24"/>
          <w:lang w:eastAsia="ru-RU"/>
        </w:rPr>
        <w:t xml:space="preserve">между </w:t>
      </w:r>
      <w:r w:rsidR="00FE6D5E" w:rsidRPr="00293D88">
        <w:rPr>
          <w:rFonts w:ascii="Times New Roman" w:hAnsi="Times New Roman"/>
          <w:i/>
          <w:sz w:val="24"/>
          <w:szCs w:val="24"/>
          <w:lang w:val="en-US"/>
        </w:rPr>
        <w:t>S</w:t>
      </w:r>
      <w:r w:rsidR="00FE6D5E" w:rsidRPr="007166EC">
        <w:rPr>
          <w:rFonts w:ascii="Times New Roman" w:hAnsi="Times New Roman"/>
          <w:sz w:val="24"/>
          <w:szCs w:val="24"/>
        </w:rPr>
        <w:t xml:space="preserve"> и </w:t>
      </w:r>
      <w:r w:rsidR="00FE6D5E" w:rsidRPr="00293D88">
        <w:rPr>
          <w:rFonts w:ascii="Times New Roman" w:hAnsi="Times New Roman"/>
          <w:i/>
          <w:sz w:val="24"/>
          <w:szCs w:val="24"/>
          <w:lang w:val="en-US"/>
        </w:rPr>
        <w:t>D</w:t>
      </w:r>
      <w:r w:rsidR="00FE6D5E" w:rsidRPr="007166EC">
        <w:rPr>
          <w:rFonts w:ascii="Times New Roman" w:hAnsi="Times New Roman"/>
          <w:sz w:val="24"/>
          <w:szCs w:val="24"/>
        </w:rPr>
        <w:t>.</w:t>
      </w:r>
      <w:r w:rsidR="007166EC" w:rsidRPr="007166EC">
        <w:rPr>
          <w:rFonts w:ascii="Times New Roman" w:hAnsi="Times New Roman"/>
          <w:sz w:val="24"/>
          <w:szCs w:val="24"/>
        </w:rPr>
        <w:t xml:space="preserve"> В скобках обозначена принадлежность субъекта к федеральному округу.</w:t>
      </w:r>
    </w:p>
    <w:p w14:paraId="584B5198" w14:textId="77777777" w:rsidR="00FE6D5E" w:rsidRPr="00FE6D5E" w:rsidRDefault="00FE6D5E" w:rsidP="0043134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14:paraId="225B99DC" w14:textId="5AD541CC" w:rsidR="00FD4D23" w:rsidRPr="003B481A" w:rsidRDefault="00FD4D23" w:rsidP="0043134A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Рисунок </w:t>
      </w:r>
      <w:r w:rsidR="00554A3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</w:t>
      </w:r>
      <w:r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Коэффициент корреляции Спирмена </w:t>
      </w:r>
      <w:r w:rsidR="000B54B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(между </w:t>
      </w:r>
      <w:r w:rsidR="000B54B9" w:rsidRPr="00456B93">
        <w:rPr>
          <w:rFonts w:ascii="Times New Roman" w:hAnsi="Times New Roman"/>
          <w:i/>
          <w:sz w:val="24"/>
          <w:szCs w:val="24"/>
          <w:lang w:val="en-US"/>
        </w:rPr>
        <w:t>S</w:t>
      </w:r>
      <w:r w:rsidR="000B54B9" w:rsidRPr="00726720">
        <w:rPr>
          <w:rFonts w:ascii="Times New Roman" w:hAnsi="Times New Roman"/>
          <w:sz w:val="24"/>
          <w:szCs w:val="24"/>
        </w:rPr>
        <w:t xml:space="preserve"> </w:t>
      </w:r>
      <w:r w:rsidR="000B54B9">
        <w:rPr>
          <w:rFonts w:ascii="Times New Roman" w:hAnsi="Times New Roman"/>
          <w:sz w:val="24"/>
          <w:szCs w:val="24"/>
        </w:rPr>
        <w:t xml:space="preserve">и </w:t>
      </w:r>
      <w:r w:rsidR="000B54B9" w:rsidRPr="00456B93">
        <w:rPr>
          <w:rFonts w:ascii="Times New Roman" w:hAnsi="Times New Roman"/>
          <w:i/>
          <w:sz w:val="24"/>
          <w:szCs w:val="24"/>
          <w:lang w:val="en-US"/>
        </w:rPr>
        <w:t>D</w:t>
      </w:r>
      <w:r w:rsidR="000B54B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и </w:t>
      </w:r>
      <w:r w:rsidR="00FE6D5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фактическая </w:t>
      </w:r>
      <w:r w:rsidRPr="00CA523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доля местного НДФЛ</w:t>
      </w:r>
      <w:r w:rsidRPr="00990EA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</w:t>
      </w:r>
      <w:r w:rsidRPr="003B481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ед.</w:t>
      </w:r>
    </w:p>
    <w:p w14:paraId="2F2A5920" w14:textId="77777777" w:rsidR="00FD4D23" w:rsidRPr="003B481A" w:rsidRDefault="00FD4D2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10"/>
    <w:p w14:paraId="00561ED7" w14:textId="77777777" w:rsidR="00AC3693" w:rsidRDefault="00AC3693" w:rsidP="0043134A">
      <w:pPr>
        <w:pStyle w:val="10-4-17"/>
        <w:spacing w:line="240" w:lineRule="auto"/>
      </w:pPr>
      <w:r>
        <w:t>Выводы</w:t>
      </w:r>
    </w:p>
    <w:p w14:paraId="02E9C84B" w14:textId="174FBA9E" w:rsidR="00B9754C" w:rsidRDefault="00B9754C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FD935C" w14:textId="38BC5583" w:rsidR="00D759D7" w:rsidRDefault="000B21BB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="001E5FD8">
        <w:rPr>
          <w:rFonts w:ascii="Times New Roman" w:hAnsi="Times New Roman"/>
          <w:sz w:val="24"/>
          <w:szCs w:val="24"/>
        </w:rPr>
        <w:t xml:space="preserve">децентрализации по НДФЛ в том или ином регионе России </w:t>
      </w:r>
      <w:r w:rsidR="006E35AD">
        <w:rPr>
          <w:rFonts w:ascii="Times New Roman" w:hAnsi="Times New Roman"/>
          <w:sz w:val="24"/>
          <w:szCs w:val="24"/>
        </w:rPr>
        <w:t xml:space="preserve">взаимосвязан и прямо пропорционален </w:t>
      </w:r>
      <w:r w:rsidRPr="000B21BB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и</w:t>
      </w:r>
      <w:r w:rsidRPr="000B21BB">
        <w:rPr>
          <w:rFonts w:ascii="Times New Roman" w:hAnsi="Times New Roman"/>
          <w:sz w:val="24"/>
          <w:szCs w:val="24"/>
        </w:rPr>
        <w:t xml:space="preserve"> местного НДФЛ</w:t>
      </w:r>
      <w:r>
        <w:rPr>
          <w:rFonts w:ascii="Times New Roman" w:hAnsi="Times New Roman"/>
          <w:sz w:val="24"/>
          <w:szCs w:val="24"/>
        </w:rPr>
        <w:t xml:space="preserve"> </w:t>
      </w:r>
      <w:r w:rsidR="00280105">
        <w:rPr>
          <w:rFonts w:ascii="Times New Roman" w:hAnsi="Times New Roman"/>
          <w:sz w:val="24"/>
          <w:szCs w:val="24"/>
        </w:rPr>
        <w:t xml:space="preserve">в </w:t>
      </w:r>
      <w:r w:rsidR="001E5FD8">
        <w:rPr>
          <w:rFonts w:ascii="Times New Roman" w:hAnsi="Times New Roman"/>
          <w:sz w:val="24"/>
          <w:szCs w:val="24"/>
        </w:rPr>
        <w:t>соседних регионах</w:t>
      </w:r>
      <w:r w:rsidR="00280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499F">
        <w:rPr>
          <w:rFonts w:ascii="Times New Roman" w:hAnsi="Times New Roman"/>
          <w:sz w:val="24"/>
          <w:szCs w:val="24"/>
        </w:rPr>
        <w:t xml:space="preserve">Более того, </w:t>
      </w:r>
      <w:r w:rsidR="00DC444D">
        <w:rPr>
          <w:rFonts w:ascii="Times New Roman" w:hAnsi="Times New Roman"/>
          <w:sz w:val="24"/>
          <w:szCs w:val="24"/>
        </w:rPr>
        <w:t xml:space="preserve">чем ближе расположены регионы, тем выше у них схожесть </w:t>
      </w:r>
      <w:r w:rsidR="00DC444D" w:rsidRPr="00DC444D">
        <w:rPr>
          <w:rFonts w:ascii="Times New Roman" w:hAnsi="Times New Roman"/>
          <w:sz w:val="24"/>
          <w:szCs w:val="24"/>
        </w:rPr>
        <w:t>дол</w:t>
      </w:r>
      <w:r w:rsidR="00DC444D">
        <w:rPr>
          <w:rFonts w:ascii="Times New Roman" w:hAnsi="Times New Roman"/>
          <w:sz w:val="24"/>
          <w:szCs w:val="24"/>
        </w:rPr>
        <w:t>ей</w:t>
      </w:r>
      <w:r w:rsidR="00DC444D" w:rsidRPr="00DC444D">
        <w:rPr>
          <w:rFonts w:ascii="Times New Roman" w:hAnsi="Times New Roman"/>
          <w:sz w:val="24"/>
          <w:szCs w:val="24"/>
        </w:rPr>
        <w:t xml:space="preserve"> НДФЛ</w:t>
      </w:r>
      <w:r w:rsidR="00483D5E">
        <w:rPr>
          <w:rFonts w:ascii="Times New Roman" w:hAnsi="Times New Roman"/>
          <w:sz w:val="24"/>
          <w:szCs w:val="24"/>
        </w:rPr>
        <w:t>, зачисляемых</w:t>
      </w:r>
      <w:r w:rsidR="00DC444D">
        <w:rPr>
          <w:rFonts w:ascii="Times New Roman" w:hAnsi="Times New Roman"/>
          <w:sz w:val="24"/>
          <w:szCs w:val="24"/>
        </w:rPr>
        <w:t xml:space="preserve"> в местные бюджеты.</w:t>
      </w:r>
      <w:r w:rsidR="008206AF">
        <w:rPr>
          <w:rFonts w:ascii="Times New Roman" w:hAnsi="Times New Roman"/>
          <w:sz w:val="24"/>
          <w:szCs w:val="24"/>
        </w:rPr>
        <w:t xml:space="preserve"> </w:t>
      </w:r>
      <w:r w:rsidR="005C23B9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094" w:rsidRPr="00967094">
        <w:rPr>
          <w:rFonts w:ascii="Times New Roman" w:hAnsi="Times New Roman"/>
          <w:sz w:val="24"/>
          <w:szCs w:val="24"/>
        </w:rPr>
        <w:t>пространственны</w:t>
      </w:r>
      <w:r w:rsidR="00967094">
        <w:rPr>
          <w:rFonts w:ascii="Times New Roman" w:hAnsi="Times New Roman"/>
          <w:sz w:val="24"/>
          <w:szCs w:val="24"/>
        </w:rPr>
        <w:t xml:space="preserve">е факторы </w:t>
      </w:r>
      <w:r w:rsidR="004116E2" w:rsidRPr="00967094">
        <w:rPr>
          <w:rFonts w:ascii="Times New Roman" w:hAnsi="Times New Roman"/>
          <w:sz w:val="24"/>
          <w:szCs w:val="24"/>
        </w:rPr>
        <w:t xml:space="preserve">доли </w:t>
      </w:r>
      <w:r w:rsidR="006E35AD">
        <w:rPr>
          <w:rFonts w:ascii="Times New Roman" w:hAnsi="Times New Roman"/>
          <w:sz w:val="24"/>
          <w:szCs w:val="24"/>
        </w:rPr>
        <w:t xml:space="preserve">местного </w:t>
      </w:r>
      <w:r w:rsidR="004116E2" w:rsidRPr="00967094">
        <w:rPr>
          <w:rFonts w:ascii="Times New Roman" w:hAnsi="Times New Roman"/>
          <w:sz w:val="24"/>
          <w:szCs w:val="24"/>
        </w:rPr>
        <w:t>НДФЛ в субъектах России</w:t>
      </w:r>
      <w:r w:rsidR="004116E2">
        <w:rPr>
          <w:rFonts w:ascii="Times New Roman" w:hAnsi="Times New Roman"/>
          <w:sz w:val="24"/>
          <w:szCs w:val="24"/>
        </w:rPr>
        <w:t xml:space="preserve"> </w:t>
      </w:r>
      <w:r w:rsidR="00967094">
        <w:rPr>
          <w:rFonts w:ascii="Times New Roman" w:hAnsi="Times New Roman"/>
          <w:sz w:val="24"/>
          <w:szCs w:val="24"/>
        </w:rPr>
        <w:t>значимы и положительны</w:t>
      </w:r>
      <w:r w:rsidR="00967094" w:rsidRPr="00967094">
        <w:rPr>
          <w:rFonts w:ascii="Times New Roman" w:hAnsi="Times New Roman"/>
          <w:sz w:val="24"/>
          <w:szCs w:val="24"/>
        </w:rPr>
        <w:t>.</w:t>
      </w:r>
      <w:r w:rsidR="00AE65A0">
        <w:rPr>
          <w:rFonts w:ascii="Times New Roman" w:hAnsi="Times New Roman"/>
          <w:sz w:val="24"/>
          <w:szCs w:val="24"/>
        </w:rPr>
        <w:t xml:space="preserve"> </w:t>
      </w:r>
      <w:r w:rsidR="00293D88">
        <w:rPr>
          <w:rFonts w:ascii="Times New Roman" w:hAnsi="Times New Roman"/>
          <w:sz w:val="24"/>
          <w:szCs w:val="24"/>
        </w:rPr>
        <w:t>Таким образом, п</w:t>
      </w:r>
      <w:r w:rsidR="008E7141">
        <w:rPr>
          <w:rFonts w:ascii="Times New Roman" w:hAnsi="Times New Roman"/>
          <w:sz w:val="24"/>
          <w:szCs w:val="24"/>
        </w:rPr>
        <w:t xml:space="preserve">редставленное исследование </w:t>
      </w:r>
      <w:r w:rsidR="002D34F7">
        <w:rPr>
          <w:rFonts w:ascii="Times New Roman" w:hAnsi="Times New Roman"/>
          <w:sz w:val="24"/>
          <w:szCs w:val="24"/>
        </w:rPr>
        <w:t xml:space="preserve">показало наличие </w:t>
      </w:r>
      <w:r w:rsidR="00AE2C25">
        <w:rPr>
          <w:rFonts w:ascii="Times New Roman" w:hAnsi="Times New Roman"/>
          <w:sz w:val="24"/>
          <w:szCs w:val="24"/>
        </w:rPr>
        <w:t>неявно</w:t>
      </w:r>
      <w:r w:rsidR="00215C1F">
        <w:rPr>
          <w:rFonts w:ascii="Times New Roman" w:hAnsi="Times New Roman"/>
          <w:sz w:val="24"/>
          <w:szCs w:val="24"/>
        </w:rPr>
        <w:t>го</w:t>
      </w:r>
      <w:r w:rsidR="00AE2C25">
        <w:rPr>
          <w:rFonts w:ascii="Times New Roman" w:hAnsi="Times New Roman"/>
          <w:sz w:val="24"/>
          <w:szCs w:val="24"/>
        </w:rPr>
        <w:t xml:space="preserve"> </w:t>
      </w:r>
      <w:r w:rsidR="00215C1F">
        <w:rPr>
          <w:rFonts w:ascii="Times New Roman" w:hAnsi="Times New Roman"/>
          <w:sz w:val="24"/>
          <w:szCs w:val="24"/>
        </w:rPr>
        <w:t>межрегионального</w:t>
      </w:r>
      <w:r w:rsidR="00E118EF">
        <w:rPr>
          <w:rFonts w:ascii="Times New Roman" w:hAnsi="Times New Roman"/>
          <w:sz w:val="24"/>
          <w:szCs w:val="24"/>
        </w:rPr>
        <w:t xml:space="preserve"> </w:t>
      </w:r>
      <w:r w:rsidR="00215C1F">
        <w:rPr>
          <w:rFonts w:ascii="Times New Roman" w:hAnsi="Times New Roman"/>
          <w:sz w:val="24"/>
          <w:szCs w:val="24"/>
        </w:rPr>
        <w:t>взаимодействия</w:t>
      </w:r>
      <w:r w:rsidR="00E118EF">
        <w:rPr>
          <w:rFonts w:ascii="Times New Roman" w:hAnsi="Times New Roman"/>
          <w:sz w:val="24"/>
          <w:szCs w:val="24"/>
        </w:rPr>
        <w:t xml:space="preserve"> (</w:t>
      </w:r>
      <w:r w:rsidR="00E118EF" w:rsidRPr="00E118EF">
        <w:rPr>
          <w:rFonts w:ascii="Times New Roman" w:hAnsi="Times New Roman"/>
          <w:sz w:val="24"/>
          <w:szCs w:val="24"/>
        </w:rPr>
        <w:t>strategic interaction</w:t>
      </w:r>
      <w:r w:rsidR="00E118EF">
        <w:rPr>
          <w:rFonts w:ascii="Times New Roman" w:hAnsi="Times New Roman"/>
          <w:sz w:val="24"/>
          <w:szCs w:val="24"/>
        </w:rPr>
        <w:t>)</w:t>
      </w:r>
      <w:r w:rsidR="002D34F7">
        <w:rPr>
          <w:rFonts w:ascii="Times New Roman" w:hAnsi="Times New Roman"/>
          <w:sz w:val="24"/>
          <w:szCs w:val="24"/>
        </w:rPr>
        <w:t xml:space="preserve"> </w:t>
      </w:r>
      <w:r w:rsidR="00CE7366">
        <w:rPr>
          <w:rFonts w:ascii="Times New Roman" w:hAnsi="Times New Roman"/>
          <w:sz w:val="24"/>
          <w:szCs w:val="24"/>
        </w:rPr>
        <w:t xml:space="preserve">в регионах России </w:t>
      </w:r>
      <w:r w:rsidR="002D34F7">
        <w:rPr>
          <w:rFonts w:ascii="Times New Roman" w:hAnsi="Times New Roman"/>
          <w:sz w:val="24"/>
          <w:szCs w:val="24"/>
        </w:rPr>
        <w:t>в сфере децентрализации по</w:t>
      </w:r>
      <w:r w:rsidR="00BD6F4B">
        <w:rPr>
          <w:rFonts w:ascii="Times New Roman" w:hAnsi="Times New Roman"/>
          <w:sz w:val="24"/>
          <w:szCs w:val="24"/>
        </w:rPr>
        <w:t xml:space="preserve"> налогу на доходы физлиц</w:t>
      </w:r>
      <w:r w:rsidR="001872C2">
        <w:rPr>
          <w:rFonts w:ascii="Times New Roman" w:hAnsi="Times New Roman"/>
          <w:sz w:val="24"/>
          <w:szCs w:val="24"/>
        </w:rPr>
        <w:t xml:space="preserve">. </w:t>
      </w:r>
    </w:p>
    <w:p w14:paraId="0C9B35EF" w14:textId="55DB504E" w:rsidR="00212F58" w:rsidRDefault="000625E5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</w:t>
      </w:r>
      <w:r w:rsidR="00C20016">
        <w:rPr>
          <w:rFonts w:ascii="Times New Roman" w:hAnsi="Times New Roman"/>
          <w:sz w:val="24"/>
          <w:szCs w:val="24"/>
        </w:rPr>
        <w:t xml:space="preserve">результаты могут быть использованы в дальнейшем при изучении </w:t>
      </w:r>
      <w:r w:rsidR="00394FD8">
        <w:rPr>
          <w:rFonts w:ascii="Times New Roman" w:hAnsi="Times New Roman"/>
          <w:sz w:val="24"/>
          <w:szCs w:val="24"/>
        </w:rPr>
        <w:t>характера межрегионального взаимодействия в сфере бюджетной политики в России</w:t>
      </w:r>
      <w:r w:rsidR="00C20016" w:rsidRPr="00C20016">
        <w:rPr>
          <w:rFonts w:ascii="Times New Roman" w:hAnsi="Times New Roman"/>
          <w:sz w:val="24"/>
          <w:szCs w:val="24"/>
        </w:rPr>
        <w:t xml:space="preserve">, в том числе </w:t>
      </w:r>
      <w:r w:rsidR="000E7478">
        <w:rPr>
          <w:rFonts w:ascii="Times New Roman" w:hAnsi="Times New Roman"/>
          <w:sz w:val="24"/>
          <w:szCs w:val="24"/>
        </w:rPr>
        <w:t>горизонтальной</w:t>
      </w:r>
      <w:r w:rsidR="00133C10">
        <w:rPr>
          <w:rFonts w:ascii="Times New Roman" w:hAnsi="Times New Roman"/>
          <w:sz w:val="24"/>
          <w:szCs w:val="24"/>
        </w:rPr>
        <w:t xml:space="preserve"> </w:t>
      </w:r>
      <w:r w:rsidR="00C20016" w:rsidRPr="00C20016">
        <w:rPr>
          <w:rFonts w:ascii="Times New Roman" w:hAnsi="Times New Roman"/>
          <w:sz w:val="24"/>
          <w:szCs w:val="24"/>
        </w:rPr>
        <w:t>налоговой конкуренции</w:t>
      </w:r>
      <w:r w:rsidR="00C03EBA">
        <w:rPr>
          <w:rFonts w:ascii="Times New Roman" w:hAnsi="Times New Roman"/>
          <w:sz w:val="24"/>
          <w:szCs w:val="24"/>
        </w:rPr>
        <w:t xml:space="preserve">. </w:t>
      </w:r>
    </w:p>
    <w:p w14:paraId="72BE7C73" w14:textId="77777777" w:rsidR="00324C8E" w:rsidRPr="004577C5" w:rsidRDefault="00324C8E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813850" w14:textId="77777777" w:rsidR="00A80528" w:rsidRPr="00A56EA3" w:rsidRDefault="000257BB" w:rsidP="0043134A">
      <w:pPr>
        <w:pStyle w:val="10-4-17"/>
        <w:spacing w:line="240" w:lineRule="auto"/>
        <w:rPr>
          <w:b/>
        </w:rPr>
      </w:pPr>
      <w:r w:rsidRPr="000257BB">
        <w:rPr>
          <w:b/>
        </w:rPr>
        <w:t>Список</w:t>
      </w:r>
      <w:r w:rsidRPr="00A56EA3">
        <w:rPr>
          <w:b/>
        </w:rPr>
        <w:t xml:space="preserve"> </w:t>
      </w:r>
      <w:r w:rsidRPr="000257BB">
        <w:rPr>
          <w:b/>
        </w:rPr>
        <w:t>литературы</w:t>
      </w:r>
      <w:r w:rsidRPr="00A56EA3">
        <w:rPr>
          <w:b/>
        </w:rPr>
        <w:t xml:space="preserve"> </w:t>
      </w:r>
      <w:r w:rsidRPr="000257BB">
        <w:rPr>
          <w:b/>
        </w:rPr>
        <w:t>на</w:t>
      </w:r>
      <w:r w:rsidRPr="00A56EA3">
        <w:rPr>
          <w:b/>
        </w:rPr>
        <w:t xml:space="preserve"> </w:t>
      </w:r>
      <w:r w:rsidRPr="000257BB">
        <w:rPr>
          <w:b/>
        </w:rPr>
        <w:t>русском</w:t>
      </w:r>
      <w:r w:rsidRPr="00A56EA3">
        <w:rPr>
          <w:b/>
        </w:rPr>
        <w:t xml:space="preserve"> </w:t>
      </w:r>
      <w:r w:rsidRPr="000257BB">
        <w:rPr>
          <w:b/>
        </w:rPr>
        <w:t>языке</w:t>
      </w:r>
    </w:p>
    <w:p w14:paraId="6B52F5C1" w14:textId="77777777" w:rsidR="00924889" w:rsidRPr="0066403D" w:rsidRDefault="00924889" w:rsidP="00664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Ref35601313"/>
      <w:r w:rsidRPr="0066403D">
        <w:rPr>
          <w:rFonts w:ascii="Times New Roman" w:hAnsi="Times New Roman"/>
          <w:sz w:val="24"/>
          <w:szCs w:val="24"/>
        </w:rPr>
        <w:t xml:space="preserve">Абрамов А., Глущенко К. Матрица кратчайших расстояний между административными центрами российских регионов. [Электронный ресурс] Новосибирск: НГУ, 2000. </w:t>
      </w:r>
      <w:r w:rsidRPr="0066403D">
        <w:rPr>
          <w:rFonts w:ascii="Times New Roman" w:hAnsi="Times New Roman"/>
          <w:sz w:val="24"/>
          <w:szCs w:val="24"/>
          <w:lang w:val="en-US"/>
        </w:rPr>
        <w:t>URL</w:t>
      </w:r>
      <w:r w:rsidRPr="0066403D">
        <w:rPr>
          <w:rFonts w:ascii="Times New Roman" w:hAnsi="Times New Roman"/>
          <w:sz w:val="24"/>
          <w:szCs w:val="24"/>
        </w:rPr>
        <w:t xml:space="preserve">:  </w:t>
      </w:r>
      <w:r w:rsidRPr="0066403D">
        <w:rPr>
          <w:rFonts w:ascii="Times New Roman" w:hAnsi="Times New Roman"/>
          <w:sz w:val="24"/>
          <w:szCs w:val="24"/>
          <w:lang w:val="en-US"/>
        </w:rPr>
        <w:t>http</w:t>
      </w:r>
      <w:r w:rsidRPr="0066403D">
        <w:rPr>
          <w:rFonts w:ascii="Times New Roman" w:hAnsi="Times New Roman"/>
          <w:sz w:val="24"/>
          <w:szCs w:val="24"/>
        </w:rPr>
        <w:t>://</w:t>
      </w:r>
      <w:r w:rsidRPr="0066403D">
        <w:rPr>
          <w:rFonts w:ascii="Times New Roman" w:hAnsi="Times New Roman"/>
          <w:sz w:val="24"/>
          <w:szCs w:val="24"/>
          <w:lang w:val="en-US"/>
        </w:rPr>
        <w:t>econom</w:t>
      </w:r>
      <w:r w:rsidRPr="0066403D">
        <w:rPr>
          <w:rFonts w:ascii="Times New Roman" w:hAnsi="Times New Roman"/>
          <w:sz w:val="24"/>
          <w:szCs w:val="24"/>
        </w:rPr>
        <w:t>.</w:t>
      </w:r>
      <w:r w:rsidRPr="0066403D">
        <w:rPr>
          <w:rFonts w:ascii="Times New Roman" w:hAnsi="Times New Roman"/>
          <w:sz w:val="24"/>
          <w:szCs w:val="24"/>
          <w:lang w:val="en-US"/>
        </w:rPr>
        <w:t>nsu</w:t>
      </w:r>
      <w:r w:rsidRPr="0066403D">
        <w:rPr>
          <w:rFonts w:ascii="Times New Roman" w:hAnsi="Times New Roman"/>
          <w:sz w:val="24"/>
          <w:szCs w:val="24"/>
        </w:rPr>
        <w:t>.</w:t>
      </w:r>
      <w:r w:rsidRPr="0066403D">
        <w:rPr>
          <w:rFonts w:ascii="Times New Roman" w:hAnsi="Times New Roman"/>
          <w:sz w:val="24"/>
          <w:szCs w:val="24"/>
          <w:lang w:val="en-US"/>
        </w:rPr>
        <w:t>ru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staff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chair</w:t>
      </w:r>
      <w:r w:rsidRPr="0066403D">
        <w:rPr>
          <w:rFonts w:ascii="Times New Roman" w:hAnsi="Times New Roman"/>
          <w:sz w:val="24"/>
          <w:szCs w:val="24"/>
        </w:rPr>
        <w:t>_</w:t>
      </w:r>
      <w:r w:rsidRPr="0066403D">
        <w:rPr>
          <w:rFonts w:ascii="Times New Roman" w:hAnsi="Times New Roman"/>
          <w:sz w:val="24"/>
          <w:szCs w:val="24"/>
          <w:lang w:val="en-US"/>
        </w:rPr>
        <w:t>et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gluschenko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Research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Data</w:t>
      </w:r>
      <w:r w:rsidRPr="0066403D">
        <w:rPr>
          <w:rFonts w:ascii="Times New Roman" w:hAnsi="Times New Roman"/>
          <w:sz w:val="24"/>
          <w:szCs w:val="24"/>
        </w:rPr>
        <w:t>/</w:t>
      </w:r>
      <w:r w:rsidRPr="0066403D">
        <w:rPr>
          <w:rFonts w:ascii="Times New Roman" w:hAnsi="Times New Roman"/>
          <w:sz w:val="24"/>
          <w:szCs w:val="24"/>
          <w:lang w:val="en-US"/>
        </w:rPr>
        <w:t>Distances</w:t>
      </w:r>
      <w:r w:rsidRPr="0066403D">
        <w:rPr>
          <w:rFonts w:ascii="Times New Roman" w:hAnsi="Times New Roman"/>
          <w:sz w:val="24"/>
          <w:szCs w:val="24"/>
        </w:rPr>
        <w:t>.</w:t>
      </w:r>
      <w:r w:rsidRPr="0066403D">
        <w:rPr>
          <w:rFonts w:ascii="Times New Roman" w:hAnsi="Times New Roman"/>
          <w:sz w:val="24"/>
          <w:szCs w:val="24"/>
          <w:lang w:val="en-US"/>
        </w:rPr>
        <w:t>xls</w:t>
      </w:r>
      <w:r w:rsidRPr="0066403D">
        <w:rPr>
          <w:rFonts w:ascii="Times New Roman" w:hAnsi="Times New Roman"/>
          <w:sz w:val="24"/>
          <w:szCs w:val="24"/>
        </w:rPr>
        <w:t>, (дата обращения: 19.03.2020).</w:t>
      </w:r>
      <w:bookmarkEnd w:id="12"/>
    </w:p>
    <w:p w14:paraId="68AAD975" w14:textId="77777777" w:rsidR="00924889" w:rsidRPr="0066403D" w:rsidRDefault="00924889" w:rsidP="00664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Ref35601288"/>
      <w:r w:rsidRPr="0066403D">
        <w:rPr>
          <w:rFonts w:ascii="Times New Roman" w:hAnsi="Times New Roman"/>
          <w:sz w:val="24"/>
          <w:szCs w:val="24"/>
        </w:rPr>
        <w:t>Тимушев Е.Н. Можно ли поступления от налога на доходы физлиц считать индикатором местной бюджетной децентрализации? «Актуальные вопросы экономики и социологии»: Сборник статей по материалам XV Осенней конференции молодых ученых в Новосибирском Академгородке (г. Новосибирск, 18-20 ноября 2019 г.). Новосибирск: ИЭОПП СО РАН, 2019. С. 131–137. URL: https://www.ieie.su/assets/ysc2019/ysc-2019.pdf (дата обращения: 19.03.2020).</w:t>
      </w:r>
      <w:bookmarkEnd w:id="13"/>
    </w:p>
    <w:p w14:paraId="3C2302F6" w14:textId="77777777" w:rsidR="00924889" w:rsidRPr="0066403D" w:rsidRDefault="00924889" w:rsidP="00664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4" w:name="_Ref35601300"/>
      <w:r w:rsidRPr="0066403D">
        <w:rPr>
          <w:rFonts w:ascii="Times New Roman" w:hAnsi="Times New Roman"/>
          <w:sz w:val="24"/>
          <w:szCs w:val="24"/>
          <w:lang w:val="en-US"/>
        </w:rPr>
        <w:t>Anselin L., Bera A.K. Spatial Dependence in Linear Regression Models with an Introduction to Spatial Econometrics. In: Ullah A., Giles D.E.A. (eds.). Handbook of Applied Economic Statistics. NY, 1998, pp. 237–289.</w:t>
      </w:r>
      <w:bookmarkEnd w:id="14"/>
    </w:p>
    <w:p w14:paraId="26357674" w14:textId="77777777" w:rsidR="00924889" w:rsidRPr="0066403D" w:rsidRDefault="00924889" w:rsidP="00664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5" w:name="_Ref35601296"/>
      <w:r w:rsidRPr="0066403D">
        <w:rPr>
          <w:rFonts w:ascii="Times New Roman" w:hAnsi="Times New Roman"/>
          <w:sz w:val="24"/>
          <w:szCs w:val="24"/>
          <w:lang w:val="en-US"/>
        </w:rPr>
        <w:lastRenderedPageBreak/>
        <w:t>Eilers L. Spatial Autocorrelation and the Spatial Durbin Model. 2019, ROBUST Workshop. Essen/RWI. URL: https://rural-urban.eu/sites/default/files/05_Spatial%20Autocorrelation%20and%20the%20Spatial%20Durbin%20Model_Eilers.pdf (</w:t>
      </w:r>
      <w:r w:rsidRPr="0066403D">
        <w:rPr>
          <w:rFonts w:ascii="Times New Roman" w:hAnsi="Times New Roman"/>
          <w:sz w:val="24"/>
          <w:szCs w:val="24"/>
        </w:rPr>
        <w:t>дата</w:t>
      </w:r>
      <w:r w:rsidRPr="00664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403D">
        <w:rPr>
          <w:rFonts w:ascii="Times New Roman" w:hAnsi="Times New Roman"/>
          <w:sz w:val="24"/>
          <w:szCs w:val="24"/>
        </w:rPr>
        <w:t>обращения</w:t>
      </w:r>
      <w:r w:rsidRPr="0066403D">
        <w:rPr>
          <w:rFonts w:ascii="Times New Roman" w:hAnsi="Times New Roman"/>
          <w:sz w:val="24"/>
          <w:szCs w:val="24"/>
          <w:lang w:val="en-US"/>
        </w:rPr>
        <w:t>: 19.03.2020)</w:t>
      </w:r>
      <w:bookmarkEnd w:id="15"/>
    </w:p>
    <w:p w14:paraId="6C0E06DF" w14:textId="77777777" w:rsidR="00924889" w:rsidRPr="0066403D" w:rsidRDefault="00924889" w:rsidP="00664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6" w:name="_Ref35601304"/>
      <w:r w:rsidRPr="0066403D">
        <w:rPr>
          <w:rFonts w:ascii="Times New Roman" w:hAnsi="Times New Roman"/>
          <w:sz w:val="24"/>
          <w:szCs w:val="24"/>
          <w:lang w:val="en-US"/>
        </w:rPr>
        <w:t>Ligthart J. E., van Oudheusden P. The Fiscal Decentralisation and Economic Growth Nexus Revisited // Fiscal Studies, 2017, 38(1), pp. 141–171. doi: 10.1111/1475-5890.12099</w:t>
      </w:r>
      <w:bookmarkEnd w:id="16"/>
    </w:p>
    <w:p w14:paraId="3EFC8596" w14:textId="77777777" w:rsidR="00911162" w:rsidRPr="00CA5ED8" w:rsidRDefault="00911162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6902F2" w14:textId="77777777" w:rsidR="00642E2A" w:rsidRPr="00434A56" w:rsidRDefault="008D209F" w:rsidP="0043134A">
      <w:pPr>
        <w:pStyle w:val="10-4-17"/>
        <w:spacing w:line="240" w:lineRule="auto"/>
        <w:rPr>
          <w:b/>
        </w:rPr>
      </w:pPr>
      <w:r w:rsidRPr="000A2AB9">
        <w:rPr>
          <w:b/>
        </w:rPr>
        <w:t>Информация</w:t>
      </w:r>
      <w:r w:rsidRPr="00434A56">
        <w:rPr>
          <w:b/>
        </w:rPr>
        <w:t xml:space="preserve"> </w:t>
      </w:r>
      <w:r w:rsidRPr="000A2AB9">
        <w:rPr>
          <w:b/>
        </w:rPr>
        <w:t>об</w:t>
      </w:r>
      <w:r w:rsidRPr="00434A56">
        <w:rPr>
          <w:b/>
        </w:rPr>
        <w:t xml:space="preserve"> </w:t>
      </w:r>
      <w:r w:rsidRPr="000A2AB9">
        <w:rPr>
          <w:b/>
        </w:rPr>
        <w:t>авторе</w:t>
      </w:r>
      <w:r w:rsidR="00E6649F" w:rsidRPr="00434A56">
        <w:rPr>
          <w:b/>
        </w:rPr>
        <w:t xml:space="preserve"> </w:t>
      </w:r>
      <w:r w:rsidR="00E6649F">
        <w:rPr>
          <w:b/>
        </w:rPr>
        <w:t>на</w:t>
      </w:r>
      <w:r w:rsidR="00E6649F" w:rsidRPr="00434A56">
        <w:rPr>
          <w:b/>
        </w:rPr>
        <w:t xml:space="preserve"> </w:t>
      </w:r>
      <w:r w:rsidR="00E6649F">
        <w:rPr>
          <w:b/>
        </w:rPr>
        <w:t>русском</w:t>
      </w:r>
      <w:r w:rsidR="00E6649F" w:rsidRPr="00434A56">
        <w:rPr>
          <w:b/>
        </w:rPr>
        <w:t xml:space="preserve"> </w:t>
      </w:r>
      <w:r w:rsidR="00E6649F">
        <w:rPr>
          <w:b/>
        </w:rPr>
        <w:t>языке</w:t>
      </w:r>
    </w:p>
    <w:p w14:paraId="5DA2C3D2" w14:textId="1A91141B" w:rsidR="000A2AB9" w:rsidRPr="00E52D55" w:rsidRDefault="000A2AB9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AB9">
        <w:rPr>
          <w:rFonts w:ascii="Times New Roman" w:hAnsi="Times New Roman"/>
          <w:sz w:val="24"/>
          <w:szCs w:val="24"/>
        </w:rPr>
        <w:t>Тимушев Евгений Николаевич</w:t>
      </w:r>
      <w:r>
        <w:rPr>
          <w:rFonts w:ascii="Times New Roman" w:hAnsi="Times New Roman"/>
          <w:sz w:val="24"/>
          <w:szCs w:val="24"/>
        </w:rPr>
        <w:t xml:space="preserve"> (Россия, </w:t>
      </w:r>
      <w:r w:rsidRPr="000A2AB9">
        <w:rPr>
          <w:rFonts w:ascii="Times New Roman" w:hAnsi="Times New Roman"/>
          <w:sz w:val="24"/>
          <w:szCs w:val="24"/>
        </w:rPr>
        <w:t>Республика Коми, г. Сыктывкар</w:t>
      </w:r>
      <w:r>
        <w:rPr>
          <w:rFonts w:ascii="Times New Roman" w:hAnsi="Times New Roman"/>
          <w:sz w:val="24"/>
          <w:szCs w:val="24"/>
        </w:rPr>
        <w:t>)</w:t>
      </w:r>
      <w:r w:rsidR="00C9527E">
        <w:rPr>
          <w:rFonts w:ascii="Times New Roman" w:hAnsi="Times New Roman"/>
          <w:sz w:val="24"/>
          <w:szCs w:val="24"/>
        </w:rPr>
        <w:t xml:space="preserve"> – </w:t>
      </w:r>
      <w:r w:rsidR="00C9527E" w:rsidRPr="00C9527E">
        <w:rPr>
          <w:rFonts w:ascii="Times New Roman" w:hAnsi="Times New Roman"/>
          <w:sz w:val="24"/>
          <w:szCs w:val="24"/>
        </w:rPr>
        <w:t>младший научный сотрудник</w:t>
      </w:r>
      <w:r w:rsidR="00C9527E">
        <w:rPr>
          <w:rFonts w:ascii="Times New Roman" w:hAnsi="Times New Roman"/>
          <w:sz w:val="24"/>
          <w:szCs w:val="24"/>
        </w:rPr>
        <w:t xml:space="preserve">, </w:t>
      </w:r>
      <w:r w:rsidR="000E725C" w:rsidRPr="000E725C">
        <w:rPr>
          <w:rFonts w:ascii="Times New Roman" w:hAnsi="Times New Roman"/>
          <w:sz w:val="24"/>
          <w:szCs w:val="24"/>
        </w:rPr>
        <w:t>Институт социально-экономических и энергетических проблем Севера Федерального исследовательского центра «Коми научный центр Уральского отделения Российской академии наук»</w:t>
      </w:r>
      <w:r w:rsidR="00C9527E">
        <w:rPr>
          <w:rFonts w:ascii="Times New Roman" w:hAnsi="Times New Roman"/>
          <w:sz w:val="24"/>
          <w:szCs w:val="24"/>
        </w:rPr>
        <w:t xml:space="preserve"> (</w:t>
      </w:r>
      <w:r w:rsidR="00C9527E" w:rsidRPr="00C9527E">
        <w:rPr>
          <w:rFonts w:ascii="Times New Roman" w:hAnsi="Times New Roman"/>
          <w:sz w:val="24"/>
          <w:szCs w:val="24"/>
        </w:rPr>
        <w:t>167982, Республика Коми, г. Сыктывкар, ул. Коммунистическая</w:t>
      </w:r>
      <w:r w:rsidR="00C9527E" w:rsidRPr="00E52D55">
        <w:rPr>
          <w:rFonts w:ascii="Times New Roman" w:hAnsi="Times New Roman"/>
          <w:sz w:val="24"/>
          <w:szCs w:val="24"/>
        </w:rPr>
        <w:t xml:space="preserve">, </w:t>
      </w:r>
      <w:r w:rsidR="00C9527E" w:rsidRPr="00C9527E">
        <w:rPr>
          <w:rFonts w:ascii="Times New Roman" w:hAnsi="Times New Roman"/>
          <w:sz w:val="24"/>
          <w:szCs w:val="24"/>
        </w:rPr>
        <w:t>д</w:t>
      </w:r>
      <w:r w:rsidR="00C9527E" w:rsidRPr="00E52D55">
        <w:rPr>
          <w:rFonts w:ascii="Times New Roman" w:hAnsi="Times New Roman"/>
          <w:sz w:val="24"/>
          <w:szCs w:val="24"/>
        </w:rPr>
        <w:t xml:space="preserve">. 26, </w:t>
      </w:r>
      <w:hyperlink r:id="rId13" w:history="1">
        <w:r w:rsidR="000257BB" w:rsidRPr="00B862BE">
          <w:rPr>
            <w:rStyle w:val="a5"/>
            <w:rFonts w:ascii="Times New Roman" w:hAnsi="Times New Roman"/>
            <w:sz w:val="24"/>
            <w:szCs w:val="24"/>
            <w:lang w:val="en-US"/>
          </w:rPr>
          <w:t>timushev</w:t>
        </w:r>
        <w:r w:rsidR="000257BB" w:rsidRPr="00E52D55">
          <w:rPr>
            <w:rStyle w:val="a5"/>
            <w:rFonts w:ascii="Times New Roman" w:hAnsi="Times New Roman"/>
            <w:sz w:val="24"/>
            <w:szCs w:val="24"/>
          </w:rPr>
          <w:t>@</w:t>
        </w:r>
        <w:r w:rsidR="000257BB" w:rsidRPr="00B862BE">
          <w:rPr>
            <w:rStyle w:val="a5"/>
            <w:rFonts w:ascii="Times New Roman" w:hAnsi="Times New Roman"/>
            <w:sz w:val="24"/>
            <w:szCs w:val="24"/>
            <w:lang w:val="en-US"/>
          </w:rPr>
          <w:t>iespn</w:t>
        </w:r>
        <w:r w:rsidR="000257BB" w:rsidRPr="00E52D55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7BB" w:rsidRPr="00B862BE">
          <w:rPr>
            <w:rStyle w:val="a5"/>
            <w:rFonts w:ascii="Times New Roman" w:hAnsi="Times New Roman"/>
            <w:sz w:val="24"/>
            <w:szCs w:val="24"/>
            <w:lang w:val="en-US"/>
          </w:rPr>
          <w:t>komisc</w:t>
        </w:r>
        <w:r w:rsidR="000257BB" w:rsidRPr="00E52D55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7BB" w:rsidRPr="00B862B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52D55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E52D55" w:rsidRPr="00E52D55">
        <w:rPr>
          <w:rStyle w:val="a5"/>
          <w:rFonts w:ascii="Times New Roman" w:hAnsi="Times New Roman"/>
          <w:sz w:val="24"/>
          <w:szCs w:val="24"/>
        </w:rPr>
        <w:t>evgeny_timushev@mail.ru</w:t>
      </w:r>
      <w:r w:rsidR="00C9527E" w:rsidRPr="00E52D55">
        <w:rPr>
          <w:rFonts w:ascii="Times New Roman" w:hAnsi="Times New Roman"/>
          <w:sz w:val="24"/>
          <w:szCs w:val="24"/>
        </w:rPr>
        <w:t>)</w:t>
      </w:r>
    </w:p>
    <w:p w14:paraId="483F3B30" w14:textId="77777777" w:rsidR="000257BB" w:rsidRPr="00E52D55" w:rsidRDefault="000257BB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E697E" w14:textId="77777777" w:rsidR="003F7977" w:rsidRPr="003F7977" w:rsidRDefault="003F7977" w:rsidP="0043134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3F7977">
        <w:rPr>
          <w:rFonts w:ascii="Times New Roman" w:hAnsi="Times New Roman"/>
          <w:b/>
          <w:sz w:val="24"/>
          <w:szCs w:val="24"/>
          <w:lang w:val="en-US"/>
        </w:rPr>
        <w:t>E.N. Timushev</w:t>
      </w:r>
    </w:p>
    <w:p w14:paraId="5E1031F9" w14:textId="3F20F817" w:rsidR="005E30D0" w:rsidRDefault="00EA5123" w:rsidP="00431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0E7EC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LOCAL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FISCAL</w:t>
      </w:r>
      <w:r w:rsidRPr="000E7EC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DECEN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TRALIZATION: ROLE OF NEIGHBORING AND DISTANCE</w:t>
      </w:r>
    </w:p>
    <w:p w14:paraId="4B8E9D4D" w14:textId="77777777" w:rsidR="000E7EC0" w:rsidRPr="000257BB" w:rsidRDefault="000E7EC0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7BE992" w14:textId="24D7880B" w:rsidR="0099337D" w:rsidRPr="001C2574" w:rsidRDefault="008347A7" w:rsidP="004313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548B6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554A3E">
        <w:rPr>
          <w:rFonts w:ascii="Times New Roman" w:hAnsi="Times New Roman"/>
          <w:i/>
          <w:sz w:val="24"/>
          <w:szCs w:val="24"/>
          <w:lang w:val="en-US"/>
        </w:rPr>
        <w:t>.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A433F" w:rsidRPr="001C2574">
        <w:rPr>
          <w:rFonts w:ascii="Times New Roman" w:hAnsi="Times New Roman"/>
          <w:i/>
          <w:sz w:val="24"/>
          <w:szCs w:val="24"/>
          <w:lang w:val="en-US"/>
        </w:rPr>
        <w:t xml:space="preserve">Spatial 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factors of the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 xml:space="preserve">local </w:t>
      </w:r>
      <w:r w:rsidR="00975B1B" w:rsidRPr="001C2574">
        <w:rPr>
          <w:rFonts w:ascii="Times New Roman" w:hAnsi="Times New Roman"/>
          <w:i/>
          <w:sz w:val="24"/>
          <w:szCs w:val="24"/>
          <w:lang w:val="en-US"/>
        </w:rPr>
        <w:t xml:space="preserve">share 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 xml:space="preserve">personal 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income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 xml:space="preserve">tax in </w:t>
      </w:r>
      <w:r w:rsidR="00CA433F">
        <w:rPr>
          <w:rFonts w:ascii="Times New Roman" w:hAnsi="Times New Roman"/>
          <w:i/>
          <w:sz w:val="24"/>
          <w:szCs w:val="24"/>
          <w:lang w:val="en-US"/>
        </w:rPr>
        <w:t xml:space="preserve">Russian 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consolidated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 xml:space="preserve">regional 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>budget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>s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 are significant and positive. The results are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>relevant in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75B1B">
        <w:rPr>
          <w:rFonts w:ascii="Times New Roman" w:hAnsi="Times New Roman"/>
          <w:i/>
          <w:sz w:val="24"/>
          <w:szCs w:val="24"/>
          <w:lang w:val="en-US"/>
        </w:rPr>
        <w:t>studying inter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>regional</w:t>
      </w:r>
      <w:r w:rsidR="005E6B3F">
        <w:rPr>
          <w:rFonts w:ascii="Times New Roman" w:hAnsi="Times New Roman"/>
          <w:i/>
          <w:sz w:val="24"/>
          <w:szCs w:val="24"/>
          <w:lang w:val="en-US"/>
        </w:rPr>
        <w:t xml:space="preserve"> fiscal</w:t>
      </w:r>
      <w:r w:rsidR="001C2574" w:rsidRPr="001C2574">
        <w:rPr>
          <w:rFonts w:ascii="Times New Roman" w:hAnsi="Times New Roman"/>
          <w:i/>
          <w:sz w:val="24"/>
          <w:szCs w:val="24"/>
          <w:lang w:val="en-US"/>
        </w:rPr>
        <w:t xml:space="preserve"> interaction in Russia.</w:t>
      </w:r>
    </w:p>
    <w:p w14:paraId="1FBC4103" w14:textId="4632E8C1" w:rsidR="0099337D" w:rsidRPr="00926438" w:rsidRDefault="008347A7" w:rsidP="004313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548B6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="00F66C8B" w:rsidRPr="00926438">
        <w:rPr>
          <w:rFonts w:ascii="Times New Roman" w:hAnsi="Times New Roman"/>
          <w:i/>
          <w:sz w:val="24"/>
          <w:szCs w:val="24"/>
          <w:lang w:val="en-US"/>
        </w:rPr>
        <w:t>.</w:t>
      </w:r>
      <w:r w:rsidR="00926438" w:rsidRPr="0092643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26438">
        <w:rPr>
          <w:rFonts w:ascii="Times New Roman" w:hAnsi="Times New Roman"/>
          <w:i/>
          <w:sz w:val="24"/>
          <w:szCs w:val="24"/>
          <w:lang w:val="en-US"/>
        </w:rPr>
        <w:t>Personal</w:t>
      </w:r>
      <w:r w:rsidR="00926438" w:rsidRPr="00926438">
        <w:rPr>
          <w:rFonts w:ascii="Times New Roman" w:hAnsi="Times New Roman"/>
          <w:i/>
          <w:sz w:val="24"/>
          <w:szCs w:val="24"/>
          <w:lang w:val="en-US"/>
        </w:rPr>
        <w:t xml:space="preserve"> income tax, spatial correlation, Spearman correlation, </w:t>
      </w:r>
      <w:r w:rsidR="0025295A" w:rsidRPr="0025295A">
        <w:rPr>
          <w:rFonts w:ascii="Times New Roman" w:hAnsi="Times New Roman"/>
          <w:i/>
          <w:sz w:val="24"/>
          <w:szCs w:val="24"/>
          <w:lang w:val="en-US"/>
        </w:rPr>
        <w:t>strategic interaction</w:t>
      </w:r>
      <w:r w:rsidR="00AF7B01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1416C1B2" w14:textId="255FD76B" w:rsidR="008347A7" w:rsidRPr="00926438" w:rsidRDefault="008347A7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13CFFE" w14:textId="77777777" w:rsidR="00C04451" w:rsidRPr="00C04451" w:rsidRDefault="00C04451" w:rsidP="0043134A">
      <w:pPr>
        <w:pStyle w:val="10-4-17"/>
        <w:spacing w:line="240" w:lineRule="auto"/>
        <w:rPr>
          <w:b/>
        </w:rPr>
      </w:pPr>
      <w:r w:rsidRPr="00E6649F">
        <w:rPr>
          <w:b/>
        </w:rPr>
        <w:t>Информация</w:t>
      </w:r>
      <w:r w:rsidRPr="00C04451">
        <w:rPr>
          <w:b/>
        </w:rPr>
        <w:t xml:space="preserve"> </w:t>
      </w:r>
      <w:r w:rsidRPr="00E6649F">
        <w:rPr>
          <w:b/>
        </w:rPr>
        <w:t>об</w:t>
      </w:r>
      <w:r w:rsidRPr="00C04451">
        <w:rPr>
          <w:b/>
        </w:rPr>
        <w:t xml:space="preserve"> </w:t>
      </w:r>
      <w:r w:rsidRPr="00E6649F">
        <w:rPr>
          <w:b/>
        </w:rPr>
        <w:t>авторе</w:t>
      </w:r>
      <w:r w:rsidRPr="00C04451">
        <w:rPr>
          <w:b/>
        </w:rPr>
        <w:t xml:space="preserve"> </w:t>
      </w:r>
      <w:r w:rsidRPr="00E6649F">
        <w:rPr>
          <w:b/>
        </w:rPr>
        <w:t>на</w:t>
      </w:r>
      <w:r w:rsidRPr="00C04451">
        <w:rPr>
          <w:b/>
        </w:rPr>
        <w:t xml:space="preserve"> </w:t>
      </w:r>
      <w:r w:rsidRPr="00E6649F">
        <w:rPr>
          <w:b/>
        </w:rPr>
        <w:t>английском</w:t>
      </w:r>
      <w:r w:rsidRPr="00C04451">
        <w:rPr>
          <w:b/>
        </w:rPr>
        <w:t xml:space="preserve"> </w:t>
      </w:r>
      <w:r w:rsidRPr="00E6649F">
        <w:rPr>
          <w:b/>
        </w:rPr>
        <w:t>языке</w:t>
      </w:r>
    </w:p>
    <w:p w14:paraId="3C1F24AE" w14:textId="4E7B09AD" w:rsidR="00C04451" w:rsidRPr="00F85365" w:rsidRDefault="00C04451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D293A">
        <w:rPr>
          <w:rFonts w:ascii="Times New Roman" w:hAnsi="Times New Roman"/>
          <w:sz w:val="24"/>
          <w:szCs w:val="24"/>
          <w:lang w:val="en-US"/>
        </w:rPr>
        <w:t xml:space="preserve">Timushev Evgeny Nikolaevich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70DCC">
        <w:rPr>
          <w:rFonts w:ascii="Times New Roman" w:hAnsi="Times New Roman"/>
          <w:sz w:val="24"/>
          <w:szCs w:val="24"/>
          <w:lang w:val="en-US"/>
        </w:rPr>
        <w:t>Russian Federation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Komi Republic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Syktyvkar</w:t>
      </w:r>
      <w:r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570DCC">
        <w:rPr>
          <w:rFonts w:ascii="Times New Roman" w:hAnsi="Times New Roman"/>
          <w:sz w:val="24"/>
          <w:szCs w:val="24"/>
          <w:lang w:val="en-US"/>
        </w:rPr>
        <w:t>junior researcher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bookmarkStart w:id="17" w:name="_Hlk8549595"/>
      <w:r w:rsidRPr="00570DCC">
        <w:rPr>
          <w:rFonts w:ascii="Times New Roman" w:hAnsi="Times New Roman"/>
          <w:sz w:val="24"/>
          <w:szCs w:val="24"/>
          <w:lang w:val="en-US"/>
        </w:rPr>
        <w:t xml:space="preserve">Institute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70DCC">
        <w:rPr>
          <w:rFonts w:ascii="Times New Roman" w:hAnsi="Times New Roman"/>
          <w:sz w:val="24"/>
          <w:szCs w:val="24"/>
          <w:lang w:val="en-US"/>
        </w:rPr>
        <w:t xml:space="preserve"> Socio-Economic and Power Problems of the North, </w:t>
      </w:r>
      <w:r w:rsidRPr="00E56A24">
        <w:rPr>
          <w:rFonts w:ascii="Times New Roman" w:hAnsi="Times New Roman"/>
          <w:sz w:val="24"/>
          <w:szCs w:val="24"/>
          <w:lang w:val="en-US"/>
        </w:rPr>
        <w:t>Federal research center "Komi scientific center of the Ural branch of the Russian Academy of Sciences»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DCC">
        <w:rPr>
          <w:rFonts w:ascii="Times New Roman" w:hAnsi="Times New Roman"/>
          <w:sz w:val="24"/>
          <w:szCs w:val="24"/>
          <w:lang w:val="en-US"/>
        </w:rPr>
        <w:t>(167982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the Komi Republic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Syktyvkar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0DCC">
        <w:rPr>
          <w:rFonts w:ascii="Times New Roman" w:hAnsi="Times New Roman"/>
          <w:sz w:val="24"/>
          <w:szCs w:val="24"/>
          <w:lang w:val="en-US"/>
        </w:rPr>
        <w:t>Kommunisticheskaya</w:t>
      </w:r>
      <w:proofErr w:type="spellEnd"/>
      <w:r w:rsidRPr="00570DCC">
        <w:rPr>
          <w:rFonts w:ascii="Times New Roman" w:hAnsi="Times New Roman"/>
          <w:sz w:val="24"/>
          <w:szCs w:val="24"/>
          <w:lang w:val="en-US"/>
        </w:rPr>
        <w:t xml:space="preserve"> street</w:t>
      </w:r>
      <w:r>
        <w:rPr>
          <w:rFonts w:ascii="Times New Roman" w:hAnsi="Times New Roman"/>
          <w:sz w:val="24"/>
          <w:szCs w:val="24"/>
          <w:lang w:val="en-US"/>
        </w:rPr>
        <w:t xml:space="preserve">, 26, </w:t>
      </w:r>
      <w:hyperlink r:id="rId14" w:history="1">
        <w:r w:rsidR="00E508F6" w:rsidRPr="005400CB">
          <w:rPr>
            <w:rStyle w:val="a5"/>
            <w:rFonts w:ascii="Times New Roman" w:hAnsi="Times New Roman"/>
            <w:sz w:val="24"/>
            <w:szCs w:val="24"/>
            <w:lang w:val="en-US"/>
          </w:rPr>
          <w:t>timushev@iespn.komisc.ru</w:t>
        </w:r>
      </w:hyperlink>
      <w:r w:rsidR="00E508F6" w:rsidRPr="00E508F6">
        <w:rPr>
          <w:rFonts w:ascii="Times New Roman" w:hAnsi="Times New Roman"/>
          <w:sz w:val="24"/>
          <w:szCs w:val="24"/>
          <w:lang w:val="en-US"/>
        </w:rPr>
        <w:t>, evgeny_timushev@mail.ru</w:t>
      </w:r>
      <w:r w:rsidRPr="00F54E32">
        <w:rPr>
          <w:rFonts w:ascii="Times New Roman" w:hAnsi="Times New Roman"/>
          <w:sz w:val="24"/>
          <w:szCs w:val="24"/>
          <w:lang w:val="en-US"/>
        </w:rPr>
        <w:t>).</w:t>
      </w:r>
      <w:bookmarkEnd w:id="17"/>
    </w:p>
    <w:p w14:paraId="68D7E25C" w14:textId="77777777" w:rsidR="00C04451" w:rsidRPr="00F66C8B" w:rsidRDefault="00C04451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D07033" w14:textId="77777777" w:rsidR="003434F0" w:rsidRPr="00DC6A50" w:rsidRDefault="003434F0" w:rsidP="0043134A">
      <w:pPr>
        <w:pStyle w:val="10-4-17"/>
        <w:spacing w:line="240" w:lineRule="auto"/>
        <w:rPr>
          <w:b/>
          <w:lang w:val="en-US"/>
        </w:rPr>
      </w:pPr>
      <w:r w:rsidRPr="000257BB">
        <w:rPr>
          <w:b/>
        </w:rPr>
        <w:t>Список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литературы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на</w:t>
      </w:r>
      <w:r w:rsidRPr="00DC6A50">
        <w:rPr>
          <w:b/>
          <w:lang w:val="en-US"/>
        </w:rPr>
        <w:t xml:space="preserve"> </w:t>
      </w:r>
      <w:r>
        <w:rPr>
          <w:b/>
        </w:rPr>
        <w:t>английском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языке</w:t>
      </w:r>
    </w:p>
    <w:p w14:paraId="292063AA" w14:textId="77777777" w:rsidR="00924889" w:rsidRDefault="00924889" w:rsidP="00924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31AD">
        <w:rPr>
          <w:rFonts w:ascii="Times New Roman" w:hAnsi="Times New Roman"/>
          <w:sz w:val="24"/>
          <w:szCs w:val="24"/>
          <w:lang w:val="en-US"/>
        </w:rPr>
        <w:t xml:space="preserve">Abramov A., Glushchenko K. </w:t>
      </w:r>
      <w:r w:rsidRPr="008231AD">
        <w:rPr>
          <w:rFonts w:ascii="Times New Roman" w:hAnsi="Times New Roman"/>
          <w:i/>
          <w:iCs/>
          <w:sz w:val="24"/>
          <w:szCs w:val="24"/>
          <w:lang w:val="en-US"/>
        </w:rPr>
        <w:t>Matrica kratchajshih rasstoyanij mezhdu administrativnymi centrami rossijskih regionov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8231AD">
        <w:rPr>
          <w:rFonts w:ascii="Times New Roman" w:hAnsi="Times New Roman"/>
          <w:sz w:val="24"/>
          <w:szCs w:val="24"/>
          <w:lang w:val="en-US"/>
        </w:rPr>
        <w:t>Matrix of shortest distances between administrative centers of Russian regions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8231AD">
        <w:rPr>
          <w:rFonts w:ascii="Times New Roman" w:hAnsi="Times New Roman"/>
          <w:sz w:val="24"/>
          <w:szCs w:val="24"/>
          <w:lang w:val="en-US"/>
        </w:rPr>
        <w:t>. [Elektronnyj resurs] Novosibirsk: NGU, 2000. URL:  http://econom.nsu.ru/staff/chair_et/gluschenko/Research/Data/Distances.xls, (accessed: 19.03.2020).</w:t>
      </w:r>
    </w:p>
    <w:p w14:paraId="5A9C45A6" w14:textId="08DC5879" w:rsidR="00924889" w:rsidRPr="00D82CE1" w:rsidRDefault="00924889" w:rsidP="00924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E2677">
        <w:rPr>
          <w:rFonts w:ascii="Times New Roman" w:hAnsi="Times New Roman"/>
          <w:sz w:val="24"/>
          <w:szCs w:val="24"/>
          <w:lang w:val="en-US"/>
        </w:rPr>
        <w:t xml:space="preserve">Timushev E.N. </w:t>
      </w:r>
      <w:r w:rsidRPr="009E2677">
        <w:rPr>
          <w:rFonts w:ascii="Times New Roman" w:hAnsi="Times New Roman"/>
          <w:i/>
          <w:iCs/>
          <w:sz w:val="24"/>
          <w:szCs w:val="24"/>
          <w:lang w:val="en-US"/>
        </w:rPr>
        <w:t>Mozhno li postupleniya ot naloga na dohody fizlic schitat' indikatorom mestnoj byudzhetnoj decentralizacii?</w:t>
      </w:r>
      <w:r w:rsidRPr="009E2677">
        <w:rPr>
          <w:rFonts w:ascii="Times New Roman" w:hAnsi="Times New Roman"/>
          <w:sz w:val="24"/>
          <w:szCs w:val="24"/>
          <w:lang w:val="en-US"/>
        </w:rPr>
        <w:t xml:space="preserve"> [Can receipts from the </w:t>
      </w:r>
      <w:r w:rsidR="0029261D">
        <w:rPr>
          <w:rFonts w:ascii="Times New Roman" w:hAnsi="Times New Roman"/>
          <w:sz w:val="24"/>
          <w:szCs w:val="24"/>
          <w:lang w:val="en-US"/>
        </w:rPr>
        <w:t xml:space="preserve">personal </w:t>
      </w:r>
      <w:r w:rsidR="0029261D" w:rsidRPr="009E2677">
        <w:rPr>
          <w:rFonts w:ascii="Times New Roman" w:hAnsi="Times New Roman"/>
          <w:sz w:val="24"/>
          <w:szCs w:val="24"/>
          <w:lang w:val="en-US"/>
        </w:rPr>
        <w:t xml:space="preserve">income </w:t>
      </w:r>
      <w:r w:rsidRPr="009E2677">
        <w:rPr>
          <w:rFonts w:ascii="Times New Roman" w:hAnsi="Times New Roman"/>
          <w:sz w:val="24"/>
          <w:szCs w:val="24"/>
          <w:lang w:val="en-US"/>
        </w:rPr>
        <w:t xml:space="preserve">tax be considered an indicator of local </w:t>
      </w:r>
      <w:r w:rsidR="003305B3">
        <w:rPr>
          <w:rFonts w:ascii="Times New Roman" w:hAnsi="Times New Roman"/>
          <w:sz w:val="24"/>
          <w:szCs w:val="24"/>
          <w:lang w:val="en-US"/>
        </w:rPr>
        <w:t>fiscal</w:t>
      </w:r>
      <w:r w:rsidRPr="009E2677">
        <w:rPr>
          <w:rFonts w:ascii="Times New Roman" w:hAnsi="Times New Roman"/>
          <w:sz w:val="24"/>
          <w:szCs w:val="24"/>
          <w:lang w:val="en-US"/>
        </w:rPr>
        <w:t xml:space="preserve"> decentralization?] </w:t>
      </w:r>
      <w:r w:rsidRPr="00D82CE1">
        <w:rPr>
          <w:rFonts w:ascii="Times New Roman" w:hAnsi="Times New Roman"/>
          <w:sz w:val="24"/>
          <w:szCs w:val="24"/>
          <w:lang w:val="en-US"/>
        </w:rPr>
        <w:t xml:space="preserve">"Topical issues of Economics and sociology":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Pr="00D82CE1">
        <w:rPr>
          <w:rFonts w:ascii="Times New Roman" w:hAnsi="Times New Roman"/>
          <w:sz w:val="24"/>
          <w:szCs w:val="24"/>
          <w:lang w:val="en-US"/>
        </w:rPr>
        <w:t xml:space="preserve"> of the XV Autumn conference of young scientists in Novosibirsk Akademgorodok (Novosibirsk, November 18-20, 2019). Novosibirsk, 2019. Pp. 131-137. URL: https://www.ieie.su/assets/ysc2019/ysc-2019.pdf (date accessed: 19.03.2020).</w:t>
      </w:r>
    </w:p>
    <w:p w14:paraId="1F8EB177" w14:textId="77777777" w:rsidR="00924889" w:rsidRDefault="00924889" w:rsidP="00924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B18">
        <w:rPr>
          <w:rFonts w:ascii="Times New Roman" w:hAnsi="Times New Roman"/>
          <w:sz w:val="24"/>
          <w:szCs w:val="24"/>
          <w:lang w:val="en-US"/>
        </w:rPr>
        <w:t xml:space="preserve">Anselin L., Bera A.K. </w:t>
      </w:r>
      <w:r w:rsidRPr="00D3072D">
        <w:rPr>
          <w:rFonts w:ascii="Times New Roman" w:hAnsi="Times New Roman"/>
          <w:i/>
          <w:iCs/>
          <w:sz w:val="24"/>
          <w:szCs w:val="24"/>
          <w:lang w:val="en-US"/>
        </w:rPr>
        <w:t>Spatial Dependence in Linear Regression Models with an Introduction to Spatial Econometrics</w:t>
      </w:r>
      <w:r w:rsidRPr="00D91B18">
        <w:rPr>
          <w:rFonts w:ascii="Times New Roman" w:hAnsi="Times New Roman"/>
          <w:sz w:val="24"/>
          <w:szCs w:val="24"/>
          <w:lang w:val="en-US"/>
        </w:rPr>
        <w:t>. In: Ullah A., Giles D.E.A. (eds.). Handbook of Applied Economic Statistics. NY, 1998, pp. 237–289.</w:t>
      </w:r>
    </w:p>
    <w:p w14:paraId="643E8389" w14:textId="27DB4855" w:rsidR="004B2943" w:rsidRPr="00D91B18" w:rsidRDefault="004B294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B18">
        <w:rPr>
          <w:rFonts w:ascii="Times New Roman" w:hAnsi="Times New Roman"/>
          <w:sz w:val="24"/>
          <w:szCs w:val="24"/>
          <w:lang w:val="en-US"/>
        </w:rPr>
        <w:t xml:space="preserve">Eilers L. </w:t>
      </w:r>
      <w:r w:rsidRPr="00D3072D">
        <w:rPr>
          <w:rFonts w:ascii="Times New Roman" w:hAnsi="Times New Roman"/>
          <w:i/>
          <w:iCs/>
          <w:sz w:val="24"/>
          <w:szCs w:val="24"/>
          <w:lang w:val="en-US"/>
        </w:rPr>
        <w:t>Spatial Autocorrelation and the Spatial Durbin Model</w:t>
      </w:r>
      <w:r w:rsidRPr="00D91B18">
        <w:rPr>
          <w:rFonts w:ascii="Times New Roman" w:hAnsi="Times New Roman"/>
          <w:sz w:val="24"/>
          <w:szCs w:val="24"/>
          <w:lang w:val="en-US"/>
        </w:rPr>
        <w:t>. 2019, ROBUST Workshop. Essen/RWI. URL: https://rural-urban.eu/sites/default/files/05_Spatial%20Autocorrelation%20and%20the%20Spatial%20Durbin%20Model_Eilers.pdf (</w:t>
      </w:r>
      <w:r w:rsidR="00D3072D">
        <w:rPr>
          <w:rFonts w:ascii="Times New Roman" w:hAnsi="Times New Roman"/>
          <w:sz w:val="24"/>
          <w:szCs w:val="24"/>
          <w:lang w:val="en-US"/>
        </w:rPr>
        <w:t>accessed</w:t>
      </w:r>
      <w:r w:rsidRPr="00D91B18">
        <w:rPr>
          <w:rFonts w:ascii="Times New Roman" w:hAnsi="Times New Roman"/>
          <w:sz w:val="24"/>
          <w:szCs w:val="24"/>
          <w:lang w:val="en-US"/>
        </w:rPr>
        <w:t>: 19.03.2020)</w:t>
      </w:r>
    </w:p>
    <w:p w14:paraId="19861526" w14:textId="6A18DCC2" w:rsidR="00CA5ED8" w:rsidRDefault="004B2943" w:rsidP="00431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1162">
        <w:rPr>
          <w:rFonts w:ascii="Times New Roman" w:hAnsi="Times New Roman"/>
          <w:sz w:val="24"/>
          <w:szCs w:val="24"/>
          <w:lang w:val="en-US"/>
        </w:rPr>
        <w:t>Ligthart J. E., van Oudheusden P. The Fiscal Decentralisation and Economic Growth Nexus Revisited</w:t>
      </w:r>
      <w:r w:rsidR="00D3072D">
        <w:rPr>
          <w:rFonts w:ascii="Times New Roman" w:hAnsi="Times New Roman"/>
          <w:sz w:val="24"/>
          <w:szCs w:val="24"/>
          <w:lang w:val="en-US"/>
        </w:rPr>
        <w:t>.</w:t>
      </w:r>
      <w:r w:rsidRPr="009111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72D">
        <w:rPr>
          <w:rFonts w:ascii="Times New Roman" w:hAnsi="Times New Roman"/>
          <w:i/>
          <w:iCs/>
          <w:sz w:val="24"/>
          <w:szCs w:val="24"/>
          <w:lang w:val="en-US"/>
        </w:rPr>
        <w:t>Fiscal Studies</w:t>
      </w:r>
      <w:r w:rsidRPr="00911162">
        <w:rPr>
          <w:rFonts w:ascii="Times New Roman" w:hAnsi="Times New Roman"/>
          <w:sz w:val="24"/>
          <w:szCs w:val="24"/>
          <w:lang w:val="en-US"/>
        </w:rPr>
        <w:t>, 2017, 38(1), pp. 141–171. doi: 10.1111/1475-5890.12099</w:t>
      </w:r>
    </w:p>
    <w:sectPr w:rsidR="00CA5ED8" w:rsidSect="001A1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9833" w14:textId="77777777" w:rsidR="003D4754" w:rsidRDefault="003D4754" w:rsidP="00290E01">
      <w:pPr>
        <w:spacing w:after="0" w:line="240" w:lineRule="auto"/>
      </w:pPr>
      <w:r>
        <w:separator/>
      </w:r>
    </w:p>
  </w:endnote>
  <w:endnote w:type="continuationSeparator" w:id="0">
    <w:p w14:paraId="630FE593" w14:textId="77777777" w:rsidR="003D4754" w:rsidRDefault="003D4754" w:rsidP="002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92A9" w14:textId="77777777" w:rsidR="003D4754" w:rsidRDefault="003D4754" w:rsidP="00290E01">
      <w:pPr>
        <w:spacing w:after="0" w:line="240" w:lineRule="auto"/>
      </w:pPr>
      <w:r>
        <w:separator/>
      </w:r>
    </w:p>
  </w:footnote>
  <w:footnote w:type="continuationSeparator" w:id="0">
    <w:p w14:paraId="3D98181F" w14:textId="77777777" w:rsidR="003D4754" w:rsidRDefault="003D4754" w:rsidP="00290E01">
      <w:pPr>
        <w:spacing w:after="0" w:line="240" w:lineRule="auto"/>
      </w:pPr>
      <w:r>
        <w:continuationSeparator/>
      </w:r>
    </w:p>
  </w:footnote>
  <w:footnote w:id="1">
    <w:p w14:paraId="7E4C074F" w14:textId="25DCF0EA" w:rsidR="001E5FD8" w:rsidRDefault="001E5FD8">
      <w:pPr>
        <w:pStyle w:val="a6"/>
      </w:pPr>
      <w:r w:rsidRPr="0043134A">
        <w:rPr>
          <w:rStyle w:val="a8"/>
        </w:rPr>
        <w:footnoteRef/>
      </w:r>
      <w:r>
        <w:t xml:space="preserve"> Пункт 3 статьи 58 БК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85"/>
    <w:multiLevelType w:val="hybridMultilevel"/>
    <w:tmpl w:val="DDA0BBF4"/>
    <w:lvl w:ilvl="0" w:tplc="7EA0272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9170F"/>
    <w:multiLevelType w:val="hybridMultilevel"/>
    <w:tmpl w:val="96A22F84"/>
    <w:lvl w:ilvl="0" w:tplc="AD868AB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E1512"/>
    <w:multiLevelType w:val="hybridMultilevel"/>
    <w:tmpl w:val="1BB2B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D23D5"/>
    <w:multiLevelType w:val="hybridMultilevel"/>
    <w:tmpl w:val="D28A8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43667"/>
    <w:multiLevelType w:val="hybridMultilevel"/>
    <w:tmpl w:val="B88C8B1C"/>
    <w:lvl w:ilvl="0" w:tplc="162258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F3B7B"/>
    <w:multiLevelType w:val="hybridMultilevel"/>
    <w:tmpl w:val="1CEE1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866F1E"/>
    <w:multiLevelType w:val="hybridMultilevel"/>
    <w:tmpl w:val="2E52513E"/>
    <w:lvl w:ilvl="0" w:tplc="020AA8A4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271220"/>
    <w:multiLevelType w:val="hybridMultilevel"/>
    <w:tmpl w:val="9AEA6D16"/>
    <w:lvl w:ilvl="0" w:tplc="9F4C9C5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A42A46"/>
    <w:multiLevelType w:val="hybridMultilevel"/>
    <w:tmpl w:val="0A30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1D3892"/>
    <w:multiLevelType w:val="hybridMultilevel"/>
    <w:tmpl w:val="14CC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B71B92"/>
    <w:multiLevelType w:val="hybridMultilevel"/>
    <w:tmpl w:val="B1CE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5A293D"/>
    <w:multiLevelType w:val="hybridMultilevel"/>
    <w:tmpl w:val="9956F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D92C87"/>
    <w:multiLevelType w:val="hybridMultilevel"/>
    <w:tmpl w:val="CAC454D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07332E"/>
    <w:multiLevelType w:val="hybridMultilevel"/>
    <w:tmpl w:val="71CAB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86700F"/>
    <w:multiLevelType w:val="hybridMultilevel"/>
    <w:tmpl w:val="8E887E1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0242EF"/>
    <w:multiLevelType w:val="hybridMultilevel"/>
    <w:tmpl w:val="C9A096C2"/>
    <w:lvl w:ilvl="0" w:tplc="A3B4C98E">
      <w:start w:val="1"/>
      <w:numFmt w:val="decimal"/>
      <w:lvlText w:val="(10.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93270A"/>
    <w:multiLevelType w:val="hybridMultilevel"/>
    <w:tmpl w:val="6B5284C6"/>
    <w:lvl w:ilvl="0" w:tplc="9D08C61C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5150EB"/>
    <w:multiLevelType w:val="hybridMultilevel"/>
    <w:tmpl w:val="00E8FE66"/>
    <w:lvl w:ilvl="0" w:tplc="162258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0"/>
    <w:rsid w:val="00001377"/>
    <w:rsid w:val="00002FC7"/>
    <w:rsid w:val="0000305B"/>
    <w:rsid w:val="000054E9"/>
    <w:rsid w:val="00005F0B"/>
    <w:rsid w:val="00011C7E"/>
    <w:rsid w:val="0001338D"/>
    <w:rsid w:val="00015FBB"/>
    <w:rsid w:val="000204E7"/>
    <w:rsid w:val="000226EE"/>
    <w:rsid w:val="000254E8"/>
    <w:rsid w:val="000257BB"/>
    <w:rsid w:val="000311A3"/>
    <w:rsid w:val="00032DC0"/>
    <w:rsid w:val="00032FA6"/>
    <w:rsid w:val="00043AEF"/>
    <w:rsid w:val="00050233"/>
    <w:rsid w:val="0005145D"/>
    <w:rsid w:val="00052EFD"/>
    <w:rsid w:val="000535F3"/>
    <w:rsid w:val="00054FFF"/>
    <w:rsid w:val="00056F47"/>
    <w:rsid w:val="000572D2"/>
    <w:rsid w:val="0006201A"/>
    <w:rsid w:val="000620F0"/>
    <w:rsid w:val="000625E5"/>
    <w:rsid w:val="00072786"/>
    <w:rsid w:val="00072F30"/>
    <w:rsid w:val="000741D0"/>
    <w:rsid w:val="000750B9"/>
    <w:rsid w:val="00075CFE"/>
    <w:rsid w:val="000821B6"/>
    <w:rsid w:val="000860DF"/>
    <w:rsid w:val="00087D07"/>
    <w:rsid w:val="00092EEC"/>
    <w:rsid w:val="00094E50"/>
    <w:rsid w:val="000A0EDD"/>
    <w:rsid w:val="000A2AB9"/>
    <w:rsid w:val="000B03B3"/>
    <w:rsid w:val="000B21BB"/>
    <w:rsid w:val="000B3448"/>
    <w:rsid w:val="000B4A2A"/>
    <w:rsid w:val="000B54B9"/>
    <w:rsid w:val="000B59F3"/>
    <w:rsid w:val="000B6E73"/>
    <w:rsid w:val="000C285A"/>
    <w:rsid w:val="000C3CC4"/>
    <w:rsid w:val="000D6422"/>
    <w:rsid w:val="000E3C03"/>
    <w:rsid w:val="000E45CF"/>
    <w:rsid w:val="000E725C"/>
    <w:rsid w:val="000E7478"/>
    <w:rsid w:val="000E7B1A"/>
    <w:rsid w:val="000E7EC0"/>
    <w:rsid w:val="000F15FD"/>
    <w:rsid w:val="000F20CA"/>
    <w:rsid w:val="000F21BA"/>
    <w:rsid w:val="000F3892"/>
    <w:rsid w:val="000F59BD"/>
    <w:rsid w:val="000F5DD0"/>
    <w:rsid w:val="000F6E45"/>
    <w:rsid w:val="00110030"/>
    <w:rsid w:val="00112496"/>
    <w:rsid w:val="00115996"/>
    <w:rsid w:val="00115CA9"/>
    <w:rsid w:val="001169C4"/>
    <w:rsid w:val="001224CA"/>
    <w:rsid w:val="00133C10"/>
    <w:rsid w:val="00133D45"/>
    <w:rsid w:val="0013437B"/>
    <w:rsid w:val="00135104"/>
    <w:rsid w:val="00136644"/>
    <w:rsid w:val="00142D79"/>
    <w:rsid w:val="00145415"/>
    <w:rsid w:val="00147186"/>
    <w:rsid w:val="00155663"/>
    <w:rsid w:val="00162F95"/>
    <w:rsid w:val="00167161"/>
    <w:rsid w:val="0017230A"/>
    <w:rsid w:val="00172B5C"/>
    <w:rsid w:val="00177088"/>
    <w:rsid w:val="00182879"/>
    <w:rsid w:val="00183719"/>
    <w:rsid w:val="001849FF"/>
    <w:rsid w:val="001872C2"/>
    <w:rsid w:val="00191818"/>
    <w:rsid w:val="001A1A09"/>
    <w:rsid w:val="001A2E8F"/>
    <w:rsid w:val="001A7A86"/>
    <w:rsid w:val="001B0AF1"/>
    <w:rsid w:val="001B0D62"/>
    <w:rsid w:val="001B17CF"/>
    <w:rsid w:val="001B24F5"/>
    <w:rsid w:val="001B687B"/>
    <w:rsid w:val="001B7A28"/>
    <w:rsid w:val="001C1895"/>
    <w:rsid w:val="001C2574"/>
    <w:rsid w:val="001C7B3F"/>
    <w:rsid w:val="001D2CA4"/>
    <w:rsid w:val="001D5D3F"/>
    <w:rsid w:val="001D6771"/>
    <w:rsid w:val="001E0CFA"/>
    <w:rsid w:val="001E160C"/>
    <w:rsid w:val="001E1DAB"/>
    <w:rsid w:val="001E1FAE"/>
    <w:rsid w:val="001E5FD8"/>
    <w:rsid w:val="001E6D17"/>
    <w:rsid w:val="001F38B8"/>
    <w:rsid w:val="001F5835"/>
    <w:rsid w:val="001F70B3"/>
    <w:rsid w:val="00200302"/>
    <w:rsid w:val="00202E60"/>
    <w:rsid w:val="00205684"/>
    <w:rsid w:val="00205F91"/>
    <w:rsid w:val="00210884"/>
    <w:rsid w:val="0021093B"/>
    <w:rsid w:val="00210D57"/>
    <w:rsid w:val="00212F58"/>
    <w:rsid w:val="00215C1F"/>
    <w:rsid w:val="002203B2"/>
    <w:rsid w:val="0022115D"/>
    <w:rsid w:val="0022557B"/>
    <w:rsid w:val="002311BB"/>
    <w:rsid w:val="00233C61"/>
    <w:rsid w:val="002348BB"/>
    <w:rsid w:val="00234F27"/>
    <w:rsid w:val="0024246E"/>
    <w:rsid w:val="00242E9D"/>
    <w:rsid w:val="00245F2F"/>
    <w:rsid w:val="00246830"/>
    <w:rsid w:val="002504C5"/>
    <w:rsid w:val="0025295A"/>
    <w:rsid w:val="00255117"/>
    <w:rsid w:val="00255EC7"/>
    <w:rsid w:val="002601C9"/>
    <w:rsid w:val="00261A67"/>
    <w:rsid w:val="00263AB3"/>
    <w:rsid w:val="00266F65"/>
    <w:rsid w:val="002700A1"/>
    <w:rsid w:val="00276310"/>
    <w:rsid w:val="00280105"/>
    <w:rsid w:val="0028020A"/>
    <w:rsid w:val="0028171B"/>
    <w:rsid w:val="002831CF"/>
    <w:rsid w:val="00286893"/>
    <w:rsid w:val="00290E01"/>
    <w:rsid w:val="002913B5"/>
    <w:rsid w:val="0029261D"/>
    <w:rsid w:val="00293D88"/>
    <w:rsid w:val="002976F8"/>
    <w:rsid w:val="002B05F5"/>
    <w:rsid w:val="002B24F9"/>
    <w:rsid w:val="002B3891"/>
    <w:rsid w:val="002B5763"/>
    <w:rsid w:val="002B6916"/>
    <w:rsid w:val="002C3003"/>
    <w:rsid w:val="002C3A5F"/>
    <w:rsid w:val="002D0994"/>
    <w:rsid w:val="002D34F7"/>
    <w:rsid w:val="002D3CBB"/>
    <w:rsid w:val="002D7172"/>
    <w:rsid w:val="002E21ED"/>
    <w:rsid w:val="002E2357"/>
    <w:rsid w:val="002E3C77"/>
    <w:rsid w:val="002E4E82"/>
    <w:rsid w:val="002F0C7B"/>
    <w:rsid w:val="002F7196"/>
    <w:rsid w:val="00301B79"/>
    <w:rsid w:val="00302216"/>
    <w:rsid w:val="00305654"/>
    <w:rsid w:val="003165F5"/>
    <w:rsid w:val="00323013"/>
    <w:rsid w:val="003245EC"/>
    <w:rsid w:val="00324C8E"/>
    <w:rsid w:val="003305B3"/>
    <w:rsid w:val="00336AC1"/>
    <w:rsid w:val="00342A77"/>
    <w:rsid w:val="003434F0"/>
    <w:rsid w:val="00347EA1"/>
    <w:rsid w:val="00350188"/>
    <w:rsid w:val="00351DED"/>
    <w:rsid w:val="0035502F"/>
    <w:rsid w:val="00371E2F"/>
    <w:rsid w:val="00372CD6"/>
    <w:rsid w:val="00376D59"/>
    <w:rsid w:val="00377F49"/>
    <w:rsid w:val="0039309A"/>
    <w:rsid w:val="00394FD8"/>
    <w:rsid w:val="003974D1"/>
    <w:rsid w:val="003A6AA4"/>
    <w:rsid w:val="003B481A"/>
    <w:rsid w:val="003B6925"/>
    <w:rsid w:val="003C1221"/>
    <w:rsid w:val="003C2E53"/>
    <w:rsid w:val="003C4E1B"/>
    <w:rsid w:val="003C673B"/>
    <w:rsid w:val="003D4754"/>
    <w:rsid w:val="003D499F"/>
    <w:rsid w:val="003D699E"/>
    <w:rsid w:val="003D6BE4"/>
    <w:rsid w:val="003D7110"/>
    <w:rsid w:val="003E04A6"/>
    <w:rsid w:val="003F0861"/>
    <w:rsid w:val="003F45CD"/>
    <w:rsid w:val="003F63E4"/>
    <w:rsid w:val="003F7977"/>
    <w:rsid w:val="00403664"/>
    <w:rsid w:val="00404460"/>
    <w:rsid w:val="00411551"/>
    <w:rsid w:val="004116E2"/>
    <w:rsid w:val="00412E43"/>
    <w:rsid w:val="00413CA9"/>
    <w:rsid w:val="004216EB"/>
    <w:rsid w:val="004254E3"/>
    <w:rsid w:val="0042657E"/>
    <w:rsid w:val="00431349"/>
    <w:rsid w:val="0043134A"/>
    <w:rsid w:val="00434A56"/>
    <w:rsid w:val="004409E1"/>
    <w:rsid w:val="00441264"/>
    <w:rsid w:val="00443E10"/>
    <w:rsid w:val="00456B93"/>
    <w:rsid w:val="00456FCC"/>
    <w:rsid w:val="004577C5"/>
    <w:rsid w:val="00461865"/>
    <w:rsid w:val="00461A5A"/>
    <w:rsid w:val="004637DA"/>
    <w:rsid w:val="00464EEB"/>
    <w:rsid w:val="004673D4"/>
    <w:rsid w:val="00470644"/>
    <w:rsid w:val="00470819"/>
    <w:rsid w:val="004720B6"/>
    <w:rsid w:val="00475B89"/>
    <w:rsid w:val="00475D7F"/>
    <w:rsid w:val="0048276F"/>
    <w:rsid w:val="00483D5E"/>
    <w:rsid w:val="00485A34"/>
    <w:rsid w:val="00487BF9"/>
    <w:rsid w:val="004A1C30"/>
    <w:rsid w:val="004A256F"/>
    <w:rsid w:val="004A3F2B"/>
    <w:rsid w:val="004A6A6A"/>
    <w:rsid w:val="004A7A4F"/>
    <w:rsid w:val="004B0941"/>
    <w:rsid w:val="004B2943"/>
    <w:rsid w:val="004B39D2"/>
    <w:rsid w:val="004C2649"/>
    <w:rsid w:val="004C2A62"/>
    <w:rsid w:val="004C4E5D"/>
    <w:rsid w:val="004C7CE4"/>
    <w:rsid w:val="004D06A7"/>
    <w:rsid w:val="004D678B"/>
    <w:rsid w:val="004D7042"/>
    <w:rsid w:val="004E4114"/>
    <w:rsid w:val="004E472A"/>
    <w:rsid w:val="004E65ED"/>
    <w:rsid w:val="004F09CA"/>
    <w:rsid w:val="005113DD"/>
    <w:rsid w:val="0051328A"/>
    <w:rsid w:val="0051349E"/>
    <w:rsid w:val="005171A2"/>
    <w:rsid w:val="005306D3"/>
    <w:rsid w:val="00530C95"/>
    <w:rsid w:val="005322E7"/>
    <w:rsid w:val="005341C8"/>
    <w:rsid w:val="00534224"/>
    <w:rsid w:val="00535979"/>
    <w:rsid w:val="00536CBB"/>
    <w:rsid w:val="0054398B"/>
    <w:rsid w:val="00545926"/>
    <w:rsid w:val="00545E47"/>
    <w:rsid w:val="00545E4A"/>
    <w:rsid w:val="00546C6B"/>
    <w:rsid w:val="00547404"/>
    <w:rsid w:val="00547E80"/>
    <w:rsid w:val="00551F3F"/>
    <w:rsid w:val="00554A3E"/>
    <w:rsid w:val="00556F25"/>
    <w:rsid w:val="005632FB"/>
    <w:rsid w:val="00570DCC"/>
    <w:rsid w:val="005712B2"/>
    <w:rsid w:val="00573EAC"/>
    <w:rsid w:val="00575332"/>
    <w:rsid w:val="00575563"/>
    <w:rsid w:val="00577AA5"/>
    <w:rsid w:val="00580A70"/>
    <w:rsid w:val="00581371"/>
    <w:rsid w:val="0058387D"/>
    <w:rsid w:val="0058414A"/>
    <w:rsid w:val="00590635"/>
    <w:rsid w:val="00593F0C"/>
    <w:rsid w:val="00596CF2"/>
    <w:rsid w:val="005A702D"/>
    <w:rsid w:val="005A7F7E"/>
    <w:rsid w:val="005B515F"/>
    <w:rsid w:val="005C1CA2"/>
    <w:rsid w:val="005C1E38"/>
    <w:rsid w:val="005C23B9"/>
    <w:rsid w:val="005C3D63"/>
    <w:rsid w:val="005C705C"/>
    <w:rsid w:val="005D0265"/>
    <w:rsid w:val="005D1AE3"/>
    <w:rsid w:val="005D52E4"/>
    <w:rsid w:val="005E30D0"/>
    <w:rsid w:val="005E38A0"/>
    <w:rsid w:val="005E4F1D"/>
    <w:rsid w:val="005E5723"/>
    <w:rsid w:val="005E5D66"/>
    <w:rsid w:val="005E6A7F"/>
    <w:rsid w:val="005E6B3F"/>
    <w:rsid w:val="005F0B0B"/>
    <w:rsid w:val="005F4F26"/>
    <w:rsid w:val="00602886"/>
    <w:rsid w:val="00606E70"/>
    <w:rsid w:val="00612876"/>
    <w:rsid w:val="0061397E"/>
    <w:rsid w:val="00615141"/>
    <w:rsid w:val="00616AB5"/>
    <w:rsid w:val="00627389"/>
    <w:rsid w:val="00634BE1"/>
    <w:rsid w:val="006375A9"/>
    <w:rsid w:val="00642E2A"/>
    <w:rsid w:val="00646AEB"/>
    <w:rsid w:val="00647FC1"/>
    <w:rsid w:val="00654D5D"/>
    <w:rsid w:val="00663992"/>
    <w:rsid w:val="0066403D"/>
    <w:rsid w:val="006703A3"/>
    <w:rsid w:val="00680AB9"/>
    <w:rsid w:val="00694104"/>
    <w:rsid w:val="006A4AF0"/>
    <w:rsid w:val="006A5EC0"/>
    <w:rsid w:val="006A6E60"/>
    <w:rsid w:val="006B0813"/>
    <w:rsid w:val="006B1973"/>
    <w:rsid w:val="006B2969"/>
    <w:rsid w:val="006B4C8F"/>
    <w:rsid w:val="006B4F66"/>
    <w:rsid w:val="006B7063"/>
    <w:rsid w:val="006C060B"/>
    <w:rsid w:val="006C16A7"/>
    <w:rsid w:val="006C5C2A"/>
    <w:rsid w:val="006C662C"/>
    <w:rsid w:val="006D2A92"/>
    <w:rsid w:val="006D5489"/>
    <w:rsid w:val="006D5B46"/>
    <w:rsid w:val="006D77D6"/>
    <w:rsid w:val="006E2B1A"/>
    <w:rsid w:val="006E35AD"/>
    <w:rsid w:val="006E6C2F"/>
    <w:rsid w:val="006E7075"/>
    <w:rsid w:val="006F037A"/>
    <w:rsid w:val="006F12D1"/>
    <w:rsid w:val="00702736"/>
    <w:rsid w:val="00704727"/>
    <w:rsid w:val="007141C8"/>
    <w:rsid w:val="007145AC"/>
    <w:rsid w:val="00714BA9"/>
    <w:rsid w:val="00715B34"/>
    <w:rsid w:val="007166EC"/>
    <w:rsid w:val="007265BF"/>
    <w:rsid w:val="00726720"/>
    <w:rsid w:val="00730132"/>
    <w:rsid w:val="00730E2C"/>
    <w:rsid w:val="0073351E"/>
    <w:rsid w:val="00734A92"/>
    <w:rsid w:val="00735DF1"/>
    <w:rsid w:val="00742ACD"/>
    <w:rsid w:val="00747368"/>
    <w:rsid w:val="00750FA6"/>
    <w:rsid w:val="00753D9F"/>
    <w:rsid w:val="0076093A"/>
    <w:rsid w:val="00761D8B"/>
    <w:rsid w:val="00766BBE"/>
    <w:rsid w:val="00772931"/>
    <w:rsid w:val="0077403D"/>
    <w:rsid w:val="00774F19"/>
    <w:rsid w:val="00775E32"/>
    <w:rsid w:val="007811AE"/>
    <w:rsid w:val="00787B48"/>
    <w:rsid w:val="00796DDF"/>
    <w:rsid w:val="007A03B2"/>
    <w:rsid w:val="007A6913"/>
    <w:rsid w:val="007A6C02"/>
    <w:rsid w:val="007B3EC8"/>
    <w:rsid w:val="007C4EE4"/>
    <w:rsid w:val="007D0310"/>
    <w:rsid w:val="007D75EB"/>
    <w:rsid w:val="007E02CD"/>
    <w:rsid w:val="007E13B2"/>
    <w:rsid w:val="007E7C8B"/>
    <w:rsid w:val="007F3527"/>
    <w:rsid w:val="007F7F80"/>
    <w:rsid w:val="00801B81"/>
    <w:rsid w:val="008046EF"/>
    <w:rsid w:val="00807B31"/>
    <w:rsid w:val="008141EF"/>
    <w:rsid w:val="00817EFD"/>
    <w:rsid w:val="008206AF"/>
    <w:rsid w:val="008223CF"/>
    <w:rsid w:val="00822754"/>
    <w:rsid w:val="008231AD"/>
    <w:rsid w:val="008232F9"/>
    <w:rsid w:val="008249DE"/>
    <w:rsid w:val="00831161"/>
    <w:rsid w:val="008347A7"/>
    <w:rsid w:val="008370DF"/>
    <w:rsid w:val="0084259C"/>
    <w:rsid w:val="008434BE"/>
    <w:rsid w:val="00852C44"/>
    <w:rsid w:val="00856D8F"/>
    <w:rsid w:val="00862601"/>
    <w:rsid w:val="00866C87"/>
    <w:rsid w:val="00867288"/>
    <w:rsid w:val="00873CBB"/>
    <w:rsid w:val="0087799B"/>
    <w:rsid w:val="00882CED"/>
    <w:rsid w:val="0088323B"/>
    <w:rsid w:val="0089049F"/>
    <w:rsid w:val="008915FB"/>
    <w:rsid w:val="00892A2D"/>
    <w:rsid w:val="00897A4E"/>
    <w:rsid w:val="008A1203"/>
    <w:rsid w:val="008A351C"/>
    <w:rsid w:val="008A43B1"/>
    <w:rsid w:val="008A591F"/>
    <w:rsid w:val="008B2311"/>
    <w:rsid w:val="008B3F9B"/>
    <w:rsid w:val="008B541F"/>
    <w:rsid w:val="008B730E"/>
    <w:rsid w:val="008C0817"/>
    <w:rsid w:val="008C3F2C"/>
    <w:rsid w:val="008D209F"/>
    <w:rsid w:val="008D2881"/>
    <w:rsid w:val="008D4B32"/>
    <w:rsid w:val="008D50A2"/>
    <w:rsid w:val="008D6926"/>
    <w:rsid w:val="008E028C"/>
    <w:rsid w:val="008E4E0B"/>
    <w:rsid w:val="008E6534"/>
    <w:rsid w:val="008E7141"/>
    <w:rsid w:val="008F122F"/>
    <w:rsid w:val="009035D9"/>
    <w:rsid w:val="00905B15"/>
    <w:rsid w:val="009066CE"/>
    <w:rsid w:val="009073CD"/>
    <w:rsid w:val="00911162"/>
    <w:rsid w:val="009113E6"/>
    <w:rsid w:val="009174FC"/>
    <w:rsid w:val="00924889"/>
    <w:rsid w:val="009251B4"/>
    <w:rsid w:val="00926438"/>
    <w:rsid w:val="00927D47"/>
    <w:rsid w:val="00934260"/>
    <w:rsid w:val="009353B7"/>
    <w:rsid w:val="0093736F"/>
    <w:rsid w:val="009469B8"/>
    <w:rsid w:val="00953026"/>
    <w:rsid w:val="00957D1E"/>
    <w:rsid w:val="00961D4F"/>
    <w:rsid w:val="009656DC"/>
    <w:rsid w:val="00965769"/>
    <w:rsid w:val="0096690F"/>
    <w:rsid w:val="00966BFE"/>
    <w:rsid w:val="00967094"/>
    <w:rsid w:val="00967E39"/>
    <w:rsid w:val="009727E4"/>
    <w:rsid w:val="00975B1B"/>
    <w:rsid w:val="009761CD"/>
    <w:rsid w:val="00980CCE"/>
    <w:rsid w:val="00984A1D"/>
    <w:rsid w:val="009903C0"/>
    <w:rsid w:val="00990E33"/>
    <w:rsid w:val="00990EAD"/>
    <w:rsid w:val="00991DC5"/>
    <w:rsid w:val="0099337D"/>
    <w:rsid w:val="00993B1A"/>
    <w:rsid w:val="00994D27"/>
    <w:rsid w:val="009A0E66"/>
    <w:rsid w:val="009A52E2"/>
    <w:rsid w:val="009A5FCA"/>
    <w:rsid w:val="009A7612"/>
    <w:rsid w:val="009B0A19"/>
    <w:rsid w:val="009B18D9"/>
    <w:rsid w:val="009B3BA2"/>
    <w:rsid w:val="009D76EE"/>
    <w:rsid w:val="009E020E"/>
    <w:rsid w:val="009E2677"/>
    <w:rsid w:val="009F23D0"/>
    <w:rsid w:val="00A03D5B"/>
    <w:rsid w:val="00A04899"/>
    <w:rsid w:val="00A1069E"/>
    <w:rsid w:val="00A10C12"/>
    <w:rsid w:val="00A13177"/>
    <w:rsid w:val="00A13D92"/>
    <w:rsid w:val="00A168C7"/>
    <w:rsid w:val="00A24293"/>
    <w:rsid w:val="00A31E34"/>
    <w:rsid w:val="00A33125"/>
    <w:rsid w:val="00A33213"/>
    <w:rsid w:val="00A41F0B"/>
    <w:rsid w:val="00A4319E"/>
    <w:rsid w:val="00A46762"/>
    <w:rsid w:val="00A46B0C"/>
    <w:rsid w:val="00A47155"/>
    <w:rsid w:val="00A51772"/>
    <w:rsid w:val="00A519EC"/>
    <w:rsid w:val="00A52679"/>
    <w:rsid w:val="00A548B6"/>
    <w:rsid w:val="00A56912"/>
    <w:rsid w:val="00A56EA3"/>
    <w:rsid w:val="00A576D8"/>
    <w:rsid w:val="00A57A70"/>
    <w:rsid w:val="00A60D75"/>
    <w:rsid w:val="00A6154E"/>
    <w:rsid w:val="00A62BE3"/>
    <w:rsid w:val="00A63D65"/>
    <w:rsid w:val="00A64696"/>
    <w:rsid w:val="00A661CF"/>
    <w:rsid w:val="00A66CF1"/>
    <w:rsid w:val="00A71DAC"/>
    <w:rsid w:val="00A721D1"/>
    <w:rsid w:val="00A7729B"/>
    <w:rsid w:val="00A776EE"/>
    <w:rsid w:val="00A80528"/>
    <w:rsid w:val="00A87CBF"/>
    <w:rsid w:val="00A914FB"/>
    <w:rsid w:val="00A9182C"/>
    <w:rsid w:val="00A9643F"/>
    <w:rsid w:val="00AA42A0"/>
    <w:rsid w:val="00AA591F"/>
    <w:rsid w:val="00AB09B3"/>
    <w:rsid w:val="00AB63C9"/>
    <w:rsid w:val="00AB648F"/>
    <w:rsid w:val="00AB783B"/>
    <w:rsid w:val="00AC088C"/>
    <w:rsid w:val="00AC3693"/>
    <w:rsid w:val="00AC3E05"/>
    <w:rsid w:val="00AD2EBD"/>
    <w:rsid w:val="00AE2C25"/>
    <w:rsid w:val="00AE39C7"/>
    <w:rsid w:val="00AE5368"/>
    <w:rsid w:val="00AE65A0"/>
    <w:rsid w:val="00AF1365"/>
    <w:rsid w:val="00AF6201"/>
    <w:rsid w:val="00AF7B01"/>
    <w:rsid w:val="00B040E6"/>
    <w:rsid w:val="00B11477"/>
    <w:rsid w:val="00B13DCD"/>
    <w:rsid w:val="00B17A4B"/>
    <w:rsid w:val="00B217F3"/>
    <w:rsid w:val="00B22A96"/>
    <w:rsid w:val="00B22D12"/>
    <w:rsid w:val="00B27DEF"/>
    <w:rsid w:val="00B40F1D"/>
    <w:rsid w:val="00B40F34"/>
    <w:rsid w:val="00B4121D"/>
    <w:rsid w:val="00B50655"/>
    <w:rsid w:val="00B5162A"/>
    <w:rsid w:val="00B56818"/>
    <w:rsid w:val="00B57885"/>
    <w:rsid w:val="00B63C68"/>
    <w:rsid w:val="00B67162"/>
    <w:rsid w:val="00B708D1"/>
    <w:rsid w:val="00B71505"/>
    <w:rsid w:val="00B72046"/>
    <w:rsid w:val="00B76AD0"/>
    <w:rsid w:val="00B77159"/>
    <w:rsid w:val="00B77FCA"/>
    <w:rsid w:val="00B83936"/>
    <w:rsid w:val="00B85957"/>
    <w:rsid w:val="00B862BE"/>
    <w:rsid w:val="00B953AF"/>
    <w:rsid w:val="00B9754C"/>
    <w:rsid w:val="00BA38AA"/>
    <w:rsid w:val="00BA492F"/>
    <w:rsid w:val="00BB469C"/>
    <w:rsid w:val="00BC1468"/>
    <w:rsid w:val="00BC2846"/>
    <w:rsid w:val="00BC6E7D"/>
    <w:rsid w:val="00BD0302"/>
    <w:rsid w:val="00BD2017"/>
    <w:rsid w:val="00BD293A"/>
    <w:rsid w:val="00BD6F4B"/>
    <w:rsid w:val="00BE059C"/>
    <w:rsid w:val="00BE17BC"/>
    <w:rsid w:val="00BE1DEC"/>
    <w:rsid w:val="00BE3273"/>
    <w:rsid w:val="00BE51C5"/>
    <w:rsid w:val="00BE6B0A"/>
    <w:rsid w:val="00BE7C3C"/>
    <w:rsid w:val="00BF0EA3"/>
    <w:rsid w:val="00BF1A7C"/>
    <w:rsid w:val="00BF2C83"/>
    <w:rsid w:val="00BF7922"/>
    <w:rsid w:val="00C01A5F"/>
    <w:rsid w:val="00C02543"/>
    <w:rsid w:val="00C03DA4"/>
    <w:rsid w:val="00C03EBA"/>
    <w:rsid w:val="00C04451"/>
    <w:rsid w:val="00C10229"/>
    <w:rsid w:val="00C11B3C"/>
    <w:rsid w:val="00C11E04"/>
    <w:rsid w:val="00C12848"/>
    <w:rsid w:val="00C160CE"/>
    <w:rsid w:val="00C16849"/>
    <w:rsid w:val="00C1757A"/>
    <w:rsid w:val="00C20016"/>
    <w:rsid w:val="00C20F8D"/>
    <w:rsid w:val="00C21AAE"/>
    <w:rsid w:val="00C22E84"/>
    <w:rsid w:val="00C23C51"/>
    <w:rsid w:val="00C27419"/>
    <w:rsid w:val="00C31538"/>
    <w:rsid w:val="00C33528"/>
    <w:rsid w:val="00C37ADE"/>
    <w:rsid w:val="00C4131F"/>
    <w:rsid w:val="00C41684"/>
    <w:rsid w:val="00C45B79"/>
    <w:rsid w:val="00C510C0"/>
    <w:rsid w:val="00C54564"/>
    <w:rsid w:val="00C56BA7"/>
    <w:rsid w:val="00C608E1"/>
    <w:rsid w:val="00C61D9D"/>
    <w:rsid w:val="00C630D6"/>
    <w:rsid w:val="00C72BDC"/>
    <w:rsid w:val="00C75EF3"/>
    <w:rsid w:val="00C76E69"/>
    <w:rsid w:val="00C857FA"/>
    <w:rsid w:val="00C87EA3"/>
    <w:rsid w:val="00C92421"/>
    <w:rsid w:val="00C926A6"/>
    <w:rsid w:val="00C92844"/>
    <w:rsid w:val="00C9527E"/>
    <w:rsid w:val="00C953D4"/>
    <w:rsid w:val="00CA1E06"/>
    <w:rsid w:val="00CA3DDB"/>
    <w:rsid w:val="00CA433F"/>
    <w:rsid w:val="00CA5230"/>
    <w:rsid w:val="00CA543B"/>
    <w:rsid w:val="00CA5ED8"/>
    <w:rsid w:val="00CA62B6"/>
    <w:rsid w:val="00CA65D2"/>
    <w:rsid w:val="00CB44D7"/>
    <w:rsid w:val="00CC1862"/>
    <w:rsid w:val="00CC6472"/>
    <w:rsid w:val="00CD153E"/>
    <w:rsid w:val="00CD197B"/>
    <w:rsid w:val="00CD4D07"/>
    <w:rsid w:val="00CE0C2E"/>
    <w:rsid w:val="00CE12E8"/>
    <w:rsid w:val="00CE3AE4"/>
    <w:rsid w:val="00CE5E15"/>
    <w:rsid w:val="00CE7366"/>
    <w:rsid w:val="00CF1D9A"/>
    <w:rsid w:val="00CF77FE"/>
    <w:rsid w:val="00D01762"/>
    <w:rsid w:val="00D04D44"/>
    <w:rsid w:val="00D06BC9"/>
    <w:rsid w:val="00D06CF4"/>
    <w:rsid w:val="00D13EF5"/>
    <w:rsid w:val="00D1682B"/>
    <w:rsid w:val="00D17D2F"/>
    <w:rsid w:val="00D2075D"/>
    <w:rsid w:val="00D2079B"/>
    <w:rsid w:val="00D26A7F"/>
    <w:rsid w:val="00D3066C"/>
    <w:rsid w:val="00D3072D"/>
    <w:rsid w:val="00D3610F"/>
    <w:rsid w:val="00D36616"/>
    <w:rsid w:val="00D37C43"/>
    <w:rsid w:val="00D40E1E"/>
    <w:rsid w:val="00D41603"/>
    <w:rsid w:val="00D475CB"/>
    <w:rsid w:val="00D53150"/>
    <w:rsid w:val="00D566A0"/>
    <w:rsid w:val="00D6353B"/>
    <w:rsid w:val="00D668A3"/>
    <w:rsid w:val="00D7342D"/>
    <w:rsid w:val="00D759D7"/>
    <w:rsid w:val="00D75DE3"/>
    <w:rsid w:val="00D768B5"/>
    <w:rsid w:val="00D82CE1"/>
    <w:rsid w:val="00D87981"/>
    <w:rsid w:val="00D91B18"/>
    <w:rsid w:val="00D961B3"/>
    <w:rsid w:val="00D97768"/>
    <w:rsid w:val="00DA0223"/>
    <w:rsid w:val="00DA472E"/>
    <w:rsid w:val="00DA49A9"/>
    <w:rsid w:val="00DA6F80"/>
    <w:rsid w:val="00DB06B8"/>
    <w:rsid w:val="00DC383F"/>
    <w:rsid w:val="00DC419E"/>
    <w:rsid w:val="00DC4229"/>
    <w:rsid w:val="00DC444D"/>
    <w:rsid w:val="00DC58E2"/>
    <w:rsid w:val="00DC6A50"/>
    <w:rsid w:val="00DD3E78"/>
    <w:rsid w:val="00DD4D22"/>
    <w:rsid w:val="00DE3020"/>
    <w:rsid w:val="00DE7ED7"/>
    <w:rsid w:val="00DF2176"/>
    <w:rsid w:val="00DF47B5"/>
    <w:rsid w:val="00DF560D"/>
    <w:rsid w:val="00DF5F14"/>
    <w:rsid w:val="00DF6446"/>
    <w:rsid w:val="00DF78EF"/>
    <w:rsid w:val="00DF7D26"/>
    <w:rsid w:val="00E05D1C"/>
    <w:rsid w:val="00E0781E"/>
    <w:rsid w:val="00E11548"/>
    <w:rsid w:val="00E118EF"/>
    <w:rsid w:val="00E162DE"/>
    <w:rsid w:val="00E23643"/>
    <w:rsid w:val="00E30DA6"/>
    <w:rsid w:val="00E35618"/>
    <w:rsid w:val="00E36DDF"/>
    <w:rsid w:val="00E3701D"/>
    <w:rsid w:val="00E3780B"/>
    <w:rsid w:val="00E45567"/>
    <w:rsid w:val="00E508F6"/>
    <w:rsid w:val="00E52D55"/>
    <w:rsid w:val="00E54F76"/>
    <w:rsid w:val="00E56A24"/>
    <w:rsid w:val="00E62063"/>
    <w:rsid w:val="00E62925"/>
    <w:rsid w:val="00E6649F"/>
    <w:rsid w:val="00E72E51"/>
    <w:rsid w:val="00E73D4E"/>
    <w:rsid w:val="00E77B8E"/>
    <w:rsid w:val="00E87497"/>
    <w:rsid w:val="00E905E5"/>
    <w:rsid w:val="00E90886"/>
    <w:rsid w:val="00EA5123"/>
    <w:rsid w:val="00EA63E4"/>
    <w:rsid w:val="00EB1756"/>
    <w:rsid w:val="00EC0D70"/>
    <w:rsid w:val="00EC69F0"/>
    <w:rsid w:val="00ED1DB6"/>
    <w:rsid w:val="00ED24D5"/>
    <w:rsid w:val="00ED44EC"/>
    <w:rsid w:val="00ED6737"/>
    <w:rsid w:val="00ED739B"/>
    <w:rsid w:val="00EE3CBF"/>
    <w:rsid w:val="00EE5F46"/>
    <w:rsid w:val="00EE61DF"/>
    <w:rsid w:val="00EE65FD"/>
    <w:rsid w:val="00F00178"/>
    <w:rsid w:val="00F07E81"/>
    <w:rsid w:val="00F1141B"/>
    <w:rsid w:val="00F1705A"/>
    <w:rsid w:val="00F27762"/>
    <w:rsid w:val="00F36496"/>
    <w:rsid w:val="00F37C75"/>
    <w:rsid w:val="00F40D72"/>
    <w:rsid w:val="00F468CE"/>
    <w:rsid w:val="00F47C31"/>
    <w:rsid w:val="00F5265C"/>
    <w:rsid w:val="00F52B52"/>
    <w:rsid w:val="00F54D3C"/>
    <w:rsid w:val="00F54E32"/>
    <w:rsid w:val="00F6193C"/>
    <w:rsid w:val="00F66C8B"/>
    <w:rsid w:val="00F7647A"/>
    <w:rsid w:val="00F85365"/>
    <w:rsid w:val="00F870A7"/>
    <w:rsid w:val="00F87D3D"/>
    <w:rsid w:val="00F87F22"/>
    <w:rsid w:val="00F91B46"/>
    <w:rsid w:val="00F91DDE"/>
    <w:rsid w:val="00F971F7"/>
    <w:rsid w:val="00FA19EE"/>
    <w:rsid w:val="00FA1E7A"/>
    <w:rsid w:val="00FA7E6C"/>
    <w:rsid w:val="00FB39B0"/>
    <w:rsid w:val="00FB6716"/>
    <w:rsid w:val="00FC32CF"/>
    <w:rsid w:val="00FC3611"/>
    <w:rsid w:val="00FD3FCC"/>
    <w:rsid w:val="00FD4D23"/>
    <w:rsid w:val="00FD6BC0"/>
    <w:rsid w:val="00FE0E8D"/>
    <w:rsid w:val="00FE68E5"/>
    <w:rsid w:val="00FE6D5E"/>
    <w:rsid w:val="00FE79C7"/>
    <w:rsid w:val="00FE7DFD"/>
    <w:rsid w:val="00FF3AE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4471"/>
  <w15:chartTrackingRefBased/>
  <w15:docId w15:val="{04BD92A9-40FB-4EFB-8F5E-C6627BD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Традиционны"/>
    <w:basedOn w:val="a"/>
    <w:next w:val="a"/>
    <w:link w:val="10"/>
    <w:uiPriority w:val="9"/>
    <w:qFormat/>
    <w:rsid w:val="005341C8"/>
    <w:pPr>
      <w:keepNext/>
      <w:spacing w:after="0" w:line="360" w:lineRule="auto"/>
      <w:outlineLvl w:val="0"/>
    </w:pPr>
    <w:rPr>
      <w:rFonts w:ascii="Times New Roman" w:eastAsia="Times New Roman" w:hAnsi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EF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Головной 2!"/>
    <w:basedOn w:val="1"/>
    <w:link w:val="22"/>
    <w:qFormat/>
    <w:rsid w:val="000750B9"/>
    <w:pPr>
      <w:jc w:val="center"/>
    </w:pPr>
  </w:style>
  <w:style w:type="character" w:customStyle="1" w:styleId="22">
    <w:name w:val="Головной 2! Знак"/>
    <w:link w:val="21"/>
    <w:rsid w:val="000750B9"/>
    <w:rPr>
      <w:rFonts w:ascii="Times New Roman" w:eastAsia="Times New Roman" w:hAnsi="Times New Roman" w:cs="Times New Roman"/>
      <w:b w:val="0"/>
      <w:bCs/>
      <w:kern w:val="32"/>
      <w:sz w:val="24"/>
      <w:szCs w:val="24"/>
      <w:lang w:eastAsia="en-US"/>
    </w:rPr>
  </w:style>
  <w:style w:type="character" w:customStyle="1" w:styleId="10">
    <w:name w:val="Заголовок 1 Знак"/>
    <w:aliases w:val="Традиционны Знак"/>
    <w:link w:val="1"/>
    <w:uiPriority w:val="9"/>
    <w:rsid w:val="005341C8"/>
    <w:rPr>
      <w:rFonts w:ascii="Times New Roman" w:eastAsia="Times New Roman" w:hAnsi="Times New Roman"/>
      <w:bCs/>
      <w:kern w:val="32"/>
      <w:sz w:val="24"/>
      <w:szCs w:val="24"/>
      <w:lang w:eastAsia="en-US"/>
    </w:rPr>
  </w:style>
  <w:style w:type="paragraph" w:customStyle="1" w:styleId="111">
    <w:name w:val="Стиль111"/>
    <w:basedOn w:val="1"/>
    <w:link w:val="1110"/>
    <w:qFormat/>
    <w:rsid w:val="009073CD"/>
    <w:rPr>
      <w:rFonts w:ascii="Calibri Light" w:hAnsi="Calibri Light"/>
      <w:color w:val="5B9BD5"/>
    </w:rPr>
  </w:style>
  <w:style w:type="character" w:customStyle="1" w:styleId="1110">
    <w:name w:val="Стиль111 Знак"/>
    <w:link w:val="111"/>
    <w:rsid w:val="009073CD"/>
    <w:rPr>
      <w:rFonts w:ascii="Calibri Light" w:eastAsia="Times New Roman" w:hAnsi="Calibri Light" w:cs="Times New Roman"/>
      <w:b w:val="0"/>
      <w:bCs/>
      <w:color w:val="5B9BD5"/>
      <w:kern w:val="32"/>
      <w:sz w:val="32"/>
      <w:szCs w:val="32"/>
      <w:lang w:eastAsia="en-US"/>
    </w:rPr>
  </w:style>
  <w:style w:type="paragraph" w:customStyle="1" w:styleId="a3">
    <w:name w:val="КЛАССика"/>
    <w:basedOn w:val="2"/>
    <w:link w:val="a4"/>
    <w:qFormat/>
    <w:rsid w:val="00817EFD"/>
    <w:pPr>
      <w:keepLines w:val="0"/>
      <w:spacing w:before="0" w:line="360" w:lineRule="auto"/>
      <w:jc w:val="center"/>
    </w:pPr>
    <w:rPr>
      <w:rFonts w:ascii="Times New Roman" w:hAnsi="Times New Roman" w:cs="Arial"/>
      <w:color w:val="auto"/>
      <w:sz w:val="28"/>
      <w:szCs w:val="28"/>
      <w:lang w:eastAsia="ru-RU"/>
    </w:rPr>
  </w:style>
  <w:style w:type="character" w:customStyle="1" w:styleId="a4">
    <w:name w:val="КЛАССика Знак"/>
    <w:link w:val="a3"/>
    <w:rsid w:val="00817EFD"/>
    <w:rPr>
      <w:rFonts w:ascii="Times New Roman" w:eastAsia="Times New Roman" w:hAnsi="Times New Roman" w:cs="Arial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17EFD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customStyle="1" w:styleId="10-4-17">
    <w:name w:val="10-4-17!"/>
    <w:basedOn w:val="1"/>
    <w:link w:val="10-4-170"/>
    <w:qFormat/>
    <w:rsid w:val="0039309A"/>
    <w:pPr>
      <w:jc w:val="center"/>
    </w:pPr>
  </w:style>
  <w:style w:type="character" w:customStyle="1" w:styleId="10-4-170">
    <w:name w:val="10-4-17! Знак"/>
    <w:link w:val="10-4-17"/>
    <w:rsid w:val="0039309A"/>
    <w:rPr>
      <w:rFonts w:ascii="Times New Roman" w:eastAsia="Times New Roman" w:hAnsi="Times New Roman"/>
      <w:bCs/>
      <w:kern w:val="32"/>
      <w:sz w:val="24"/>
      <w:szCs w:val="24"/>
      <w:lang w:eastAsia="en-US"/>
    </w:rPr>
  </w:style>
  <w:style w:type="paragraph" w:customStyle="1" w:styleId="AriaL">
    <w:name w:val="AriaL"/>
    <w:basedOn w:val="1"/>
    <w:link w:val="AriaL0"/>
    <w:autoRedefine/>
    <w:qFormat/>
    <w:rsid w:val="00C160CE"/>
    <w:pPr>
      <w:jc w:val="center"/>
    </w:pPr>
    <w:rPr>
      <w:rFonts w:ascii="Arial" w:hAnsi="Arial"/>
      <w:b/>
      <w:sz w:val="28"/>
    </w:rPr>
  </w:style>
  <w:style w:type="character" w:customStyle="1" w:styleId="AriaL0">
    <w:name w:val="AriaL Знак"/>
    <w:link w:val="AriaL"/>
    <w:rsid w:val="00C160CE"/>
    <w:rPr>
      <w:rFonts w:ascii="Arial" w:eastAsia="Times New Roman" w:hAnsi="Arial"/>
      <w:b/>
      <w:bCs/>
      <w:kern w:val="32"/>
      <w:sz w:val="28"/>
      <w:szCs w:val="24"/>
      <w:lang w:eastAsia="en-US"/>
    </w:rPr>
  </w:style>
  <w:style w:type="character" w:styleId="a5">
    <w:name w:val="Hyperlink"/>
    <w:basedOn w:val="a0"/>
    <w:uiPriority w:val="99"/>
    <w:unhideWhenUsed/>
    <w:rsid w:val="000257BB"/>
    <w:rPr>
      <w:color w:val="0563C1" w:themeColor="hyperlink"/>
      <w:u w:val="single"/>
    </w:rPr>
  </w:style>
  <w:style w:type="paragraph" w:styleId="a6">
    <w:name w:val="footnote text"/>
    <w:aliases w:val="Текст сноски Знак Знак"/>
    <w:basedOn w:val="a"/>
    <w:link w:val="a7"/>
    <w:uiPriority w:val="99"/>
    <w:unhideWhenUsed/>
    <w:rsid w:val="00290E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"/>
    <w:basedOn w:val="a0"/>
    <w:link w:val="a6"/>
    <w:uiPriority w:val="99"/>
    <w:rsid w:val="00290E01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290E01"/>
    <w:rPr>
      <w:vertAlign w:val="superscript"/>
    </w:rPr>
  </w:style>
  <w:style w:type="paragraph" w:styleId="a9">
    <w:name w:val="List Paragraph"/>
    <w:basedOn w:val="a"/>
    <w:uiPriority w:val="34"/>
    <w:qFormat/>
    <w:rsid w:val="0096690F"/>
    <w:pPr>
      <w:ind w:left="720"/>
      <w:contextualSpacing/>
    </w:pPr>
  </w:style>
  <w:style w:type="character" w:styleId="aa">
    <w:name w:val="endnote reference"/>
    <w:basedOn w:val="a0"/>
    <w:uiPriority w:val="99"/>
    <w:semiHidden/>
    <w:unhideWhenUsed/>
    <w:rsid w:val="00A56EA3"/>
    <w:rPr>
      <w:vertAlign w:val="superscript"/>
    </w:rPr>
  </w:style>
  <w:style w:type="table" w:styleId="ab">
    <w:name w:val="Table Grid"/>
    <w:basedOn w:val="a1"/>
    <w:uiPriority w:val="39"/>
    <w:rsid w:val="0071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0F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imushev@iespn.komi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hyperlink" Target="mailto:timushev@iespn.komis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Doc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6377-2793-400A-BFED-65F0C2D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</Template>
  <TotalTime>1196</TotalTime>
  <Pages>5</Pages>
  <Words>1675</Words>
  <Characters>12016</Characters>
  <Application>Microsoft Office Word</Application>
  <DocSecurity>0</DocSecurity>
  <Lines>343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КомиНЦ УрО РАН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Тимушев</dc:creator>
  <cp:keywords/>
  <dc:description/>
  <cp:lastModifiedBy>Тимушев</cp:lastModifiedBy>
  <cp:revision>341</cp:revision>
  <dcterms:created xsi:type="dcterms:W3CDTF">2018-05-15T05:54:00Z</dcterms:created>
  <dcterms:modified xsi:type="dcterms:W3CDTF">2020-03-20T12:23:00Z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fbf0081a-3cc9-35df-b00a-91c4aef213a8</vt:lpwstr>
  </property>
  <property fmtid="{D5CDD505-2E9C-101B-9397-08002B2CF9AE}" pid="24" name="Mendeley Citation Style_1">
    <vt:lpwstr>http://www.zotero.org/styles/apa</vt:lpwstr>
  </property>
</Properties>
</file>