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11" w:rsidRDefault="00C46B11" w:rsidP="00912F33">
      <w:pPr>
        <w:jc w:val="both"/>
        <w:rPr>
          <w:b/>
        </w:rPr>
      </w:pPr>
      <w:r w:rsidRPr="00912F33">
        <w:rPr>
          <w:b/>
        </w:rPr>
        <w:t>УДК</w:t>
      </w:r>
      <w:r w:rsidR="00027E2D">
        <w:rPr>
          <w:b/>
        </w:rPr>
        <w:t xml:space="preserve"> 316.422.4</w:t>
      </w:r>
    </w:p>
    <w:p w:rsidR="00414B12" w:rsidRPr="00912F33" w:rsidRDefault="00414B12" w:rsidP="00414B12">
      <w:pPr>
        <w:jc w:val="right"/>
        <w:rPr>
          <w:b/>
        </w:rPr>
      </w:pPr>
      <w:r>
        <w:rPr>
          <w:b/>
        </w:rPr>
        <w:t>Балич Н.Л.</w:t>
      </w:r>
    </w:p>
    <w:p w:rsidR="00C46B11" w:rsidRPr="00912F33" w:rsidRDefault="00C46B11" w:rsidP="00912F33">
      <w:pPr>
        <w:ind w:firstLine="709"/>
        <w:jc w:val="center"/>
        <w:rPr>
          <w:b/>
        </w:rPr>
      </w:pPr>
      <w:r w:rsidRPr="00912F33">
        <w:rPr>
          <w:b/>
        </w:rPr>
        <w:t>ЦИФРОВИЗАЦИЯ СЕЛЬСКОГО ХОЗ</w:t>
      </w:r>
      <w:r w:rsidR="00027E2D">
        <w:rPr>
          <w:b/>
        </w:rPr>
        <w:t xml:space="preserve">ЯЙСТВА В СИСТЕМЕ МОДЕРНИЗАЦИИ АГРОПРОМЫШЛЕННОГО </w:t>
      </w:r>
      <w:r w:rsidRPr="00912F33">
        <w:rPr>
          <w:b/>
        </w:rPr>
        <w:t>К</w:t>
      </w:r>
      <w:r w:rsidR="00027E2D">
        <w:rPr>
          <w:b/>
        </w:rPr>
        <w:t>ОМПЛЕКСА</w:t>
      </w:r>
      <w:r w:rsidRPr="00912F33">
        <w:rPr>
          <w:b/>
        </w:rPr>
        <w:t xml:space="preserve"> БЕЛАРУСИ</w:t>
      </w:r>
    </w:p>
    <w:p w:rsidR="007B2504" w:rsidRPr="00395046" w:rsidRDefault="007B2504" w:rsidP="00912F33">
      <w:pPr>
        <w:spacing w:line="360" w:lineRule="auto"/>
        <w:jc w:val="both"/>
        <w:rPr>
          <w:b/>
          <w:sz w:val="28"/>
          <w:szCs w:val="28"/>
        </w:rPr>
      </w:pPr>
    </w:p>
    <w:p w:rsidR="006C0381" w:rsidRDefault="006C0381" w:rsidP="00912F33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В </w:t>
      </w:r>
      <w:r w:rsidR="00E654CA">
        <w:rPr>
          <w:rFonts w:eastAsia="Calibri"/>
          <w:i/>
          <w:lang w:eastAsia="en-US"/>
        </w:rPr>
        <w:t>докладе</w:t>
      </w:r>
      <w:r>
        <w:rPr>
          <w:rFonts w:eastAsia="Calibri"/>
          <w:i/>
          <w:lang w:eastAsia="en-US"/>
        </w:rPr>
        <w:t xml:space="preserve"> анализируется цифровизация сельского хозяйства как необходимый элемент модернизации агропромышленного комплекса Республики Беларусь. На основе данных республиканского опроса, проведенного Институтом социологии НАН Беларуси среди сельского населения </w:t>
      </w:r>
      <w:r w:rsidR="00F71BF5">
        <w:rPr>
          <w:rFonts w:eastAsia="Calibri"/>
          <w:i/>
          <w:lang w:eastAsia="en-US"/>
        </w:rPr>
        <w:t>страны</w:t>
      </w:r>
      <w:r>
        <w:rPr>
          <w:rFonts w:eastAsia="Calibri"/>
          <w:i/>
          <w:lang w:eastAsia="en-US"/>
        </w:rPr>
        <w:t xml:space="preserve"> в 2019 г.</w:t>
      </w:r>
      <w:r w:rsidR="00F71BF5">
        <w:rPr>
          <w:rFonts w:eastAsia="Calibri"/>
          <w:i/>
          <w:lang w:eastAsia="en-US"/>
        </w:rPr>
        <w:t>,</w:t>
      </w:r>
      <w:r>
        <w:rPr>
          <w:rFonts w:eastAsia="Calibri"/>
          <w:i/>
          <w:lang w:eastAsia="en-US"/>
        </w:rPr>
        <w:t xml:space="preserve"> проводится сравнительный анализ мнений работников государственных и частных предприятий о дальнейшей стратегии развития сельского хозяйства и агропромышленного комплекса своего ра</w:t>
      </w:r>
      <w:r w:rsidR="00721886">
        <w:rPr>
          <w:rFonts w:eastAsia="Calibri"/>
          <w:i/>
          <w:lang w:eastAsia="en-US"/>
        </w:rPr>
        <w:t>йона.</w:t>
      </w:r>
    </w:p>
    <w:p w:rsidR="006C0381" w:rsidRDefault="006C0381" w:rsidP="00912F33">
      <w:pPr>
        <w:ind w:firstLine="709"/>
        <w:jc w:val="both"/>
        <w:rPr>
          <w:rFonts w:eastAsia="Calibri"/>
          <w:i/>
          <w:lang w:eastAsia="en-US"/>
        </w:rPr>
      </w:pPr>
    </w:p>
    <w:p w:rsidR="00912F33" w:rsidRDefault="00D356D3" w:rsidP="00912F33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Ключевые слова: цифровизация, модернизация, агропромышленный комплекс, сельское население.</w:t>
      </w:r>
    </w:p>
    <w:p w:rsidR="00912F33" w:rsidRPr="00912F33" w:rsidRDefault="00912F33" w:rsidP="00912F33">
      <w:pPr>
        <w:ind w:firstLine="709"/>
        <w:jc w:val="both"/>
        <w:rPr>
          <w:rFonts w:eastAsia="Calibri"/>
          <w:i/>
          <w:lang w:eastAsia="en-US"/>
        </w:rPr>
      </w:pPr>
    </w:p>
    <w:p w:rsidR="00C1181B" w:rsidRPr="00C1181B" w:rsidRDefault="007B2504" w:rsidP="00D356D3">
      <w:pPr>
        <w:ind w:firstLine="709"/>
        <w:jc w:val="both"/>
        <w:rPr>
          <w:rFonts w:eastAsia="Calibri"/>
          <w:lang w:eastAsia="en-US"/>
        </w:rPr>
      </w:pPr>
      <w:r w:rsidRPr="00912F33">
        <w:rPr>
          <w:rFonts w:eastAsia="Calibri"/>
          <w:lang w:eastAsia="en-US"/>
        </w:rPr>
        <w:t>Внедрение новых цифровых технологий в различных отраслях сельского хозяйства является неоспоримым преимуществом в повышении качества и конкурентоспособности отечественной продукции</w:t>
      </w:r>
      <w:r w:rsidR="004E74CD" w:rsidRPr="00912F33">
        <w:rPr>
          <w:rFonts w:eastAsia="Calibri"/>
          <w:lang w:eastAsia="en-US"/>
        </w:rPr>
        <w:t xml:space="preserve">. </w:t>
      </w:r>
    </w:p>
    <w:p w:rsidR="00912F33" w:rsidRPr="00912F33" w:rsidRDefault="00912F33" w:rsidP="00D356D3">
      <w:pPr>
        <w:ind w:firstLine="709"/>
        <w:jc w:val="both"/>
      </w:pPr>
      <w:r w:rsidRPr="00912F33">
        <w:t>Цифровизация сельского хозяйства – это процесс внедрения цифровых технологий, обеспечивающий формирование базы для систем поддержки управленческих решений. Цифровизация производства осуществляется на основе оперативного полу</w:t>
      </w:r>
      <w:r w:rsidR="00272AAC">
        <w:t xml:space="preserve">чения информации, что позволяет </w:t>
      </w:r>
      <w:r w:rsidR="00F71BF5">
        <w:t>быстро</w:t>
      </w:r>
      <w:r w:rsidRPr="00912F33">
        <w:t xml:space="preserve"> и эффективно решать задачи оптимизации тех</w:t>
      </w:r>
      <w:r w:rsidR="00C1181B">
        <w:t xml:space="preserve">нического </w:t>
      </w:r>
      <w:r w:rsidRPr="00912F33">
        <w:t>процесса,</w:t>
      </w:r>
      <w:r w:rsidR="00F71BF5">
        <w:t xml:space="preserve"> </w:t>
      </w:r>
      <w:r w:rsidR="00F71BF5" w:rsidRPr="00272AAC">
        <w:t>повышения</w:t>
      </w:r>
      <w:r w:rsidRPr="00912F33">
        <w:t xml:space="preserve"> качества, безопасности</w:t>
      </w:r>
      <w:r w:rsidR="00F71BF5">
        <w:t>,</w:t>
      </w:r>
      <w:r w:rsidR="00272AAC">
        <w:t xml:space="preserve"> </w:t>
      </w:r>
      <w:r w:rsidRPr="00912F33">
        <w:t>операционной эффективности, выхода на рынок</w:t>
      </w:r>
      <w:r w:rsidRPr="00272AAC">
        <w:t>,</w:t>
      </w:r>
      <w:r w:rsidRPr="00912F33">
        <w:t xml:space="preserve"> и создания новых бизнес-возможностей. </w:t>
      </w:r>
    </w:p>
    <w:p w:rsidR="007B2504" w:rsidRPr="00912F33" w:rsidRDefault="007B2504" w:rsidP="00D356D3">
      <w:pPr>
        <w:ind w:firstLine="709"/>
        <w:jc w:val="both"/>
      </w:pPr>
      <w:r w:rsidRPr="00912F33">
        <w:t>Инновационный потенциал применения цифровых технологий в сельском хозяйстве заключается в создании цифровой базы для систем поддержки управленческих решений (оцифровка карт, баз данных</w:t>
      </w:r>
      <w:r w:rsidRPr="00197A29">
        <w:t>, доступных через</w:t>
      </w:r>
      <w:r w:rsidRPr="00912F33">
        <w:t xml:space="preserve"> API и т. д.); цифровизации производства (роботизация, «умная» техника, сельскохозяйственное оборудование с Ai, </w:t>
      </w:r>
      <w:r w:rsidR="00272AAC" w:rsidRPr="00197A29">
        <w:t>использовани</w:t>
      </w:r>
      <w:r w:rsidR="00197A29" w:rsidRPr="00197A29">
        <w:t>е</w:t>
      </w:r>
      <w:r w:rsidR="00272AAC" w:rsidRPr="00197A29">
        <w:t xml:space="preserve"> </w:t>
      </w:r>
      <w:r w:rsidRPr="00912F33">
        <w:t>спутник</w:t>
      </w:r>
      <w:r w:rsidR="00197A29">
        <w:t>ов</w:t>
      </w:r>
      <w:r w:rsidRPr="00912F33">
        <w:t xml:space="preserve"> и дрон</w:t>
      </w:r>
      <w:r w:rsidR="00197A29">
        <w:t>ов, систем</w:t>
      </w:r>
      <w:r w:rsidRPr="00912F33">
        <w:t xml:space="preserve"> </w:t>
      </w:r>
      <w:r w:rsidR="00197A29">
        <w:t>капельного</w:t>
      </w:r>
      <w:r w:rsidRPr="00912F33">
        <w:t xml:space="preserve"> полива и др.); аналитик</w:t>
      </w:r>
      <w:r w:rsidRPr="00D34B19">
        <w:t>е</w:t>
      </w:r>
      <w:r w:rsidRPr="00912F33">
        <w:t xml:space="preserve"> и bigdata (аналитические компьютерные платформы по всем уровням управления отраслью сельского хозяйства, прогнозирование сохранности и увеличения земель сельскохозяйственного назначения, климатических угроз, урожайности и др.)</w:t>
      </w:r>
      <w:r w:rsidR="00D34B19">
        <w:t>.</w:t>
      </w:r>
    </w:p>
    <w:p w:rsidR="007B2504" w:rsidRPr="00912F33" w:rsidRDefault="005A7368" w:rsidP="00AB0A19">
      <w:pPr>
        <w:ind w:firstLine="709"/>
        <w:jc w:val="both"/>
      </w:pPr>
      <w:r>
        <w:t>По мнению исследователей «и</w:t>
      </w:r>
      <w:r w:rsidR="007B2504" w:rsidRPr="00912F33">
        <w:t xml:space="preserve">нновационный характер содержит идея о распространении географии технической новинки </w:t>
      </w:r>
      <w:r w:rsidR="007A7AC7">
        <w:t>"</w:t>
      </w:r>
      <w:r w:rsidR="007B2504" w:rsidRPr="00912F33">
        <w:rPr>
          <w:i/>
        </w:rPr>
        <w:t>интернет вещей</w:t>
      </w:r>
      <w:r w:rsidR="007A7AC7">
        <w:t>"</w:t>
      </w:r>
      <w:r w:rsidR="007B2504" w:rsidRPr="00912F33">
        <w:t xml:space="preserve">, что делает возможным получение автоматически генерируемых данных со спутников, дронов, различных приборов и датчиков. Данная цифровая новинка успешно используется современными агрохолдингами уже несколько лет, что позволяет формировать интеграционную логистику производства и сбыта. Сферы ее применения для сельского хозяйства </w:t>
      </w:r>
      <w:r w:rsidR="00AB0A19">
        <w:t xml:space="preserve">весьма </w:t>
      </w:r>
      <w:r w:rsidR="007B2504" w:rsidRPr="00912F33">
        <w:t>разнообразные</w:t>
      </w:r>
      <w:r>
        <w:t>»</w:t>
      </w:r>
      <w:r w:rsidR="00AB0A19">
        <w:t xml:space="preserve"> </w:t>
      </w:r>
      <w:r w:rsidR="00C1181B">
        <w:t>[1</w:t>
      </w:r>
      <w:r>
        <w:t>, с. 90</w:t>
      </w:r>
      <w:r w:rsidR="007B2504" w:rsidRPr="00912F33">
        <w:t>].</w:t>
      </w:r>
    </w:p>
    <w:p w:rsidR="007B2504" w:rsidRPr="00912F33" w:rsidRDefault="007B2504" w:rsidP="00D356D3">
      <w:pPr>
        <w:ind w:firstLine="709"/>
        <w:jc w:val="both"/>
      </w:pPr>
      <w:r w:rsidRPr="00912F33">
        <w:t xml:space="preserve">Цифровизация сельского хозяйства с экономической точки зрения рассматривается в трех направлениях: точное земледелие, точное животноводство, управление сельским хозяйством. </w:t>
      </w:r>
      <w:r w:rsidR="002E7F72">
        <w:t>В настоящее время р</w:t>
      </w:r>
      <w:r w:rsidRPr="00912F33">
        <w:t xml:space="preserve">азработано множество экономических и технологических решений, способствующих повышению производительности труда в сельском хозяйстве, автоматизации отрасли: использование искусственного интеллекта, цифровизация управления, мониторинг посевов и урожая (в том числе с использованием дронов и GPS), системы параллельного вождения с/х техники, локальные метеостанции, электронные датчики слежения и контроля за животными, роботизация с/х операций, «умные» фермы, компьютерное зрение, агрегация и анализ массивов цифровых с/х данных (Big Data, Data Science) и мн. др. </w:t>
      </w:r>
    </w:p>
    <w:p w:rsidR="00414B12" w:rsidRDefault="00EB6633" w:rsidP="00D356D3">
      <w:pPr>
        <w:ind w:firstLine="709"/>
        <w:jc w:val="both"/>
      </w:pPr>
      <w:r w:rsidRPr="00414B12">
        <w:t>В сельском хозяйстве Республики Беларусь активно внедряются инновационные технологии, реализуются крупные инвестиционные проекты.</w:t>
      </w:r>
      <w:r w:rsidR="00414B12" w:rsidRPr="00414B12">
        <w:rPr>
          <w:sz w:val="28"/>
          <w:szCs w:val="28"/>
        </w:rPr>
        <w:t xml:space="preserve"> </w:t>
      </w:r>
      <w:r w:rsidR="00414B12" w:rsidRPr="00AB0A19">
        <w:t>Модернизация</w:t>
      </w:r>
      <w:r w:rsidR="00414B12" w:rsidRPr="000E2AAD">
        <w:rPr>
          <w:sz w:val="28"/>
          <w:szCs w:val="28"/>
        </w:rPr>
        <w:t xml:space="preserve"> </w:t>
      </w:r>
      <w:r w:rsidR="00414B12" w:rsidRPr="00CB0812">
        <w:t>обеспечивает инновационное развитие агропромышленного комплекса, внедрение современных цифровых технологий и их интеграцию во все сферы сельского хозяйства.</w:t>
      </w:r>
    </w:p>
    <w:p w:rsidR="00A723FA" w:rsidRPr="00CB0812" w:rsidRDefault="00A723FA" w:rsidP="00A723FA">
      <w:pPr>
        <w:ind w:firstLine="709"/>
        <w:jc w:val="both"/>
      </w:pPr>
      <w:r w:rsidRPr="00A723FA">
        <w:lastRenderedPageBreak/>
        <w:t xml:space="preserve">Согласно Концепции Национальной стратегии </w:t>
      </w:r>
      <w:r w:rsidR="00DE0130">
        <w:t xml:space="preserve">устойчивого развития Республики </w:t>
      </w:r>
      <w:r w:rsidRPr="00A723FA">
        <w:t>Беларусь на период до 2035 года ускоренное развитие получат технологии прецизионного (точного) земледелия, включая технологии глобального позиционирования (GPS), географические информационные системы (GIS), технологии оценки урожайности (YieldMonitorTechnologies), технологии переменного нормирования (VariableRateTechnology) и технологии дистанционного зондирования земли (ДЗЗ). Для этого потребуется создание электронной карты полей, спутниковой системы навигации, разработка сельскохозяйственной техники, оснащенной сенсорными датчиками, современных бортовых компьютеров и других технических средств</w:t>
      </w:r>
      <w:r>
        <w:t xml:space="preserve"> </w:t>
      </w:r>
      <w:r w:rsidRPr="00A723FA">
        <w:t>[2].</w:t>
      </w:r>
    </w:p>
    <w:p w:rsidR="00E52731" w:rsidRPr="007A7AC7" w:rsidRDefault="007A7AC7" w:rsidP="007A7AC7">
      <w:pPr>
        <w:ind w:firstLine="709"/>
        <w:jc w:val="both"/>
        <w:rPr>
          <w:rFonts w:eastAsia="Calibri"/>
          <w:lang w:eastAsia="en-US"/>
        </w:rPr>
      </w:pPr>
      <w:r>
        <w:t>Р</w:t>
      </w:r>
      <w:r w:rsidR="00E52731" w:rsidRPr="007A7AC7">
        <w:t>еспубликанск</w:t>
      </w:r>
      <w:r>
        <w:t>ий опрос</w:t>
      </w:r>
      <w:r w:rsidR="00E52731" w:rsidRPr="007A7AC7">
        <w:t>, проведенн</w:t>
      </w:r>
      <w:r>
        <w:t>ый</w:t>
      </w:r>
      <w:r w:rsidR="00E52731" w:rsidRPr="007A7AC7">
        <w:t xml:space="preserve"> Институтом социологии НАН Беларуси в сентябре 2019 г.</w:t>
      </w:r>
      <w:r w:rsidR="00E52731" w:rsidRPr="007A7AC7">
        <w:rPr>
          <w:rFonts w:eastAsia="Calibri"/>
          <w:lang w:eastAsia="en-US"/>
        </w:rPr>
        <w:t xml:space="preserve"> </w:t>
      </w:r>
      <w:r w:rsidRPr="007A7AC7">
        <w:rPr>
          <w:rFonts w:eastAsia="Calibri"/>
          <w:lang w:eastAsia="en-US"/>
        </w:rPr>
        <w:t xml:space="preserve">в рамках выполнения государственного задания 3.1.04 «Социодинамика социальной структуры сельских регионов современной Беларуси» </w:t>
      </w:r>
      <w:r w:rsidR="00E52731" w:rsidRPr="007A7AC7">
        <w:rPr>
          <w:rFonts w:eastAsia="Calibri"/>
          <w:lang w:eastAsia="en-US"/>
        </w:rPr>
        <w:t>(вы</w:t>
      </w:r>
      <w:r w:rsidR="00E52731" w:rsidRPr="00CB0812">
        <w:rPr>
          <w:rFonts w:eastAsia="Calibri"/>
          <w:lang w:eastAsia="en-US"/>
        </w:rPr>
        <w:t>борочная совокупность сельского населения 893 человека)</w:t>
      </w:r>
      <w:r>
        <w:t>, выявил</w:t>
      </w:r>
      <w:r w:rsidR="00E52731" w:rsidRPr="00CB0812">
        <w:t xml:space="preserve"> ряд вопросов, существующих в сельском хозяйстве и агропромышленном комплексе, актуальных для республики</w:t>
      </w:r>
      <w:r w:rsidR="00186F3E" w:rsidRPr="00CB0812">
        <w:t>.</w:t>
      </w:r>
      <w:r w:rsidR="00E52731" w:rsidRPr="00CB0812">
        <w:t xml:space="preserve"> </w:t>
      </w:r>
    </w:p>
    <w:p w:rsidR="007B2504" w:rsidRPr="00CB0812" w:rsidRDefault="00CB0812" w:rsidP="00D356D3">
      <w:pPr>
        <w:ind w:firstLine="709"/>
        <w:jc w:val="both"/>
      </w:pPr>
      <w:r w:rsidRPr="00CB0812">
        <w:rPr>
          <w:rFonts w:eastAsia="Calibri"/>
          <w:lang w:eastAsia="en-US"/>
        </w:rPr>
        <w:t xml:space="preserve">Среди сельского населения </w:t>
      </w:r>
      <w:r w:rsidR="00E52731" w:rsidRPr="00CB0812">
        <w:rPr>
          <w:rFonts w:eastAsia="Calibri"/>
          <w:lang w:eastAsia="en-US"/>
        </w:rPr>
        <w:t xml:space="preserve">были выделены группы респондентов, занятых </w:t>
      </w:r>
      <w:r w:rsidR="00E52731" w:rsidRPr="00CB0812">
        <w:t>на предприятиях государственной и частной форм собственности</w:t>
      </w:r>
      <w:r w:rsidR="00186F3E" w:rsidRPr="00CB0812">
        <w:t xml:space="preserve">.  </w:t>
      </w:r>
      <w:r w:rsidR="00E52731" w:rsidRPr="00CB0812">
        <w:t>Респондентам было предложено ответить на вопрос: «</w:t>
      </w:r>
      <w:r w:rsidR="00E52731" w:rsidRPr="00CB0812">
        <w:rPr>
          <w:rFonts w:eastAsia="Calibri"/>
          <w:lang w:eastAsia="en-US"/>
        </w:rPr>
        <w:t xml:space="preserve">На что в первую очередь следует обратить внимание в стратегии развития сельского хозяйства и агропромышленного комплекса в Вашем районе?» </w:t>
      </w:r>
    </w:p>
    <w:p w:rsidR="007B2504" w:rsidRPr="00D356D3" w:rsidRDefault="007B2504" w:rsidP="00D356D3">
      <w:pPr>
        <w:ind w:firstLine="709"/>
        <w:jc w:val="both"/>
      </w:pPr>
      <w:r w:rsidRPr="00D356D3">
        <w:t>Больше всего респондентов</w:t>
      </w:r>
      <w:r w:rsidR="00AB0A19">
        <w:t xml:space="preserve"> </w:t>
      </w:r>
      <w:r w:rsidR="00AB0A19" w:rsidRPr="00D356D3">
        <w:t xml:space="preserve">(58 % </w:t>
      </w:r>
      <w:r w:rsidR="00AB0A19">
        <w:t xml:space="preserve">работников </w:t>
      </w:r>
      <w:r w:rsidR="00AB0A19" w:rsidRPr="00D356D3">
        <w:t>государственных, 51,9 %</w:t>
      </w:r>
      <w:r w:rsidR="00AB0A19">
        <w:t xml:space="preserve"> - </w:t>
      </w:r>
      <w:r w:rsidR="00AB0A19" w:rsidRPr="00D356D3">
        <w:t>частных</w:t>
      </w:r>
      <w:r w:rsidR="00AB0A19">
        <w:t xml:space="preserve"> предприятий) </w:t>
      </w:r>
      <w:r w:rsidRPr="00D356D3">
        <w:t xml:space="preserve">указали на необходимость повышения оплаты труда </w:t>
      </w:r>
      <w:r w:rsidR="00D356D3" w:rsidRPr="00D356D3">
        <w:t>работникам сельского хозяйства</w:t>
      </w:r>
      <w:r w:rsidR="00AB0A19">
        <w:t>.</w:t>
      </w:r>
    </w:p>
    <w:p w:rsidR="00722AAA" w:rsidRDefault="007B2504" w:rsidP="00D356D3">
      <w:pPr>
        <w:ind w:firstLine="709"/>
        <w:jc w:val="both"/>
      </w:pPr>
      <w:r w:rsidRPr="00D356D3">
        <w:t>Следующая проблема, на которую, по мнению респондентов, следует обратить внимание, – внедрение новой техники, модернизация производства. Такого мнения придержива</w:t>
      </w:r>
      <w:r w:rsidR="00D356D3" w:rsidRPr="00D356D3">
        <w:t>ю</w:t>
      </w:r>
      <w:r w:rsidRPr="00D356D3">
        <w:t xml:space="preserve">тся 33,1 % работников государственных и 30,5 % негосударственных предприятий. </w:t>
      </w:r>
    </w:p>
    <w:p w:rsidR="007B2504" w:rsidRPr="00D356D3" w:rsidRDefault="007B2504" w:rsidP="00D356D3">
      <w:pPr>
        <w:ind w:firstLine="709"/>
        <w:jc w:val="both"/>
      </w:pPr>
      <w:r w:rsidRPr="00D356D3">
        <w:t>Создание новых рабочих мест – не менее значимая проблема, о чем свидетельствуют данные Национального статистического комитета</w:t>
      </w:r>
      <w:r w:rsidR="00E52731" w:rsidRPr="00D356D3">
        <w:t xml:space="preserve"> Республики Беларусь</w:t>
      </w:r>
      <w:r w:rsidRPr="00D356D3">
        <w:t>, подтверждающие сокращение численности занятого населения в сельском хозяйстве. На необходимость решения данной ситуации указало 29 % работников государственных и 25,9 % – частных предприятий.</w:t>
      </w:r>
    </w:p>
    <w:p w:rsidR="00722AAA" w:rsidRDefault="007B2504" w:rsidP="00D356D3">
      <w:pPr>
        <w:ind w:firstLine="709"/>
        <w:jc w:val="both"/>
      </w:pPr>
      <w:r w:rsidRPr="00D356D3">
        <w:t xml:space="preserve">В дальнейшем мнения респондентов </w:t>
      </w:r>
      <w:r w:rsidR="00242FAD">
        <w:t>распределились следующим образом: р</w:t>
      </w:r>
      <w:r w:rsidRPr="00D356D3">
        <w:t>аботники частных предприятий отметили важность омоложения кадрового состава среди руков</w:t>
      </w:r>
      <w:r w:rsidR="00242FAD">
        <w:t>одителей в сфере АПК (28,9 %), р</w:t>
      </w:r>
      <w:r w:rsidRPr="00D356D3">
        <w:t xml:space="preserve">аботники государственных предприятий </w:t>
      </w:r>
      <w:r w:rsidR="00D356D3" w:rsidRPr="00D356D3">
        <w:t>указали на</w:t>
      </w:r>
      <w:r w:rsidRPr="00D356D3">
        <w:t xml:space="preserve"> необходимость повышения квалификац</w:t>
      </w:r>
      <w:r w:rsidR="00D356D3" w:rsidRPr="00D356D3">
        <w:t>ии</w:t>
      </w:r>
      <w:r w:rsidR="00722AAA">
        <w:t xml:space="preserve"> (25 %). </w:t>
      </w:r>
    </w:p>
    <w:p w:rsidR="007B2504" w:rsidRPr="00D356D3" w:rsidRDefault="007B2504" w:rsidP="00D356D3">
      <w:pPr>
        <w:ind w:firstLine="709"/>
        <w:jc w:val="both"/>
        <w:rPr>
          <w:rFonts w:eastAsia="Calibri"/>
          <w:lang w:eastAsia="en-US"/>
        </w:rPr>
      </w:pPr>
      <w:r w:rsidRPr="00D356D3">
        <w:rPr>
          <w:rFonts w:eastAsia="Calibri"/>
          <w:lang w:eastAsia="en-US"/>
        </w:rPr>
        <w:t xml:space="preserve">На необходимость ремонта и строительства сельхозсооружений (23,6 %), развитие животноводства (21,4 %), привлечение частных или зарубежных инвестиций (20,7 %) чаще указывают работники государственных предприятий. Также в данной группе 16,9 % отметили важность </w:t>
      </w:r>
      <w:r w:rsidRPr="00D356D3">
        <w:t>развития фермерских и частных сельхозпредприятий.</w:t>
      </w:r>
    </w:p>
    <w:p w:rsidR="007B2504" w:rsidRPr="00D356D3" w:rsidRDefault="007B2504" w:rsidP="00D356D3">
      <w:pPr>
        <w:ind w:firstLine="709"/>
        <w:jc w:val="both"/>
        <w:rPr>
          <w:rFonts w:eastAsia="Calibri"/>
          <w:lang w:eastAsia="en-US"/>
        </w:rPr>
      </w:pPr>
      <w:r w:rsidRPr="00D356D3">
        <w:rPr>
          <w:rFonts w:eastAsia="Calibri"/>
          <w:lang w:eastAsia="en-US"/>
        </w:rPr>
        <w:t xml:space="preserve">Менее значимыми вопросами, по мнению респондентов данной группы, является освоение новых сельскохозяйственных культур (12,7 %) и развитие </w:t>
      </w:r>
      <w:r w:rsidRPr="00D356D3">
        <w:rPr>
          <w:rFonts w:eastAsia="Calibri"/>
          <w:lang w:val="en-US" w:eastAsia="en-US"/>
        </w:rPr>
        <w:t>IT</w:t>
      </w:r>
      <w:r w:rsidRPr="00D356D3">
        <w:rPr>
          <w:rFonts w:eastAsia="Calibri"/>
          <w:lang w:eastAsia="en-US"/>
        </w:rPr>
        <w:t xml:space="preserve">-агрономии (12,7 %). </w:t>
      </w:r>
    </w:p>
    <w:p w:rsidR="007B2504" w:rsidRPr="00D356D3" w:rsidRDefault="007B2504" w:rsidP="00D356D3">
      <w:pPr>
        <w:ind w:firstLine="709"/>
        <w:jc w:val="both"/>
        <w:rPr>
          <w:rFonts w:eastAsia="Calibri"/>
          <w:lang w:eastAsia="en-US"/>
        </w:rPr>
      </w:pPr>
      <w:r w:rsidRPr="00D356D3">
        <w:rPr>
          <w:rFonts w:eastAsia="Calibri"/>
          <w:lang w:eastAsia="en-US"/>
        </w:rPr>
        <w:t>На важность применения технологий точного земледелия указало 10,5 % работников негосударственных предприятий, на важность освоения новых сельскохозяйственных культур – 10,7 % опрошенных. Респонденты данной группы развитие фермерских хозяйств и частных сельхозпредприятий (11,7 %) считают более важным в сельском хозяйстве, чем развитие садоводства и овощеводства (8,3 %), в отличие от работников госпредприятий, среди которых 18,4 % указали на важность данного направления в стратегическом развитии своего района (рис.</w:t>
      </w:r>
      <w:r w:rsidR="00D356D3" w:rsidRPr="00D356D3">
        <w:rPr>
          <w:rFonts w:eastAsia="Calibri"/>
          <w:lang w:eastAsia="en-US"/>
        </w:rPr>
        <w:t xml:space="preserve"> 1</w:t>
      </w:r>
      <w:r w:rsidRPr="00D356D3">
        <w:rPr>
          <w:rFonts w:eastAsia="Calibri"/>
          <w:lang w:eastAsia="en-US"/>
        </w:rPr>
        <w:t>).</w:t>
      </w:r>
    </w:p>
    <w:p w:rsidR="007B2504" w:rsidRPr="00B30398" w:rsidRDefault="007B2504" w:rsidP="007B2504">
      <w:pPr>
        <w:ind w:firstLine="709"/>
        <w:jc w:val="both"/>
        <w:rPr>
          <w:sz w:val="28"/>
          <w:szCs w:val="28"/>
        </w:rPr>
      </w:pPr>
    </w:p>
    <w:p w:rsidR="007B2504" w:rsidRPr="00B30398" w:rsidRDefault="007B2504" w:rsidP="007B2504">
      <w:pPr>
        <w:jc w:val="both"/>
        <w:rPr>
          <w:sz w:val="28"/>
          <w:szCs w:val="28"/>
        </w:rPr>
      </w:pPr>
    </w:p>
    <w:p w:rsidR="007B2504" w:rsidRPr="00B30398" w:rsidRDefault="007B2504" w:rsidP="007B2504">
      <w:pPr>
        <w:jc w:val="both"/>
        <w:rPr>
          <w:sz w:val="30"/>
          <w:szCs w:val="30"/>
        </w:rPr>
      </w:pPr>
      <w:r w:rsidRPr="00B30398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B30E758" wp14:editId="7E27F3FB">
            <wp:extent cx="5940425" cy="7810500"/>
            <wp:effectExtent l="0" t="0" r="3175" b="0"/>
            <wp:docPr id="148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2504" w:rsidRPr="00B30398" w:rsidRDefault="007B2504" w:rsidP="007B2504">
      <w:pPr>
        <w:jc w:val="both"/>
        <w:rPr>
          <w:rFonts w:eastAsia="Calibri"/>
          <w:sz w:val="30"/>
          <w:szCs w:val="30"/>
          <w:lang w:eastAsia="en-US"/>
        </w:rPr>
      </w:pPr>
    </w:p>
    <w:p w:rsidR="007B2504" w:rsidRPr="00D356D3" w:rsidRDefault="007B2504" w:rsidP="00D356D3">
      <w:pPr>
        <w:ind w:firstLine="709"/>
        <w:jc w:val="center"/>
        <w:rPr>
          <w:rFonts w:eastAsia="Calibri"/>
          <w:lang w:eastAsia="en-US"/>
        </w:rPr>
      </w:pPr>
      <w:r w:rsidRPr="00D356D3">
        <w:rPr>
          <w:rFonts w:eastAsia="Calibri"/>
          <w:lang w:eastAsia="en-US"/>
        </w:rPr>
        <w:t xml:space="preserve">Рисунок </w:t>
      </w:r>
      <w:r w:rsidR="00E52731" w:rsidRPr="00D356D3">
        <w:rPr>
          <w:rFonts w:eastAsia="Calibri"/>
          <w:lang w:eastAsia="en-US"/>
        </w:rPr>
        <w:t>1</w:t>
      </w:r>
      <w:r w:rsidR="00D356D3">
        <w:rPr>
          <w:rFonts w:eastAsia="Calibri"/>
          <w:lang w:eastAsia="en-US"/>
        </w:rPr>
        <w:t xml:space="preserve">. </w:t>
      </w:r>
      <w:r w:rsidRPr="00D356D3">
        <w:rPr>
          <w:rFonts w:eastAsia="Calibri"/>
          <w:lang w:eastAsia="en-US"/>
        </w:rPr>
        <w:t>Мнение работников государственных и негосударственных предприятий о том, на что следует обратить внимание в стратегии развития сельского хозяйства и агропромышленного комплекса в своем районе</w:t>
      </w:r>
    </w:p>
    <w:p w:rsidR="007B2504" w:rsidRDefault="007B2504" w:rsidP="007B2504">
      <w:pPr>
        <w:spacing w:line="360" w:lineRule="auto"/>
        <w:ind w:firstLine="709"/>
        <w:jc w:val="both"/>
        <w:rPr>
          <w:sz w:val="30"/>
          <w:szCs w:val="30"/>
        </w:rPr>
      </w:pPr>
    </w:p>
    <w:p w:rsidR="007B2504" w:rsidRDefault="007B2504" w:rsidP="007B2504">
      <w:pPr>
        <w:jc w:val="both"/>
        <w:rPr>
          <w:sz w:val="28"/>
          <w:szCs w:val="28"/>
        </w:rPr>
      </w:pPr>
    </w:p>
    <w:p w:rsidR="00722AAA" w:rsidRPr="00197A29" w:rsidRDefault="00D356D3" w:rsidP="006455FA">
      <w:pPr>
        <w:ind w:firstLine="709"/>
        <w:jc w:val="both"/>
      </w:pPr>
      <w:r w:rsidRPr="00D356D3">
        <w:lastRenderedPageBreak/>
        <w:t>Таким образом, в</w:t>
      </w:r>
      <w:r w:rsidR="007B2504" w:rsidRPr="00D356D3">
        <w:t xml:space="preserve"> стратегии развития АПК своего района работники государственных предприятий, в отличие от частных, чаще указывают на необходимость модернизационных изменений своего района по технико-экономическим основаниям (техническому оснащению аграрного сектора, ремонту и строительству сельхозсооружений), а также внедрению инновационных разработок (освоению новых сельскохозяйственных культур, развитию растениеводства, животноводства, применению технологий точного земледелия (</w:t>
      </w:r>
      <w:r w:rsidR="007B2504" w:rsidRPr="00D356D3">
        <w:rPr>
          <w:lang w:val="en-US"/>
        </w:rPr>
        <w:t>IT</w:t>
      </w:r>
      <w:r w:rsidR="007B2504" w:rsidRPr="00D356D3">
        <w:t>-агрономии). Работники частных предприятий больше ориентированы на демографические изменения – омоложение кадрового состава среди руководителей в сфере АПК. Обе группы поддерживают повышение оплаты труда и социальную поддержку сельхозработников, ориентированы на внедрение нового оборудования, техники, модернизацию производства, создание новых рабочих мест, повышение квалификации и переподготовку специалистов в сфере сельского хозяйства.</w:t>
      </w:r>
      <w:r w:rsidR="00197A29">
        <w:t xml:space="preserve"> </w:t>
      </w:r>
      <w:r w:rsidR="00722AAA" w:rsidRPr="00197A29">
        <w:t>Реализация Директивы Президента Республики Беларусь от 04 марта 2019 г. «О развитии села и повышении эффективности аграрной отрасли» позволит решить общенациональные цели и задачи модернизации АПК с учетом специфики региона.</w:t>
      </w:r>
    </w:p>
    <w:p w:rsidR="00DE0130" w:rsidRPr="00DE0130" w:rsidRDefault="00722AAA" w:rsidP="00DE0130">
      <w:pPr>
        <w:ind w:firstLine="720"/>
        <w:jc w:val="both"/>
      </w:pPr>
      <w:r w:rsidRPr="00DE0130">
        <w:t xml:space="preserve">Для кадрового обеспечения модернизации и инновационного развития агропромышленного комплекса предстоит осуществить ряд образовательных и иных мер, обеспечивающих </w:t>
      </w:r>
      <w:r w:rsidR="00DE0130" w:rsidRPr="00DE0130">
        <w:t xml:space="preserve">разработку новых образовательных программ и стандартов по технологиям цифрового земледелия, </w:t>
      </w:r>
      <w:r w:rsidRPr="00DE0130">
        <w:t xml:space="preserve">подготовку и привлечение молодых специалистов в сфере </w:t>
      </w:r>
      <w:r w:rsidR="00DE0130" w:rsidRPr="00DE0130">
        <w:t xml:space="preserve">цифрового сельского хозяйства. </w:t>
      </w:r>
    </w:p>
    <w:p w:rsidR="00722AAA" w:rsidRPr="00D356D3" w:rsidRDefault="00722AAA" w:rsidP="00DE0130">
      <w:pPr>
        <w:jc w:val="both"/>
      </w:pPr>
    </w:p>
    <w:p w:rsidR="00C46B11" w:rsidRPr="00AB0A19" w:rsidRDefault="00AB0A19" w:rsidP="00AB0A19">
      <w:pPr>
        <w:ind w:firstLine="709"/>
        <w:jc w:val="center"/>
        <w:rPr>
          <w:rFonts w:eastAsia="Calibri"/>
          <w:lang w:eastAsia="en-US"/>
        </w:rPr>
      </w:pPr>
      <w:r w:rsidRPr="00AB0A19">
        <w:rPr>
          <w:rFonts w:eastAsia="Calibri"/>
          <w:lang w:eastAsia="en-US"/>
        </w:rPr>
        <w:t>Библиографический список</w:t>
      </w:r>
    </w:p>
    <w:p w:rsidR="00C46B11" w:rsidRPr="00DC03D0" w:rsidRDefault="00DC03D0" w:rsidP="00DC03D0">
      <w:pPr>
        <w:tabs>
          <w:tab w:val="left" w:pos="1134"/>
        </w:tabs>
        <w:jc w:val="both"/>
        <w:rPr>
          <w:rFonts w:eastAsia="Calibri"/>
          <w:lang w:eastAsia="en-US"/>
        </w:rPr>
      </w:pPr>
      <w:r>
        <w:t xml:space="preserve">1. </w:t>
      </w:r>
      <w:r w:rsidR="00C46B11" w:rsidRPr="00AB0A19">
        <w:t>Воронин, Б.А. Управление процессами цифровизации сельского хозяйства России / Б.А. Воронин, А.Н. Митин, О.А. Пичугин // Аграрный вестник Урала, 2019. - №</w:t>
      </w:r>
      <w:r w:rsidR="00C46B11" w:rsidRPr="00DC03D0">
        <w:rPr>
          <w:rFonts w:eastAsia="Calibri"/>
          <w:lang w:eastAsia="en-US"/>
        </w:rPr>
        <w:t xml:space="preserve"> 4 (183). – С.86-95.</w:t>
      </w:r>
    </w:p>
    <w:p w:rsidR="00A723FA" w:rsidRPr="00DC03D0" w:rsidRDefault="00DC03D0" w:rsidP="00DC03D0">
      <w:pPr>
        <w:tabs>
          <w:tab w:val="left" w:pos="1134"/>
        </w:tabs>
        <w:jc w:val="both"/>
        <w:rPr>
          <w:rFonts w:eastAsia="Calibri"/>
          <w:lang w:eastAsia="en-US"/>
        </w:rPr>
      </w:pPr>
      <w:r>
        <w:t xml:space="preserve">2. </w:t>
      </w:r>
      <w:r w:rsidR="00A723FA">
        <w:t>Концепция</w:t>
      </w:r>
      <w:r w:rsidR="00A723FA" w:rsidRPr="00222CCD">
        <w:t xml:space="preserve"> Национальной стратегии устойчивого развития Республики Беларусь на период до 2035 года // Национальной правовой Интернет-портал Республики Беларусь [Электронный ресурс]. – Режим доступа: http://www.pravo.by. – Дата доступа: 01.11.2019.</w:t>
      </w:r>
      <w:r w:rsidR="00A723FA">
        <w:t xml:space="preserve"> </w:t>
      </w:r>
      <w:r w:rsidR="00A723FA" w:rsidRPr="00DC03D0">
        <w:rPr>
          <w:rFonts w:eastAsia="Calibri"/>
          <w:lang w:eastAsia="en-US"/>
        </w:rPr>
        <w:t xml:space="preserve">– </w:t>
      </w:r>
      <w:r w:rsidR="00A723FA">
        <w:t>С. 49-50.</w:t>
      </w:r>
    </w:p>
    <w:p w:rsidR="006455FA" w:rsidRDefault="006455FA" w:rsidP="006455FA">
      <w:pPr>
        <w:tabs>
          <w:tab w:val="left" w:pos="1134"/>
        </w:tabs>
        <w:spacing w:after="160"/>
        <w:ind w:left="709"/>
        <w:contextualSpacing/>
        <w:jc w:val="both"/>
        <w:rPr>
          <w:rFonts w:eastAsia="Calibri"/>
          <w:lang w:eastAsia="en-US"/>
        </w:rPr>
      </w:pPr>
    </w:p>
    <w:p w:rsidR="006455FA" w:rsidRDefault="006455FA" w:rsidP="006455FA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Балич Наталья Леонидовна (Республика Беларусь, Минск) – кандидат социологических наук, доцент, заведующая отделом региональной социологии Института социологии НАН Беларуси (220072 Республика Беларусь, г. Минск, ул. Сурганова, д.1 корп.2, </w:t>
      </w:r>
      <w:r>
        <w:rPr>
          <w:rFonts w:eastAsia="Calibri"/>
          <w:lang w:val="en-US" w:eastAsia="en-US"/>
        </w:rPr>
        <w:t xml:space="preserve">e-mail: </w:t>
      </w:r>
      <w:hyperlink r:id="rId8" w:history="1">
        <w:r w:rsidRPr="006513A8">
          <w:rPr>
            <w:rStyle w:val="a6"/>
            <w:rFonts w:eastAsia="Calibri"/>
            <w:lang w:val="en-US" w:eastAsia="en-US"/>
          </w:rPr>
          <w:t>nlrminsk@mail.ru</w:t>
        </w:r>
      </w:hyperlink>
      <w:r>
        <w:rPr>
          <w:rFonts w:eastAsia="Calibri"/>
          <w:lang w:val="en-US" w:eastAsia="en-US"/>
        </w:rPr>
        <w:t xml:space="preserve">) </w:t>
      </w:r>
    </w:p>
    <w:p w:rsidR="006455FA" w:rsidRDefault="006455FA" w:rsidP="006455FA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lang w:val="en-US" w:eastAsia="en-US"/>
        </w:rPr>
      </w:pPr>
    </w:p>
    <w:p w:rsidR="006455FA" w:rsidRPr="00DE0130" w:rsidRDefault="006455FA" w:rsidP="006455FA">
      <w:pPr>
        <w:tabs>
          <w:tab w:val="left" w:pos="1134"/>
        </w:tabs>
        <w:spacing w:after="160"/>
        <w:ind w:firstLine="709"/>
        <w:contextualSpacing/>
        <w:jc w:val="right"/>
        <w:rPr>
          <w:rFonts w:eastAsia="Calibri"/>
          <w:b/>
          <w:lang w:val="en-US" w:eastAsia="en-US"/>
        </w:rPr>
      </w:pPr>
      <w:r w:rsidRPr="00DE0130">
        <w:rPr>
          <w:rFonts w:eastAsia="Calibri"/>
          <w:b/>
          <w:lang w:val="en-US" w:eastAsia="en-US"/>
        </w:rPr>
        <w:t>Balich N.L.</w:t>
      </w:r>
    </w:p>
    <w:p w:rsidR="00DE0130" w:rsidRDefault="00DE0130" w:rsidP="006455FA">
      <w:pPr>
        <w:tabs>
          <w:tab w:val="left" w:pos="1134"/>
        </w:tabs>
        <w:spacing w:after="160"/>
        <w:ind w:firstLine="709"/>
        <w:contextualSpacing/>
        <w:jc w:val="right"/>
        <w:rPr>
          <w:rFonts w:eastAsia="Calibri"/>
          <w:lang w:val="en-US" w:eastAsia="en-US"/>
        </w:rPr>
      </w:pPr>
    </w:p>
    <w:p w:rsidR="00DE0130" w:rsidRDefault="00DE0130" w:rsidP="00DE0130">
      <w:pPr>
        <w:tabs>
          <w:tab w:val="left" w:pos="1134"/>
        </w:tabs>
        <w:spacing w:after="160"/>
        <w:contextualSpacing/>
        <w:jc w:val="center"/>
        <w:rPr>
          <w:rFonts w:eastAsia="Calibri"/>
          <w:b/>
          <w:lang w:val="en-US" w:eastAsia="en-US"/>
        </w:rPr>
      </w:pPr>
      <w:r w:rsidRPr="005F6DFD">
        <w:rPr>
          <w:rFonts w:eastAsia="Calibri"/>
          <w:b/>
          <w:lang w:val="en-US" w:eastAsia="en-US"/>
        </w:rPr>
        <w:t>DIGITALIZATI</w:t>
      </w:r>
      <w:r>
        <w:rPr>
          <w:rFonts w:eastAsia="Calibri"/>
          <w:b/>
          <w:lang w:val="en-US" w:eastAsia="en-US"/>
        </w:rPr>
        <w:t xml:space="preserve">ON OF AGRICULTURE IN </w:t>
      </w:r>
      <w:r w:rsidRPr="005F6DFD">
        <w:rPr>
          <w:rFonts w:eastAsia="Calibri"/>
          <w:b/>
          <w:lang w:val="en-US" w:eastAsia="en-US"/>
        </w:rPr>
        <w:t>SYSTEM</w:t>
      </w:r>
      <w:r>
        <w:rPr>
          <w:rFonts w:eastAsia="Calibri"/>
          <w:b/>
          <w:lang w:val="en-US" w:eastAsia="en-US"/>
        </w:rPr>
        <w:t xml:space="preserve"> OF </w:t>
      </w:r>
      <w:r w:rsidRPr="005F6DFD">
        <w:rPr>
          <w:rFonts w:eastAsia="Calibri"/>
          <w:b/>
          <w:lang w:val="en-US" w:eastAsia="en-US"/>
        </w:rPr>
        <w:t xml:space="preserve">MODERNIZATION OF </w:t>
      </w:r>
      <w:r w:rsidRPr="00F07AE3">
        <w:rPr>
          <w:rFonts w:eastAsia="Calibri"/>
          <w:b/>
          <w:lang w:val="en-US" w:eastAsia="en-US"/>
        </w:rPr>
        <w:t>AGRO-INDUSTRIAL COMPLEX</w:t>
      </w:r>
      <w:r w:rsidRPr="005F6DFD">
        <w:rPr>
          <w:rFonts w:eastAsia="Calibri"/>
          <w:b/>
          <w:lang w:val="en-US" w:eastAsia="en-US"/>
        </w:rPr>
        <w:t xml:space="preserve"> OF BELARUS</w:t>
      </w:r>
    </w:p>
    <w:p w:rsidR="00DE0130" w:rsidRDefault="00DE0130" w:rsidP="00DE0130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i/>
          <w:lang w:val="en-US" w:eastAsia="en-US"/>
        </w:rPr>
      </w:pPr>
      <w:r w:rsidRPr="00A91F1F">
        <w:rPr>
          <w:rFonts w:eastAsia="Calibri"/>
          <w:i/>
          <w:lang w:val="en-US" w:eastAsia="en-US"/>
        </w:rPr>
        <w:t>The article analyzes the digitalization of agriculture as a necessary element in the modernization of the agro-industrial complex of the Republic of Belaru</w:t>
      </w:r>
      <w:r>
        <w:rPr>
          <w:rFonts w:eastAsia="Calibri"/>
          <w:i/>
          <w:lang w:val="en-US" w:eastAsia="en-US"/>
        </w:rPr>
        <w:t>s. Based on the data of a</w:t>
      </w:r>
      <w:r w:rsidRPr="00A91F1F">
        <w:rPr>
          <w:rFonts w:eastAsia="Calibri"/>
          <w:i/>
          <w:lang w:val="en-US" w:eastAsia="en-US"/>
        </w:rPr>
        <w:t xml:space="preserve"> republican survey conducted by the Institute of Sociology of the National Academy of Sciences of Belarus among the rural population of the country in 2019, a comparative analysis of the opinions of employees of state and private enterprises on the further development strategy of agriculture and the agro-industrial complex of their region </w:t>
      </w:r>
      <w:r>
        <w:rPr>
          <w:rFonts w:eastAsia="Calibri"/>
          <w:i/>
          <w:lang w:val="en-US" w:eastAsia="en-US"/>
        </w:rPr>
        <w:t>has been</w:t>
      </w:r>
      <w:r w:rsidRPr="00A91F1F">
        <w:rPr>
          <w:rFonts w:eastAsia="Calibri"/>
          <w:i/>
          <w:lang w:val="en-US" w:eastAsia="en-US"/>
        </w:rPr>
        <w:t xml:space="preserve"> carried out.</w:t>
      </w:r>
    </w:p>
    <w:p w:rsidR="00DE0130" w:rsidRDefault="00DE0130" w:rsidP="00DE0130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i/>
          <w:lang w:val="en-US" w:eastAsia="en-US"/>
        </w:rPr>
      </w:pPr>
      <w:r w:rsidRPr="00EB2F8F">
        <w:rPr>
          <w:rFonts w:eastAsia="Calibri"/>
          <w:i/>
          <w:lang w:val="en-US" w:eastAsia="en-US"/>
        </w:rPr>
        <w:t xml:space="preserve">Key words: </w:t>
      </w:r>
      <w:bookmarkStart w:id="0" w:name="_GoBack"/>
      <w:r w:rsidRPr="00EB2F8F">
        <w:rPr>
          <w:rFonts w:eastAsia="Calibri"/>
          <w:i/>
          <w:lang w:val="en-US" w:eastAsia="en-US"/>
        </w:rPr>
        <w:t>digitalization, modernization, agro-industrial complex, rural population.</w:t>
      </w:r>
    </w:p>
    <w:bookmarkEnd w:id="0"/>
    <w:p w:rsidR="00DE0130" w:rsidRDefault="00DE0130" w:rsidP="00DE0130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i/>
          <w:lang w:val="en-US" w:eastAsia="en-US"/>
        </w:rPr>
      </w:pPr>
    </w:p>
    <w:p w:rsidR="00DE0130" w:rsidRPr="00EB2F8F" w:rsidRDefault="00DE0130" w:rsidP="00DE0130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/>
          <w:lang w:val="en-US" w:eastAsia="en-US"/>
        </w:rPr>
      </w:pPr>
      <w:r w:rsidRPr="00605187">
        <w:rPr>
          <w:rFonts w:eastAsia="Calibri"/>
          <w:lang w:val="en-US" w:eastAsia="en-US"/>
        </w:rPr>
        <w:t xml:space="preserve">Balich Natalya Leonidovna </w:t>
      </w:r>
      <w:r>
        <w:rPr>
          <w:rFonts w:eastAsia="Calibri"/>
          <w:lang w:val="en-US" w:eastAsia="en-US"/>
        </w:rPr>
        <w:t>(Republic of Belarus, Minsk) – a candidate of sociologic sciences</w:t>
      </w:r>
      <w:r w:rsidRPr="00605187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>associate p</w:t>
      </w:r>
      <w:r w:rsidRPr="00605187">
        <w:rPr>
          <w:rFonts w:eastAsia="Calibri"/>
          <w:lang w:val="en-US" w:eastAsia="en-US"/>
        </w:rPr>
        <w:t>rofes</w:t>
      </w:r>
      <w:r>
        <w:rPr>
          <w:rFonts w:eastAsia="Calibri"/>
          <w:lang w:val="en-US" w:eastAsia="en-US"/>
        </w:rPr>
        <w:t>sor, the Head of the Department of regional sociology, the Institute of sociology, the National academy of s</w:t>
      </w:r>
      <w:r w:rsidRPr="00605187">
        <w:rPr>
          <w:rFonts w:eastAsia="Calibri"/>
          <w:lang w:val="en-US" w:eastAsia="en-US"/>
        </w:rPr>
        <w:t>ciences of Belarus (22007</w:t>
      </w:r>
      <w:r>
        <w:rPr>
          <w:rFonts w:eastAsia="Calibri"/>
          <w:lang w:val="en-US" w:eastAsia="en-US"/>
        </w:rPr>
        <w:t>2, Republic of Belarus, Minsk, Surganova s</w:t>
      </w:r>
      <w:r w:rsidRPr="00605187">
        <w:rPr>
          <w:rFonts w:eastAsia="Calibri"/>
          <w:lang w:val="en-US" w:eastAsia="en-US"/>
        </w:rPr>
        <w:t>t</w:t>
      </w:r>
      <w:r>
        <w:rPr>
          <w:rFonts w:eastAsia="Calibri"/>
          <w:lang w:val="en-US" w:eastAsia="en-US"/>
        </w:rPr>
        <w:t>r., building 1/2, e-mail: nlrminsk@</w:t>
      </w:r>
      <w:r w:rsidRPr="00605187">
        <w:rPr>
          <w:rFonts w:eastAsia="Calibri"/>
          <w:lang w:val="en-US" w:eastAsia="en-US"/>
        </w:rPr>
        <w:t>mail.ru)</w:t>
      </w:r>
      <w:r>
        <w:rPr>
          <w:rFonts w:eastAsia="Calibri"/>
          <w:lang w:val="en-US" w:eastAsia="en-US"/>
        </w:rPr>
        <w:t>.</w:t>
      </w:r>
    </w:p>
    <w:p w:rsidR="00DE0130" w:rsidRDefault="00DE0130" w:rsidP="00027E2D">
      <w:pPr>
        <w:tabs>
          <w:tab w:val="left" w:pos="1134"/>
        </w:tabs>
        <w:spacing w:after="160"/>
        <w:contextualSpacing/>
        <w:jc w:val="both"/>
        <w:rPr>
          <w:rFonts w:eastAsia="Calibri"/>
          <w:lang w:val="en-US" w:eastAsia="en-US"/>
        </w:rPr>
      </w:pPr>
    </w:p>
    <w:p w:rsidR="00027E2D" w:rsidRPr="001A48EF" w:rsidRDefault="00027E2D" w:rsidP="00027E2D">
      <w:pPr>
        <w:tabs>
          <w:tab w:val="left" w:pos="1134"/>
        </w:tabs>
        <w:spacing w:after="160"/>
        <w:contextualSpacing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References</w:t>
      </w:r>
    </w:p>
    <w:p w:rsidR="00027E2D" w:rsidRPr="00027E2D" w:rsidRDefault="00027E2D" w:rsidP="00027E2D">
      <w:pPr>
        <w:tabs>
          <w:tab w:val="left" w:pos="1134"/>
        </w:tabs>
        <w:spacing w:after="160"/>
        <w:jc w:val="both"/>
        <w:rPr>
          <w:rFonts w:eastAsia="Calibri"/>
          <w:lang w:val="en-US" w:eastAsia="en-US"/>
        </w:rPr>
      </w:pPr>
      <w:r w:rsidRPr="00027E2D">
        <w:rPr>
          <w:rFonts w:eastAsia="Calibri"/>
          <w:lang w:val="en-US" w:eastAsia="en-US"/>
        </w:rPr>
        <w:lastRenderedPageBreak/>
        <w:t>1.</w:t>
      </w:r>
      <w:r>
        <w:rPr>
          <w:rFonts w:eastAsia="Calibri"/>
          <w:lang w:val="en-US" w:eastAsia="en-US"/>
        </w:rPr>
        <w:t xml:space="preserve"> </w:t>
      </w:r>
      <w:r w:rsidRPr="00027E2D">
        <w:rPr>
          <w:rFonts w:eastAsia="Calibri"/>
          <w:lang w:val="en-US" w:eastAsia="en-US"/>
        </w:rPr>
        <w:t xml:space="preserve">Voronin B.A., Mitin A.N., Pichugin O.A. Upravlenie protsessami tsifrovizatsii sel'skogo khoziaistva Rossii [Management of digitalization processes in agriculture of Russia] in </w:t>
      </w:r>
      <w:r w:rsidRPr="00027E2D">
        <w:rPr>
          <w:rFonts w:eastAsia="Calibri"/>
          <w:i/>
          <w:lang w:val="en-US" w:eastAsia="en-US"/>
        </w:rPr>
        <w:t>Agrarian Bulletin of the Urals</w:t>
      </w:r>
      <w:r w:rsidRPr="00027E2D">
        <w:rPr>
          <w:rFonts w:eastAsia="Calibri"/>
          <w:lang w:val="en-US" w:eastAsia="en-US"/>
        </w:rPr>
        <w:t>, 2019, No. 4 (183), pp. 86-95.</w:t>
      </w:r>
    </w:p>
    <w:p w:rsidR="00027E2D" w:rsidRPr="00027E2D" w:rsidRDefault="00027E2D" w:rsidP="00027E2D">
      <w:pPr>
        <w:rPr>
          <w:rFonts w:eastAsia="Calibri"/>
          <w:lang w:val="en-US" w:eastAsia="en-US"/>
        </w:rPr>
      </w:pPr>
      <w:r w:rsidRPr="00027E2D">
        <w:rPr>
          <w:rFonts w:eastAsia="Calibri"/>
          <w:lang w:val="en-US" w:eastAsia="en-US"/>
        </w:rPr>
        <w:t xml:space="preserve">2. The concept of the National Strategy for Sustainable Development of the Republic of Belarus for the period until 2035. National Legal Internet Portal of the Republic of Belarus, pp. 49-50 (accessed at </w:t>
      </w:r>
      <w:hyperlink r:id="rId9" w:history="1">
        <w:r w:rsidRPr="00027E2D">
          <w:rPr>
            <w:rStyle w:val="a6"/>
            <w:rFonts w:eastAsia="Calibri"/>
            <w:lang w:val="en-US" w:eastAsia="en-US"/>
          </w:rPr>
          <w:t>http://www.pravo.by</w:t>
        </w:r>
      </w:hyperlink>
      <w:r w:rsidRPr="00027E2D">
        <w:rPr>
          <w:rFonts w:eastAsia="Calibri"/>
          <w:lang w:val="en-US" w:eastAsia="en-US"/>
        </w:rPr>
        <w:t>, date of access: 01/01/2019).</w:t>
      </w:r>
    </w:p>
    <w:p w:rsidR="00027E2D" w:rsidRPr="00027E2D" w:rsidRDefault="00027E2D" w:rsidP="00027E2D">
      <w:pPr>
        <w:tabs>
          <w:tab w:val="left" w:pos="1134"/>
        </w:tabs>
        <w:spacing w:after="160"/>
        <w:contextualSpacing/>
        <w:jc w:val="both"/>
        <w:rPr>
          <w:rFonts w:eastAsia="Calibri"/>
          <w:lang w:val="en-US" w:eastAsia="en-US"/>
        </w:rPr>
      </w:pPr>
    </w:p>
    <w:p w:rsidR="00DE0130" w:rsidRDefault="00DE0130" w:rsidP="00DE0130">
      <w:pPr>
        <w:tabs>
          <w:tab w:val="left" w:pos="1134"/>
        </w:tabs>
        <w:spacing w:after="160"/>
        <w:ind w:firstLine="709"/>
        <w:contextualSpacing/>
        <w:jc w:val="center"/>
        <w:rPr>
          <w:rFonts w:eastAsia="Calibri"/>
          <w:i/>
          <w:lang w:val="en-US" w:eastAsia="en-US"/>
        </w:rPr>
      </w:pPr>
    </w:p>
    <w:p w:rsidR="00DE0130" w:rsidRDefault="00DE0130" w:rsidP="00DE0130">
      <w:pPr>
        <w:tabs>
          <w:tab w:val="left" w:pos="1134"/>
        </w:tabs>
        <w:spacing w:after="160"/>
        <w:contextualSpacing/>
        <w:jc w:val="both"/>
        <w:rPr>
          <w:rFonts w:eastAsia="Calibri"/>
          <w:lang w:val="en-US" w:eastAsia="en-US"/>
        </w:rPr>
      </w:pPr>
    </w:p>
    <w:p w:rsidR="006455FA" w:rsidRPr="006455FA" w:rsidRDefault="006455FA" w:rsidP="006455FA">
      <w:pPr>
        <w:tabs>
          <w:tab w:val="left" w:pos="1134"/>
        </w:tabs>
        <w:spacing w:after="160"/>
        <w:ind w:firstLine="709"/>
        <w:contextualSpacing/>
        <w:jc w:val="right"/>
        <w:rPr>
          <w:rFonts w:eastAsia="Calibri"/>
          <w:lang w:val="en-US" w:eastAsia="en-US"/>
        </w:rPr>
      </w:pPr>
    </w:p>
    <w:p w:rsidR="007B2504" w:rsidRPr="00DE0130" w:rsidRDefault="007B2504" w:rsidP="007B2504">
      <w:pPr>
        <w:jc w:val="both"/>
        <w:rPr>
          <w:sz w:val="28"/>
          <w:szCs w:val="28"/>
          <w:lang w:val="en-US"/>
        </w:rPr>
      </w:pPr>
    </w:p>
    <w:sectPr w:rsidR="007B2504" w:rsidRPr="00DE0130" w:rsidSect="00C46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8E" w:rsidRDefault="00B47D8E" w:rsidP="00C1181B">
      <w:r>
        <w:separator/>
      </w:r>
    </w:p>
  </w:endnote>
  <w:endnote w:type="continuationSeparator" w:id="0">
    <w:p w:rsidR="00B47D8E" w:rsidRDefault="00B47D8E" w:rsidP="00C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8E" w:rsidRDefault="00B47D8E" w:rsidP="00C1181B">
      <w:r>
        <w:separator/>
      </w:r>
    </w:p>
  </w:footnote>
  <w:footnote w:type="continuationSeparator" w:id="0">
    <w:p w:rsidR="00B47D8E" w:rsidRDefault="00B47D8E" w:rsidP="00C1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C8B"/>
    <w:multiLevelType w:val="hybridMultilevel"/>
    <w:tmpl w:val="28D0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B71"/>
    <w:multiLevelType w:val="hybridMultilevel"/>
    <w:tmpl w:val="E08ACEC2"/>
    <w:lvl w:ilvl="0" w:tplc="968878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B629F"/>
    <w:multiLevelType w:val="hybridMultilevel"/>
    <w:tmpl w:val="53E27412"/>
    <w:lvl w:ilvl="0" w:tplc="3F7E43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927D8C"/>
    <w:multiLevelType w:val="hybridMultilevel"/>
    <w:tmpl w:val="64A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DC"/>
    <w:rsid w:val="00027E2D"/>
    <w:rsid w:val="00136BDC"/>
    <w:rsid w:val="00186F3E"/>
    <w:rsid w:val="00197A29"/>
    <w:rsid w:val="00235A28"/>
    <w:rsid w:val="00242FAD"/>
    <w:rsid w:val="00272AAC"/>
    <w:rsid w:val="002E7F72"/>
    <w:rsid w:val="00414B12"/>
    <w:rsid w:val="004E74CD"/>
    <w:rsid w:val="005471AB"/>
    <w:rsid w:val="0055458B"/>
    <w:rsid w:val="005A7368"/>
    <w:rsid w:val="006455FA"/>
    <w:rsid w:val="006C0381"/>
    <w:rsid w:val="00721886"/>
    <w:rsid w:val="00722AAA"/>
    <w:rsid w:val="00743DF9"/>
    <w:rsid w:val="0078054C"/>
    <w:rsid w:val="007925E1"/>
    <w:rsid w:val="007A7AC7"/>
    <w:rsid w:val="007B2504"/>
    <w:rsid w:val="008F1B8D"/>
    <w:rsid w:val="00912F33"/>
    <w:rsid w:val="00A723FA"/>
    <w:rsid w:val="00AB0A19"/>
    <w:rsid w:val="00B47D8E"/>
    <w:rsid w:val="00C1181B"/>
    <w:rsid w:val="00C46B11"/>
    <w:rsid w:val="00CB0812"/>
    <w:rsid w:val="00D2707F"/>
    <w:rsid w:val="00D34B19"/>
    <w:rsid w:val="00D356D3"/>
    <w:rsid w:val="00D405D3"/>
    <w:rsid w:val="00DC03D0"/>
    <w:rsid w:val="00DE0130"/>
    <w:rsid w:val="00E52731"/>
    <w:rsid w:val="00E654CA"/>
    <w:rsid w:val="00EB6633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6B1B-7334-44A0-83F4-755B353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18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1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1181B"/>
    <w:rPr>
      <w:rFonts w:cs="Times New Roman"/>
      <w:vertAlign w:val="superscript"/>
    </w:rPr>
  </w:style>
  <w:style w:type="character" w:customStyle="1" w:styleId="extended-textshort">
    <w:name w:val="extended-text__short"/>
    <w:basedOn w:val="a0"/>
    <w:rsid w:val="00EB6633"/>
  </w:style>
  <w:style w:type="character" w:styleId="a6">
    <w:name w:val="Hyperlink"/>
    <w:basedOn w:val="a0"/>
    <w:uiPriority w:val="99"/>
    <w:unhideWhenUsed/>
    <w:rsid w:val="006455F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rminsk@mai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5;&#1077;&#1085;&#1080;&#1081;\Desktop\&#1042;%20&#1075;&#1086;&#1076;&#1086;&#1074;&#1086;&#1081;%20&#1086;&#1090;&#1095;&#1077;&#1090;%20&#1090;&#1077;&#1082;&#1089;&#1090;&#1099;\&#1043;&#1088;&#1072;&#1092;&#1080;&#1082;_4&#1075;&#1088;&#1091;&#1087;&#1087;&#1099;%20-%20&#1085;&#1077;%20&#1074;&#1089;&#107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"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На что в первую очередь следует обратить внимание в стратегии развития сельского хозяйства и агропромышленного комплекса в Вашем районе?" (сельское население</a:t>
            </a: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республики), 2019 г., %</a:t>
            </a:r>
          </a:p>
        </c:rich>
      </c:tx>
      <c:layout>
        <c:manualLayout>
          <c:xMode val="edge"/>
          <c:yMode val="edge"/>
          <c:x val="0.1511306009250179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9.8019024217717465E-2"/>
          <c:w val="0.47033737650316343"/>
          <c:h val="0.84552558589750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 Гос.предприятия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9790704287417942E-3"/>
                  <c:y val="1.89125295508275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77A-4351-80C1-24F703CAB2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 Повышение оплаты труда сельхозработников и их соцподдержки</c:v>
                </c:pt>
                <c:pt idx="1">
                  <c:v> Внедрение нового оборудования, техники, модернизация производства</c:v>
                </c:pt>
                <c:pt idx="2">
                  <c:v> Создание новых рабочих мест в АПК</c:v>
                </c:pt>
                <c:pt idx="3">
                  <c:v> Повышение квалификации и подготовки специалистов среди работников сельхозпредприятий</c:v>
                </c:pt>
                <c:pt idx="4">
                  <c:v> Ремонт и строительство сельхозстроений и зданий</c:v>
                </c:pt>
                <c:pt idx="5">
                  <c:v> Развитие животноводства</c:v>
                </c:pt>
                <c:pt idx="6">
                  <c:v> Омоложение кадрового состава среди руководителей в сфере АПК</c:v>
                </c:pt>
                <c:pt idx="7">
                  <c:v> Привлечение инвестиций частных или зарубежных компаний и организаций</c:v>
                </c:pt>
                <c:pt idx="8">
                  <c:v> Развитие садоводства и овощеводства</c:v>
                </c:pt>
                <c:pt idx="9">
                  <c:v> Развитие фермерских хозяйств и частных сельскохозяйственных предприятий</c:v>
                </c:pt>
                <c:pt idx="10">
                  <c:v> Освоение новых сельскохозяйственных культур</c:v>
                </c:pt>
                <c:pt idx="11">
                  <c:v> Применение технологий точного (органического) земледелия (IT-агрономии)</c:v>
                </c:pt>
              </c:strCache>
            </c:strRef>
          </c:cat>
          <c:val>
            <c:numRef>
              <c:f>Лист1!$B$3:$B$14</c:f>
              <c:numCache>
                <c:formatCode>0.0</c:formatCode>
                <c:ptCount val="12"/>
                <c:pt idx="0">
                  <c:v>58</c:v>
                </c:pt>
                <c:pt idx="1">
                  <c:v>33.1</c:v>
                </c:pt>
                <c:pt idx="2">
                  <c:v>29</c:v>
                </c:pt>
                <c:pt idx="3">
                  <c:v>25</c:v>
                </c:pt>
                <c:pt idx="4">
                  <c:v>23.6</c:v>
                </c:pt>
                <c:pt idx="5">
                  <c:v>21.4</c:v>
                </c:pt>
                <c:pt idx="6">
                  <c:v>21.2</c:v>
                </c:pt>
                <c:pt idx="7">
                  <c:v>20.7</c:v>
                </c:pt>
                <c:pt idx="8">
                  <c:v>18.399999999999999</c:v>
                </c:pt>
                <c:pt idx="9">
                  <c:v>16.899999999999999</c:v>
                </c:pt>
                <c:pt idx="10">
                  <c:v>12.7</c:v>
                </c:pt>
                <c:pt idx="11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7A-4351-80C1-24F703CAB23F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 Негос.предприятия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294576435053309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77A-4351-80C1-24F703CAB23F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77A-4351-80C1-24F703CAB2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 Повышение оплаты труда сельхозработников и их соцподдержки</c:v>
                </c:pt>
                <c:pt idx="1">
                  <c:v> Внедрение нового оборудования, техники, модернизация производства</c:v>
                </c:pt>
                <c:pt idx="2">
                  <c:v> Создание новых рабочих мест в АПК</c:v>
                </c:pt>
                <c:pt idx="3">
                  <c:v> Повышение квалификации и подготовки специалистов среди работников сельхозпредприятий</c:v>
                </c:pt>
                <c:pt idx="4">
                  <c:v> Ремонт и строительство сельхозстроений и зданий</c:v>
                </c:pt>
                <c:pt idx="5">
                  <c:v> Развитие животноводства</c:v>
                </c:pt>
                <c:pt idx="6">
                  <c:v> Омоложение кадрового состава среди руководителей в сфере АПК</c:v>
                </c:pt>
                <c:pt idx="7">
                  <c:v> Привлечение инвестиций частных или зарубежных компаний и организаций</c:v>
                </c:pt>
                <c:pt idx="8">
                  <c:v> Развитие садоводства и овощеводства</c:v>
                </c:pt>
                <c:pt idx="9">
                  <c:v> Развитие фермерских хозяйств и частных сельскохозяйственных предприятий</c:v>
                </c:pt>
                <c:pt idx="10">
                  <c:v> Освоение новых сельскохозяйственных культур</c:v>
                </c:pt>
                <c:pt idx="11">
                  <c:v> Применение технологий точного (органического) земледелия (IT-агрономии)</c:v>
                </c:pt>
              </c:strCache>
            </c:strRef>
          </c:cat>
          <c:val>
            <c:numRef>
              <c:f>Лист1!$C$3:$C$14</c:f>
              <c:numCache>
                <c:formatCode>0.0</c:formatCode>
                <c:ptCount val="12"/>
                <c:pt idx="0">
                  <c:v>-65.5</c:v>
                </c:pt>
                <c:pt idx="1">
                  <c:v>-25.3</c:v>
                </c:pt>
                <c:pt idx="2">
                  <c:v>-22.2</c:v>
                </c:pt>
                <c:pt idx="3">
                  <c:v>-24.1</c:v>
                </c:pt>
                <c:pt idx="4">
                  <c:v>-13.4</c:v>
                </c:pt>
                <c:pt idx="5">
                  <c:v>-19</c:v>
                </c:pt>
                <c:pt idx="6">
                  <c:v>-22.8</c:v>
                </c:pt>
                <c:pt idx="7">
                  <c:v>-21.2</c:v>
                </c:pt>
                <c:pt idx="8">
                  <c:v>-9.6</c:v>
                </c:pt>
                <c:pt idx="9">
                  <c:v>-25</c:v>
                </c:pt>
                <c:pt idx="10">
                  <c:v>-11.5</c:v>
                </c:pt>
                <c:pt idx="11">
                  <c:v>-9.6999999999999993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77A-4351-80C1-24F703CAB2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7"/>
        <c:axId val="118066184"/>
        <c:axId val="118066968"/>
      </c:barChart>
      <c:catAx>
        <c:axId val="1180661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066968"/>
        <c:crosses val="autoZero"/>
        <c:auto val="1"/>
        <c:lblAlgn val="ctr"/>
        <c:lblOffset val="100"/>
        <c:noMultiLvlLbl val="0"/>
      </c:catAx>
      <c:valAx>
        <c:axId val="11806696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8066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372259749651143E-4"/>
          <c:y val="0.96453765394710278"/>
          <c:w val="0.99514144232019541"/>
          <c:h val="3.54623460528972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2020-03-20T13:08:00Z</dcterms:created>
  <dcterms:modified xsi:type="dcterms:W3CDTF">2020-03-20T20:05:00Z</dcterms:modified>
</cp:coreProperties>
</file>