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4B51" w:rsidRPr="00501F14" w:rsidRDefault="00D17F57" w:rsidP="00F54B51">
      <w:pPr>
        <w:pStyle w:val="1"/>
        <w:spacing w:before="0" w:after="160" w:line="360" w:lineRule="auto"/>
        <w:rPr>
          <w:rFonts w:ascii="Times New Roman" w:hAnsi="Times New Roman" w:cs="Times New Roman"/>
          <w:b/>
          <w:color w:val="auto"/>
          <w:sz w:val="24"/>
          <w:szCs w:val="24"/>
        </w:rPr>
      </w:pPr>
      <w:r>
        <w:rPr>
          <w:rFonts w:ascii="Times New Roman" w:hAnsi="Times New Roman" w:cs="Times New Roman"/>
          <w:b/>
          <w:color w:val="auto"/>
          <w:sz w:val="24"/>
          <w:szCs w:val="24"/>
        </w:rPr>
        <w:t>УДК 336.02</w:t>
      </w:r>
    </w:p>
    <w:p w:rsidR="00501F14" w:rsidRPr="00D17F57" w:rsidRDefault="00D17F57" w:rsidP="00501F14">
      <w:pPr>
        <w:jc w:val="right"/>
        <w:rPr>
          <w:rFonts w:ascii="Times New Roman" w:hAnsi="Times New Roman" w:cs="Times New Roman"/>
          <w:b/>
          <w:sz w:val="24"/>
        </w:rPr>
      </w:pPr>
      <w:proofErr w:type="spellStart"/>
      <w:r>
        <w:rPr>
          <w:rFonts w:ascii="Times New Roman" w:hAnsi="Times New Roman" w:cs="Times New Roman"/>
          <w:b/>
          <w:sz w:val="24"/>
        </w:rPr>
        <w:t>Аплевич</w:t>
      </w:r>
      <w:proofErr w:type="spellEnd"/>
      <w:r>
        <w:rPr>
          <w:rFonts w:ascii="Times New Roman" w:hAnsi="Times New Roman" w:cs="Times New Roman"/>
          <w:b/>
          <w:sz w:val="24"/>
        </w:rPr>
        <w:t xml:space="preserve"> Т. А.</w:t>
      </w:r>
    </w:p>
    <w:p w:rsidR="00416AC4" w:rsidRDefault="00875EF0" w:rsidP="00416AC4">
      <w:pPr>
        <w:pStyle w:val="1"/>
        <w:spacing w:before="0" w:line="240" w:lineRule="auto"/>
        <w:ind w:firstLine="709"/>
        <w:jc w:val="center"/>
        <w:rPr>
          <w:rFonts w:ascii="Times New Roman" w:hAnsi="Times New Roman" w:cs="Times New Roman"/>
          <w:b/>
          <w:color w:val="auto"/>
          <w:sz w:val="24"/>
          <w:szCs w:val="24"/>
        </w:rPr>
      </w:pPr>
      <w:r>
        <w:rPr>
          <w:rFonts w:ascii="Times New Roman" w:hAnsi="Times New Roman" w:cs="Times New Roman"/>
          <w:b/>
          <w:color w:val="auto"/>
          <w:sz w:val="24"/>
          <w:szCs w:val="24"/>
        </w:rPr>
        <w:t xml:space="preserve">ТЕОРЕТИКО-МЕТОДИЧЕСКИЕ ОСНОВЫ </w:t>
      </w:r>
      <w:r w:rsidR="00D17F57">
        <w:rPr>
          <w:rFonts w:ascii="Times New Roman" w:hAnsi="Times New Roman" w:cs="Times New Roman"/>
          <w:b/>
          <w:color w:val="auto"/>
          <w:sz w:val="24"/>
          <w:szCs w:val="24"/>
        </w:rPr>
        <w:t>ДЕНЕЖНО-КРЕДИТНОЙ ПОЛИТИКИ</w:t>
      </w:r>
    </w:p>
    <w:p w:rsidR="00416AC4" w:rsidRPr="00416AC4" w:rsidRDefault="00416AC4" w:rsidP="00416AC4">
      <w:pPr>
        <w:spacing w:after="0"/>
      </w:pPr>
    </w:p>
    <w:p w:rsidR="00D17F57" w:rsidRPr="00416AC4" w:rsidRDefault="00D17F57" w:rsidP="00416AC4">
      <w:pPr>
        <w:spacing w:after="0" w:line="240" w:lineRule="auto"/>
        <w:ind w:firstLine="567"/>
        <w:jc w:val="both"/>
        <w:rPr>
          <w:rFonts w:ascii="Times New Roman" w:hAnsi="Times New Roman" w:cs="Times New Roman"/>
          <w:i/>
          <w:sz w:val="24"/>
          <w:szCs w:val="24"/>
          <w:shd w:val="clear" w:color="auto" w:fill="FFFFFF"/>
        </w:rPr>
      </w:pPr>
      <w:r w:rsidRPr="00416AC4">
        <w:rPr>
          <w:rFonts w:ascii="Times New Roman" w:hAnsi="Times New Roman" w:cs="Times New Roman"/>
          <w:i/>
          <w:sz w:val="24"/>
          <w:szCs w:val="24"/>
        </w:rPr>
        <w:t xml:space="preserve">В статье рассмотрены </w:t>
      </w:r>
      <w:r w:rsidR="00BF29E8" w:rsidRPr="00416AC4">
        <w:rPr>
          <w:rFonts w:ascii="Times New Roman" w:hAnsi="Times New Roman" w:cs="Times New Roman"/>
          <w:i/>
          <w:sz w:val="24"/>
          <w:szCs w:val="24"/>
        </w:rPr>
        <w:t>теоретико-методические основы денежно-кредитной политики</w:t>
      </w:r>
      <w:r w:rsidRPr="00416AC4">
        <w:rPr>
          <w:rFonts w:ascii="Times New Roman" w:hAnsi="Times New Roman" w:cs="Times New Roman"/>
          <w:i/>
          <w:sz w:val="24"/>
          <w:szCs w:val="24"/>
          <w:shd w:val="clear" w:color="auto" w:fill="FFFFFF"/>
        </w:rPr>
        <w:t xml:space="preserve">, </w:t>
      </w:r>
      <w:r w:rsidR="00BF29E8" w:rsidRPr="00416AC4">
        <w:rPr>
          <w:rFonts w:ascii="Times New Roman" w:hAnsi="Times New Roman" w:cs="Times New Roman"/>
          <w:i/>
          <w:sz w:val="24"/>
          <w:szCs w:val="24"/>
          <w:shd w:val="clear" w:color="auto" w:fill="FFFFFF"/>
        </w:rPr>
        <w:t>даны определения и классификация целей, задач, видов и инструментов денежно-кредитной политики, а также определено ее значение в проведении экономической политики страны.</w:t>
      </w:r>
    </w:p>
    <w:p w:rsidR="00D17F57" w:rsidRDefault="00116EA6" w:rsidP="00416AC4">
      <w:pPr>
        <w:spacing w:after="0" w:line="240" w:lineRule="auto"/>
        <w:ind w:firstLine="567"/>
        <w:jc w:val="both"/>
        <w:rPr>
          <w:rFonts w:ascii="Times New Roman" w:hAnsi="Times New Roman" w:cs="Times New Roman"/>
          <w:i/>
          <w:sz w:val="24"/>
          <w:szCs w:val="24"/>
          <w:shd w:val="clear" w:color="auto" w:fill="FFFFFF"/>
        </w:rPr>
      </w:pPr>
      <w:r w:rsidRPr="00416AC4">
        <w:rPr>
          <w:rFonts w:ascii="Times New Roman" w:hAnsi="Times New Roman" w:cs="Times New Roman"/>
          <w:i/>
          <w:sz w:val="24"/>
          <w:szCs w:val="24"/>
          <w:shd w:val="clear" w:color="auto" w:fill="FFFFFF"/>
        </w:rPr>
        <w:t>Ключевые слова:</w:t>
      </w:r>
      <w:r w:rsidR="00CA2609" w:rsidRPr="00416AC4">
        <w:rPr>
          <w:rFonts w:ascii="Times New Roman" w:hAnsi="Times New Roman" w:cs="Times New Roman"/>
          <w:i/>
          <w:sz w:val="24"/>
          <w:szCs w:val="24"/>
          <w:shd w:val="clear" w:color="auto" w:fill="FFFFFF"/>
        </w:rPr>
        <w:t xml:space="preserve"> </w:t>
      </w:r>
      <w:r w:rsidRPr="00416AC4">
        <w:rPr>
          <w:rFonts w:ascii="Times New Roman" w:hAnsi="Times New Roman" w:cs="Times New Roman"/>
          <w:i/>
          <w:sz w:val="24"/>
          <w:szCs w:val="24"/>
          <w:shd w:val="clear" w:color="auto" w:fill="FFFFFF"/>
        </w:rPr>
        <w:t>объекты,</w:t>
      </w:r>
      <w:r w:rsidR="00CA2609" w:rsidRPr="00416AC4">
        <w:rPr>
          <w:rFonts w:ascii="Times New Roman" w:hAnsi="Times New Roman" w:cs="Times New Roman"/>
          <w:i/>
          <w:sz w:val="24"/>
          <w:szCs w:val="24"/>
          <w:shd w:val="clear" w:color="auto" w:fill="FFFFFF"/>
        </w:rPr>
        <w:t xml:space="preserve"> субъекты</w:t>
      </w:r>
      <w:r w:rsidRPr="00416AC4">
        <w:rPr>
          <w:rFonts w:ascii="Times New Roman" w:hAnsi="Times New Roman" w:cs="Times New Roman"/>
          <w:i/>
          <w:sz w:val="24"/>
          <w:szCs w:val="24"/>
          <w:shd w:val="clear" w:color="auto" w:fill="FFFFFF"/>
        </w:rPr>
        <w:t>, цели, виды, инструменты денежно-кредитной политики.</w:t>
      </w:r>
    </w:p>
    <w:p w:rsidR="00416AC4" w:rsidRPr="00416AC4" w:rsidRDefault="00416AC4" w:rsidP="00DA26FD">
      <w:pPr>
        <w:spacing w:after="0" w:line="240" w:lineRule="auto"/>
        <w:ind w:firstLine="567"/>
        <w:jc w:val="both"/>
        <w:rPr>
          <w:rFonts w:ascii="Times New Roman" w:hAnsi="Times New Roman" w:cs="Times New Roman"/>
          <w:i/>
          <w:sz w:val="24"/>
          <w:szCs w:val="24"/>
          <w:shd w:val="clear" w:color="auto" w:fill="FFFFFF"/>
        </w:rPr>
      </w:pPr>
    </w:p>
    <w:p w:rsidR="002C7B60" w:rsidRPr="00416AC4" w:rsidRDefault="002C7B60" w:rsidP="00DA26FD">
      <w:pPr>
        <w:pStyle w:val="ae"/>
        <w:ind w:firstLine="567"/>
        <w:jc w:val="both"/>
        <w:rPr>
          <w:rFonts w:ascii="Times New Roman" w:hAnsi="Times New Roman"/>
          <w:sz w:val="24"/>
          <w:szCs w:val="24"/>
        </w:rPr>
      </w:pPr>
      <w:r w:rsidRPr="00416AC4">
        <w:rPr>
          <w:rFonts w:ascii="Times New Roman" w:hAnsi="Times New Roman"/>
          <w:sz w:val="24"/>
          <w:szCs w:val="24"/>
        </w:rPr>
        <w:t>Денежно-кредитная политика выступает в качестве наиважнейшего компонента экономической политики государства. Это очень важная часть современной модели государственного регулирования национальной экономики.</w:t>
      </w:r>
    </w:p>
    <w:p w:rsidR="002C7B60" w:rsidRPr="00416AC4" w:rsidRDefault="002C7B60" w:rsidP="00DA26FD">
      <w:pPr>
        <w:pStyle w:val="ae"/>
        <w:ind w:firstLine="567"/>
        <w:jc w:val="both"/>
        <w:rPr>
          <w:rFonts w:ascii="Times New Roman" w:hAnsi="Times New Roman"/>
          <w:sz w:val="24"/>
          <w:szCs w:val="24"/>
        </w:rPr>
      </w:pPr>
      <w:r w:rsidRPr="00416AC4">
        <w:rPr>
          <w:rFonts w:ascii="Times New Roman" w:hAnsi="Times New Roman"/>
          <w:sz w:val="24"/>
          <w:szCs w:val="24"/>
        </w:rPr>
        <w:t>Денежно-кредитная политика - это совокупность экономических мер регулирования денежного обращения и кредита, направленных на обеспечение высокого экономического роста путём воздействия на уровень и динамику инфляции, инвестиционную активность и другие важнейши</w:t>
      </w:r>
      <w:r w:rsidR="00BC5311" w:rsidRPr="00416AC4">
        <w:rPr>
          <w:rFonts w:ascii="Times New Roman" w:hAnsi="Times New Roman"/>
          <w:sz w:val="24"/>
          <w:szCs w:val="24"/>
        </w:rPr>
        <w:t>е макроэкономические процессы [3</w:t>
      </w:r>
      <w:r w:rsidRPr="00416AC4">
        <w:rPr>
          <w:rFonts w:ascii="Times New Roman" w:hAnsi="Times New Roman"/>
          <w:sz w:val="24"/>
          <w:szCs w:val="24"/>
        </w:rPr>
        <w:t>, с. 100].</w:t>
      </w:r>
    </w:p>
    <w:p w:rsidR="002C7B60" w:rsidRPr="00416AC4" w:rsidRDefault="002C7B60"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Государственная денежно-кредитная политика является важнейшим методом государственного регулирования общественного воспроизводства с целью обеспечения наиболее благоприятных условий для развития рыночной экономики. Эта политика проводится Центральным банком, который регулирует денежную эмиссию, а также упрощает или обременяет выдачу кредитов коммерческим банкам. Центральный банк воздействует на частную инвестиционную активность, динамику потребительского спроса и уровень цен. </w:t>
      </w:r>
    </w:p>
    <w:p w:rsidR="00C8658F" w:rsidRPr="00416AC4" w:rsidRDefault="00C8658F" w:rsidP="00DA26FD">
      <w:pPr>
        <w:pStyle w:val="ae"/>
        <w:ind w:firstLine="567"/>
        <w:jc w:val="both"/>
        <w:rPr>
          <w:rFonts w:ascii="Times New Roman" w:hAnsi="Times New Roman"/>
          <w:sz w:val="24"/>
          <w:szCs w:val="24"/>
        </w:rPr>
      </w:pPr>
      <w:r w:rsidRPr="00416AC4">
        <w:rPr>
          <w:rFonts w:ascii="Times New Roman" w:hAnsi="Times New Roman"/>
          <w:sz w:val="24"/>
          <w:szCs w:val="24"/>
        </w:rPr>
        <w:t>Объектами регулирования, по мнению большинства исследователей, являются спрос на день</w:t>
      </w:r>
      <w:r w:rsidR="00BC5311" w:rsidRPr="00416AC4">
        <w:rPr>
          <w:rFonts w:ascii="Times New Roman" w:hAnsi="Times New Roman"/>
          <w:sz w:val="24"/>
          <w:szCs w:val="24"/>
        </w:rPr>
        <w:t>ги и предложение денег [1, 2, 5, 7</w:t>
      </w:r>
      <w:r w:rsidRPr="00416AC4">
        <w:rPr>
          <w:rFonts w:ascii="Times New Roman" w:hAnsi="Times New Roman"/>
          <w:sz w:val="24"/>
          <w:szCs w:val="24"/>
        </w:rPr>
        <w:t>]. Однако исследователь Г. Г. Фетисов относит к объекту денежно-кредитной сферы весь воспроизводственный процесс.  Спрос и предложение на денежном рынке зависят от множества факторов. В связи с этим выделяют так называемы</w:t>
      </w:r>
      <w:r w:rsidR="00BC5311" w:rsidRPr="00416AC4">
        <w:rPr>
          <w:rFonts w:ascii="Times New Roman" w:hAnsi="Times New Roman"/>
          <w:sz w:val="24"/>
          <w:szCs w:val="24"/>
        </w:rPr>
        <w:t>е производные от них объекты [7</w:t>
      </w:r>
      <w:r w:rsidRPr="00416AC4">
        <w:rPr>
          <w:rFonts w:ascii="Times New Roman" w:hAnsi="Times New Roman"/>
          <w:sz w:val="24"/>
          <w:szCs w:val="24"/>
        </w:rPr>
        <w:t>], а именно:</w:t>
      </w:r>
    </w:p>
    <w:p w:rsidR="00C8658F" w:rsidRPr="00416AC4" w:rsidRDefault="00C8658F" w:rsidP="00DA26FD">
      <w:pPr>
        <w:pStyle w:val="ae"/>
        <w:ind w:firstLine="567"/>
        <w:jc w:val="both"/>
        <w:rPr>
          <w:rFonts w:ascii="Times New Roman" w:hAnsi="Times New Roman"/>
          <w:sz w:val="24"/>
          <w:szCs w:val="24"/>
        </w:rPr>
      </w:pPr>
      <w:r w:rsidRPr="00416AC4">
        <w:rPr>
          <w:rFonts w:ascii="Times New Roman" w:hAnsi="Times New Roman"/>
          <w:sz w:val="24"/>
          <w:szCs w:val="24"/>
        </w:rPr>
        <w:t>- объем и структура денежной массы, находящейся в обороте;</w:t>
      </w:r>
    </w:p>
    <w:p w:rsidR="00C8658F" w:rsidRPr="00416AC4" w:rsidRDefault="00C8658F" w:rsidP="00DA26FD">
      <w:pPr>
        <w:pStyle w:val="ae"/>
        <w:ind w:firstLine="567"/>
        <w:jc w:val="both"/>
        <w:rPr>
          <w:rFonts w:ascii="Times New Roman" w:hAnsi="Times New Roman"/>
          <w:sz w:val="24"/>
          <w:szCs w:val="24"/>
        </w:rPr>
      </w:pPr>
      <w:r w:rsidRPr="00416AC4">
        <w:rPr>
          <w:rFonts w:ascii="Times New Roman" w:hAnsi="Times New Roman"/>
          <w:sz w:val="24"/>
          <w:szCs w:val="24"/>
        </w:rPr>
        <w:t>- скорость оборота денег и уровень насыщенности экономики деньгами;</w:t>
      </w:r>
    </w:p>
    <w:p w:rsidR="00C8658F" w:rsidRPr="00416AC4" w:rsidRDefault="00C8658F" w:rsidP="00DA26FD">
      <w:pPr>
        <w:pStyle w:val="ae"/>
        <w:ind w:firstLine="567"/>
        <w:jc w:val="both"/>
        <w:rPr>
          <w:rFonts w:ascii="Times New Roman" w:hAnsi="Times New Roman"/>
          <w:sz w:val="24"/>
          <w:szCs w:val="24"/>
        </w:rPr>
      </w:pPr>
      <w:r w:rsidRPr="00416AC4">
        <w:rPr>
          <w:rFonts w:ascii="Times New Roman" w:hAnsi="Times New Roman"/>
          <w:sz w:val="24"/>
          <w:szCs w:val="24"/>
        </w:rPr>
        <w:t>- объем кредитов, предоставленн</w:t>
      </w:r>
      <w:r w:rsidR="00410ACD" w:rsidRPr="00416AC4">
        <w:rPr>
          <w:rFonts w:ascii="Times New Roman" w:hAnsi="Times New Roman"/>
          <w:sz w:val="24"/>
          <w:szCs w:val="24"/>
        </w:rPr>
        <w:t>ых участникам денежного оборота, в том числе банковской системе;</w:t>
      </w:r>
    </w:p>
    <w:p w:rsidR="00410ACD" w:rsidRPr="00416AC4" w:rsidRDefault="00410ACD" w:rsidP="00DA26FD">
      <w:pPr>
        <w:pStyle w:val="ae"/>
        <w:ind w:firstLine="567"/>
        <w:jc w:val="both"/>
        <w:rPr>
          <w:rFonts w:ascii="Times New Roman" w:hAnsi="Times New Roman"/>
          <w:sz w:val="24"/>
          <w:szCs w:val="24"/>
        </w:rPr>
      </w:pPr>
      <w:r w:rsidRPr="00416AC4">
        <w:rPr>
          <w:rFonts w:ascii="Times New Roman" w:hAnsi="Times New Roman"/>
          <w:sz w:val="24"/>
          <w:szCs w:val="24"/>
        </w:rPr>
        <w:t>- коэффициенты денежной (банковской) мультипликации;</w:t>
      </w:r>
    </w:p>
    <w:p w:rsidR="00410ACD" w:rsidRPr="00416AC4" w:rsidRDefault="00410ACD" w:rsidP="00DA26FD">
      <w:pPr>
        <w:pStyle w:val="ae"/>
        <w:ind w:firstLine="567"/>
        <w:jc w:val="both"/>
        <w:rPr>
          <w:rFonts w:ascii="Times New Roman" w:hAnsi="Times New Roman"/>
          <w:sz w:val="24"/>
          <w:szCs w:val="24"/>
        </w:rPr>
      </w:pPr>
      <w:r w:rsidRPr="00416AC4">
        <w:rPr>
          <w:rFonts w:ascii="Times New Roman" w:hAnsi="Times New Roman"/>
          <w:sz w:val="24"/>
          <w:szCs w:val="24"/>
        </w:rPr>
        <w:t>- объем и структура денежных доходов и расходов участников денежного оборота;</w:t>
      </w:r>
    </w:p>
    <w:p w:rsidR="00410ACD" w:rsidRPr="00416AC4" w:rsidRDefault="00410ACD" w:rsidP="00DA26FD">
      <w:pPr>
        <w:pStyle w:val="ae"/>
        <w:ind w:firstLine="567"/>
        <w:jc w:val="both"/>
        <w:rPr>
          <w:rFonts w:ascii="Times New Roman" w:hAnsi="Times New Roman"/>
          <w:sz w:val="24"/>
          <w:szCs w:val="24"/>
        </w:rPr>
      </w:pPr>
      <w:r w:rsidRPr="00416AC4">
        <w:rPr>
          <w:rFonts w:ascii="Times New Roman" w:hAnsi="Times New Roman"/>
          <w:sz w:val="24"/>
          <w:szCs w:val="24"/>
        </w:rPr>
        <w:t>- курс национальной денежной единицы.</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Стратегической целью денежно-кредитной политики выступает обеспечение стабильности национальных денег на внутреннем и внешнем рынке.</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Цели денежно-кредитной политики группируются на конечные и промежуточные.</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Конечные цели денежно-кредитной политики реализуются как итог экономической политики государства в целом.</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Конечные цели:</w:t>
      </w:r>
      <w:r w:rsidRPr="00416AC4">
        <w:rPr>
          <w:rFonts w:ascii="Times New Roman" w:hAnsi="Times New Roman"/>
          <w:sz w:val="24"/>
          <w:szCs w:val="24"/>
        </w:rPr>
        <w:tab/>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-экономический рост;</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-стабильность цен;</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-полная занятость;</w:t>
      </w:r>
    </w:p>
    <w:p w:rsidR="002656F1" w:rsidRDefault="00BC5311" w:rsidP="00DA26FD">
      <w:pPr>
        <w:pStyle w:val="ae"/>
        <w:ind w:firstLine="567"/>
        <w:jc w:val="both"/>
        <w:rPr>
          <w:rFonts w:ascii="Times New Roman" w:hAnsi="Times New Roman"/>
          <w:sz w:val="24"/>
          <w:szCs w:val="24"/>
        </w:rPr>
      </w:pPr>
      <w:r w:rsidRPr="00416AC4">
        <w:rPr>
          <w:rFonts w:ascii="Times New Roman" w:hAnsi="Times New Roman"/>
          <w:sz w:val="24"/>
          <w:szCs w:val="24"/>
        </w:rPr>
        <w:t>-устойчивый платёжный баланс [3</w:t>
      </w:r>
      <w:r w:rsidR="002656F1" w:rsidRPr="00416AC4">
        <w:rPr>
          <w:rFonts w:ascii="Times New Roman" w:hAnsi="Times New Roman"/>
          <w:sz w:val="24"/>
          <w:szCs w:val="24"/>
        </w:rPr>
        <w:t>, с. 100].</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Экономический рост.</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Устремлённость на постоянный экономический рост узко связана с задачей поддержания высокого уровня занятости, поскольку при низком уровне безработицы, скорее всего, будут осуществлять инвестиции в оборудование, чтобы повысить производительность труда и </w:t>
      </w:r>
      <w:r w:rsidRPr="00416AC4">
        <w:rPr>
          <w:rFonts w:ascii="Times New Roman" w:hAnsi="Times New Roman"/>
          <w:sz w:val="24"/>
          <w:szCs w:val="24"/>
        </w:rPr>
        <w:lastRenderedPageBreak/>
        <w:t>обеспечить экономический рост. И наоборот, если уровень безработицы высок, то производителям невыгодно инвестировать в оборудование. Обе эти цели тесно связаны, но государственная политика может быть специально ориентирована на поддержание экономического роста путём стимулирования инвестиционной активности фирм или процесса формирования сбережений населения, которые обеспечивают предприятия средствами для инвестирования.</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Стабильность цен.</w:t>
      </w:r>
      <w:r w:rsidRPr="00416AC4">
        <w:rPr>
          <w:rFonts w:ascii="Times New Roman" w:hAnsi="Times New Roman"/>
          <w:sz w:val="24"/>
          <w:szCs w:val="24"/>
        </w:rPr>
        <w:tab/>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Ситуация, при которой темпы инфляции настолько низки, что не оказывают серьёзного воздействия на принятие экономических решений. Экономисты стали уделять больше внимания социальным и экономическим издержкам инфляции и вопросам стабильности уровня цен как цели экономической политики. Инфляция осложняет планирование на будущее. Также инфляция может расшатать социальную структуру: социальный конфликт может возникнуть в результате того, что каждая социальная группа начнёт конкурировать с другими в борьбе за повышение заработной платы, компенсирующее рост уровня цен.</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Полная занятость.</w:t>
      </w:r>
      <w:r w:rsidRPr="00416AC4">
        <w:rPr>
          <w:rFonts w:ascii="Times New Roman" w:hAnsi="Times New Roman"/>
          <w:sz w:val="24"/>
          <w:szCs w:val="24"/>
        </w:rPr>
        <w:tab/>
      </w:r>
      <w:r w:rsidRPr="00416AC4">
        <w:rPr>
          <w:rFonts w:ascii="Times New Roman" w:hAnsi="Times New Roman"/>
          <w:sz w:val="24"/>
          <w:szCs w:val="24"/>
        </w:rPr>
        <w:tab/>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Состояние наибольшей занятости трудовых мест рабочими при минимальной безработице. Полная занятость подразумевает удовлетворение потребности в работе трудоспособным населением. В экономике при этом должно наблюдаться низкий уровень или отсутствие постоянной безработицы. Полная занятость является позитивным параметром, который характеризует экономическую здоровую ситуацию. Но полная занятость не означает, что всё трудоспособное население в трудоспособном возрасте должно быть обязательно занятым.</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Устойчивый платёжный баланс.</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Результат внешнеэкономических операций, совершаемых между резидентами и нерезидентами. В платёжном балансе регистрируются изменения в объёме активов и обязательств, которые произошли в результате осуществления операций. В платёжном балансе отражаются операция, как сопровождаемые фактическими платежами, так и не предполагающие денежных платежей. Счёт текущих операций охватывает любые внешнеэкономические операции с экономическими ценностями. К основным классификационным разделам данного счёта относятся: товары, услуги, первичные и вторичные доходы. При составлении платёжного баланса используется принятый в бухгалтерском учёте принцип двойной записи. Каждая операция отражается по дебету и кредиту счёта, а итоговая сумма дебета должна равняться итоговой сумме кредита.</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Промежуточными целями является регулирование денежно-кредитной системы, то есть ключевые переменные в экономической системе на годичных временных интервалах. </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Промежуточные цели:</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w:t>
      </w:r>
      <w:r w:rsidR="00E93AF8" w:rsidRPr="00416AC4">
        <w:rPr>
          <w:rFonts w:ascii="Times New Roman" w:hAnsi="Times New Roman"/>
          <w:sz w:val="24"/>
          <w:szCs w:val="24"/>
        </w:rPr>
        <w:t xml:space="preserve"> </w:t>
      </w:r>
      <w:r w:rsidRPr="00416AC4">
        <w:rPr>
          <w:rFonts w:ascii="Times New Roman" w:hAnsi="Times New Roman"/>
          <w:sz w:val="24"/>
          <w:szCs w:val="24"/>
        </w:rPr>
        <w:t>ставка процента;</w:t>
      </w:r>
    </w:p>
    <w:p w:rsidR="002656F1" w:rsidRPr="00416AC4"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w:t>
      </w:r>
      <w:r w:rsidR="00E93AF8" w:rsidRPr="00416AC4">
        <w:rPr>
          <w:rFonts w:ascii="Times New Roman" w:hAnsi="Times New Roman"/>
          <w:sz w:val="24"/>
          <w:szCs w:val="24"/>
        </w:rPr>
        <w:t xml:space="preserve"> </w:t>
      </w:r>
      <w:r w:rsidRPr="00416AC4">
        <w:rPr>
          <w:rFonts w:ascii="Times New Roman" w:hAnsi="Times New Roman"/>
          <w:sz w:val="24"/>
          <w:szCs w:val="24"/>
        </w:rPr>
        <w:t>денежная масса;</w:t>
      </w:r>
    </w:p>
    <w:p w:rsidR="002656F1" w:rsidRDefault="002656F1" w:rsidP="00DA26FD">
      <w:pPr>
        <w:pStyle w:val="ae"/>
        <w:ind w:firstLine="567"/>
        <w:jc w:val="both"/>
        <w:rPr>
          <w:rFonts w:ascii="Times New Roman" w:hAnsi="Times New Roman"/>
          <w:sz w:val="24"/>
          <w:szCs w:val="24"/>
        </w:rPr>
      </w:pPr>
      <w:r w:rsidRPr="00416AC4">
        <w:rPr>
          <w:rFonts w:ascii="Times New Roman" w:hAnsi="Times New Roman"/>
          <w:sz w:val="24"/>
          <w:szCs w:val="24"/>
        </w:rPr>
        <w:t>-</w:t>
      </w:r>
      <w:r w:rsidR="00E93AF8" w:rsidRPr="00416AC4">
        <w:rPr>
          <w:rFonts w:ascii="Times New Roman" w:hAnsi="Times New Roman"/>
          <w:sz w:val="24"/>
          <w:szCs w:val="24"/>
        </w:rPr>
        <w:t xml:space="preserve"> </w:t>
      </w:r>
      <w:r w:rsidRPr="00416AC4">
        <w:rPr>
          <w:rFonts w:ascii="Times New Roman" w:hAnsi="Times New Roman"/>
          <w:sz w:val="24"/>
          <w:szCs w:val="24"/>
        </w:rPr>
        <w:t>обменный курс.</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Промежуточные цели:</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 процентная ставка;</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-денежная масса;</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-обменный курс.</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Процентная ставка.</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Поддержание стабильности процентных ставок необходимо потому, что их колебания тоже могут вносить неопределённость в экономике и ослаблять планирование будущего. Колебания ставок процента, влияющие на готовность потребителей приобрести что-нибудь, базируют трудности как для потребителей, так и для организаций.</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Денежная масса.</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Совокупность всех денежных средств, находящихся в обращении в национальном хозяйстве в наличной и безналичной формах. Эффективность денежно-кредитного регулирования определяется его результативностью в регулировании экономических </w:t>
      </w:r>
      <w:r w:rsidRPr="00416AC4">
        <w:rPr>
          <w:rFonts w:ascii="Times New Roman" w:hAnsi="Times New Roman"/>
          <w:sz w:val="24"/>
          <w:szCs w:val="24"/>
        </w:rPr>
        <w:lastRenderedPageBreak/>
        <w:t>процессов. Поддержание экономически обоснованного соотношения между денежной массой в обращении и массой реализуемых товаров и обеспечение эластичности денежного обращения приводит к стабильности покупательной способности денег.</w:t>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Обменный курс.</w:t>
      </w:r>
      <w:r w:rsidRPr="00416AC4">
        <w:rPr>
          <w:rFonts w:ascii="Times New Roman" w:hAnsi="Times New Roman"/>
          <w:sz w:val="24"/>
          <w:szCs w:val="24"/>
        </w:rPr>
        <w:tab/>
      </w:r>
    </w:p>
    <w:p w:rsidR="00416AC4" w:rsidRPr="00416AC4" w:rsidRDefault="00416AC4" w:rsidP="00DA26FD">
      <w:pPr>
        <w:pStyle w:val="ae"/>
        <w:ind w:firstLine="567"/>
        <w:jc w:val="both"/>
        <w:rPr>
          <w:rFonts w:ascii="Times New Roman" w:hAnsi="Times New Roman"/>
          <w:sz w:val="24"/>
          <w:szCs w:val="24"/>
        </w:rPr>
      </w:pPr>
      <w:r w:rsidRPr="00416AC4">
        <w:rPr>
          <w:rFonts w:ascii="Times New Roman" w:hAnsi="Times New Roman"/>
          <w:sz w:val="24"/>
          <w:szCs w:val="24"/>
        </w:rPr>
        <w:t>Соответствие свободно конвертируемой валюты различных государств. Фиксация обменного курса вычитает инфляционные надежды финансовых агентов если соблюдать условие доверия к правительству- фиксированный курс разрешает высчитать ближайшие потери производства и вероятную прибыль с большей точностью, нежели в критериях свободно плавающего обменного курса. Также фиксация обменного курса дисциплинирует монетарные власти, побуждая их показывать выдержанность в отношении расширения валютного предложения и наращивания муниципальных затрат в критериях собираемости налогов.</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В качестве стратегических задач денежно-кредитной политики выступают:</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-достижение и сохранение на нужном уровне склонности населения к сбережениям в национальной банковской системе;</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-поддержание долговременного и устойчивого экономического роста цивилизованными средствами;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-поддержание на повышенном уровне надёжности национальной банковской системы;</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-сохранение доверия населения к национальной банковской системе. </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Обозначение главной цели и перечисления стратегических задач связано с тем непринуждённым влиянием, которое денежно-кредитная сфера оказывает на основные макроэкономические показатели.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Тактические задачи (промежуточные цели) денежно-кредитной политики чаще всего связываются с состоянием самой денежно-кредитной сферы, с использованием точных денежно-кредитных рычагов влияния на экономические процессы. Конкретные задачи тактического плана вытекают из состояния платежного и торгового баланса страны.</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Инструменты денежно-кредитной политики - это совокупность монетарных мероприятий, используемых центральным банком для достижения намеченных экономических результатов.</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Различают прямые (административные) и косвенные (рыночные) инструменты денежно-кредитной политики. </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К прямым относятся:</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-директивы;</w:t>
      </w:r>
    </w:p>
    <w:p w:rsidR="00CA2609" w:rsidRPr="00416AC4" w:rsidRDefault="00CA2609" w:rsidP="00DA26FD">
      <w:pPr>
        <w:pStyle w:val="ae"/>
        <w:ind w:firstLine="567"/>
        <w:jc w:val="both"/>
        <w:rPr>
          <w:rFonts w:ascii="Times New Roman" w:hAnsi="Times New Roman"/>
          <w:sz w:val="24"/>
          <w:szCs w:val="24"/>
        </w:rPr>
      </w:pPr>
      <w:r w:rsidRPr="00416AC4">
        <w:rPr>
          <w:rFonts w:ascii="Times New Roman" w:hAnsi="Times New Roman"/>
          <w:sz w:val="24"/>
          <w:szCs w:val="24"/>
        </w:rPr>
        <w:t>- указы, законы страны;</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-инструкции и предписания, которые ограничивают сферу денежно-кредитной политики.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К косвенным относятся:</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-инструменты, которые действуют на денежно-кредитную сферу через создание условий деятельности рынка капиталов и денежного рынка. </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Косвенные инструменты отличаются большей эластичностью, однако последствия их воздействия появляются не сразу и не всегда добиваются своей выбранной цели. </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Основными инструментами денежно-кредитной политики являются:</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-изменение нормы обязательных резервов;</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-изменение учётной ставки;</w:t>
      </w:r>
    </w:p>
    <w:p w:rsidR="00E93AF8" w:rsidRPr="00416AC4" w:rsidRDefault="00BC5311" w:rsidP="00DA26FD">
      <w:pPr>
        <w:pStyle w:val="ae"/>
        <w:ind w:firstLine="567"/>
        <w:jc w:val="both"/>
        <w:rPr>
          <w:rFonts w:ascii="Times New Roman" w:hAnsi="Times New Roman"/>
          <w:sz w:val="24"/>
          <w:szCs w:val="24"/>
        </w:rPr>
      </w:pPr>
      <w:r w:rsidRPr="00416AC4">
        <w:rPr>
          <w:rFonts w:ascii="Times New Roman" w:hAnsi="Times New Roman"/>
          <w:sz w:val="24"/>
          <w:szCs w:val="24"/>
        </w:rPr>
        <w:t>-операции на открытом рынке [4</w:t>
      </w:r>
      <w:r w:rsidR="00E93AF8" w:rsidRPr="00416AC4">
        <w:rPr>
          <w:rFonts w:ascii="Times New Roman" w:hAnsi="Times New Roman"/>
          <w:sz w:val="24"/>
          <w:szCs w:val="24"/>
        </w:rPr>
        <w:t>, с. 147].</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Опираясь на рассмотренные инструменты, Центральный банк реализует цели денежно-кредитной политики- стабилизацию процентной ставки и денежной массы. </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Существуют различные виды денежно-кредитной политики, и у каждого государства есть возможность выбора нужного и конкретного вида политики с учётом состояния экономики в стране, особенностей и характерностей развития производства, степени занятости населения и так далее.</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Виды денежно-кредитной политики: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lastRenderedPageBreak/>
        <w:t>-жёсткая монетарная политика;</w:t>
      </w:r>
      <w:r w:rsidRPr="00416AC4">
        <w:rPr>
          <w:rFonts w:ascii="Times New Roman" w:hAnsi="Times New Roman"/>
          <w:sz w:val="24"/>
          <w:szCs w:val="24"/>
        </w:rPr>
        <w:tab/>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-гибкая монетарная политика;</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-стимулирующая монетарная политика;</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-сдерживающая монетарная политика.</w:t>
      </w:r>
    </w:p>
    <w:p w:rsidR="00E93AF8" w:rsidRPr="00416AC4" w:rsidRDefault="00E93AF8" w:rsidP="00DA26FD">
      <w:pPr>
        <w:pStyle w:val="ae"/>
        <w:ind w:firstLine="567"/>
        <w:jc w:val="both"/>
        <w:rPr>
          <w:rFonts w:ascii="Times New Roman" w:hAnsi="Times New Roman"/>
          <w:sz w:val="24"/>
          <w:szCs w:val="24"/>
        </w:rPr>
      </w:pPr>
      <w:bookmarkStart w:id="0" w:name="_Toc9186878"/>
      <w:r w:rsidRPr="00416AC4">
        <w:rPr>
          <w:rFonts w:ascii="Times New Roman" w:hAnsi="Times New Roman"/>
          <w:sz w:val="24"/>
          <w:szCs w:val="24"/>
        </w:rPr>
        <w:t>Жёсткая монетарная политика.</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Она направлена на то, чтобы ввести различные ограничения, удержать рост денег, чтобы удалось сдержать инфляционные процессы. В рамках жёсткой монетарной политики Центральным банком выполняются следующие операции: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1) Продаются государственные ценные банки;</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2) Увеличивается предел банковского резервирования, чтобы сократить рост денежной массы;</w:t>
      </w:r>
    </w:p>
    <w:p w:rsidR="00DB38DA"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3) Повышается ставка по проценту, что останавливает заимствования у Центрального банка и ограничивает выдачу кредитов населению, как последствие, таким методом подавляется и притупляется</w:t>
      </w:r>
      <w:r w:rsidR="00BC5311" w:rsidRPr="00416AC4">
        <w:rPr>
          <w:rFonts w:ascii="Times New Roman" w:hAnsi="Times New Roman"/>
          <w:sz w:val="24"/>
          <w:szCs w:val="24"/>
        </w:rPr>
        <w:t xml:space="preserve"> рост объёмов денежной массы [6</w:t>
      </w:r>
      <w:r w:rsidRPr="00416AC4">
        <w:rPr>
          <w:rFonts w:ascii="Times New Roman" w:hAnsi="Times New Roman"/>
          <w:sz w:val="24"/>
          <w:szCs w:val="24"/>
        </w:rPr>
        <w:t>].</w:t>
      </w:r>
    </w:p>
    <w:p w:rsidR="00E93AF8" w:rsidRPr="00416AC4" w:rsidRDefault="00E93AF8" w:rsidP="00DA26FD">
      <w:pPr>
        <w:pStyle w:val="ae"/>
        <w:ind w:firstLine="567"/>
        <w:jc w:val="both"/>
        <w:rPr>
          <w:rFonts w:ascii="Times New Roman" w:hAnsi="Times New Roman"/>
          <w:sz w:val="24"/>
          <w:szCs w:val="24"/>
        </w:rPr>
      </w:pPr>
      <w:r w:rsidRPr="00416AC4">
        <w:rPr>
          <w:rFonts w:ascii="Times New Roman" w:hAnsi="Times New Roman"/>
          <w:sz w:val="24"/>
          <w:szCs w:val="24"/>
        </w:rPr>
        <w:t>Особенность гибкой монетарной политики в том, что она стимулирует различные отрасли экономики, регулируя процентные ставки и увеличивая объёмы денежной массы. Центральным банком при этом проводится целый ряд операций:</w:t>
      </w:r>
      <w:r w:rsidR="00692AE9" w:rsidRPr="00416AC4">
        <w:rPr>
          <w:rFonts w:ascii="Times New Roman" w:hAnsi="Times New Roman"/>
          <w:sz w:val="24"/>
          <w:szCs w:val="24"/>
        </w:rPr>
        <w:t xml:space="preserve"> приобретение государственных ценных бумаг, понижение нормы банковского резервирования, снижение учетной ставки.</w:t>
      </w:r>
    </w:p>
    <w:p w:rsidR="00692AE9" w:rsidRPr="00416AC4" w:rsidRDefault="00692AE9"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Стимулирующая монетарная политика направлена на то, чтобы снизить учётную ставку, нормированную величину резервных требование, кроме того, такая политика связана со скупкой государственных активов на открытом рынке. Такие действия принимаются государством в период, когда в экономике наблюдается общий спад. Задача политики- попытаться остановить общий рост безработицы в стране, увеличивая деловую активность населения.  </w:t>
      </w:r>
    </w:p>
    <w:p w:rsidR="00692AE9" w:rsidRPr="00416AC4" w:rsidRDefault="00692AE9"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Сдерживающая монетарная политика </w:t>
      </w:r>
      <w:r w:rsidR="00CA2609" w:rsidRPr="00416AC4">
        <w:rPr>
          <w:rFonts w:ascii="Times New Roman" w:hAnsi="Times New Roman"/>
          <w:sz w:val="24"/>
          <w:szCs w:val="24"/>
        </w:rPr>
        <w:t xml:space="preserve">проводит обратные </w:t>
      </w:r>
      <w:proofErr w:type="spellStart"/>
      <w:r w:rsidR="00CA2609" w:rsidRPr="00416AC4">
        <w:rPr>
          <w:rFonts w:ascii="Times New Roman" w:hAnsi="Times New Roman"/>
          <w:sz w:val="24"/>
          <w:szCs w:val="24"/>
        </w:rPr>
        <w:t>обратные</w:t>
      </w:r>
      <w:proofErr w:type="spellEnd"/>
      <w:r w:rsidR="00CA2609" w:rsidRPr="00416AC4">
        <w:rPr>
          <w:rFonts w:ascii="Times New Roman" w:hAnsi="Times New Roman"/>
          <w:sz w:val="24"/>
          <w:szCs w:val="24"/>
        </w:rPr>
        <w:t xml:space="preserve"> действия, и её задача - снизить общие предложения денег. Как заключение, денежно-кредитная политика Центрального банка выражается в продаже государственных активов, пересмотре нормированной величины резервных требований, которые должны быть увеличены и в увеличении учётной ставки. Такая политика проводится в то время, когда есть необходимость и нужда в сдерживании инфляции и снижении деловой активности.</w:t>
      </w:r>
    </w:p>
    <w:p w:rsidR="00CA2609" w:rsidRPr="00416AC4" w:rsidRDefault="00CA2609" w:rsidP="00DA26FD">
      <w:pPr>
        <w:pStyle w:val="ae"/>
        <w:ind w:firstLine="567"/>
        <w:jc w:val="both"/>
        <w:rPr>
          <w:rFonts w:ascii="Times New Roman" w:hAnsi="Times New Roman"/>
          <w:sz w:val="24"/>
          <w:szCs w:val="24"/>
        </w:rPr>
      </w:pPr>
      <w:r w:rsidRPr="00416AC4">
        <w:rPr>
          <w:rFonts w:ascii="Times New Roman" w:hAnsi="Times New Roman"/>
          <w:sz w:val="24"/>
          <w:szCs w:val="24"/>
        </w:rPr>
        <w:t xml:space="preserve">Денежно-кредитная политика призвана стимулировать деловую активность в условиях депрессии и подавлять экономические процессы </w:t>
      </w:r>
      <w:proofErr w:type="gramStart"/>
      <w:r w:rsidRPr="00416AC4">
        <w:rPr>
          <w:rFonts w:ascii="Times New Roman" w:hAnsi="Times New Roman"/>
          <w:sz w:val="24"/>
          <w:szCs w:val="24"/>
        </w:rPr>
        <w:t>за "перегрева"</w:t>
      </w:r>
      <w:proofErr w:type="gramEnd"/>
      <w:r w:rsidRPr="00416AC4">
        <w:rPr>
          <w:rFonts w:ascii="Times New Roman" w:hAnsi="Times New Roman"/>
          <w:sz w:val="24"/>
          <w:szCs w:val="24"/>
        </w:rPr>
        <w:t xml:space="preserve"> конъюнктуры, хотя реальное достижение этого является делом слишком сложным.</w:t>
      </w:r>
    </w:p>
    <w:p w:rsidR="00CA2609" w:rsidRPr="00416AC4" w:rsidRDefault="00CA2609" w:rsidP="00DA26FD">
      <w:pPr>
        <w:pStyle w:val="ae"/>
        <w:ind w:firstLine="567"/>
        <w:jc w:val="both"/>
        <w:rPr>
          <w:rFonts w:ascii="Times New Roman" w:hAnsi="Times New Roman"/>
          <w:sz w:val="24"/>
          <w:szCs w:val="24"/>
        </w:rPr>
      </w:pPr>
      <w:r w:rsidRPr="00416AC4">
        <w:rPr>
          <w:rFonts w:ascii="Times New Roman" w:hAnsi="Times New Roman"/>
          <w:sz w:val="24"/>
          <w:szCs w:val="24"/>
        </w:rPr>
        <w:t>В общем виде задача монетарной политики заключается в создании условий, при которых экономические агенты, реализуя свободу выбора, осуществляли действия, совпадающие с целями экономической политики государства.</w:t>
      </w:r>
    </w:p>
    <w:p w:rsidR="00BC5311" w:rsidRPr="00416AC4" w:rsidRDefault="00CA2609" w:rsidP="00AB1201">
      <w:pPr>
        <w:pStyle w:val="ae"/>
        <w:spacing w:after="240"/>
        <w:ind w:firstLine="567"/>
        <w:jc w:val="both"/>
        <w:rPr>
          <w:rFonts w:ascii="Times New Roman" w:hAnsi="Times New Roman"/>
          <w:sz w:val="24"/>
          <w:szCs w:val="24"/>
        </w:rPr>
      </w:pPr>
      <w:r w:rsidRPr="00416AC4">
        <w:rPr>
          <w:rFonts w:ascii="Times New Roman" w:hAnsi="Times New Roman"/>
          <w:sz w:val="24"/>
          <w:szCs w:val="24"/>
        </w:rPr>
        <w:t xml:space="preserve">Таким образом, анализ теоретических положений в области структурных элементов денежно-кредитной политики позволит систематизировать наиболее важные положения, уточнить классификацию целей, задач, видов, а также инструментов денежно-кредитной политики. </w:t>
      </w:r>
    </w:p>
    <w:p w:rsidR="00116EA6" w:rsidRPr="00AB1201" w:rsidRDefault="00116EA6" w:rsidP="00AB1201">
      <w:pPr>
        <w:pStyle w:val="ae"/>
        <w:spacing w:after="240"/>
        <w:ind w:firstLine="709"/>
        <w:jc w:val="both"/>
        <w:rPr>
          <w:rFonts w:ascii="Times New Roman" w:hAnsi="Times New Roman"/>
          <w:b/>
          <w:sz w:val="24"/>
          <w:szCs w:val="24"/>
        </w:rPr>
      </w:pPr>
    </w:p>
    <w:p w:rsidR="00D255FE" w:rsidRPr="00AB1201" w:rsidRDefault="00D255FE" w:rsidP="00AB1201">
      <w:pPr>
        <w:pStyle w:val="ae"/>
        <w:spacing w:after="240" w:line="360" w:lineRule="auto"/>
        <w:ind w:firstLine="567"/>
        <w:jc w:val="center"/>
        <w:rPr>
          <w:rFonts w:ascii="Times New Roman" w:hAnsi="Times New Roman"/>
          <w:b/>
          <w:sz w:val="24"/>
          <w:szCs w:val="30"/>
        </w:rPr>
      </w:pPr>
      <w:r w:rsidRPr="00AB1201">
        <w:rPr>
          <w:rFonts w:ascii="Times New Roman" w:hAnsi="Times New Roman"/>
          <w:b/>
          <w:sz w:val="24"/>
          <w:szCs w:val="30"/>
        </w:rPr>
        <w:t>СПИСОК ИСПОЛЬЗОВАННЫХ ИСТОЧНИКОВ</w:t>
      </w:r>
      <w:bookmarkEnd w:id="0"/>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bookmarkStart w:id="1" w:name="_Ref37607569"/>
      <w:r>
        <w:rPr>
          <w:rFonts w:ascii="Times New Roman" w:hAnsi="Times New Roman" w:cs="Times New Roman"/>
          <w:color w:val="000000" w:themeColor="text1"/>
          <w:sz w:val="24"/>
          <w:szCs w:val="28"/>
          <w:shd w:val="clear" w:color="auto" w:fill="FFFFFF"/>
        </w:rPr>
        <w:t>1</w:t>
      </w:r>
      <w:r w:rsidR="00536D89">
        <w:rPr>
          <w:rFonts w:ascii="Times New Roman" w:hAnsi="Times New Roman" w:cs="Times New Roman"/>
          <w:color w:val="000000" w:themeColor="text1"/>
          <w:sz w:val="24"/>
          <w:szCs w:val="28"/>
          <w:shd w:val="clear" w:color="auto" w:fill="FFFFFF"/>
        </w:rPr>
        <w:t xml:space="preserve">. </w:t>
      </w:r>
      <w:bookmarkEnd w:id="1"/>
      <w:r w:rsidRPr="00BC5311">
        <w:rPr>
          <w:rFonts w:ascii="Times New Roman" w:hAnsi="Times New Roman" w:cs="Times New Roman"/>
          <w:color w:val="000000" w:themeColor="text1"/>
          <w:sz w:val="24"/>
          <w:szCs w:val="28"/>
          <w:shd w:val="clear" w:color="auto" w:fill="FFFFFF"/>
        </w:rPr>
        <w:t>Бабич А. М., Павлова Л. Н. Государственные муниципальные финансы. М.: Финансы, ЮНИТИ. 2002. С. 687.</w:t>
      </w:r>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t xml:space="preserve">2. </w:t>
      </w:r>
      <w:r w:rsidRPr="00BC5311">
        <w:rPr>
          <w:rFonts w:ascii="Times New Roman" w:hAnsi="Times New Roman" w:cs="Times New Roman"/>
          <w:color w:val="000000" w:themeColor="text1"/>
          <w:sz w:val="24"/>
          <w:szCs w:val="28"/>
          <w:shd w:val="clear" w:color="auto" w:fill="FFFFFF"/>
        </w:rPr>
        <w:t xml:space="preserve">Большой экономический словарь / под ред. А. Н. </w:t>
      </w:r>
      <w:proofErr w:type="spellStart"/>
      <w:r w:rsidRPr="00BC5311">
        <w:rPr>
          <w:rFonts w:ascii="Times New Roman" w:hAnsi="Times New Roman" w:cs="Times New Roman"/>
          <w:color w:val="000000" w:themeColor="text1"/>
          <w:sz w:val="24"/>
          <w:szCs w:val="28"/>
          <w:shd w:val="clear" w:color="auto" w:fill="FFFFFF"/>
        </w:rPr>
        <w:t>Азрилияна</w:t>
      </w:r>
      <w:proofErr w:type="spellEnd"/>
      <w:r w:rsidRPr="00BC5311">
        <w:rPr>
          <w:rFonts w:ascii="Times New Roman" w:hAnsi="Times New Roman" w:cs="Times New Roman"/>
          <w:color w:val="000000" w:themeColor="text1"/>
          <w:sz w:val="24"/>
          <w:szCs w:val="28"/>
          <w:shd w:val="clear" w:color="auto" w:fill="FFFFFF"/>
        </w:rPr>
        <w:t>. М.: Институт новой экономики. 2002.</w:t>
      </w:r>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lastRenderedPageBreak/>
        <w:t xml:space="preserve">3. </w:t>
      </w:r>
      <w:r w:rsidRPr="00BC5311">
        <w:rPr>
          <w:rFonts w:ascii="Times New Roman" w:hAnsi="Times New Roman" w:cs="Times New Roman"/>
          <w:color w:val="000000" w:themeColor="text1"/>
          <w:sz w:val="24"/>
          <w:szCs w:val="28"/>
          <w:shd w:val="clear" w:color="auto" w:fill="FFFFFF"/>
        </w:rPr>
        <w:t xml:space="preserve">Воробьёв, В.А. Макроэкономика: учеб. пособие / В.А. Воробьёв, </w:t>
      </w:r>
      <w:proofErr w:type="spellStart"/>
      <w:r w:rsidRPr="00BC5311">
        <w:rPr>
          <w:rFonts w:ascii="Times New Roman" w:hAnsi="Times New Roman" w:cs="Times New Roman"/>
          <w:color w:val="000000" w:themeColor="text1"/>
          <w:sz w:val="24"/>
          <w:szCs w:val="28"/>
          <w:shd w:val="clear" w:color="auto" w:fill="FFFFFF"/>
        </w:rPr>
        <w:t>А.В.Бондарь</w:t>
      </w:r>
      <w:proofErr w:type="spellEnd"/>
      <w:r w:rsidRPr="00BC5311">
        <w:rPr>
          <w:rFonts w:ascii="Times New Roman" w:hAnsi="Times New Roman" w:cs="Times New Roman"/>
          <w:color w:val="000000" w:themeColor="text1"/>
          <w:sz w:val="24"/>
          <w:szCs w:val="28"/>
          <w:shd w:val="clear" w:color="auto" w:fill="FFFFFF"/>
        </w:rPr>
        <w:t xml:space="preserve">, </w:t>
      </w:r>
      <w:proofErr w:type="spellStart"/>
      <w:r w:rsidRPr="00BC5311">
        <w:rPr>
          <w:rFonts w:ascii="Times New Roman" w:hAnsi="Times New Roman" w:cs="Times New Roman"/>
          <w:color w:val="000000" w:themeColor="text1"/>
          <w:sz w:val="24"/>
          <w:szCs w:val="28"/>
          <w:shd w:val="clear" w:color="auto" w:fill="FFFFFF"/>
        </w:rPr>
        <w:t>Л.Н.Новикова</w:t>
      </w:r>
      <w:proofErr w:type="spellEnd"/>
      <w:r w:rsidRPr="00BC5311">
        <w:rPr>
          <w:rFonts w:ascii="Times New Roman" w:hAnsi="Times New Roman" w:cs="Times New Roman"/>
          <w:color w:val="000000" w:themeColor="text1"/>
          <w:sz w:val="24"/>
          <w:szCs w:val="28"/>
          <w:shd w:val="clear" w:color="auto" w:fill="FFFFFF"/>
        </w:rPr>
        <w:t>.  – Минск: БГЭУ, 2009. – 270 с.</w:t>
      </w:r>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t xml:space="preserve">4. </w:t>
      </w:r>
      <w:r w:rsidRPr="00BC5311">
        <w:rPr>
          <w:rFonts w:ascii="Times New Roman" w:hAnsi="Times New Roman" w:cs="Times New Roman"/>
          <w:color w:val="000000" w:themeColor="text1"/>
          <w:sz w:val="24"/>
          <w:szCs w:val="28"/>
          <w:shd w:val="clear" w:color="auto" w:fill="FFFFFF"/>
        </w:rPr>
        <w:t>Головачев, А.С. Макроэкономика: курс лекций / А.С. Головачев, И.В. Головачева. – Минск: Академия управления при Президенте Республики Беларусь, 2003. – 256 с.</w:t>
      </w:r>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t xml:space="preserve">5. </w:t>
      </w:r>
      <w:r w:rsidRPr="00BC5311">
        <w:rPr>
          <w:rFonts w:ascii="Times New Roman" w:hAnsi="Times New Roman" w:cs="Times New Roman"/>
          <w:color w:val="000000" w:themeColor="text1"/>
          <w:sz w:val="24"/>
          <w:szCs w:val="28"/>
          <w:shd w:val="clear" w:color="auto" w:fill="FFFFFF"/>
        </w:rPr>
        <w:t xml:space="preserve">Деньги. Кредит. Банки / под. ред. О. И. Лаврушина. М.: </w:t>
      </w:r>
      <w:proofErr w:type="spellStart"/>
      <w:r w:rsidRPr="00BC5311">
        <w:rPr>
          <w:rFonts w:ascii="Times New Roman" w:hAnsi="Times New Roman" w:cs="Times New Roman"/>
          <w:color w:val="000000" w:themeColor="text1"/>
          <w:sz w:val="24"/>
          <w:szCs w:val="28"/>
          <w:shd w:val="clear" w:color="auto" w:fill="FFFFFF"/>
        </w:rPr>
        <w:t>КноРус</w:t>
      </w:r>
      <w:proofErr w:type="spellEnd"/>
      <w:r w:rsidRPr="00BC5311">
        <w:rPr>
          <w:rFonts w:ascii="Times New Roman" w:hAnsi="Times New Roman" w:cs="Times New Roman"/>
          <w:color w:val="000000" w:themeColor="text1"/>
          <w:sz w:val="24"/>
          <w:szCs w:val="28"/>
          <w:shd w:val="clear" w:color="auto" w:fill="FFFFFF"/>
        </w:rPr>
        <w:t>. 2010.</w:t>
      </w:r>
    </w:p>
    <w:p w:rsidR="00BC5311" w:rsidRPr="00BC5311"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t xml:space="preserve">6. </w:t>
      </w:r>
      <w:r w:rsidRPr="00BC5311">
        <w:rPr>
          <w:rFonts w:ascii="Times New Roman" w:hAnsi="Times New Roman" w:cs="Times New Roman"/>
          <w:color w:val="000000" w:themeColor="text1"/>
          <w:sz w:val="24"/>
          <w:szCs w:val="28"/>
          <w:shd w:val="clear" w:color="auto" w:fill="FFFFFF"/>
        </w:rPr>
        <w:t>Инструменты и виды денежно-кредитной политики [Электронный ресурс]. - Режим доступа: http://fb.ru. - Дата доступа: 10.05.2020.</w:t>
      </w:r>
    </w:p>
    <w:p w:rsidR="00536D89" w:rsidRDefault="00BC5311" w:rsidP="00116EA6">
      <w:pPr>
        <w:spacing w:after="0" w:line="360" w:lineRule="auto"/>
        <w:ind w:firstLine="567"/>
        <w:jc w:val="both"/>
        <w:rPr>
          <w:rFonts w:ascii="Times New Roman" w:hAnsi="Times New Roman" w:cs="Times New Roman"/>
          <w:color w:val="000000" w:themeColor="text1"/>
          <w:sz w:val="24"/>
          <w:szCs w:val="28"/>
          <w:shd w:val="clear" w:color="auto" w:fill="FFFFFF"/>
        </w:rPr>
      </w:pPr>
      <w:r>
        <w:rPr>
          <w:rFonts w:ascii="Times New Roman" w:hAnsi="Times New Roman" w:cs="Times New Roman"/>
          <w:color w:val="000000" w:themeColor="text1"/>
          <w:sz w:val="24"/>
          <w:szCs w:val="28"/>
          <w:shd w:val="clear" w:color="auto" w:fill="FFFFFF"/>
        </w:rPr>
        <w:t xml:space="preserve">7. </w:t>
      </w:r>
      <w:r w:rsidRPr="00BC5311">
        <w:rPr>
          <w:rFonts w:ascii="Times New Roman" w:hAnsi="Times New Roman" w:cs="Times New Roman"/>
          <w:color w:val="000000" w:themeColor="text1"/>
          <w:sz w:val="24"/>
          <w:szCs w:val="28"/>
          <w:shd w:val="clear" w:color="auto" w:fill="FFFFFF"/>
        </w:rPr>
        <w:t>Фетисов Г. Г. Монетарная политика и развитие денежно-кредитной политики системы России в условиях глобализации: национальный и региональный аспекты. М.: Изд. «Экономика». 2006.</w:t>
      </w:r>
    </w:p>
    <w:p w:rsidR="00DA26FD" w:rsidRDefault="00DA26FD" w:rsidP="00116EA6">
      <w:pPr>
        <w:spacing w:after="0" w:line="360" w:lineRule="auto"/>
        <w:ind w:firstLine="567"/>
        <w:jc w:val="both"/>
        <w:rPr>
          <w:rFonts w:ascii="Times New Roman" w:hAnsi="Times New Roman" w:cs="Times New Roman"/>
          <w:sz w:val="24"/>
          <w:szCs w:val="24"/>
        </w:rPr>
      </w:pPr>
    </w:p>
    <w:p w:rsidR="00AF2E8A" w:rsidRDefault="00D17F57" w:rsidP="00DA26FD">
      <w:pPr>
        <w:spacing w:line="240" w:lineRule="auto"/>
        <w:ind w:firstLine="567"/>
        <w:jc w:val="both"/>
        <w:rPr>
          <w:rFonts w:ascii="Times New Roman" w:hAnsi="Times New Roman" w:cs="Times New Roman"/>
          <w:sz w:val="24"/>
        </w:rPr>
      </w:pPr>
      <w:proofErr w:type="spellStart"/>
      <w:r>
        <w:rPr>
          <w:rFonts w:ascii="Times New Roman" w:hAnsi="Times New Roman" w:cs="Times New Roman"/>
          <w:sz w:val="24"/>
          <w:szCs w:val="24"/>
        </w:rPr>
        <w:t>Аплевич</w:t>
      </w:r>
      <w:proofErr w:type="spellEnd"/>
      <w:r>
        <w:rPr>
          <w:rFonts w:ascii="Times New Roman" w:hAnsi="Times New Roman" w:cs="Times New Roman"/>
          <w:sz w:val="24"/>
          <w:szCs w:val="24"/>
        </w:rPr>
        <w:t xml:space="preserve"> Татьяна Александровна</w:t>
      </w:r>
      <w:r w:rsidR="00AF2E8A">
        <w:rPr>
          <w:rFonts w:ascii="Times New Roman" w:hAnsi="Times New Roman" w:cs="Times New Roman"/>
          <w:sz w:val="24"/>
          <w:szCs w:val="24"/>
        </w:rPr>
        <w:t xml:space="preserve"> (Беларусь, Гродно) - </w:t>
      </w:r>
      <w:r w:rsidR="00AF2E8A" w:rsidRPr="00AF2E8A">
        <w:rPr>
          <w:rFonts w:ascii="Times New Roman" w:hAnsi="Times New Roman" w:cs="Times New Roman"/>
          <w:sz w:val="24"/>
        </w:rPr>
        <w:t>студент</w:t>
      </w:r>
      <w:r>
        <w:rPr>
          <w:rFonts w:ascii="Times New Roman" w:hAnsi="Times New Roman" w:cs="Times New Roman"/>
          <w:sz w:val="24"/>
        </w:rPr>
        <w:t>ка</w:t>
      </w:r>
      <w:r w:rsidR="00AF2E8A" w:rsidRPr="00AF2E8A">
        <w:rPr>
          <w:rFonts w:ascii="Times New Roman" w:hAnsi="Times New Roman" w:cs="Times New Roman"/>
          <w:sz w:val="24"/>
        </w:rPr>
        <w:t xml:space="preserve"> 2 курса специальности «Финансы и кредит» факультета экономики и управления</w:t>
      </w:r>
      <w:r w:rsidR="00DA26FD">
        <w:rPr>
          <w:rFonts w:ascii="Times New Roman" w:hAnsi="Times New Roman" w:cs="Times New Roman"/>
          <w:sz w:val="24"/>
        </w:rPr>
        <w:t xml:space="preserve">, </w:t>
      </w:r>
      <w:r w:rsidR="006A71A7" w:rsidRPr="00AF2E8A">
        <w:rPr>
          <w:rFonts w:ascii="Times New Roman" w:hAnsi="Times New Roman" w:cs="Times New Roman"/>
          <w:sz w:val="24"/>
        </w:rPr>
        <w:t>Гродненск</w:t>
      </w:r>
      <w:r w:rsidR="006A71A7">
        <w:rPr>
          <w:rFonts w:ascii="Times New Roman" w:hAnsi="Times New Roman" w:cs="Times New Roman"/>
          <w:sz w:val="24"/>
        </w:rPr>
        <w:t>ий</w:t>
      </w:r>
      <w:r w:rsidR="00AF2E8A" w:rsidRPr="00AF2E8A">
        <w:rPr>
          <w:rFonts w:ascii="Times New Roman" w:hAnsi="Times New Roman" w:cs="Times New Roman"/>
          <w:sz w:val="24"/>
        </w:rPr>
        <w:t xml:space="preserve"> государственн</w:t>
      </w:r>
      <w:r w:rsidR="006A71A7">
        <w:rPr>
          <w:rFonts w:ascii="Times New Roman" w:hAnsi="Times New Roman" w:cs="Times New Roman"/>
          <w:sz w:val="24"/>
        </w:rPr>
        <w:t>ый</w:t>
      </w:r>
      <w:r w:rsidR="00AF2E8A" w:rsidRPr="00AF2E8A">
        <w:rPr>
          <w:rFonts w:ascii="Times New Roman" w:hAnsi="Times New Roman" w:cs="Times New Roman"/>
          <w:sz w:val="24"/>
        </w:rPr>
        <w:t xml:space="preserve"> университет имени Янки Купалы</w:t>
      </w:r>
      <w:r w:rsidR="006A71A7">
        <w:rPr>
          <w:rFonts w:ascii="Times New Roman" w:hAnsi="Times New Roman" w:cs="Times New Roman"/>
          <w:sz w:val="24"/>
        </w:rPr>
        <w:t xml:space="preserve"> </w:t>
      </w:r>
      <w:r w:rsidR="00DA26FD">
        <w:rPr>
          <w:rFonts w:ascii="Times New Roman" w:hAnsi="Times New Roman" w:cs="Times New Roman"/>
          <w:sz w:val="24"/>
        </w:rPr>
        <w:t xml:space="preserve">(г. Гродно, ул. </w:t>
      </w:r>
      <w:proofErr w:type="spellStart"/>
      <w:r w:rsidR="00DA26FD">
        <w:rPr>
          <w:rFonts w:ascii="Times New Roman" w:hAnsi="Times New Roman" w:cs="Times New Roman"/>
          <w:sz w:val="24"/>
        </w:rPr>
        <w:t>Ожещко</w:t>
      </w:r>
      <w:proofErr w:type="spellEnd"/>
      <w:r w:rsidR="00DA26FD">
        <w:rPr>
          <w:rFonts w:ascii="Times New Roman" w:hAnsi="Times New Roman" w:cs="Times New Roman"/>
          <w:sz w:val="24"/>
        </w:rPr>
        <w:t xml:space="preserve">,  22, </w:t>
      </w:r>
      <w:hyperlink r:id="rId6" w:history="1">
        <w:r w:rsidR="00DA26FD" w:rsidRPr="00004EFF">
          <w:rPr>
            <w:rStyle w:val="a3"/>
            <w:rFonts w:ascii="Times New Roman" w:hAnsi="Times New Roman" w:cs="Times New Roman"/>
            <w:sz w:val="24"/>
            <w:lang w:val="en-US"/>
          </w:rPr>
          <w:t>tanyaaaplevichmail</w:t>
        </w:r>
        <w:r w:rsidR="00DA26FD" w:rsidRPr="00004EFF">
          <w:rPr>
            <w:rStyle w:val="a3"/>
            <w:rFonts w:ascii="Times New Roman" w:hAnsi="Times New Roman" w:cs="Times New Roman"/>
            <w:sz w:val="24"/>
          </w:rPr>
          <w:t>.</w:t>
        </w:r>
        <w:r w:rsidR="00DA26FD" w:rsidRPr="00004EFF">
          <w:rPr>
            <w:rStyle w:val="a3"/>
            <w:rFonts w:ascii="Times New Roman" w:hAnsi="Times New Roman" w:cs="Times New Roman"/>
            <w:sz w:val="24"/>
            <w:lang w:val="en-US"/>
          </w:rPr>
          <w:t>ru</w:t>
        </w:r>
        <w:r w:rsidR="00DA26FD" w:rsidRPr="00004EFF">
          <w:rPr>
            <w:rStyle w:val="a3"/>
            <w:rFonts w:ascii="Times New Roman" w:hAnsi="Times New Roman" w:cs="Times New Roman"/>
            <w:sz w:val="24"/>
          </w:rPr>
          <w:t>@gmail.com</w:t>
        </w:r>
      </w:hyperlink>
      <w:r w:rsidR="006A71A7">
        <w:rPr>
          <w:rFonts w:ascii="Times New Roman" w:hAnsi="Times New Roman" w:cs="Times New Roman"/>
          <w:sz w:val="24"/>
        </w:rPr>
        <w:t>)</w:t>
      </w:r>
    </w:p>
    <w:p w:rsidR="00DA26FD" w:rsidRDefault="00DA26FD" w:rsidP="00DA26FD">
      <w:pPr>
        <w:spacing w:line="240" w:lineRule="auto"/>
        <w:ind w:firstLine="567"/>
        <w:jc w:val="both"/>
        <w:rPr>
          <w:rFonts w:ascii="Times New Roman" w:hAnsi="Times New Roman" w:cs="Times New Roman"/>
          <w:sz w:val="24"/>
        </w:rPr>
      </w:pPr>
    </w:p>
    <w:p w:rsidR="00DA26FD" w:rsidRPr="00AB1201" w:rsidRDefault="00DA26FD" w:rsidP="00AB1201">
      <w:pPr>
        <w:spacing w:line="240" w:lineRule="auto"/>
        <w:ind w:firstLine="567"/>
        <w:jc w:val="right"/>
        <w:rPr>
          <w:rFonts w:ascii="Times New Roman" w:hAnsi="Times New Roman" w:cs="Times New Roman"/>
          <w:b/>
          <w:sz w:val="24"/>
          <w:lang w:val="en-US"/>
        </w:rPr>
      </w:pPr>
      <w:proofErr w:type="spellStart"/>
      <w:r w:rsidRPr="00AB1201">
        <w:rPr>
          <w:rFonts w:ascii="Times New Roman" w:hAnsi="Times New Roman" w:cs="Times New Roman"/>
          <w:b/>
          <w:sz w:val="24"/>
          <w:lang w:val="en-US"/>
        </w:rPr>
        <w:t>Aplevich</w:t>
      </w:r>
      <w:proofErr w:type="spellEnd"/>
      <w:r w:rsidRPr="00AB1201">
        <w:rPr>
          <w:rFonts w:ascii="Times New Roman" w:hAnsi="Times New Roman" w:cs="Times New Roman"/>
          <w:b/>
          <w:sz w:val="24"/>
          <w:lang w:val="en-US"/>
        </w:rPr>
        <w:t xml:space="preserve"> T. A.</w:t>
      </w:r>
    </w:p>
    <w:p w:rsidR="00DA26FD" w:rsidRDefault="00DA26FD" w:rsidP="00AB1201">
      <w:pPr>
        <w:spacing w:after="0" w:line="360" w:lineRule="auto"/>
        <w:ind w:firstLine="567"/>
        <w:jc w:val="center"/>
        <w:rPr>
          <w:rFonts w:ascii="Times New Roman" w:hAnsi="Times New Roman" w:cs="Times New Roman"/>
          <w:b/>
          <w:sz w:val="24"/>
          <w:lang w:val="en-US"/>
        </w:rPr>
      </w:pPr>
      <w:r w:rsidRPr="00AB1201">
        <w:rPr>
          <w:rFonts w:ascii="Times New Roman" w:hAnsi="Times New Roman" w:cs="Times New Roman"/>
          <w:b/>
          <w:sz w:val="24"/>
          <w:lang w:val="en-US"/>
        </w:rPr>
        <w:t>THEORETICAL AND METHODOLOGICAL FOUNDATIONS OF MONETARY POLICY</w:t>
      </w:r>
    </w:p>
    <w:p w:rsidR="00AB1201" w:rsidRPr="00AB1201" w:rsidRDefault="00AB1201" w:rsidP="00AB1201">
      <w:pPr>
        <w:spacing w:after="0" w:line="360" w:lineRule="auto"/>
        <w:ind w:firstLine="567"/>
        <w:rPr>
          <w:rFonts w:ascii="Times New Roman" w:hAnsi="Times New Roman" w:cs="Times New Roman"/>
          <w:b/>
          <w:sz w:val="24"/>
          <w:lang w:val="en-US"/>
        </w:rPr>
      </w:pPr>
    </w:p>
    <w:p w:rsidR="00DA26FD" w:rsidRPr="00AB1201" w:rsidRDefault="00DA26FD" w:rsidP="00AB1201">
      <w:pPr>
        <w:spacing w:after="0" w:line="360" w:lineRule="auto"/>
        <w:ind w:firstLine="709"/>
        <w:rPr>
          <w:rFonts w:ascii="Times New Roman" w:hAnsi="Times New Roman" w:cs="Times New Roman"/>
          <w:i/>
          <w:sz w:val="24"/>
          <w:lang w:val="en-US"/>
        </w:rPr>
      </w:pPr>
      <w:r w:rsidRPr="00AB1201">
        <w:rPr>
          <w:rFonts w:ascii="Times New Roman" w:hAnsi="Times New Roman" w:cs="Times New Roman"/>
          <w:i/>
          <w:sz w:val="24"/>
          <w:lang w:val="en-US"/>
        </w:rPr>
        <w:t>The article considers the theoretical and methodological foundations of monetary policy, defines and classifies the goals, objectives, types and tools of monetary policy, and determines its significance in the conduct of economic policy of the country.</w:t>
      </w:r>
    </w:p>
    <w:p w:rsidR="00DA26FD" w:rsidRDefault="00DA26FD" w:rsidP="00AB1201">
      <w:pPr>
        <w:spacing w:line="360" w:lineRule="auto"/>
        <w:ind w:firstLine="709"/>
        <w:rPr>
          <w:rFonts w:ascii="Times New Roman" w:hAnsi="Times New Roman" w:cs="Times New Roman"/>
          <w:i/>
          <w:sz w:val="24"/>
          <w:lang w:val="en-US"/>
        </w:rPr>
      </w:pPr>
      <w:bookmarkStart w:id="2" w:name="_GoBack"/>
      <w:r w:rsidRPr="00AB1201">
        <w:rPr>
          <w:rFonts w:ascii="Times New Roman" w:hAnsi="Times New Roman" w:cs="Times New Roman"/>
          <w:i/>
          <w:sz w:val="24"/>
          <w:lang w:val="en-US"/>
        </w:rPr>
        <w:t>Keywords: objects, subjects, goals, types, instruments of monetary policy.</w:t>
      </w:r>
    </w:p>
    <w:bookmarkEnd w:id="2"/>
    <w:p w:rsidR="00AB1201" w:rsidRDefault="00AB1201" w:rsidP="00AB1201">
      <w:pPr>
        <w:spacing w:line="360" w:lineRule="auto"/>
        <w:rPr>
          <w:rFonts w:ascii="Times New Roman" w:hAnsi="Times New Roman" w:cs="Times New Roman"/>
          <w:i/>
          <w:sz w:val="24"/>
          <w:lang w:val="en-US"/>
        </w:rPr>
      </w:pPr>
    </w:p>
    <w:p w:rsidR="00AB1201" w:rsidRPr="00AB1201" w:rsidRDefault="00AB1201" w:rsidP="00AB1201">
      <w:pPr>
        <w:spacing w:line="360" w:lineRule="auto"/>
        <w:ind w:firstLine="709"/>
        <w:jc w:val="center"/>
        <w:rPr>
          <w:rFonts w:ascii="Times New Roman" w:hAnsi="Times New Roman" w:cs="Times New Roman"/>
          <w:b/>
          <w:sz w:val="24"/>
          <w:lang w:val="en-US"/>
        </w:rPr>
      </w:pPr>
      <w:r w:rsidRPr="00AB1201">
        <w:rPr>
          <w:rFonts w:ascii="Times New Roman" w:hAnsi="Times New Roman" w:cs="Times New Roman"/>
          <w:b/>
          <w:sz w:val="24"/>
          <w:lang w:val="en-US"/>
        </w:rPr>
        <w:t>LIST OF SOURCES USED</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t xml:space="preserve">1. </w:t>
      </w:r>
      <w:proofErr w:type="spellStart"/>
      <w:r w:rsidRPr="00AB1201">
        <w:rPr>
          <w:rFonts w:ascii="Times New Roman" w:hAnsi="Times New Roman" w:cs="Times New Roman"/>
          <w:sz w:val="24"/>
          <w:lang w:val="en-US"/>
        </w:rPr>
        <w:t>Babich</w:t>
      </w:r>
      <w:proofErr w:type="spellEnd"/>
      <w:r w:rsidRPr="00AB1201">
        <w:rPr>
          <w:rFonts w:ascii="Times New Roman" w:hAnsi="Times New Roman" w:cs="Times New Roman"/>
          <w:sz w:val="24"/>
          <w:lang w:val="en-US"/>
        </w:rPr>
        <w:t xml:space="preserve"> </w:t>
      </w:r>
      <w:r w:rsidRPr="00AB1201">
        <w:rPr>
          <w:rFonts w:ascii="Times New Roman" w:hAnsi="Times New Roman" w:cs="Times New Roman"/>
          <w:sz w:val="24"/>
        </w:rPr>
        <w:t>А</w:t>
      </w:r>
      <w:r w:rsidRPr="00AB1201">
        <w:rPr>
          <w:rFonts w:ascii="Times New Roman" w:hAnsi="Times New Roman" w:cs="Times New Roman"/>
          <w:sz w:val="24"/>
          <w:lang w:val="en-US"/>
        </w:rPr>
        <w:t>.</w:t>
      </w:r>
      <w:r w:rsidRPr="00AB1201">
        <w:rPr>
          <w:rFonts w:ascii="Times New Roman" w:hAnsi="Times New Roman" w:cs="Times New Roman"/>
          <w:sz w:val="24"/>
        </w:rPr>
        <w:t>Ь</w:t>
      </w:r>
      <w:r w:rsidRPr="00AB1201">
        <w:rPr>
          <w:rFonts w:ascii="Times New Roman" w:hAnsi="Times New Roman" w:cs="Times New Roman"/>
          <w:sz w:val="24"/>
          <w:lang w:val="en-US"/>
        </w:rPr>
        <w:t>., Pavlova L. N. State municipal finances. Moscow: Finance, UNITY. 2002. P. 687.</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t xml:space="preserve">2. Big economic dictionary / ed. by A. N. </w:t>
      </w:r>
      <w:proofErr w:type="spellStart"/>
      <w:r w:rsidRPr="00AB1201">
        <w:rPr>
          <w:rFonts w:ascii="Times New Roman" w:hAnsi="Times New Roman" w:cs="Times New Roman"/>
          <w:sz w:val="24"/>
          <w:lang w:val="en-US"/>
        </w:rPr>
        <w:t>Azriliyan</w:t>
      </w:r>
      <w:proofErr w:type="spellEnd"/>
      <w:r w:rsidRPr="00AB1201">
        <w:rPr>
          <w:rFonts w:ascii="Times New Roman" w:hAnsi="Times New Roman" w:cs="Times New Roman"/>
          <w:sz w:val="24"/>
          <w:lang w:val="en-US"/>
        </w:rPr>
        <w:t>. M.: Institute of new economy. 2002.</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t xml:space="preserve">3. </w:t>
      </w:r>
      <w:proofErr w:type="spellStart"/>
      <w:r w:rsidRPr="00AB1201">
        <w:rPr>
          <w:rFonts w:ascii="Times New Roman" w:hAnsi="Times New Roman" w:cs="Times New Roman"/>
          <w:sz w:val="24"/>
          <w:lang w:val="en-US"/>
        </w:rPr>
        <w:t>Vorobyov</w:t>
      </w:r>
      <w:proofErr w:type="spellEnd"/>
      <w:r w:rsidRPr="00AB1201">
        <w:rPr>
          <w:rFonts w:ascii="Times New Roman" w:hAnsi="Times New Roman" w:cs="Times New Roman"/>
          <w:sz w:val="24"/>
          <w:lang w:val="en-US"/>
        </w:rPr>
        <w:t xml:space="preserve">, V. A. Macroeconomics: studies'. a manual / V. A. </w:t>
      </w:r>
      <w:proofErr w:type="spellStart"/>
      <w:r w:rsidRPr="00AB1201">
        <w:rPr>
          <w:rFonts w:ascii="Times New Roman" w:hAnsi="Times New Roman" w:cs="Times New Roman"/>
          <w:sz w:val="24"/>
          <w:lang w:val="en-US"/>
        </w:rPr>
        <w:t>Vorob'ev</w:t>
      </w:r>
      <w:proofErr w:type="spellEnd"/>
      <w:r w:rsidRPr="00AB1201">
        <w:rPr>
          <w:rFonts w:ascii="Times New Roman" w:hAnsi="Times New Roman" w:cs="Times New Roman"/>
          <w:sz w:val="24"/>
          <w:lang w:val="en-US"/>
        </w:rPr>
        <w:t xml:space="preserve">, A. V. </w:t>
      </w:r>
      <w:proofErr w:type="spellStart"/>
      <w:r w:rsidRPr="00AB1201">
        <w:rPr>
          <w:rFonts w:ascii="Times New Roman" w:hAnsi="Times New Roman" w:cs="Times New Roman"/>
          <w:sz w:val="24"/>
          <w:lang w:val="en-US"/>
        </w:rPr>
        <w:t>Bondar</w:t>
      </w:r>
      <w:proofErr w:type="spellEnd"/>
      <w:r w:rsidRPr="00AB1201">
        <w:rPr>
          <w:rFonts w:ascii="Times New Roman" w:hAnsi="Times New Roman" w:cs="Times New Roman"/>
          <w:sz w:val="24"/>
          <w:lang w:val="en-US"/>
        </w:rPr>
        <w:t xml:space="preserve">', L. N. </w:t>
      </w:r>
      <w:proofErr w:type="spellStart"/>
      <w:r w:rsidRPr="00AB1201">
        <w:rPr>
          <w:rFonts w:ascii="Times New Roman" w:hAnsi="Times New Roman" w:cs="Times New Roman"/>
          <w:sz w:val="24"/>
          <w:lang w:val="en-US"/>
        </w:rPr>
        <w:t>Novikov</w:t>
      </w:r>
      <w:proofErr w:type="spellEnd"/>
      <w:r w:rsidRPr="00AB1201">
        <w:rPr>
          <w:rFonts w:ascii="Times New Roman" w:hAnsi="Times New Roman" w:cs="Times New Roman"/>
          <w:sz w:val="24"/>
          <w:lang w:val="en-US"/>
        </w:rPr>
        <w:t>. - Minsk: BSEU, 2009. - 270 p.</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t xml:space="preserve">4. </w:t>
      </w:r>
      <w:proofErr w:type="spellStart"/>
      <w:r w:rsidRPr="00AB1201">
        <w:rPr>
          <w:rFonts w:ascii="Times New Roman" w:hAnsi="Times New Roman" w:cs="Times New Roman"/>
          <w:sz w:val="24"/>
          <w:lang w:val="en-US"/>
        </w:rPr>
        <w:t>Golovachev</w:t>
      </w:r>
      <w:proofErr w:type="spellEnd"/>
      <w:r w:rsidRPr="00AB1201">
        <w:rPr>
          <w:rFonts w:ascii="Times New Roman" w:hAnsi="Times New Roman" w:cs="Times New Roman"/>
          <w:sz w:val="24"/>
          <w:lang w:val="en-US"/>
        </w:rPr>
        <w:t xml:space="preserve">, A. S. Macroeconomics: course of lectures / A. S. </w:t>
      </w:r>
      <w:proofErr w:type="spellStart"/>
      <w:r w:rsidRPr="00AB1201">
        <w:rPr>
          <w:rFonts w:ascii="Times New Roman" w:hAnsi="Times New Roman" w:cs="Times New Roman"/>
          <w:sz w:val="24"/>
          <w:lang w:val="en-US"/>
        </w:rPr>
        <w:t>Golovachev</w:t>
      </w:r>
      <w:proofErr w:type="spellEnd"/>
      <w:r w:rsidRPr="00AB1201">
        <w:rPr>
          <w:rFonts w:ascii="Times New Roman" w:hAnsi="Times New Roman" w:cs="Times New Roman"/>
          <w:sz w:val="24"/>
          <w:lang w:val="en-US"/>
        </w:rPr>
        <w:t xml:space="preserve">, I. V. </w:t>
      </w:r>
      <w:proofErr w:type="spellStart"/>
      <w:r w:rsidRPr="00AB1201">
        <w:rPr>
          <w:rFonts w:ascii="Times New Roman" w:hAnsi="Times New Roman" w:cs="Times New Roman"/>
          <w:sz w:val="24"/>
          <w:lang w:val="en-US"/>
        </w:rPr>
        <w:t>Golovacheva</w:t>
      </w:r>
      <w:proofErr w:type="spellEnd"/>
      <w:r w:rsidRPr="00AB1201">
        <w:rPr>
          <w:rFonts w:ascii="Times New Roman" w:hAnsi="Times New Roman" w:cs="Times New Roman"/>
          <w:sz w:val="24"/>
          <w:lang w:val="en-US"/>
        </w:rPr>
        <w:t>. Minsk: Academy of management under the President of the Republic of Belarus, 2003, 256 p.</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t xml:space="preserve">5. Money. Credit. Banks / ed. by O. I. </w:t>
      </w:r>
      <w:proofErr w:type="spellStart"/>
      <w:r w:rsidRPr="00AB1201">
        <w:rPr>
          <w:rFonts w:ascii="Times New Roman" w:hAnsi="Times New Roman" w:cs="Times New Roman"/>
          <w:sz w:val="24"/>
          <w:lang w:val="en-US"/>
        </w:rPr>
        <w:t>Lavrushin</w:t>
      </w:r>
      <w:proofErr w:type="spellEnd"/>
      <w:r w:rsidRPr="00AB1201">
        <w:rPr>
          <w:rFonts w:ascii="Times New Roman" w:hAnsi="Times New Roman" w:cs="Times New Roman"/>
          <w:sz w:val="24"/>
          <w:lang w:val="en-US"/>
        </w:rPr>
        <w:t xml:space="preserve">. M.: </w:t>
      </w:r>
      <w:proofErr w:type="spellStart"/>
      <w:r w:rsidRPr="00AB1201">
        <w:rPr>
          <w:rFonts w:ascii="Times New Roman" w:hAnsi="Times New Roman" w:cs="Times New Roman"/>
          <w:sz w:val="24"/>
          <w:lang w:val="en-US"/>
        </w:rPr>
        <w:t>KnoRus</w:t>
      </w:r>
      <w:proofErr w:type="spellEnd"/>
      <w:r w:rsidRPr="00AB1201">
        <w:rPr>
          <w:rFonts w:ascii="Times New Roman" w:hAnsi="Times New Roman" w:cs="Times New Roman"/>
          <w:sz w:val="24"/>
          <w:lang w:val="en-US"/>
        </w:rPr>
        <w:t>. 2010.</w:t>
      </w:r>
    </w:p>
    <w:p w:rsidR="00AB1201" w:rsidRPr="00AB1201" w:rsidRDefault="00AB1201" w:rsidP="00AB1201">
      <w:pPr>
        <w:spacing w:after="0" w:line="360" w:lineRule="auto"/>
        <w:ind w:firstLine="709"/>
        <w:jc w:val="both"/>
        <w:rPr>
          <w:rFonts w:ascii="Times New Roman" w:hAnsi="Times New Roman" w:cs="Times New Roman"/>
          <w:sz w:val="24"/>
          <w:lang w:val="en-US"/>
        </w:rPr>
      </w:pPr>
      <w:r w:rsidRPr="00AB1201">
        <w:rPr>
          <w:rFonts w:ascii="Times New Roman" w:hAnsi="Times New Roman" w:cs="Times New Roman"/>
          <w:sz w:val="24"/>
          <w:lang w:val="en-US"/>
        </w:rPr>
        <w:lastRenderedPageBreak/>
        <w:t>6. Tools and types of monetary policy [Electronic resource]. - Access mode: http://fb.ru. - access date: 10.05.2020.</w:t>
      </w:r>
    </w:p>
    <w:p w:rsidR="00AB1201" w:rsidRPr="00AB1201" w:rsidRDefault="00AB1201" w:rsidP="00AB1201">
      <w:pPr>
        <w:spacing w:after="0" w:line="360" w:lineRule="auto"/>
        <w:ind w:firstLine="709"/>
        <w:jc w:val="both"/>
        <w:rPr>
          <w:rFonts w:ascii="Times New Roman" w:hAnsi="Times New Roman" w:cs="Times New Roman"/>
          <w:i/>
          <w:sz w:val="24"/>
          <w:lang w:val="en-US"/>
        </w:rPr>
      </w:pPr>
      <w:r w:rsidRPr="00AB1201">
        <w:rPr>
          <w:rFonts w:ascii="Times New Roman" w:hAnsi="Times New Roman" w:cs="Times New Roman"/>
          <w:sz w:val="24"/>
          <w:lang w:val="en-US"/>
        </w:rPr>
        <w:t>7. Fetisov G. G. Monetary policy and development of monetary policy of the Russian system in the context of globalization: national and regional aspects. «Economy». 2006</w:t>
      </w:r>
      <w:r w:rsidRPr="00AB1201">
        <w:rPr>
          <w:rFonts w:ascii="Times New Roman" w:hAnsi="Times New Roman" w:cs="Times New Roman"/>
          <w:i/>
          <w:sz w:val="24"/>
          <w:lang w:val="en-US"/>
        </w:rPr>
        <w:t>.</w:t>
      </w:r>
    </w:p>
    <w:p w:rsidR="00AB1201" w:rsidRPr="00AB1201" w:rsidRDefault="00AB1201" w:rsidP="00AB1201">
      <w:pPr>
        <w:spacing w:after="0" w:line="360" w:lineRule="auto"/>
        <w:ind w:firstLine="709"/>
        <w:rPr>
          <w:rFonts w:ascii="Times New Roman" w:hAnsi="Times New Roman" w:cs="Times New Roman"/>
          <w:i/>
          <w:sz w:val="24"/>
          <w:lang w:val="en-US"/>
        </w:rPr>
      </w:pPr>
    </w:p>
    <w:p w:rsidR="00AB1201" w:rsidRPr="00AB1201" w:rsidRDefault="00AB1201" w:rsidP="00AB1201">
      <w:pPr>
        <w:spacing w:after="0" w:line="240" w:lineRule="auto"/>
        <w:ind w:firstLine="567"/>
        <w:jc w:val="both"/>
        <w:rPr>
          <w:rFonts w:ascii="Times New Roman" w:hAnsi="Times New Roman" w:cs="Times New Roman"/>
          <w:sz w:val="24"/>
          <w:lang w:val="en-US"/>
        </w:rPr>
      </w:pPr>
      <w:proofErr w:type="gramStart"/>
      <w:r w:rsidRPr="00AB1201">
        <w:rPr>
          <w:rFonts w:ascii="Times New Roman" w:hAnsi="Times New Roman" w:cs="Times New Roman"/>
          <w:sz w:val="24"/>
          <w:lang w:val="en-US"/>
        </w:rPr>
        <w:t xml:space="preserve">Tatyana </w:t>
      </w:r>
      <w:r w:rsidRPr="00AB1201">
        <w:rPr>
          <w:lang w:val="en-US"/>
        </w:rPr>
        <w:t xml:space="preserve"> </w:t>
      </w:r>
      <w:r w:rsidRPr="00AB1201">
        <w:rPr>
          <w:rFonts w:ascii="Times New Roman" w:hAnsi="Times New Roman" w:cs="Times New Roman"/>
          <w:sz w:val="24"/>
          <w:lang w:val="en-US"/>
        </w:rPr>
        <w:t>Alexandrovna</w:t>
      </w:r>
      <w:proofErr w:type="gramEnd"/>
      <w:r w:rsidRPr="00AB1201">
        <w:rPr>
          <w:rFonts w:ascii="Times New Roman" w:hAnsi="Times New Roman" w:cs="Times New Roman"/>
          <w:sz w:val="24"/>
          <w:lang w:val="en-US"/>
        </w:rPr>
        <w:t xml:space="preserve"> </w:t>
      </w:r>
      <w:proofErr w:type="spellStart"/>
      <w:r w:rsidRPr="00AB1201">
        <w:rPr>
          <w:rFonts w:ascii="Times New Roman" w:hAnsi="Times New Roman" w:cs="Times New Roman"/>
          <w:sz w:val="24"/>
          <w:lang w:val="en-US"/>
        </w:rPr>
        <w:t>A</w:t>
      </w:r>
      <w:r w:rsidRPr="00AB1201">
        <w:rPr>
          <w:rFonts w:ascii="Times New Roman" w:hAnsi="Times New Roman" w:cs="Times New Roman"/>
          <w:sz w:val="24"/>
          <w:lang w:val="en-US"/>
        </w:rPr>
        <w:t>plevich</w:t>
      </w:r>
      <w:proofErr w:type="spellEnd"/>
      <w:r w:rsidRPr="00AB1201">
        <w:rPr>
          <w:rFonts w:ascii="Times New Roman" w:hAnsi="Times New Roman" w:cs="Times New Roman"/>
          <w:sz w:val="24"/>
          <w:lang w:val="en-US"/>
        </w:rPr>
        <w:t xml:space="preserve"> (Belarus, Grodno) - 2nd year student of the specialty "Finance and credit" of the faculty of Economics and management, </w:t>
      </w:r>
      <w:proofErr w:type="spellStart"/>
      <w:r w:rsidRPr="00AB1201">
        <w:rPr>
          <w:rFonts w:ascii="Times New Roman" w:hAnsi="Times New Roman" w:cs="Times New Roman"/>
          <w:sz w:val="24"/>
          <w:lang w:val="en-US"/>
        </w:rPr>
        <w:t>Yanka</w:t>
      </w:r>
      <w:proofErr w:type="spellEnd"/>
      <w:r w:rsidRPr="00AB1201">
        <w:rPr>
          <w:rFonts w:ascii="Times New Roman" w:hAnsi="Times New Roman" w:cs="Times New Roman"/>
          <w:sz w:val="24"/>
          <w:lang w:val="en-US"/>
        </w:rPr>
        <w:t xml:space="preserve"> </w:t>
      </w:r>
      <w:proofErr w:type="spellStart"/>
      <w:r w:rsidRPr="00AB1201">
        <w:rPr>
          <w:rFonts w:ascii="Times New Roman" w:hAnsi="Times New Roman" w:cs="Times New Roman"/>
          <w:sz w:val="24"/>
          <w:lang w:val="en-US"/>
        </w:rPr>
        <w:t>Kupala</w:t>
      </w:r>
      <w:proofErr w:type="spellEnd"/>
      <w:r w:rsidRPr="00AB1201">
        <w:rPr>
          <w:rFonts w:ascii="Times New Roman" w:hAnsi="Times New Roman" w:cs="Times New Roman"/>
          <w:sz w:val="24"/>
          <w:lang w:val="en-US"/>
        </w:rPr>
        <w:t xml:space="preserve"> Grodno state University, (22 </w:t>
      </w:r>
      <w:proofErr w:type="spellStart"/>
      <w:r w:rsidRPr="00AB1201">
        <w:rPr>
          <w:rFonts w:ascii="Times New Roman" w:hAnsi="Times New Roman" w:cs="Times New Roman"/>
          <w:sz w:val="24"/>
          <w:lang w:val="en-US"/>
        </w:rPr>
        <w:t>Ozheshko</w:t>
      </w:r>
      <w:proofErr w:type="spellEnd"/>
      <w:r w:rsidRPr="00AB1201">
        <w:rPr>
          <w:rFonts w:ascii="Times New Roman" w:hAnsi="Times New Roman" w:cs="Times New Roman"/>
          <w:sz w:val="24"/>
          <w:lang w:val="en-US"/>
        </w:rPr>
        <w:t xml:space="preserve"> str., Grodno, tanyaaaplevichmail.ru@gmail.com)</w:t>
      </w:r>
    </w:p>
    <w:p w:rsidR="00DA26FD" w:rsidRPr="00DA26FD" w:rsidRDefault="00DA26FD" w:rsidP="00DA26FD">
      <w:pPr>
        <w:spacing w:line="240" w:lineRule="auto"/>
        <w:ind w:firstLine="567"/>
        <w:jc w:val="both"/>
        <w:rPr>
          <w:rFonts w:ascii="Times New Roman" w:hAnsi="Times New Roman" w:cs="Times New Roman"/>
          <w:sz w:val="24"/>
          <w:szCs w:val="24"/>
          <w:lang w:val="en-US"/>
        </w:rPr>
      </w:pPr>
    </w:p>
    <w:p w:rsidR="001E22E0" w:rsidRPr="00DA26FD" w:rsidRDefault="001E22E0" w:rsidP="00116EA6">
      <w:pPr>
        <w:spacing w:line="360" w:lineRule="auto"/>
        <w:ind w:firstLine="567"/>
        <w:jc w:val="both"/>
        <w:rPr>
          <w:rFonts w:ascii="Times New Roman" w:hAnsi="Times New Roman" w:cs="Times New Roman"/>
          <w:sz w:val="24"/>
          <w:szCs w:val="24"/>
          <w:lang w:val="en-US"/>
        </w:rPr>
      </w:pPr>
    </w:p>
    <w:sectPr w:rsidR="001E22E0" w:rsidRPr="00DA26FD" w:rsidSect="00116E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7700A"/>
    <w:multiLevelType w:val="hybridMultilevel"/>
    <w:tmpl w:val="E74CDB28"/>
    <w:lvl w:ilvl="0" w:tplc="6D46A5A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5B34D91"/>
    <w:multiLevelType w:val="multilevel"/>
    <w:tmpl w:val="118CAD54"/>
    <w:lvl w:ilvl="0">
      <w:start w:val="1"/>
      <w:numFmt w:val="bullet"/>
      <w:lvlText w:val=""/>
      <w:lvlJc w:val="left"/>
      <w:pPr>
        <w:ind w:left="375" w:hanging="375"/>
      </w:pPr>
      <w:rPr>
        <w:rFonts w:ascii="Symbol" w:hAnsi="Symbol" w:hint="default"/>
      </w:rPr>
    </w:lvl>
    <w:lvl w:ilvl="1">
      <w:start w:val="1"/>
      <w:numFmt w:val="bullet"/>
      <w:lvlText w:val=""/>
      <w:lvlJc w:val="left"/>
      <w:pPr>
        <w:ind w:left="1368" w:hanging="375"/>
      </w:pPr>
      <w:rPr>
        <w:rFonts w:ascii="Symbol" w:hAnsi="Symbol"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 w15:restartNumberingAfterBreak="0">
    <w:nsid w:val="063141EE"/>
    <w:multiLevelType w:val="hybridMultilevel"/>
    <w:tmpl w:val="ED649FEC"/>
    <w:lvl w:ilvl="0" w:tplc="04190001">
      <w:start w:val="1"/>
      <w:numFmt w:val="bullet"/>
      <w:lvlText w:val=""/>
      <w:lvlJc w:val="left"/>
      <w:pPr>
        <w:ind w:left="720" w:hanging="360"/>
      </w:pPr>
      <w:rPr>
        <w:rFonts w:ascii="Symbol" w:hAnsi="Symbol" w:hint="default"/>
      </w:rPr>
    </w:lvl>
    <w:lvl w:ilvl="1" w:tplc="04190011">
      <w:start w:val="1"/>
      <w:numFmt w:val="decimal"/>
      <w:lvlText w:val="%2)"/>
      <w:lvlJc w:val="left"/>
      <w:pPr>
        <w:ind w:left="1440" w:hanging="36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5646BC"/>
    <w:multiLevelType w:val="hybridMultilevel"/>
    <w:tmpl w:val="DD4C29B2"/>
    <w:lvl w:ilvl="0" w:tplc="04190011">
      <w:start w:val="1"/>
      <w:numFmt w:val="decimal"/>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0D6E67E4"/>
    <w:multiLevelType w:val="hybridMultilevel"/>
    <w:tmpl w:val="9A8A31FE"/>
    <w:lvl w:ilvl="0" w:tplc="B078595C">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5B7319"/>
    <w:multiLevelType w:val="hybridMultilevel"/>
    <w:tmpl w:val="8A30ED30"/>
    <w:lvl w:ilvl="0" w:tplc="6D46A5A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14A95AD0"/>
    <w:multiLevelType w:val="hybridMultilevel"/>
    <w:tmpl w:val="5C4AEA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55352A9"/>
    <w:multiLevelType w:val="hybridMultilevel"/>
    <w:tmpl w:val="EEA4CF66"/>
    <w:lvl w:ilvl="0" w:tplc="6D46A5A4">
      <w:start w:val="1"/>
      <w:numFmt w:val="bullet"/>
      <w:lvlText w:val=""/>
      <w:lvlJc w:val="left"/>
      <w:pPr>
        <w:ind w:left="1440" w:hanging="360"/>
      </w:pPr>
      <w:rPr>
        <w:rFonts w:ascii="Symbol" w:hAnsi="Symbol" w:hint="default"/>
      </w:rPr>
    </w:lvl>
    <w:lvl w:ilvl="1" w:tplc="0336B1D4">
      <w:start w:val="5"/>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1758467B"/>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15:restartNumberingAfterBreak="0">
    <w:nsid w:val="1ED7616A"/>
    <w:multiLevelType w:val="hybridMultilevel"/>
    <w:tmpl w:val="D69A7FE2"/>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22930E25"/>
    <w:multiLevelType w:val="multilevel"/>
    <w:tmpl w:val="4EACA738"/>
    <w:lvl w:ilvl="0">
      <w:start w:val="1"/>
      <w:numFmt w:val="decimal"/>
      <w:lvlText w:val="%1."/>
      <w:lvlJc w:val="left"/>
      <w:pPr>
        <w:ind w:left="720" w:hanging="360"/>
      </w:pPr>
      <w:rPr>
        <w:rFonts w:hint="default"/>
      </w:rPr>
    </w:lvl>
    <w:lvl w:ilvl="1">
      <w:start w:val="1"/>
      <w:numFmt w:val="decimal"/>
      <w:isLgl/>
      <w:lvlText w:val="%1.%2"/>
      <w:lvlJc w:val="left"/>
      <w:pPr>
        <w:ind w:left="1793"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324427A"/>
    <w:multiLevelType w:val="hybridMultilevel"/>
    <w:tmpl w:val="9D541356"/>
    <w:lvl w:ilvl="0" w:tplc="8C422CF8">
      <w:start w:val="1"/>
      <w:numFmt w:val="decimal"/>
      <w:lvlText w:val="%1."/>
      <w:lvlJc w:val="left"/>
      <w:pPr>
        <w:ind w:left="720" w:hanging="360"/>
      </w:pPr>
      <w:rPr>
        <w:rFonts w:cs="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37A3981"/>
    <w:multiLevelType w:val="multilevel"/>
    <w:tmpl w:val="A046457E"/>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15:restartNumberingAfterBreak="0">
    <w:nsid w:val="2A4B3E16"/>
    <w:multiLevelType w:val="hybridMultilevel"/>
    <w:tmpl w:val="137492C4"/>
    <w:lvl w:ilvl="0" w:tplc="9BE07B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30A85C04"/>
    <w:multiLevelType w:val="hybridMultilevel"/>
    <w:tmpl w:val="8F0AF966"/>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316952EF"/>
    <w:multiLevelType w:val="multilevel"/>
    <w:tmpl w:val="A14A2D48"/>
    <w:lvl w:ilvl="0">
      <w:start w:val="1"/>
      <w:numFmt w:val="decimal"/>
      <w:lvlText w:val="%1"/>
      <w:lvlJc w:val="left"/>
      <w:pPr>
        <w:ind w:left="450" w:hanging="450"/>
      </w:pPr>
      <w:rPr>
        <w:rFonts w:hint="default"/>
      </w:rPr>
    </w:lvl>
    <w:lvl w:ilvl="1">
      <w:start w:val="1"/>
      <w:numFmt w:val="decimal"/>
      <w:lvlText w:val="%1.%2"/>
      <w:lvlJc w:val="left"/>
      <w:pPr>
        <w:ind w:left="171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4B00786"/>
    <w:multiLevelType w:val="hybridMultilevel"/>
    <w:tmpl w:val="5EFAF5E8"/>
    <w:lvl w:ilvl="0" w:tplc="BDCE3C4E">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BB72B76"/>
    <w:multiLevelType w:val="hybridMultilevel"/>
    <w:tmpl w:val="4DBEF4FE"/>
    <w:lvl w:ilvl="0" w:tplc="78D0244A">
      <w:start w:val="1"/>
      <w:numFmt w:val="decimal"/>
      <w:lvlText w:val="%1."/>
      <w:lvlJc w:val="left"/>
      <w:pPr>
        <w:ind w:left="360" w:hanging="360"/>
      </w:pPr>
      <w:rPr>
        <w:rFonts w:cs="Times New Roman" w:hint="default"/>
        <w:color w:val="000000" w:themeColor="text1"/>
        <w:sz w:val="24"/>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3C5B3E60"/>
    <w:multiLevelType w:val="hybridMultilevel"/>
    <w:tmpl w:val="56A6861C"/>
    <w:lvl w:ilvl="0" w:tplc="6D46A5A4">
      <w:start w:val="1"/>
      <w:numFmt w:val="bullet"/>
      <w:lvlText w:val=""/>
      <w:lvlJc w:val="left"/>
      <w:pPr>
        <w:ind w:left="6300"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4086194B"/>
    <w:multiLevelType w:val="hybridMultilevel"/>
    <w:tmpl w:val="EFB0FC9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15:restartNumberingAfterBreak="0">
    <w:nsid w:val="40FA7A46"/>
    <w:multiLevelType w:val="multilevel"/>
    <w:tmpl w:val="64601E50"/>
    <w:lvl w:ilvl="0">
      <w:start w:val="1"/>
      <w:numFmt w:val="decimal"/>
      <w:lvlText w:val="%1."/>
      <w:lvlJc w:val="left"/>
      <w:pPr>
        <w:ind w:left="1210" w:hanging="360"/>
      </w:pPr>
      <w:rPr>
        <w:rFonts w:hint="default"/>
      </w:rPr>
    </w:lvl>
    <w:lvl w:ilvl="1">
      <w:start w:val="2"/>
      <w:numFmt w:val="decimal"/>
      <w:isLgl/>
      <w:lvlText w:val="%1.%2"/>
      <w:lvlJc w:val="left"/>
      <w:pPr>
        <w:ind w:left="1477" w:hanging="420"/>
      </w:pPr>
      <w:rPr>
        <w:rFonts w:hint="default"/>
      </w:rPr>
    </w:lvl>
    <w:lvl w:ilvl="2">
      <w:start w:val="1"/>
      <w:numFmt w:val="decimal"/>
      <w:isLgl/>
      <w:lvlText w:val="%1.%2.%3"/>
      <w:lvlJc w:val="left"/>
      <w:pPr>
        <w:ind w:left="1984" w:hanging="720"/>
      </w:pPr>
      <w:rPr>
        <w:rFonts w:hint="default"/>
      </w:rPr>
    </w:lvl>
    <w:lvl w:ilvl="3">
      <w:start w:val="1"/>
      <w:numFmt w:val="decimal"/>
      <w:isLgl/>
      <w:lvlText w:val="%1.%2.%3.%4"/>
      <w:lvlJc w:val="left"/>
      <w:pPr>
        <w:ind w:left="2191" w:hanging="720"/>
      </w:pPr>
      <w:rPr>
        <w:rFonts w:hint="default"/>
      </w:rPr>
    </w:lvl>
    <w:lvl w:ilvl="4">
      <w:start w:val="1"/>
      <w:numFmt w:val="decimal"/>
      <w:isLgl/>
      <w:lvlText w:val="%1.%2.%3.%4.%5"/>
      <w:lvlJc w:val="left"/>
      <w:pPr>
        <w:ind w:left="2758" w:hanging="1080"/>
      </w:pPr>
      <w:rPr>
        <w:rFonts w:hint="default"/>
      </w:rPr>
    </w:lvl>
    <w:lvl w:ilvl="5">
      <w:start w:val="1"/>
      <w:numFmt w:val="decimal"/>
      <w:isLgl/>
      <w:lvlText w:val="%1.%2.%3.%4.%5.%6"/>
      <w:lvlJc w:val="left"/>
      <w:pPr>
        <w:ind w:left="2965" w:hanging="1080"/>
      </w:pPr>
      <w:rPr>
        <w:rFonts w:hint="default"/>
      </w:rPr>
    </w:lvl>
    <w:lvl w:ilvl="6">
      <w:start w:val="1"/>
      <w:numFmt w:val="decimal"/>
      <w:isLgl/>
      <w:lvlText w:val="%1.%2.%3.%4.%5.%6.%7"/>
      <w:lvlJc w:val="left"/>
      <w:pPr>
        <w:ind w:left="3532" w:hanging="1440"/>
      </w:pPr>
      <w:rPr>
        <w:rFonts w:hint="default"/>
      </w:rPr>
    </w:lvl>
    <w:lvl w:ilvl="7">
      <w:start w:val="1"/>
      <w:numFmt w:val="decimal"/>
      <w:isLgl/>
      <w:lvlText w:val="%1.%2.%3.%4.%5.%6.%7.%8"/>
      <w:lvlJc w:val="left"/>
      <w:pPr>
        <w:ind w:left="3739" w:hanging="1440"/>
      </w:pPr>
      <w:rPr>
        <w:rFonts w:hint="default"/>
      </w:rPr>
    </w:lvl>
    <w:lvl w:ilvl="8">
      <w:start w:val="1"/>
      <w:numFmt w:val="decimal"/>
      <w:isLgl/>
      <w:lvlText w:val="%1.%2.%3.%4.%5.%6.%7.%8.%9"/>
      <w:lvlJc w:val="left"/>
      <w:pPr>
        <w:ind w:left="3946" w:hanging="1440"/>
      </w:pPr>
      <w:rPr>
        <w:rFonts w:hint="default"/>
      </w:rPr>
    </w:lvl>
  </w:abstractNum>
  <w:abstractNum w:abstractNumId="21" w15:restartNumberingAfterBreak="0">
    <w:nsid w:val="43A13C4C"/>
    <w:multiLevelType w:val="hybridMultilevel"/>
    <w:tmpl w:val="BD4A6176"/>
    <w:lvl w:ilvl="0" w:tplc="49B61B7C">
      <w:start w:val="1"/>
      <w:numFmt w:val="decimal"/>
      <w:lvlText w:val="%1."/>
      <w:lvlJc w:val="left"/>
      <w:pPr>
        <w:ind w:left="720" w:hanging="360"/>
      </w:pPr>
      <w:rPr>
        <w:rFonts w:cs="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53E1E4D"/>
    <w:multiLevelType w:val="hybridMultilevel"/>
    <w:tmpl w:val="99A6E6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45772159"/>
    <w:multiLevelType w:val="hybridMultilevel"/>
    <w:tmpl w:val="00CABD38"/>
    <w:lvl w:ilvl="0" w:tplc="6D46A5A4">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24" w15:restartNumberingAfterBreak="0">
    <w:nsid w:val="469337FF"/>
    <w:multiLevelType w:val="hybridMultilevel"/>
    <w:tmpl w:val="BB66AF1E"/>
    <w:lvl w:ilvl="0" w:tplc="6D46A5A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15:restartNumberingAfterBreak="0">
    <w:nsid w:val="46EC1250"/>
    <w:multiLevelType w:val="hybridMultilevel"/>
    <w:tmpl w:val="2CCCF70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15:restartNumberingAfterBreak="0">
    <w:nsid w:val="4E4D37C7"/>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7" w15:restartNumberingAfterBreak="0">
    <w:nsid w:val="4E816161"/>
    <w:multiLevelType w:val="hybridMultilevel"/>
    <w:tmpl w:val="2884DA2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15:restartNumberingAfterBreak="0">
    <w:nsid w:val="536C0BF2"/>
    <w:multiLevelType w:val="hybridMultilevel"/>
    <w:tmpl w:val="E13A0C2E"/>
    <w:lvl w:ilvl="0" w:tplc="6D46A5A4">
      <w:start w:val="1"/>
      <w:numFmt w:val="bullet"/>
      <w:lvlText w:val=""/>
      <w:lvlJc w:val="left"/>
      <w:pPr>
        <w:ind w:left="1440" w:hanging="360"/>
      </w:pPr>
      <w:rPr>
        <w:rFonts w:ascii="Symbol" w:hAnsi="Symbol" w:hint="default"/>
      </w:rPr>
    </w:lvl>
    <w:lvl w:ilvl="1" w:tplc="6D46A5A4">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37F7AD6"/>
    <w:multiLevelType w:val="hybridMultilevel"/>
    <w:tmpl w:val="8AD69F8A"/>
    <w:lvl w:ilvl="0" w:tplc="04190011">
      <w:start w:val="1"/>
      <w:numFmt w:val="decimal"/>
      <w:lvlText w:val="%1)"/>
      <w:lvlJc w:val="left"/>
      <w:pPr>
        <w:ind w:left="720" w:hanging="360"/>
      </w:pPr>
      <w:rPr>
        <w:rFonts w:hint="default"/>
      </w:rPr>
    </w:lvl>
    <w:lvl w:ilvl="1" w:tplc="0F14F5EC">
      <w:start w:val="1"/>
      <w:numFmt w:val="decimal"/>
      <w:lvlText w:val="%2."/>
      <w:lvlJc w:val="left"/>
      <w:pPr>
        <w:ind w:left="1440" w:hanging="36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F923EDF"/>
    <w:multiLevelType w:val="hybridMultilevel"/>
    <w:tmpl w:val="644C2EC0"/>
    <w:lvl w:ilvl="0" w:tplc="6D46A5A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5FD0682E"/>
    <w:multiLevelType w:val="hybridMultilevel"/>
    <w:tmpl w:val="FC468C7A"/>
    <w:lvl w:ilvl="0" w:tplc="8C422CF8">
      <w:start w:val="1"/>
      <w:numFmt w:val="decimal"/>
      <w:lvlText w:val="%1."/>
      <w:lvlJc w:val="left"/>
      <w:pPr>
        <w:ind w:left="360" w:hanging="360"/>
      </w:pPr>
      <w:rPr>
        <w:rFonts w:cs="Times New Roman" w:hint="default"/>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675153A3"/>
    <w:multiLevelType w:val="hybridMultilevel"/>
    <w:tmpl w:val="086210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D825943"/>
    <w:multiLevelType w:val="hybridMultilevel"/>
    <w:tmpl w:val="4B929F94"/>
    <w:lvl w:ilvl="0" w:tplc="5AA4DA4C">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6C241BE"/>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5" w15:restartNumberingAfterBreak="0">
    <w:nsid w:val="7E3870BE"/>
    <w:multiLevelType w:val="hybridMultilevel"/>
    <w:tmpl w:val="06F4FF84"/>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EB125F5"/>
    <w:multiLevelType w:val="hybridMultilevel"/>
    <w:tmpl w:val="ADCCFC1C"/>
    <w:lvl w:ilvl="0" w:tplc="FD1A7BBE">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F1A6B3B"/>
    <w:multiLevelType w:val="hybridMultilevel"/>
    <w:tmpl w:val="DE40D2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22"/>
  </w:num>
  <w:num w:numId="3">
    <w:abstractNumId w:val="4"/>
  </w:num>
  <w:num w:numId="4">
    <w:abstractNumId w:val="12"/>
  </w:num>
  <w:num w:numId="5">
    <w:abstractNumId w:val="8"/>
  </w:num>
  <w:num w:numId="6">
    <w:abstractNumId w:val="23"/>
  </w:num>
  <w:num w:numId="7">
    <w:abstractNumId w:val="30"/>
  </w:num>
  <w:num w:numId="8">
    <w:abstractNumId w:val="5"/>
  </w:num>
  <w:num w:numId="9">
    <w:abstractNumId w:val="18"/>
  </w:num>
  <w:num w:numId="10">
    <w:abstractNumId w:val="25"/>
  </w:num>
  <w:num w:numId="11">
    <w:abstractNumId w:val="14"/>
  </w:num>
  <w:num w:numId="12">
    <w:abstractNumId w:val="0"/>
  </w:num>
  <w:num w:numId="13">
    <w:abstractNumId w:val="9"/>
  </w:num>
  <w:num w:numId="14">
    <w:abstractNumId w:val="3"/>
  </w:num>
  <w:num w:numId="15">
    <w:abstractNumId w:val="7"/>
  </w:num>
  <w:num w:numId="16">
    <w:abstractNumId w:val="24"/>
  </w:num>
  <w:num w:numId="17">
    <w:abstractNumId w:val="2"/>
  </w:num>
  <w:num w:numId="18">
    <w:abstractNumId w:val="28"/>
  </w:num>
  <w:num w:numId="19">
    <w:abstractNumId w:val="35"/>
  </w:num>
  <w:num w:numId="20">
    <w:abstractNumId w:val="29"/>
  </w:num>
  <w:num w:numId="21">
    <w:abstractNumId w:val="6"/>
  </w:num>
  <w:num w:numId="22">
    <w:abstractNumId w:val="27"/>
  </w:num>
  <w:num w:numId="23">
    <w:abstractNumId w:val="19"/>
  </w:num>
  <w:num w:numId="24">
    <w:abstractNumId w:val="15"/>
  </w:num>
  <w:num w:numId="25">
    <w:abstractNumId w:val="13"/>
  </w:num>
  <w:num w:numId="26">
    <w:abstractNumId w:val="32"/>
  </w:num>
  <w:num w:numId="27">
    <w:abstractNumId w:val="20"/>
  </w:num>
  <w:num w:numId="28">
    <w:abstractNumId w:val="37"/>
  </w:num>
  <w:num w:numId="29">
    <w:abstractNumId w:val="21"/>
  </w:num>
  <w:num w:numId="30">
    <w:abstractNumId w:val="17"/>
  </w:num>
  <w:num w:numId="31">
    <w:abstractNumId w:val="34"/>
  </w:num>
  <w:num w:numId="32">
    <w:abstractNumId w:val="26"/>
  </w:num>
  <w:num w:numId="33">
    <w:abstractNumId w:val="1"/>
  </w:num>
  <w:num w:numId="34">
    <w:abstractNumId w:val="36"/>
  </w:num>
  <w:num w:numId="35">
    <w:abstractNumId w:val="33"/>
  </w:num>
  <w:num w:numId="36">
    <w:abstractNumId w:val="16"/>
  </w:num>
  <w:num w:numId="37">
    <w:abstractNumId w:val="11"/>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DC1"/>
    <w:rsid w:val="00002294"/>
    <w:rsid w:val="00022CDA"/>
    <w:rsid w:val="00047CBB"/>
    <w:rsid w:val="000500C2"/>
    <w:rsid w:val="000539CB"/>
    <w:rsid w:val="000D3394"/>
    <w:rsid w:val="000E1540"/>
    <w:rsid w:val="000F09F4"/>
    <w:rsid w:val="001008C4"/>
    <w:rsid w:val="001153BE"/>
    <w:rsid w:val="00116EA6"/>
    <w:rsid w:val="001179D3"/>
    <w:rsid w:val="001219C0"/>
    <w:rsid w:val="00132573"/>
    <w:rsid w:val="00147987"/>
    <w:rsid w:val="001A26BD"/>
    <w:rsid w:val="001A2DC1"/>
    <w:rsid w:val="001D6B92"/>
    <w:rsid w:val="001E22E0"/>
    <w:rsid w:val="002451F1"/>
    <w:rsid w:val="002656F1"/>
    <w:rsid w:val="00280DDB"/>
    <w:rsid w:val="002A21AC"/>
    <w:rsid w:val="002B6C9D"/>
    <w:rsid w:val="002C7B60"/>
    <w:rsid w:val="00302D06"/>
    <w:rsid w:val="003762FF"/>
    <w:rsid w:val="003B260E"/>
    <w:rsid w:val="003D4AB5"/>
    <w:rsid w:val="003E1E41"/>
    <w:rsid w:val="003F7A67"/>
    <w:rsid w:val="00402CDC"/>
    <w:rsid w:val="00410ACD"/>
    <w:rsid w:val="00416AC4"/>
    <w:rsid w:val="00442FCE"/>
    <w:rsid w:val="004E2457"/>
    <w:rsid w:val="004F59C2"/>
    <w:rsid w:val="00501F14"/>
    <w:rsid w:val="00536D89"/>
    <w:rsid w:val="00570820"/>
    <w:rsid w:val="005D3C92"/>
    <w:rsid w:val="0060051A"/>
    <w:rsid w:val="00607C34"/>
    <w:rsid w:val="00610E7B"/>
    <w:rsid w:val="00620DC7"/>
    <w:rsid w:val="00650B7A"/>
    <w:rsid w:val="006570C2"/>
    <w:rsid w:val="00692AE9"/>
    <w:rsid w:val="006A0870"/>
    <w:rsid w:val="006A71A7"/>
    <w:rsid w:val="006A765B"/>
    <w:rsid w:val="006A7CB1"/>
    <w:rsid w:val="00702631"/>
    <w:rsid w:val="00706A29"/>
    <w:rsid w:val="00726D5A"/>
    <w:rsid w:val="0075749D"/>
    <w:rsid w:val="00784FCE"/>
    <w:rsid w:val="007A0DA1"/>
    <w:rsid w:val="007A4EF9"/>
    <w:rsid w:val="0081493D"/>
    <w:rsid w:val="008304D4"/>
    <w:rsid w:val="0085737C"/>
    <w:rsid w:val="00875EF0"/>
    <w:rsid w:val="0089432F"/>
    <w:rsid w:val="008C6ECC"/>
    <w:rsid w:val="009B0EEC"/>
    <w:rsid w:val="009B5243"/>
    <w:rsid w:val="009E4A1A"/>
    <w:rsid w:val="00A33970"/>
    <w:rsid w:val="00A40ED6"/>
    <w:rsid w:val="00A673D0"/>
    <w:rsid w:val="00AB1201"/>
    <w:rsid w:val="00AF2E8A"/>
    <w:rsid w:val="00B0596F"/>
    <w:rsid w:val="00B2578F"/>
    <w:rsid w:val="00B377F6"/>
    <w:rsid w:val="00B567D8"/>
    <w:rsid w:val="00B9222F"/>
    <w:rsid w:val="00BA5A87"/>
    <w:rsid w:val="00BA7154"/>
    <w:rsid w:val="00BC0697"/>
    <w:rsid w:val="00BC5311"/>
    <w:rsid w:val="00BF29E8"/>
    <w:rsid w:val="00C0140F"/>
    <w:rsid w:val="00C244BD"/>
    <w:rsid w:val="00C423D2"/>
    <w:rsid w:val="00C66DB3"/>
    <w:rsid w:val="00C731E7"/>
    <w:rsid w:val="00C76765"/>
    <w:rsid w:val="00C8658F"/>
    <w:rsid w:val="00C87974"/>
    <w:rsid w:val="00CA2609"/>
    <w:rsid w:val="00D14FA1"/>
    <w:rsid w:val="00D17F57"/>
    <w:rsid w:val="00D22217"/>
    <w:rsid w:val="00D255FE"/>
    <w:rsid w:val="00D3669A"/>
    <w:rsid w:val="00D61844"/>
    <w:rsid w:val="00D72B0F"/>
    <w:rsid w:val="00DA26FD"/>
    <w:rsid w:val="00DB38DA"/>
    <w:rsid w:val="00DD7352"/>
    <w:rsid w:val="00DF200A"/>
    <w:rsid w:val="00DF40A1"/>
    <w:rsid w:val="00E347B1"/>
    <w:rsid w:val="00E52FF4"/>
    <w:rsid w:val="00E93AF8"/>
    <w:rsid w:val="00EB3126"/>
    <w:rsid w:val="00EC1451"/>
    <w:rsid w:val="00EE3C1C"/>
    <w:rsid w:val="00F47390"/>
    <w:rsid w:val="00F54B51"/>
    <w:rsid w:val="00F6729E"/>
    <w:rsid w:val="00FC5E0B"/>
    <w:rsid w:val="00FD4B88"/>
    <w:rsid w:val="00FF06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3B4EB"/>
  <w15:docId w15:val="{975BB803-D29F-4BB5-871E-30F1996A8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844"/>
  </w:style>
  <w:style w:type="paragraph" w:styleId="1">
    <w:name w:val="heading 1"/>
    <w:basedOn w:val="a"/>
    <w:next w:val="a"/>
    <w:link w:val="10"/>
    <w:uiPriority w:val="9"/>
    <w:qFormat/>
    <w:rsid w:val="00D618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6184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D61844"/>
    <w:pPr>
      <w:keepNext/>
      <w:keepLines/>
      <w:spacing w:before="200" w:after="0"/>
      <w:outlineLvl w:val="2"/>
    </w:pPr>
    <w:rPr>
      <w:rFonts w:asciiTheme="majorHAnsi" w:eastAsiaTheme="majorEastAsia" w:hAnsiTheme="majorHAnsi" w:cstheme="majorBidi"/>
      <w:b/>
      <w:bCs/>
      <w:color w:val="5B9BD5" w:themeColor="accent1"/>
    </w:rPr>
  </w:style>
  <w:style w:type="paragraph" w:styleId="8">
    <w:name w:val="heading 8"/>
    <w:basedOn w:val="a"/>
    <w:next w:val="a"/>
    <w:link w:val="80"/>
    <w:uiPriority w:val="9"/>
    <w:semiHidden/>
    <w:unhideWhenUsed/>
    <w:qFormat/>
    <w:rsid w:val="00D6184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index 3"/>
    <w:basedOn w:val="a"/>
    <w:next w:val="a"/>
    <w:autoRedefine/>
    <w:rsid w:val="00C66DB3"/>
    <w:pPr>
      <w:suppressAutoHyphens/>
      <w:spacing w:after="0" w:line="240" w:lineRule="auto"/>
      <w:ind w:left="720" w:hanging="240"/>
    </w:pPr>
    <w:rPr>
      <w:rFonts w:ascii="Times New Roman" w:eastAsia="Times New Roman" w:hAnsi="Times New Roman" w:cs="Times New Roman"/>
      <w:sz w:val="24"/>
      <w:szCs w:val="24"/>
      <w:lang w:eastAsia="ar-SA"/>
    </w:rPr>
  </w:style>
  <w:style w:type="character" w:customStyle="1" w:styleId="10">
    <w:name w:val="Заголовок 1 Знак"/>
    <w:basedOn w:val="a0"/>
    <w:link w:val="1"/>
    <w:uiPriority w:val="9"/>
    <w:rsid w:val="00D6184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61844"/>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semiHidden/>
    <w:rsid w:val="00D61844"/>
    <w:rPr>
      <w:rFonts w:asciiTheme="majorHAnsi" w:eastAsiaTheme="majorEastAsia" w:hAnsiTheme="majorHAnsi" w:cstheme="majorBidi"/>
      <w:b/>
      <w:bCs/>
      <w:color w:val="5B9BD5" w:themeColor="accent1"/>
    </w:rPr>
  </w:style>
  <w:style w:type="character" w:customStyle="1" w:styleId="80">
    <w:name w:val="Заголовок 8 Знак"/>
    <w:basedOn w:val="a0"/>
    <w:link w:val="8"/>
    <w:uiPriority w:val="9"/>
    <w:semiHidden/>
    <w:rsid w:val="00D61844"/>
    <w:rPr>
      <w:rFonts w:asciiTheme="majorHAnsi" w:eastAsiaTheme="majorEastAsia" w:hAnsiTheme="majorHAnsi" w:cstheme="majorBidi"/>
      <w:color w:val="272727" w:themeColor="text1" w:themeTint="D8"/>
      <w:sz w:val="21"/>
      <w:szCs w:val="21"/>
    </w:rPr>
  </w:style>
  <w:style w:type="paragraph" w:styleId="11">
    <w:name w:val="toc 1"/>
    <w:basedOn w:val="a"/>
    <w:next w:val="a"/>
    <w:autoRedefine/>
    <w:uiPriority w:val="39"/>
    <w:unhideWhenUsed/>
    <w:qFormat/>
    <w:rsid w:val="00D61844"/>
    <w:pPr>
      <w:tabs>
        <w:tab w:val="left" w:pos="660"/>
        <w:tab w:val="right" w:leader="dot" w:pos="9628"/>
      </w:tabs>
      <w:spacing w:after="0" w:line="360" w:lineRule="exact"/>
      <w:ind w:firstLine="567"/>
      <w:jc w:val="center"/>
      <w:outlineLvl w:val="0"/>
    </w:pPr>
    <w:rPr>
      <w:rFonts w:ascii="Times New Roman" w:hAnsi="Times New Roman" w:cs="Times New Roman"/>
      <w:b/>
      <w:noProof/>
      <w:sz w:val="28"/>
      <w:szCs w:val="28"/>
      <w:lang w:eastAsia="ru-RU"/>
    </w:rPr>
  </w:style>
  <w:style w:type="character" w:styleId="a3">
    <w:name w:val="Hyperlink"/>
    <w:basedOn w:val="a0"/>
    <w:uiPriority w:val="99"/>
    <w:unhideWhenUsed/>
    <w:rsid w:val="00D61844"/>
    <w:rPr>
      <w:color w:val="0563C1" w:themeColor="hyperlink"/>
      <w:u w:val="single"/>
    </w:rPr>
  </w:style>
  <w:style w:type="paragraph" w:styleId="a4">
    <w:name w:val="List Paragraph"/>
    <w:basedOn w:val="a"/>
    <w:uiPriority w:val="34"/>
    <w:qFormat/>
    <w:rsid w:val="00D61844"/>
    <w:pPr>
      <w:ind w:left="720"/>
      <w:contextualSpacing/>
    </w:pPr>
  </w:style>
  <w:style w:type="paragraph" w:styleId="32">
    <w:name w:val="toc 3"/>
    <w:basedOn w:val="a"/>
    <w:next w:val="a"/>
    <w:autoRedefine/>
    <w:uiPriority w:val="39"/>
    <w:unhideWhenUsed/>
    <w:qFormat/>
    <w:rsid w:val="00D61844"/>
    <w:pPr>
      <w:spacing w:after="100"/>
      <w:ind w:left="440"/>
    </w:pPr>
  </w:style>
  <w:style w:type="paragraph" w:styleId="a5">
    <w:name w:val="header"/>
    <w:basedOn w:val="a"/>
    <w:link w:val="a6"/>
    <w:uiPriority w:val="99"/>
    <w:unhideWhenUsed/>
    <w:rsid w:val="00D6184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61844"/>
  </w:style>
  <w:style w:type="paragraph" w:styleId="a7">
    <w:name w:val="footer"/>
    <w:basedOn w:val="a"/>
    <w:link w:val="a8"/>
    <w:uiPriority w:val="99"/>
    <w:unhideWhenUsed/>
    <w:rsid w:val="00D6184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61844"/>
  </w:style>
  <w:style w:type="paragraph" w:styleId="a9">
    <w:name w:val="Normal (Web)"/>
    <w:basedOn w:val="a"/>
    <w:uiPriority w:val="99"/>
    <w:unhideWhenUsed/>
    <w:rsid w:val="00D61844"/>
    <w:pPr>
      <w:spacing w:before="100" w:beforeAutospacing="1" w:after="100" w:afterAutospacing="1" w:line="240" w:lineRule="auto"/>
    </w:pPr>
    <w:rPr>
      <w:rFonts w:ascii="Times New Roman" w:eastAsiaTheme="minorEastAsia" w:hAnsi="Times New Roman" w:cs="Times New Roman"/>
      <w:sz w:val="24"/>
      <w:szCs w:val="24"/>
      <w:lang w:eastAsia="ru-RU"/>
    </w:rPr>
  </w:style>
  <w:style w:type="table" w:styleId="aa">
    <w:name w:val="Table Grid"/>
    <w:basedOn w:val="a1"/>
    <w:uiPriority w:val="59"/>
    <w:rsid w:val="00D618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D61844"/>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61844"/>
    <w:rPr>
      <w:rFonts w:ascii="Segoe UI" w:hAnsi="Segoe UI" w:cs="Segoe UI"/>
      <w:sz w:val="18"/>
      <w:szCs w:val="18"/>
    </w:rPr>
  </w:style>
  <w:style w:type="character" w:styleId="ad">
    <w:name w:val="Emphasis"/>
    <w:basedOn w:val="a0"/>
    <w:uiPriority w:val="20"/>
    <w:qFormat/>
    <w:rsid w:val="00D61844"/>
    <w:rPr>
      <w:i/>
      <w:iCs/>
    </w:rPr>
  </w:style>
  <w:style w:type="paragraph" w:styleId="ae">
    <w:name w:val="No Spacing"/>
    <w:uiPriority w:val="1"/>
    <w:qFormat/>
    <w:rsid w:val="00D61844"/>
    <w:pPr>
      <w:spacing w:after="0" w:line="240" w:lineRule="auto"/>
    </w:pPr>
    <w:rPr>
      <w:rFonts w:ascii="Calibri" w:eastAsia="Calibri" w:hAnsi="Calibri" w:cs="Times New Roman"/>
    </w:rPr>
  </w:style>
  <w:style w:type="character" w:styleId="af">
    <w:name w:val="Strong"/>
    <w:basedOn w:val="a0"/>
    <w:uiPriority w:val="22"/>
    <w:qFormat/>
    <w:rsid w:val="00D61844"/>
    <w:rPr>
      <w:b/>
      <w:bCs/>
    </w:rPr>
  </w:style>
  <w:style w:type="paragraph" w:styleId="af0">
    <w:name w:val="TOC Heading"/>
    <w:basedOn w:val="1"/>
    <w:next w:val="a"/>
    <w:uiPriority w:val="39"/>
    <w:unhideWhenUsed/>
    <w:qFormat/>
    <w:rsid w:val="00D61844"/>
    <w:pPr>
      <w:spacing w:before="480" w:line="276" w:lineRule="auto"/>
      <w:outlineLvl w:val="9"/>
    </w:pPr>
    <w:rPr>
      <w:b/>
      <w:bCs/>
      <w:sz w:val="28"/>
      <w:szCs w:val="28"/>
      <w:lang w:eastAsia="ru-RU"/>
    </w:rPr>
  </w:style>
  <w:style w:type="paragraph" w:styleId="21">
    <w:name w:val="toc 2"/>
    <w:basedOn w:val="a"/>
    <w:next w:val="a"/>
    <w:autoRedefine/>
    <w:uiPriority w:val="39"/>
    <w:unhideWhenUsed/>
    <w:qFormat/>
    <w:rsid w:val="00D61844"/>
    <w:pPr>
      <w:spacing w:after="0" w:line="360" w:lineRule="exact"/>
      <w:ind w:firstLine="567"/>
      <w:jc w:val="both"/>
    </w:pPr>
    <w:rPr>
      <w:rFonts w:ascii="Times New Roman" w:eastAsiaTheme="minorEastAsia" w:hAnsi="Times New Roman" w:cs="Times New Roman"/>
      <w:b/>
      <w:sz w:val="28"/>
      <w:szCs w:val="28"/>
      <w:lang w:eastAsia="ru-RU"/>
    </w:rPr>
  </w:style>
  <w:style w:type="character" w:customStyle="1" w:styleId="apple-converted-space">
    <w:name w:val="apple-converted-space"/>
    <w:basedOn w:val="a0"/>
    <w:rsid w:val="00D61844"/>
  </w:style>
  <w:style w:type="paragraph" w:styleId="22">
    <w:name w:val="Body Text Indent 2"/>
    <w:basedOn w:val="a"/>
    <w:link w:val="23"/>
    <w:rsid w:val="00D61844"/>
    <w:pPr>
      <w:spacing w:after="120" w:line="480" w:lineRule="auto"/>
      <w:ind w:left="283"/>
    </w:pPr>
    <w:rPr>
      <w:rFonts w:ascii="Times New Roman" w:eastAsia="Times New Roman" w:hAnsi="Times New Roman" w:cs="Times New Roman"/>
      <w:sz w:val="20"/>
      <w:szCs w:val="20"/>
      <w:lang w:eastAsia="ru-RU"/>
    </w:rPr>
  </w:style>
  <w:style w:type="character" w:customStyle="1" w:styleId="23">
    <w:name w:val="Основной текст с отступом 2 Знак"/>
    <w:basedOn w:val="a0"/>
    <w:link w:val="22"/>
    <w:rsid w:val="00D61844"/>
    <w:rPr>
      <w:rFonts w:ascii="Times New Roman" w:eastAsia="Times New Roman" w:hAnsi="Times New Roman" w:cs="Times New Roman"/>
      <w:sz w:val="20"/>
      <w:szCs w:val="20"/>
      <w:lang w:eastAsia="ru-RU"/>
    </w:rPr>
  </w:style>
  <w:style w:type="paragraph" w:customStyle="1" w:styleId="af1">
    <w:name w:val="ТАБЛИЦА"/>
    <w:basedOn w:val="a"/>
    <w:rsid w:val="00D61844"/>
    <w:pPr>
      <w:spacing w:after="0" w:line="240" w:lineRule="auto"/>
      <w:jc w:val="both"/>
    </w:pPr>
    <w:rPr>
      <w:rFonts w:ascii="Arial" w:eastAsia="Times New Roman" w:hAnsi="Arial" w:cs="Times New Roman"/>
      <w:szCs w:val="18"/>
      <w:lang w:eastAsia="ru-RU"/>
    </w:rPr>
  </w:style>
  <w:style w:type="character" w:styleId="af2">
    <w:name w:val="FollowedHyperlink"/>
    <w:basedOn w:val="a0"/>
    <w:uiPriority w:val="99"/>
    <w:semiHidden/>
    <w:unhideWhenUsed/>
    <w:rsid w:val="00D6184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anyaaaplevichmail.ru@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3A948-46F2-47CD-9118-54D841BB1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2172</Words>
  <Characters>12387</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Рахунок Татьяна</cp:lastModifiedBy>
  <cp:revision>5</cp:revision>
  <cp:lastPrinted>2020-05-08T18:14:00Z</cp:lastPrinted>
  <dcterms:created xsi:type="dcterms:W3CDTF">2020-05-11T18:53:00Z</dcterms:created>
  <dcterms:modified xsi:type="dcterms:W3CDTF">2020-05-12T16:49:00Z</dcterms:modified>
</cp:coreProperties>
</file>