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A3" w:rsidRDefault="00EE2B35" w:rsidP="00CD6A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Индекс </w:t>
      </w:r>
      <w:r w:rsidRPr="00EE2B35">
        <w:rPr>
          <w:rFonts w:ascii="Times New Roman" w:hAnsi="Times New Roman" w:cs="Times New Roman"/>
          <w:b/>
          <w:sz w:val="24"/>
          <w:szCs w:val="24"/>
        </w:rPr>
        <w:t>УДК</w:t>
      </w:r>
      <w:r w:rsidR="00205BC7">
        <w:rPr>
          <w:rFonts w:ascii="Times New Roman" w:hAnsi="Times New Roman" w:cs="Times New Roman"/>
          <w:b/>
          <w:sz w:val="24"/>
          <w:szCs w:val="24"/>
        </w:rPr>
        <w:t xml:space="preserve"> 339.9</w:t>
      </w:r>
      <w:r w:rsidRPr="00EE2B35">
        <w:rPr>
          <w:rFonts w:ascii="Times New Roman" w:hAnsi="Times New Roman" w:cs="Times New Roman"/>
          <w:b/>
          <w:sz w:val="24"/>
          <w:szCs w:val="24"/>
        </w:rPr>
        <w:t>/ББК</w:t>
      </w:r>
      <w:r w:rsidR="00205BC7">
        <w:rPr>
          <w:rFonts w:ascii="Times New Roman" w:hAnsi="Times New Roman" w:cs="Times New Roman"/>
          <w:b/>
          <w:sz w:val="24"/>
          <w:szCs w:val="24"/>
        </w:rPr>
        <w:t xml:space="preserve"> 65.5</w:t>
      </w:r>
    </w:p>
    <w:p w:rsidR="00EE2B35" w:rsidRDefault="00EE2B35" w:rsidP="00CD6A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Шилец Е.С.</w:t>
      </w:r>
    </w:p>
    <w:p w:rsidR="00EE2B35" w:rsidRDefault="00EE2B35" w:rsidP="00CD6A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Сухинина А.О.</w:t>
      </w:r>
    </w:p>
    <w:p w:rsidR="00EE2B35" w:rsidRDefault="007E6D96" w:rsidP="00CD6A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ПОВЫШЕНИЕ КОНКУРЕНТОСПОСОБНОСТИ</w:t>
      </w:r>
      <w:r w:rsidR="00EE2B35">
        <w:rPr>
          <w:rFonts w:ascii="Times New Roman" w:hAnsi="Times New Roman" w:cs="Times New Roman"/>
          <w:b/>
          <w:sz w:val="24"/>
          <w:szCs w:val="24"/>
        </w:rPr>
        <w:t xml:space="preserve"> ЭКОНОМИКИ КИТАЯ</w:t>
      </w:r>
      <w:r>
        <w:rPr>
          <w:rFonts w:ascii="Times New Roman" w:hAnsi="Times New Roman" w:cs="Times New Roman"/>
          <w:b/>
          <w:sz w:val="24"/>
          <w:szCs w:val="24"/>
        </w:rPr>
        <w:t xml:space="preserve"> В УСЛОВИЯХ ГЛОБАЛИЗАЦИИ</w:t>
      </w:r>
    </w:p>
    <w:p w:rsidR="00EE2B35" w:rsidRDefault="00EE2B35" w:rsidP="00CD6AE7">
      <w:pPr>
        <w:spacing w:after="0" w:line="240" w:lineRule="auto"/>
        <w:jc w:val="center"/>
        <w:rPr>
          <w:rFonts w:ascii="Times New Roman" w:hAnsi="Times New Roman" w:cs="Times New Roman"/>
          <w:b/>
          <w:sz w:val="24"/>
          <w:szCs w:val="24"/>
        </w:rPr>
      </w:pPr>
    </w:p>
    <w:p w:rsidR="00D037BF" w:rsidRDefault="00306AE6" w:rsidP="00CD6AE7">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На сегодняшний день Китай можно всё чаще рассматривать как пример для построения модели развития государства на многих уровнях. Являясь второй по величине экономикой мира Китай демонстрирует быстрый и устойчивый рост. Страна является самой населенной в мире и успешно использует своё положительное экономическое развитие для снижения уровня бедности и поддержания благосостояния своих граждан. </w:t>
      </w:r>
      <w:r w:rsidR="00CE3A47">
        <w:rPr>
          <w:rFonts w:ascii="Times New Roman" w:hAnsi="Times New Roman" w:cs="Times New Roman"/>
          <w:i/>
          <w:sz w:val="24"/>
          <w:szCs w:val="24"/>
        </w:rPr>
        <w:t xml:space="preserve">Один из факторов китайского экономического успеха – это масштабные инвестиции. </w:t>
      </w:r>
      <w:r>
        <w:rPr>
          <w:rFonts w:ascii="Times New Roman" w:hAnsi="Times New Roman" w:cs="Times New Roman"/>
          <w:i/>
          <w:sz w:val="24"/>
          <w:szCs w:val="24"/>
        </w:rPr>
        <w:t>Китай осуществляет колоссальн</w:t>
      </w:r>
      <w:r w:rsidR="00CE3A47">
        <w:rPr>
          <w:rFonts w:ascii="Times New Roman" w:hAnsi="Times New Roman" w:cs="Times New Roman"/>
          <w:i/>
          <w:sz w:val="24"/>
          <w:szCs w:val="24"/>
        </w:rPr>
        <w:t>ое</w:t>
      </w:r>
      <w:r>
        <w:rPr>
          <w:rFonts w:ascii="Times New Roman" w:hAnsi="Times New Roman" w:cs="Times New Roman"/>
          <w:i/>
          <w:sz w:val="24"/>
          <w:szCs w:val="24"/>
        </w:rPr>
        <w:t xml:space="preserve"> инвести</w:t>
      </w:r>
      <w:r w:rsidR="00CE3A47">
        <w:rPr>
          <w:rFonts w:ascii="Times New Roman" w:hAnsi="Times New Roman" w:cs="Times New Roman"/>
          <w:i/>
          <w:sz w:val="24"/>
          <w:szCs w:val="24"/>
        </w:rPr>
        <w:t>рование</w:t>
      </w:r>
      <w:r>
        <w:rPr>
          <w:rFonts w:ascii="Times New Roman" w:hAnsi="Times New Roman" w:cs="Times New Roman"/>
          <w:i/>
          <w:sz w:val="24"/>
          <w:szCs w:val="24"/>
        </w:rPr>
        <w:t xml:space="preserve"> и предпринимает меры государственной поддержки </w:t>
      </w:r>
      <w:r w:rsidR="00CE3A47">
        <w:rPr>
          <w:rFonts w:ascii="Times New Roman" w:hAnsi="Times New Roman" w:cs="Times New Roman"/>
          <w:i/>
          <w:sz w:val="24"/>
          <w:szCs w:val="24"/>
        </w:rPr>
        <w:t>в различных сферах</w:t>
      </w:r>
      <w:r>
        <w:rPr>
          <w:rFonts w:ascii="Times New Roman" w:hAnsi="Times New Roman" w:cs="Times New Roman"/>
          <w:i/>
          <w:sz w:val="24"/>
          <w:szCs w:val="24"/>
        </w:rPr>
        <w:t>, среди которых</w:t>
      </w:r>
      <w:r w:rsidR="00CE3A47">
        <w:rPr>
          <w:rFonts w:ascii="Times New Roman" w:hAnsi="Times New Roman" w:cs="Times New Roman"/>
          <w:i/>
          <w:sz w:val="24"/>
          <w:szCs w:val="24"/>
        </w:rPr>
        <w:t xml:space="preserve"> можно выделить</w:t>
      </w:r>
      <w:r>
        <w:rPr>
          <w:rFonts w:ascii="Times New Roman" w:hAnsi="Times New Roman" w:cs="Times New Roman"/>
          <w:i/>
          <w:sz w:val="24"/>
          <w:szCs w:val="24"/>
        </w:rPr>
        <w:t xml:space="preserve"> развитие инфраструктур</w:t>
      </w:r>
      <w:r w:rsidR="00CE3A47">
        <w:rPr>
          <w:rFonts w:ascii="Times New Roman" w:hAnsi="Times New Roman" w:cs="Times New Roman"/>
          <w:i/>
          <w:sz w:val="24"/>
          <w:szCs w:val="24"/>
        </w:rPr>
        <w:t>ы, здравоохранение, образование (в</w:t>
      </w:r>
      <w:r w:rsidR="00AE4C5B">
        <w:rPr>
          <w:rFonts w:ascii="Times New Roman" w:hAnsi="Times New Roman" w:cs="Times New Roman"/>
          <w:i/>
          <w:sz w:val="24"/>
          <w:szCs w:val="24"/>
        </w:rPr>
        <w:t xml:space="preserve"> том числе онлайн-образование) </w:t>
      </w:r>
      <w:r w:rsidR="00CE3A47">
        <w:rPr>
          <w:rFonts w:ascii="Times New Roman" w:hAnsi="Times New Roman" w:cs="Times New Roman"/>
          <w:i/>
          <w:sz w:val="24"/>
          <w:szCs w:val="24"/>
        </w:rPr>
        <w:t>и т.д. Также государство заинтересованно в притоке иностранного капитала, что позволяет использовать зарубежный управленческий опыт, открывать доступ к новейшим технологиям, а также расширять экспортоориентированные отрасли. Так, Китай занимает лидирующие позиции по объемам мирового экспорта</w:t>
      </w:r>
      <w:r w:rsidR="00D037BF">
        <w:rPr>
          <w:rFonts w:ascii="Times New Roman" w:hAnsi="Times New Roman" w:cs="Times New Roman"/>
          <w:i/>
          <w:sz w:val="24"/>
          <w:szCs w:val="24"/>
        </w:rPr>
        <w:t>.</w:t>
      </w:r>
      <w:r>
        <w:rPr>
          <w:rFonts w:ascii="Times New Roman" w:hAnsi="Times New Roman" w:cs="Times New Roman"/>
          <w:i/>
          <w:sz w:val="24"/>
          <w:szCs w:val="24"/>
        </w:rPr>
        <w:t xml:space="preserve"> </w:t>
      </w:r>
      <w:r w:rsidR="00D037BF" w:rsidRPr="00D037BF">
        <w:rPr>
          <w:rFonts w:ascii="Times New Roman" w:hAnsi="Times New Roman" w:cs="Times New Roman"/>
          <w:i/>
          <w:sz w:val="24"/>
          <w:szCs w:val="24"/>
        </w:rPr>
        <w:t>Измеряемая по паритету покупательной способности, доля Китая в мировом ВВП в 2019</w:t>
      </w:r>
      <w:r w:rsidR="00D037BF">
        <w:rPr>
          <w:rFonts w:ascii="Times New Roman" w:hAnsi="Times New Roman" w:cs="Times New Roman"/>
          <w:i/>
          <w:sz w:val="24"/>
          <w:szCs w:val="24"/>
        </w:rPr>
        <w:t xml:space="preserve"> году выросла до </w:t>
      </w:r>
      <w:r w:rsidR="00D037BF" w:rsidRPr="00D037BF">
        <w:rPr>
          <w:rFonts w:ascii="Times New Roman" w:hAnsi="Times New Roman" w:cs="Times New Roman"/>
          <w:i/>
          <w:sz w:val="24"/>
          <w:szCs w:val="24"/>
        </w:rPr>
        <w:t>19%.</w:t>
      </w:r>
      <w:r w:rsidR="00D037BF">
        <w:rPr>
          <w:rFonts w:ascii="Times New Roman" w:hAnsi="Times New Roman" w:cs="Times New Roman"/>
          <w:i/>
          <w:sz w:val="24"/>
          <w:szCs w:val="24"/>
        </w:rPr>
        <w:t xml:space="preserve"> </w:t>
      </w:r>
      <w:r w:rsidR="00D037BF" w:rsidRPr="00D037BF">
        <w:rPr>
          <w:rFonts w:ascii="Times New Roman" w:hAnsi="Times New Roman" w:cs="Times New Roman"/>
          <w:i/>
          <w:sz w:val="24"/>
          <w:szCs w:val="24"/>
        </w:rPr>
        <w:t>В</w:t>
      </w:r>
      <w:r w:rsidR="00D037BF">
        <w:rPr>
          <w:rFonts w:ascii="Times New Roman" w:hAnsi="Times New Roman" w:cs="Times New Roman"/>
          <w:i/>
          <w:sz w:val="24"/>
          <w:szCs w:val="24"/>
        </w:rPr>
        <w:t> </w:t>
      </w:r>
      <w:r w:rsidR="00D037BF" w:rsidRPr="00D037BF">
        <w:rPr>
          <w:rFonts w:ascii="Times New Roman" w:hAnsi="Times New Roman" w:cs="Times New Roman"/>
          <w:i/>
          <w:sz w:val="24"/>
          <w:szCs w:val="24"/>
        </w:rPr>
        <w:t>индексе развития человеческого потенциала в 201</w:t>
      </w:r>
      <w:r w:rsidR="00F52C12">
        <w:rPr>
          <w:rFonts w:ascii="Times New Roman" w:hAnsi="Times New Roman" w:cs="Times New Roman"/>
          <w:i/>
          <w:sz w:val="24"/>
          <w:szCs w:val="24"/>
        </w:rPr>
        <w:t>9</w:t>
      </w:r>
      <w:r w:rsidR="00D037BF" w:rsidRPr="00D037BF">
        <w:rPr>
          <w:rFonts w:ascii="Times New Roman" w:hAnsi="Times New Roman" w:cs="Times New Roman"/>
          <w:i/>
          <w:sz w:val="24"/>
          <w:szCs w:val="24"/>
        </w:rPr>
        <w:t xml:space="preserve"> году Китай занял 4 место, уступив Норвегии, Швейцарии и Ирландии. В международном рейтинге конкурентоспособности Китаю в </w:t>
      </w:r>
      <w:r w:rsidR="00F52C12">
        <w:rPr>
          <w:rFonts w:ascii="Times New Roman" w:hAnsi="Times New Roman" w:cs="Times New Roman"/>
          <w:i/>
          <w:sz w:val="24"/>
          <w:szCs w:val="24"/>
        </w:rPr>
        <w:t>2019</w:t>
      </w:r>
      <w:r w:rsidR="00AE4C5B">
        <w:rPr>
          <w:rFonts w:ascii="Times New Roman" w:hAnsi="Times New Roman" w:cs="Times New Roman"/>
          <w:i/>
          <w:sz w:val="24"/>
          <w:szCs w:val="24"/>
        </w:rPr>
        <w:t xml:space="preserve"> году принадлежит 14 место среди 63</w:t>
      </w:r>
      <w:r w:rsidR="00D037BF" w:rsidRPr="00D037BF">
        <w:rPr>
          <w:rFonts w:ascii="Times New Roman" w:hAnsi="Times New Roman" w:cs="Times New Roman"/>
          <w:i/>
          <w:sz w:val="24"/>
          <w:szCs w:val="24"/>
        </w:rPr>
        <w:t xml:space="preserve"> представленых стран. Китай гордится </w:t>
      </w:r>
      <w:r w:rsidR="00D037BF">
        <w:rPr>
          <w:rFonts w:ascii="Times New Roman" w:hAnsi="Times New Roman" w:cs="Times New Roman"/>
          <w:i/>
          <w:sz w:val="24"/>
          <w:szCs w:val="24"/>
        </w:rPr>
        <w:t>тем, что имеет около 9 процентов</w:t>
      </w:r>
      <w:r w:rsidR="00D037BF" w:rsidRPr="00D037BF">
        <w:rPr>
          <w:rFonts w:ascii="Times New Roman" w:hAnsi="Times New Roman" w:cs="Times New Roman"/>
          <w:i/>
          <w:sz w:val="24"/>
          <w:szCs w:val="24"/>
        </w:rPr>
        <w:t xml:space="preserve"> пахотных земель в мире, чтобы прокормить почти 20</w:t>
      </w:r>
      <w:r w:rsidR="00D037BF">
        <w:rPr>
          <w:rFonts w:ascii="Times New Roman" w:hAnsi="Times New Roman" w:cs="Times New Roman"/>
          <w:i/>
          <w:sz w:val="24"/>
          <w:szCs w:val="24"/>
        </w:rPr>
        <w:t> </w:t>
      </w:r>
      <w:r w:rsidR="00D037BF" w:rsidRPr="00D037BF">
        <w:rPr>
          <w:rFonts w:ascii="Times New Roman" w:hAnsi="Times New Roman" w:cs="Times New Roman"/>
          <w:i/>
          <w:sz w:val="24"/>
          <w:szCs w:val="24"/>
        </w:rPr>
        <w:t xml:space="preserve">процентов населения мира. </w:t>
      </w:r>
      <w:r w:rsidR="00D037BF">
        <w:rPr>
          <w:rFonts w:ascii="Times New Roman" w:hAnsi="Times New Roman" w:cs="Times New Roman"/>
          <w:i/>
          <w:sz w:val="24"/>
          <w:szCs w:val="24"/>
        </w:rPr>
        <w:t xml:space="preserve">Можно предположить, что в ближайшие годы именно китайская экономика займет лидирующую позицию. </w:t>
      </w:r>
    </w:p>
    <w:p w:rsidR="00EE2B35" w:rsidRDefault="00EE2B35" w:rsidP="00CD6AE7">
      <w:pPr>
        <w:spacing w:after="0" w:line="240" w:lineRule="auto"/>
        <w:ind w:firstLine="567"/>
        <w:jc w:val="both"/>
        <w:rPr>
          <w:rFonts w:ascii="Times New Roman" w:hAnsi="Times New Roman" w:cs="Times New Roman"/>
          <w:sz w:val="24"/>
          <w:szCs w:val="24"/>
        </w:rPr>
      </w:pPr>
      <w:r w:rsidRPr="00D037BF">
        <w:rPr>
          <w:rFonts w:ascii="Times New Roman" w:hAnsi="Times New Roman" w:cs="Times New Roman"/>
          <w:b/>
          <w:sz w:val="24"/>
          <w:szCs w:val="24"/>
        </w:rPr>
        <w:t>Ключевые слова</w:t>
      </w:r>
      <w:r>
        <w:rPr>
          <w:rFonts w:ascii="Times New Roman" w:hAnsi="Times New Roman" w:cs="Times New Roman"/>
          <w:i/>
          <w:sz w:val="24"/>
          <w:szCs w:val="24"/>
        </w:rPr>
        <w:t xml:space="preserve"> </w:t>
      </w:r>
      <w:r w:rsidR="00CD6AE7">
        <w:rPr>
          <w:rFonts w:ascii="Times New Roman" w:hAnsi="Times New Roman" w:cs="Times New Roman"/>
          <w:i/>
          <w:sz w:val="24"/>
          <w:szCs w:val="24"/>
        </w:rPr>
        <w:t>мировая экономика, национальная экономика, инвестиции, ВВП, конкурентоспособность, инфраструктура, экспорт</w:t>
      </w:r>
    </w:p>
    <w:p w:rsidR="00EE2B35" w:rsidRDefault="00EE2B35" w:rsidP="00CD6AE7">
      <w:pPr>
        <w:spacing w:after="0" w:line="240" w:lineRule="auto"/>
        <w:ind w:firstLine="567"/>
        <w:jc w:val="both"/>
        <w:rPr>
          <w:rFonts w:ascii="Times New Roman" w:hAnsi="Times New Roman" w:cs="Times New Roman"/>
          <w:sz w:val="24"/>
          <w:szCs w:val="24"/>
        </w:rPr>
      </w:pPr>
    </w:p>
    <w:p w:rsidR="00CD6AE7" w:rsidRDefault="00EE2B35" w:rsidP="00CD6AE7">
      <w:pPr>
        <w:spacing w:after="0" w:line="240" w:lineRule="auto"/>
        <w:ind w:firstLine="567"/>
        <w:jc w:val="both"/>
      </w:pPr>
      <w:r>
        <w:rPr>
          <w:rFonts w:ascii="Times New Roman" w:hAnsi="Times New Roman" w:cs="Times New Roman"/>
          <w:sz w:val="24"/>
          <w:szCs w:val="24"/>
        </w:rPr>
        <w:t>В настоящее время Китай, несомненно, можно назвать одним из самых успешно развивающихся государств мира. Рост экономики Китая был в</w:t>
      </w:r>
      <w:r w:rsidR="008E7C0F">
        <w:rPr>
          <w:rFonts w:ascii="Times New Roman" w:hAnsi="Times New Roman" w:cs="Times New Roman"/>
          <w:sz w:val="24"/>
          <w:szCs w:val="24"/>
        </w:rPr>
        <w:t>печатляющим по многим критериям, которые определили ее конкурентоспособность.</w:t>
      </w:r>
    </w:p>
    <w:p w:rsidR="009F6A40" w:rsidRPr="009F6A40" w:rsidRDefault="00F32887" w:rsidP="00CD6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«конкурентоспособность национальной экономики» трактуется по-разному. Так, например, Головачев А.С. дает следующее определение: «К</w:t>
      </w:r>
      <w:r w:rsidRPr="00F32887">
        <w:rPr>
          <w:rFonts w:ascii="Times New Roman" w:hAnsi="Times New Roman" w:cs="Times New Roman"/>
          <w:sz w:val="24"/>
          <w:szCs w:val="24"/>
        </w:rPr>
        <w:t>онкурентоспособность национальной экономики – это способность открытой для международной конкуренции страны создавать конкурентные преимущества отечественных товаров (услуг, работ) на мировых рынках, способность ее субъектов хозяйствования проектировать, производить и продавать свои товары (услуги) (более успешно, чем страны-конкуренты) на основе высокой производительности общественного труда, эффективности использования ресурсов, повышения рентабельности активов (что в совокупности обеспечивает инновационное развитие и расширенное воспроизводство, стабильно высокий относительно других стран уровень ВВП и доходов своих граждан в расчете на душу населения). Конкурентоспособность национальной экономики характеризуется, во-первых, степенью развития всех ее регионов и отраслей, во-вторых, наиболее высоким уровнем жизни населения среди других стран.</w:t>
      </w:r>
      <w:r>
        <w:rPr>
          <w:rFonts w:ascii="Times New Roman" w:hAnsi="Times New Roman" w:cs="Times New Roman"/>
          <w:sz w:val="24"/>
          <w:szCs w:val="24"/>
        </w:rPr>
        <w:t xml:space="preserve">» </w:t>
      </w:r>
      <w:r w:rsidRPr="00205E68">
        <w:rPr>
          <w:rFonts w:ascii="Times New Roman" w:hAnsi="Times New Roman" w:cs="Times New Roman"/>
          <w:sz w:val="24"/>
          <w:szCs w:val="24"/>
        </w:rPr>
        <w:t>[1]</w:t>
      </w:r>
    </w:p>
    <w:p w:rsidR="00CB2400" w:rsidRDefault="00CD6AE7" w:rsidP="00CD6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Мировой экономический кризис 2008-2009 г.г. имел значительное влияние на экономику Китая, поскольку снизились объемы инвестиций, импорта и экспорта, рост ВВП также замедлился, возрос уровень безработицы. Правительство Китая приняло ряд мер, внедрило различные экономичсекие стимулы. Это позволило менее болезненно пережить резкий спад спроса на китайскую экспортную продукцию</w:t>
      </w:r>
      <w:r w:rsidR="00CB2400">
        <w:rPr>
          <w:rFonts w:ascii="Times New Roman" w:hAnsi="Times New Roman" w:cs="Times New Roman"/>
          <w:sz w:val="24"/>
          <w:szCs w:val="24"/>
        </w:rPr>
        <w:t>, несмотря на сокращение экономики стран-партнеров Китая.</w:t>
      </w:r>
      <w:r>
        <w:rPr>
          <w:rFonts w:ascii="Times New Roman" w:hAnsi="Times New Roman" w:cs="Times New Roman"/>
          <w:sz w:val="24"/>
          <w:szCs w:val="24"/>
        </w:rPr>
        <w:t xml:space="preserve"> </w:t>
      </w:r>
    </w:p>
    <w:p w:rsidR="00663739" w:rsidRDefault="009209F7" w:rsidP="00CD6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2019 году ВВП Китая по </w:t>
      </w:r>
      <w:r w:rsidR="00CB2400">
        <w:rPr>
          <w:rFonts w:ascii="Times New Roman" w:hAnsi="Times New Roman" w:cs="Times New Roman"/>
          <w:sz w:val="24"/>
          <w:szCs w:val="24"/>
        </w:rPr>
        <w:t>паритету покупательной способности (</w:t>
      </w:r>
      <w:r>
        <w:rPr>
          <w:rFonts w:ascii="Times New Roman" w:hAnsi="Times New Roman" w:cs="Times New Roman"/>
          <w:sz w:val="24"/>
          <w:szCs w:val="24"/>
        </w:rPr>
        <w:t>ППС</w:t>
      </w:r>
      <w:r w:rsidR="00CB2400">
        <w:rPr>
          <w:rFonts w:ascii="Times New Roman" w:hAnsi="Times New Roman" w:cs="Times New Roman"/>
          <w:sz w:val="24"/>
          <w:szCs w:val="24"/>
        </w:rPr>
        <w:t>)</w:t>
      </w:r>
      <w:r>
        <w:rPr>
          <w:rFonts w:ascii="Times New Roman" w:hAnsi="Times New Roman" w:cs="Times New Roman"/>
          <w:sz w:val="24"/>
          <w:szCs w:val="24"/>
        </w:rPr>
        <w:t xml:space="preserve"> составил </w:t>
      </w:r>
      <w:r w:rsidRPr="009209F7">
        <w:rPr>
          <w:rFonts w:ascii="Times New Roman" w:hAnsi="Times New Roman" w:cs="Times New Roman"/>
          <w:sz w:val="24"/>
          <w:szCs w:val="24"/>
        </w:rPr>
        <w:t>27</w:t>
      </w:r>
      <w:r w:rsidR="009F6A40">
        <w:rPr>
          <w:rFonts w:ascii="Times New Roman" w:hAnsi="Times New Roman" w:cs="Times New Roman"/>
          <w:sz w:val="24"/>
          <w:szCs w:val="24"/>
        </w:rPr>
        <w:t>,</w:t>
      </w:r>
      <w:r w:rsidRPr="009209F7">
        <w:rPr>
          <w:rFonts w:ascii="Times New Roman" w:hAnsi="Times New Roman" w:cs="Times New Roman"/>
          <w:sz w:val="24"/>
          <w:szCs w:val="24"/>
        </w:rPr>
        <w:t>3</w:t>
      </w:r>
      <w:r w:rsidR="00CB2400">
        <w:rPr>
          <w:rFonts w:ascii="Times New Roman" w:hAnsi="Times New Roman" w:cs="Times New Roman"/>
          <w:sz w:val="24"/>
          <w:szCs w:val="24"/>
        </w:rPr>
        <w:t> </w:t>
      </w:r>
      <w:r w:rsidR="009F6A40">
        <w:rPr>
          <w:rFonts w:ascii="Times New Roman" w:hAnsi="Times New Roman" w:cs="Times New Roman"/>
          <w:sz w:val="24"/>
          <w:szCs w:val="24"/>
        </w:rPr>
        <w:t>трлн</w:t>
      </w:r>
      <w:r>
        <w:rPr>
          <w:rFonts w:ascii="Times New Roman" w:hAnsi="Times New Roman" w:cs="Times New Roman"/>
          <w:sz w:val="24"/>
          <w:szCs w:val="24"/>
        </w:rPr>
        <w:t>. долл., что на 8% больше показателя прошлого года.</w:t>
      </w:r>
      <w:r w:rsidR="008B5645">
        <w:rPr>
          <w:rFonts w:ascii="Times New Roman" w:hAnsi="Times New Roman" w:cs="Times New Roman"/>
          <w:sz w:val="24"/>
          <w:szCs w:val="24"/>
        </w:rPr>
        <w:t xml:space="preserve"> </w:t>
      </w:r>
    </w:p>
    <w:p w:rsidR="009209F7" w:rsidRDefault="009209F7" w:rsidP="00CD6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о ВВП (по ППС) Китая за последние 10 лет представлены в таблице 1.</w:t>
      </w:r>
      <w:r w:rsidR="00663739">
        <w:rPr>
          <w:rFonts w:ascii="Times New Roman" w:hAnsi="Times New Roman" w:cs="Times New Roman"/>
          <w:sz w:val="24"/>
          <w:szCs w:val="24"/>
        </w:rPr>
        <w:t xml:space="preserve"> Как видно, </w:t>
      </w:r>
    </w:p>
    <w:p w:rsidR="00CB2400" w:rsidRDefault="00CB2400" w:rsidP="00CD6AE7">
      <w:pPr>
        <w:spacing w:after="0" w:line="240" w:lineRule="auto"/>
        <w:jc w:val="center"/>
        <w:rPr>
          <w:rFonts w:ascii="Times New Roman" w:hAnsi="Times New Roman" w:cs="Times New Roman"/>
          <w:sz w:val="24"/>
          <w:szCs w:val="24"/>
        </w:rPr>
      </w:pPr>
    </w:p>
    <w:p w:rsidR="008B5645" w:rsidRDefault="008B5645" w:rsidP="00CD6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Таблица 1 – </w:t>
      </w:r>
      <w:r w:rsidR="00663739" w:rsidRPr="00663739">
        <w:rPr>
          <w:rFonts w:ascii="Times New Roman" w:hAnsi="Times New Roman" w:cs="Times New Roman"/>
          <w:sz w:val="24"/>
          <w:szCs w:val="24"/>
        </w:rPr>
        <w:t>Валовой внутренний продукт</w:t>
      </w:r>
      <w:r w:rsidR="00663739">
        <w:rPr>
          <w:rFonts w:ascii="Times New Roman" w:hAnsi="Times New Roman" w:cs="Times New Roman"/>
          <w:sz w:val="24"/>
          <w:szCs w:val="24"/>
        </w:rPr>
        <w:t xml:space="preserve"> Китая</w:t>
      </w:r>
      <w:r w:rsidR="00663739" w:rsidRPr="00663739">
        <w:rPr>
          <w:rFonts w:ascii="Times New Roman" w:hAnsi="Times New Roman" w:cs="Times New Roman"/>
          <w:sz w:val="24"/>
          <w:szCs w:val="24"/>
        </w:rPr>
        <w:t>, по паритету покупательной способности</w:t>
      </w:r>
      <w:r w:rsidR="00663739">
        <w:rPr>
          <w:rFonts w:ascii="Times New Roman" w:hAnsi="Times New Roman" w:cs="Times New Roman"/>
          <w:sz w:val="24"/>
          <w:szCs w:val="24"/>
        </w:rPr>
        <w:t xml:space="preserve"> (ППС)</w:t>
      </w:r>
    </w:p>
    <w:tbl>
      <w:tblPr>
        <w:tblStyle w:val="a3"/>
        <w:tblW w:w="0" w:type="auto"/>
        <w:tblLook w:val="04A0" w:firstRow="1" w:lastRow="0" w:firstColumn="1" w:lastColumn="0" w:noHBand="0" w:noVBand="1"/>
      </w:tblPr>
      <w:tblGrid>
        <w:gridCol w:w="3284"/>
        <w:gridCol w:w="3285"/>
        <w:gridCol w:w="3285"/>
      </w:tblGrid>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Год</w:t>
            </w:r>
          </w:p>
        </w:tc>
        <w:tc>
          <w:tcPr>
            <w:tcW w:w="3285"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Значение, трлн.долл.</w:t>
            </w:r>
          </w:p>
        </w:tc>
        <w:tc>
          <w:tcPr>
            <w:tcW w:w="3285"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 xml:space="preserve">Изменение </w:t>
            </w:r>
            <w:r>
              <w:rPr>
                <w:rFonts w:ascii="Arial" w:hAnsi="Arial" w:cs="Arial"/>
                <w:sz w:val="18"/>
                <w:szCs w:val="18"/>
              </w:rPr>
              <w:t>в сравнении с прошлым периодом</w:t>
            </w:r>
            <w:r w:rsidRPr="008B5645">
              <w:rPr>
                <w:rFonts w:ascii="Arial" w:hAnsi="Arial" w:cs="Arial"/>
                <w:sz w:val="18"/>
                <w:szCs w:val="18"/>
              </w:rPr>
              <w:t>, %</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2019</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27,3</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+8,0</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2018</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25,8</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+9,1</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2017</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23,2</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+8,8</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2016</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21,3</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+7,8</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2015</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19,7</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+8,0</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2014</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18,3</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+9,3</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2013</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16,7</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+9,7</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2012</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15,2</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+9,9</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2011</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13,9</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+11,8</w:t>
            </w:r>
          </w:p>
        </w:tc>
      </w:tr>
      <w:tr w:rsidR="008B5645" w:rsidRPr="008B5645" w:rsidTr="008B5645">
        <w:tc>
          <w:tcPr>
            <w:tcW w:w="3284" w:type="dxa"/>
            <w:vAlign w:val="center"/>
          </w:tcPr>
          <w:p w:rsidR="008B5645" w:rsidRPr="008B5645" w:rsidRDefault="008B5645" w:rsidP="00CD6AE7">
            <w:pPr>
              <w:jc w:val="center"/>
              <w:rPr>
                <w:rFonts w:ascii="Arial" w:hAnsi="Arial" w:cs="Arial"/>
                <w:sz w:val="18"/>
                <w:szCs w:val="18"/>
              </w:rPr>
            </w:pPr>
            <w:r w:rsidRPr="008B5645">
              <w:rPr>
                <w:rFonts w:ascii="Arial" w:hAnsi="Arial" w:cs="Arial"/>
                <w:sz w:val="18"/>
                <w:szCs w:val="18"/>
              </w:rPr>
              <w:t>2010</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12,4</w:t>
            </w:r>
          </w:p>
        </w:tc>
        <w:tc>
          <w:tcPr>
            <w:tcW w:w="3285" w:type="dxa"/>
            <w:vAlign w:val="center"/>
          </w:tcPr>
          <w:p w:rsidR="008B5645" w:rsidRPr="008B5645" w:rsidRDefault="008B5645" w:rsidP="00CD6AE7">
            <w:pPr>
              <w:jc w:val="center"/>
              <w:rPr>
                <w:rFonts w:ascii="Arial" w:hAnsi="Arial" w:cs="Arial"/>
                <w:sz w:val="18"/>
                <w:szCs w:val="18"/>
              </w:rPr>
            </w:pPr>
            <w:r>
              <w:rPr>
                <w:rFonts w:ascii="Arial" w:hAnsi="Arial" w:cs="Arial"/>
                <w:sz w:val="18"/>
                <w:szCs w:val="18"/>
              </w:rPr>
              <w:t>х</w:t>
            </w:r>
          </w:p>
        </w:tc>
      </w:tr>
    </w:tbl>
    <w:p w:rsidR="008B5645" w:rsidRDefault="00CB2400" w:rsidP="00CD6AE7">
      <w:pPr>
        <w:spacing w:after="0" w:line="240" w:lineRule="auto"/>
        <w:jc w:val="both"/>
        <w:rPr>
          <w:rFonts w:ascii="Times New Roman" w:hAnsi="Times New Roman" w:cs="Times New Roman"/>
          <w:sz w:val="24"/>
          <w:szCs w:val="24"/>
        </w:rPr>
      </w:pPr>
      <w:r w:rsidRPr="00CB2400">
        <w:rPr>
          <w:rFonts w:ascii="Times New Roman" w:hAnsi="Times New Roman" w:cs="Times New Roman"/>
          <w:sz w:val="24"/>
          <w:szCs w:val="24"/>
        </w:rPr>
        <w:t>Ссылка на источник информации</w:t>
      </w:r>
      <w:r>
        <w:rPr>
          <w:rFonts w:ascii="Times New Roman" w:hAnsi="Times New Roman" w:cs="Times New Roman"/>
          <w:sz w:val="24"/>
          <w:szCs w:val="24"/>
        </w:rPr>
        <w:t xml:space="preserve">: </w:t>
      </w:r>
      <w:r w:rsidR="00663739" w:rsidRPr="00663739">
        <w:rPr>
          <w:rFonts w:ascii="Times New Roman" w:hAnsi="Times New Roman" w:cs="Times New Roman"/>
          <w:sz w:val="24"/>
          <w:szCs w:val="24"/>
        </w:rPr>
        <w:t>https://knoema.ru/atlas/</w:t>
      </w:r>
    </w:p>
    <w:p w:rsidR="00663739" w:rsidRDefault="00663739" w:rsidP="00CD6AE7">
      <w:pPr>
        <w:spacing w:after="0" w:line="240" w:lineRule="auto"/>
        <w:jc w:val="both"/>
        <w:rPr>
          <w:rFonts w:ascii="Times New Roman" w:hAnsi="Times New Roman" w:cs="Times New Roman"/>
          <w:sz w:val="24"/>
          <w:szCs w:val="24"/>
        </w:rPr>
      </w:pPr>
    </w:p>
    <w:p w:rsidR="006114BC" w:rsidRDefault="00CB2400" w:rsidP="006114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Исходя из данных Организации Объединенных Наций, в последние несколько лет Китай занимает лидирующее место по объемам мирового экспорта.</w:t>
      </w:r>
      <w:r w:rsidRPr="00CB2400">
        <w:t xml:space="preserve"> </w:t>
      </w:r>
      <w:r w:rsidRPr="00CB2400">
        <w:rPr>
          <w:rFonts w:ascii="Times New Roman" w:hAnsi="Times New Roman" w:cs="Times New Roman"/>
          <w:sz w:val="24"/>
          <w:szCs w:val="24"/>
        </w:rPr>
        <w:t>По итогам прошлого года Китай удержал за соб</w:t>
      </w:r>
      <w:r>
        <w:rPr>
          <w:rFonts w:ascii="Times New Roman" w:hAnsi="Times New Roman" w:cs="Times New Roman"/>
          <w:sz w:val="24"/>
          <w:szCs w:val="24"/>
        </w:rPr>
        <w:t>ой позицию крупнейшего мирового экспорте</w:t>
      </w:r>
      <w:r w:rsidRPr="00CB2400">
        <w:rPr>
          <w:rFonts w:ascii="Times New Roman" w:hAnsi="Times New Roman" w:cs="Times New Roman"/>
          <w:sz w:val="24"/>
          <w:szCs w:val="24"/>
        </w:rPr>
        <w:t>ра, и, как следует из прогноза международной консалтинговой компании Deloitte,</w:t>
      </w:r>
      <w:r>
        <w:rPr>
          <w:rFonts w:ascii="Times New Roman" w:hAnsi="Times New Roman" w:cs="Times New Roman"/>
          <w:sz w:val="24"/>
          <w:szCs w:val="24"/>
        </w:rPr>
        <w:t xml:space="preserve"> </w:t>
      </w:r>
      <w:r w:rsidRPr="00CB2400">
        <w:rPr>
          <w:rFonts w:ascii="Times New Roman" w:hAnsi="Times New Roman" w:cs="Times New Roman"/>
          <w:sz w:val="24"/>
          <w:szCs w:val="24"/>
        </w:rPr>
        <w:t>сохранит ее по крайней мере в течение ближайших пяти лет (США оказались на 3-м месте с</w:t>
      </w:r>
      <w:r>
        <w:rPr>
          <w:rFonts w:ascii="Times New Roman" w:hAnsi="Times New Roman" w:cs="Times New Roman"/>
          <w:sz w:val="24"/>
          <w:szCs w:val="24"/>
        </w:rPr>
        <w:t xml:space="preserve"> </w:t>
      </w:r>
      <w:r w:rsidRPr="00CB2400">
        <w:rPr>
          <w:rFonts w:ascii="Times New Roman" w:hAnsi="Times New Roman" w:cs="Times New Roman"/>
          <w:sz w:val="24"/>
          <w:szCs w:val="24"/>
        </w:rPr>
        <w:t>2013 года и на пятом - в 2018 году).</w:t>
      </w:r>
      <w:r>
        <w:rPr>
          <w:rFonts w:ascii="Times New Roman" w:hAnsi="Times New Roman" w:cs="Times New Roman"/>
          <w:sz w:val="24"/>
          <w:szCs w:val="24"/>
        </w:rPr>
        <w:t xml:space="preserve"> </w:t>
      </w:r>
      <w:r w:rsidR="006114BC">
        <w:rPr>
          <w:rFonts w:ascii="Times New Roman" w:hAnsi="Times New Roman" w:cs="Times New Roman"/>
          <w:sz w:val="24"/>
          <w:szCs w:val="24"/>
        </w:rPr>
        <w:t xml:space="preserve">Основными направлениями экспорта из Китая являются США (доля – 19,2%), Гонконг (12,1%), Япония (5,9%), Южная Корея (4,4%), Вьетнам (3,4%), Германия (3,1%), Индия (3,1%), Нидерланды (2,4%), Великобритания (2,3%) и Сингапур (2%). Наибольшая часть экспорта пришлась на </w:t>
      </w:r>
      <w:r w:rsidR="00C06F5C">
        <w:rPr>
          <w:rFonts w:ascii="Times New Roman" w:hAnsi="Times New Roman" w:cs="Times New Roman"/>
          <w:sz w:val="24"/>
          <w:szCs w:val="24"/>
        </w:rPr>
        <w:t>аппаратуру передающую</w:t>
      </w:r>
      <w:r w:rsidR="00C06F5C" w:rsidRPr="00C06F5C">
        <w:rPr>
          <w:rFonts w:ascii="Times New Roman" w:hAnsi="Times New Roman" w:cs="Times New Roman"/>
          <w:sz w:val="24"/>
          <w:szCs w:val="24"/>
        </w:rPr>
        <w:t xml:space="preserve"> для радиовещания или телевидения, включающая или не включающая в свой состав приемную, звукозаписывающую или звуко</w:t>
      </w:r>
      <w:r w:rsidR="00C06F5C">
        <w:rPr>
          <w:rFonts w:ascii="Times New Roman" w:hAnsi="Times New Roman" w:cs="Times New Roman"/>
          <w:sz w:val="24"/>
          <w:szCs w:val="24"/>
        </w:rPr>
        <w:t>воспроизводящую аппаратуру, а также,</w:t>
      </w:r>
      <w:r w:rsidR="00C06F5C" w:rsidRPr="00C06F5C">
        <w:rPr>
          <w:rFonts w:ascii="Times New Roman" w:hAnsi="Times New Roman" w:cs="Times New Roman"/>
          <w:sz w:val="24"/>
          <w:szCs w:val="24"/>
        </w:rPr>
        <w:t xml:space="preserve"> телевизионные камеры, цифровые камеры и записывающие видеокамеры</w:t>
      </w:r>
      <w:r w:rsidR="00C06F5C">
        <w:rPr>
          <w:rFonts w:ascii="Times New Roman" w:hAnsi="Times New Roman" w:cs="Times New Roman"/>
          <w:sz w:val="24"/>
          <w:szCs w:val="24"/>
        </w:rPr>
        <w:t xml:space="preserve"> (8% от объема</w:t>
      </w:r>
      <w:r w:rsidR="00BB4F17">
        <w:rPr>
          <w:rFonts w:ascii="Times New Roman" w:hAnsi="Times New Roman" w:cs="Times New Roman"/>
          <w:sz w:val="24"/>
          <w:szCs w:val="24"/>
        </w:rPr>
        <w:t xml:space="preserve"> экспорта</w:t>
      </w:r>
      <w:r w:rsidR="00C06F5C">
        <w:rPr>
          <w:rFonts w:ascii="Times New Roman" w:hAnsi="Times New Roman" w:cs="Times New Roman"/>
          <w:sz w:val="24"/>
          <w:szCs w:val="24"/>
        </w:rPr>
        <w:t>).</w:t>
      </w:r>
    </w:p>
    <w:p w:rsidR="00CB2400" w:rsidRDefault="00CB2400" w:rsidP="00CB24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Представим </w:t>
      </w:r>
      <w:r w:rsidR="008B2D7F">
        <w:rPr>
          <w:rFonts w:ascii="Times New Roman" w:hAnsi="Times New Roman" w:cs="Times New Roman"/>
          <w:sz w:val="24"/>
          <w:szCs w:val="24"/>
        </w:rPr>
        <w:t>динамику</w:t>
      </w:r>
      <w:r>
        <w:rPr>
          <w:rFonts w:ascii="Times New Roman" w:hAnsi="Times New Roman" w:cs="Times New Roman"/>
          <w:sz w:val="24"/>
          <w:szCs w:val="24"/>
        </w:rPr>
        <w:t xml:space="preserve"> </w:t>
      </w:r>
      <w:r w:rsidR="008B2D7F">
        <w:rPr>
          <w:rFonts w:ascii="Times New Roman" w:hAnsi="Times New Roman" w:cs="Times New Roman"/>
          <w:sz w:val="24"/>
          <w:szCs w:val="24"/>
        </w:rPr>
        <w:t>объемов</w:t>
      </w:r>
      <w:r>
        <w:rPr>
          <w:rFonts w:ascii="Times New Roman" w:hAnsi="Times New Roman" w:cs="Times New Roman"/>
          <w:sz w:val="24"/>
          <w:szCs w:val="24"/>
        </w:rPr>
        <w:t xml:space="preserve"> экспорта товаров и услуг Китая на рисунке 1.</w:t>
      </w:r>
    </w:p>
    <w:p w:rsidR="00CB2400" w:rsidRDefault="00CB2400" w:rsidP="00CB2400">
      <w:pPr>
        <w:spacing w:after="0" w:line="240" w:lineRule="auto"/>
        <w:jc w:val="both"/>
        <w:rPr>
          <w:rFonts w:ascii="Times New Roman" w:hAnsi="Times New Roman" w:cs="Times New Roman"/>
          <w:sz w:val="24"/>
          <w:szCs w:val="24"/>
        </w:rPr>
      </w:pPr>
    </w:p>
    <w:p w:rsidR="00CB2400" w:rsidRDefault="00CB2400" w:rsidP="00CB24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7A8D880" wp14:editId="438675A0">
            <wp:extent cx="6064370" cy="190643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B2400" w:rsidRDefault="00CB2400" w:rsidP="00CD6AE7">
      <w:pPr>
        <w:spacing w:after="0" w:line="240" w:lineRule="auto"/>
        <w:ind w:firstLine="567"/>
        <w:jc w:val="both"/>
        <w:rPr>
          <w:rFonts w:ascii="Times New Roman" w:hAnsi="Times New Roman" w:cs="Times New Roman"/>
          <w:sz w:val="24"/>
          <w:szCs w:val="24"/>
        </w:rPr>
      </w:pPr>
    </w:p>
    <w:p w:rsidR="008B2D7F" w:rsidRPr="008B2D7F" w:rsidRDefault="00BB4F17" w:rsidP="008B2D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w:t>
      </w:r>
      <w:r w:rsidR="008B2D7F" w:rsidRPr="008B2D7F">
        <w:rPr>
          <w:rFonts w:ascii="Times New Roman" w:hAnsi="Times New Roman" w:cs="Times New Roman"/>
          <w:sz w:val="24"/>
          <w:szCs w:val="24"/>
        </w:rPr>
        <w:t xml:space="preserve"> – Динамика объема </w:t>
      </w:r>
      <w:r w:rsidR="008B2D7F">
        <w:rPr>
          <w:rFonts w:ascii="Times New Roman" w:hAnsi="Times New Roman" w:cs="Times New Roman"/>
          <w:sz w:val="24"/>
          <w:szCs w:val="24"/>
        </w:rPr>
        <w:t>экспорта товар</w:t>
      </w:r>
      <w:r>
        <w:rPr>
          <w:rFonts w:ascii="Times New Roman" w:hAnsi="Times New Roman" w:cs="Times New Roman"/>
          <w:sz w:val="24"/>
          <w:szCs w:val="24"/>
        </w:rPr>
        <w:t>ов и услуг Китая в период с 2009 по 2018</w:t>
      </w:r>
      <w:r w:rsidR="008B2D7F" w:rsidRPr="008B2D7F">
        <w:rPr>
          <w:rFonts w:ascii="Times New Roman" w:hAnsi="Times New Roman" w:cs="Times New Roman"/>
          <w:sz w:val="24"/>
          <w:szCs w:val="24"/>
        </w:rPr>
        <w:t xml:space="preserve"> гг.</w:t>
      </w:r>
    </w:p>
    <w:p w:rsidR="008B2D7F" w:rsidRPr="008B2D7F" w:rsidRDefault="008B2D7F" w:rsidP="008B2D7F">
      <w:pPr>
        <w:spacing w:after="0" w:line="240" w:lineRule="auto"/>
        <w:jc w:val="both"/>
        <w:rPr>
          <w:rFonts w:ascii="Times New Roman" w:hAnsi="Times New Roman" w:cs="Times New Roman"/>
          <w:sz w:val="24"/>
          <w:szCs w:val="24"/>
        </w:rPr>
      </w:pPr>
      <w:r w:rsidRPr="008B2D7F">
        <w:rPr>
          <w:rFonts w:ascii="Times New Roman" w:hAnsi="Times New Roman" w:cs="Times New Roman"/>
          <w:sz w:val="24"/>
          <w:szCs w:val="24"/>
        </w:rPr>
        <w:t xml:space="preserve">Ссылка на источник информации: </w:t>
      </w:r>
      <w:r w:rsidR="00BB4F17" w:rsidRPr="00BB4F17">
        <w:rPr>
          <w:rFonts w:ascii="Times New Roman" w:hAnsi="Times New Roman" w:cs="Times New Roman"/>
          <w:sz w:val="24"/>
          <w:szCs w:val="24"/>
        </w:rPr>
        <w:t>https://knoema.ru/atlas/</w:t>
      </w:r>
    </w:p>
    <w:p w:rsidR="008B2D7F" w:rsidRDefault="008B2D7F" w:rsidP="008B2D7F">
      <w:pPr>
        <w:spacing w:after="0" w:line="240" w:lineRule="auto"/>
        <w:jc w:val="both"/>
        <w:rPr>
          <w:rFonts w:ascii="Times New Roman" w:hAnsi="Times New Roman" w:cs="Times New Roman"/>
          <w:sz w:val="24"/>
          <w:szCs w:val="24"/>
        </w:rPr>
      </w:pPr>
    </w:p>
    <w:p w:rsidR="00C06F5C" w:rsidRDefault="00C06F5C" w:rsidP="00EC3C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Китай намерен увеличивать объемы импорта и способствовать более интенсивной международной торговле. В частности, планируется расширять импорт </w:t>
      </w:r>
      <w:r w:rsidRPr="00C06F5C">
        <w:rPr>
          <w:rFonts w:ascii="Times New Roman" w:hAnsi="Times New Roman" w:cs="Times New Roman"/>
          <w:sz w:val="24"/>
          <w:szCs w:val="24"/>
        </w:rPr>
        <w:t>передовых технологий и соответствующего оборудования, основных частей и компонентов, энергетических и природных ресурсов</w:t>
      </w:r>
      <w:r>
        <w:rPr>
          <w:rFonts w:ascii="Times New Roman" w:hAnsi="Times New Roman" w:cs="Times New Roman"/>
          <w:sz w:val="24"/>
          <w:szCs w:val="24"/>
        </w:rPr>
        <w:t xml:space="preserve">. Среди крупнейших партнёров по импорту выделяют Южную Корею (9,6%), Японию (8,4%), США (7,3%), Германию (5%), Австралию (5%) и </w:t>
      </w:r>
      <w:r>
        <w:rPr>
          <w:rFonts w:ascii="Times New Roman" w:hAnsi="Times New Roman" w:cs="Times New Roman"/>
          <w:sz w:val="24"/>
          <w:szCs w:val="24"/>
        </w:rPr>
        <w:lastRenderedPageBreak/>
        <w:t xml:space="preserve">Бразилию (3,6%). </w:t>
      </w:r>
      <w:r w:rsidR="00BB4F17">
        <w:rPr>
          <w:rFonts w:ascii="Times New Roman" w:hAnsi="Times New Roman" w:cs="Times New Roman"/>
          <w:sz w:val="24"/>
          <w:szCs w:val="24"/>
        </w:rPr>
        <w:t>Большую часть импорта составляют с</w:t>
      </w:r>
      <w:r w:rsidRPr="00C06F5C">
        <w:rPr>
          <w:rFonts w:ascii="Times New Roman" w:hAnsi="Times New Roman" w:cs="Times New Roman"/>
          <w:sz w:val="24"/>
          <w:szCs w:val="24"/>
        </w:rPr>
        <w:t>хемы электронные интегральные</w:t>
      </w:r>
      <w:r w:rsidR="00BB4F17">
        <w:rPr>
          <w:rFonts w:ascii="Times New Roman" w:hAnsi="Times New Roman" w:cs="Times New Roman"/>
          <w:sz w:val="24"/>
          <w:szCs w:val="24"/>
        </w:rPr>
        <w:t xml:space="preserve"> (15% от объема импорта).</w:t>
      </w:r>
    </w:p>
    <w:p w:rsidR="00BB4F17" w:rsidRDefault="00BB4F17" w:rsidP="00EC3C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Динамику объемов импорта товаров и услуг можно видеть на рисунке 2.</w:t>
      </w:r>
    </w:p>
    <w:p w:rsidR="00675EA4" w:rsidRDefault="00675EA4" w:rsidP="00EC3C09">
      <w:pPr>
        <w:spacing w:after="0" w:line="240" w:lineRule="auto"/>
        <w:ind w:firstLine="567"/>
        <w:jc w:val="both"/>
        <w:rPr>
          <w:rFonts w:ascii="Times New Roman" w:hAnsi="Times New Roman" w:cs="Times New Roman"/>
          <w:sz w:val="24"/>
          <w:szCs w:val="24"/>
        </w:rPr>
      </w:pPr>
    </w:p>
    <w:p w:rsidR="00BB4F17" w:rsidRDefault="00BB4F17" w:rsidP="00BB4F1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8D800D0" wp14:editId="11A41C08">
            <wp:extent cx="6064370" cy="1828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4F17" w:rsidRDefault="00BB4F17" w:rsidP="00BB4F17">
      <w:pPr>
        <w:spacing w:after="0" w:line="240" w:lineRule="auto"/>
        <w:jc w:val="center"/>
        <w:rPr>
          <w:rFonts w:ascii="Times New Roman" w:hAnsi="Times New Roman" w:cs="Times New Roman"/>
          <w:sz w:val="24"/>
          <w:szCs w:val="24"/>
        </w:rPr>
      </w:pPr>
    </w:p>
    <w:p w:rsidR="00BB4F17" w:rsidRPr="008B2D7F" w:rsidRDefault="00BB4F17" w:rsidP="00BB4F17">
      <w:pPr>
        <w:spacing w:after="0" w:line="240" w:lineRule="auto"/>
        <w:jc w:val="center"/>
        <w:rPr>
          <w:rFonts w:ascii="Times New Roman" w:hAnsi="Times New Roman" w:cs="Times New Roman"/>
          <w:sz w:val="24"/>
          <w:szCs w:val="24"/>
        </w:rPr>
      </w:pPr>
      <w:r w:rsidRPr="00205E68">
        <w:rPr>
          <w:rFonts w:ascii="Times New Roman" w:hAnsi="Times New Roman" w:cs="Times New Roman"/>
          <w:sz w:val="24"/>
          <w:szCs w:val="24"/>
        </w:rPr>
        <w:t>Рисунок 2 –</w:t>
      </w:r>
      <w:r w:rsidRPr="008B2D7F">
        <w:rPr>
          <w:rFonts w:ascii="Times New Roman" w:hAnsi="Times New Roman" w:cs="Times New Roman"/>
          <w:sz w:val="24"/>
          <w:szCs w:val="24"/>
        </w:rPr>
        <w:t xml:space="preserve"> Динамика объема </w:t>
      </w:r>
      <w:r>
        <w:rPr>
          <w:rFonts w:ascii="Times New Roman" w:hAnsi="Times New Roman" w:cs="Times New Roman"/>
          <w:sz w:val="24"/>
          <w:szCs w:val="24"/>
        </w:rPr>
        <w:t>импорта товаров и услуг Китая в период с 2009 по 2018</w:t>
      </w:r>
      <w:r w:rsidRPr="008B2D7F">
        <w:rPr>
          <w:rFonts w:ascii="Times New Roman" w:hAnsi="Times New Roman" w:cs="Times New Roman"/>
          <w:sz w:val="24"/>
          <w:szCs w:val="24"/>
        </w:rPr>
        <w:t xml:space="preserve"> гг.</w:t>
      </w:r>
    </w:p>
    <w:p w:rsidR="00BB4F17" w:rsidRPr="008B2D7F" w:rsidRDefault="00BB4F17" w:rsidP="00BB4F17">
      <w:pPr>
        <w:spacing w:after="0" w:line="240" w:lineRule="auto"/>
        <w:jc w:val="both"/>
        <w:rPr>
          <w:rFonts w:ascii="Times New Roman" w:hAnsi="Times New Roman" w:cs="Times New Roman"/>
          <w:sz w:val="24"/>
          <w:szCs w:val="24"/>
        </w:rPr>
      </w:pPr>
      <w:r w:rsidRPr="008B2D7F">
        <w:rPr>
          <w:rFonts w:ascii="Times New Roman" w:hAnsi="Times New Roman" w:cs="Times New Roman"/>
          <w:sz w:val="24"/>
          <w:szCs w:val="24"/>
        </w:rPr>
        <w:t xml:space="preserve">Ссылка на источник информации: </w:t>
      </w:r>
      <w:r w:rsidRPr="00BB4F17">
        <w:rPr>
          <w:rFonts w:ascii="Times New Roman" w:hAnsi="Times New Roman" w:cs="Times New Roman"/>
          <w:sz w:val="24"/>
          <w:szCs w:val="24"/>
        </w:rPr>
        <w:t>https://knoema.ru/atlas/</w:t>
      </w:r>
    </w:p>
    <w:p w:rsidR="00BB4F17" w:rsidRDefault="00BB4F17" w:rsidP="00BB4F17">
      <w:pPr>
        <w:spacing w:after="0" w:line="240" w:lineRule="auto"/>
        <w:jc w:val="both"/>
        <w:rPr>
          <w:rFonts w:ascii="Times New Roman" w:hAnsi="Times New Roman" w:cs="Times New Roman"/>
          <w:sz w:val="24"/>
          <w:szCs w:val="24"/>
        </w:rPr>
      </w:pPr>
    </w:p>
    <w:p w:rsidR="00EC3C09" w:rsidRDefault="008B2D7F" w:rsidP="00EC3C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Китай осуществляет огромное по масштабам </w:t>
      </w:r>
      <w:r w:rsidR="005D55A6">
        <w:rPr>
          <w:rFonts w:ascii="Times New Roman" w:hAnsi="Times New Roman" w:cs="Times New Roman"/>
          <w:sz w:val="24"/>
          <w:szCs w:val="24"/>
        </w:rPr>
        <w:t>инвестирование в развитие трансп</w:t>
      </w:r>
      <w:r>
        <w:rPr>
          <w:rFonts w:ascii="Times New Roman" w:hAnsi="Times New Roman" w:cs="Times New Roman"/>
          <w:sz w:val="24"/>
          <w:szCs w:val="24"/>
        </w:rPr>
        <w:t xml:space="preserve">ортной инфраструктуры. Сеть высокоскоростных </w:t>
      </w:r>
      <w:r w:rsidR="00EC3C09">
        <w:rPr>
          <w:rFonts w:ascii="Times New Roman" w:hAnsi="Times New Roman" w:cs="Times New Roman"/>
          <w:sz w:val="24"/>
          <w:szCs w:val="24"/>
        </w:rPr>
        <w:t>железнодорожных магистралей уже в 2020 году поможет соединить 6 мегаполисов. В</w:t>
      </w:r>
      <w:r>
        <w:rPr>
          <w:rFonts w:ascii="Times New Roman" w:hAnsi="Times New Roman" w:cs="Times New Roman"/>
          <w:sz w:val="24"/>
          <w:szCs w:val="24"/>
        </w:rPr>
        <w:t xml:space="preserve"> </w:t>
      </w:r>
      <w:r w:rsidR="00EC3C09" w:rsidRPr="00EC3C09">
        <w:rPr>
          <w:rFonts w:ascii="Times New Roman" w:hAnsi="Times New Roman" w:cs="Times New Roman"/>
          <w:sz w:val="24"/>
          <w:szCs w:val="24"/>
        </w:rPr>
        <w:t>настоящее время развитие сети высокоскоростных железнодорожных магистралей в Китае является одним из наиболее масштабных инфраструктурных проектов в мире. Строительству высокоскоростных железных дорог придается особая важность и как средству ускорения экономического и технологического развития, и как политическому проекту, демонстрирующему миру возросшую мощь и богатство Китая.</w:t>
      </w:r>
      <w:r w:rsidR="00EC3C09">
        <w:rPr>
          <w:rFonts w:ascii="Times New Roman" w:hAnsi="Times New Roman" w:cs="Times New Roman"/>
          <w:sz w:val="24"/>
          <w:szCs w:val="24"/>
        </w:rPr>
        <w:t xml:space="preserve"> На 2018 год протяженность железнодорожных линий в стране составляет 67 515,0 км.</w:t>
      </w:r>
    </w:p>
    <w:p w:rsidR="00663739" w:rsidRPr="006C15D7" w:rsidRDefault="00705F4D" w:rsidP="00EC3C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Число городских жителей</w:t>
      </w:r>
      <w:r w:rsidRPr="00705F4D">
        <w:rPr>
          <w:rFonts w:ascii="Times New Roman" w:hAnsi="Times New Roman" w:cs="Times New Roman"/>
          <w:sz w:val="24"/>
          <w:szCs w:val="24"/>
        </w:rPr>
        <w:t xml:space="preserve"> Китая </w:t>
      </w:r>
      <w:r w:rsidRPr="00705F4D">
        <w:rPr>
          <w:rFonts w:ascii="Times New Roman" w:hAnsi="Times New Roman" w:cs="Times New Roman"/>
          <w:bCs/>
          <w:sz w:val="24"/>
          <w:szCs w:val="24"/>
        </w:rPr>
        <w:t>возросло</w:t>
      </w:r>
      <w:r w:rsidRPr="00705F4D">
        <w:rPr>
          <w:rFonts w:ascii="Times New Roman" w:hAnsi="Times New Roman" w:cs="Times New Roman"/>
          <w:sz w:val="24"/>
          <w:szCs w:val="24"/>
        </w:rPr>
        <w:t> с 10 процентов населения в 1949 году до 60 процентов в настоящее время. Однако система регистрации домохозяйств, используемая для контроля миграции, по-прежнему является источником неравенства: почти 30 процентов городских жителей считаются мигрантами.</w:t>
      </w:r>
      <w:r w:rsidR="0071284F" w:rsidRPr="0071284F">
        <w:rPr>
          <w:rFonts w:ascii="Times New Roman" w:hAnsi="Times New Roman" w:cs="Times New Roman"/>
          <w:sz w:val="24"/>
          <w:szCs w:val="24"/>
        </w:rPr>
        <w:t xml:space="preserve"> </w:t>
      </w:r>
    </w:p>
    <w:p w:rsidR="00CB2400" w:rsidRPr="001F0558" w:rsidRDefault="00185A5B" w:rsidP="001F05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таблице 2 приведены </w:t>
      </w:r>
      <w:r w:rsidR="00AE4C5B">
        <w:rPr>
          <w:rFonts w:ascii="Times New Roman" w:hAnsi="Times New Roman" w:cs="Times New Roman"/>
          <w:sz w:val="24"/>
          <w:szCs w:val="24"/>
        </w:rPr>
        <w:t xml:space="preserve">топ-10 стран, а также указано место и данные по Китаю в международном рейтинге конкурентоспособности стран в 2019 году. Данный рейтинг составляется ежегодно на основании различных статистических показателей, среди которых ВВП, государственные расходы в разлчные сферы, уровень безработицы и т.д. </w:t>
      </w:r>
    </w:p>
    <w:p w:rsidR="00AE4C5B" w:rsidRDefault="00AE4C5B" w:rsidP="00CD6AE7">
      <w:pPr>
        <w:spacing w:after="0" w:line="240" w:lineRule="auto"/>
        <w:jc w:val="center"/>
        <w:rPr>
          <w:rFonts w:ascii="Times New Roman" w:hAnsi="Times New Roman" w:cs="Times New Roman"/>
          <w:sz w:val="24"/>
          <w:szCs w:val="24"/>
        </w:rPr>
      </w:pPr>
    </w:p>
    <w:p w:rsidR="00185A5B" w:rsidRDefault="00185A5B" w:rsidP="00CD6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Таблица 2 – </w:t>
      </w:r>
      <w:r w:rsidR="00AE4C5B">
        <w:rPr>
          <w:rFonts w:ascii="Times New Roman" w:hAnsi="Times New Roman" w:cs="Times New Roman"/>
          <w:sz w:val="24"/>
          <w:szCs w:val="24"/>
        </w:rPr>
        <w:t>Международный рейтинг конкурентоспособности стран 2019</w:t>
      </w:r>
    </w:p>
    <w:tbl>
      <w:tblPr>
        <w:tblStyle w:val="a3"/>
        <w:tblW w:w="0" w:type="auto"/>
        <w:tblLook w:val="04A0" w:firstRow="1" w:lastRow="0" w:firstColumn="1" w:lastColumn="0" w:noHBand="0" w:noVBand="1"/>
      </w:tblPr>
      <w:tblGrid>
        <w:gridCol w:w="3284"/>
        <w:gridCol w:w="3285"/>
        <w:gridCol w:w="3285"/>
      </w:tblGrid>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Страна</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Место</w:t>
            </w:r>
          </w:p>
        </w:tc>
        <w:tc>
          <w:tcPr>
            <w:tcW w:w="3285" w:type="dxa"/>
            <w:vAlign w:val="center"/>
          </w:tcPr>
          <w:p w:rsidR="00185A5B" w:rsidRPr="008B5645" w:rsidRDefault="00185A5B" w:rsidP="00AE4C5B">
            <w:pPr>
              <w:jc w:val="center"/>
              <w:rPr>
                <w:rFonts w:ascii="Arial" w:hAnsi="Arial" w:cs="Arial"/>
                <w:sz w:val="18"/>
                <w:szCs w:val="18"/>
              </w:rPr>
            </w:pPr>
            <w:r w:rsidRPr="008B5645">
              <w:rPr>
                <w:rFonts w:ascii="Arial" w:hAnsi="Arial" w:cs="Arial"/>
                <w:sz w:val="18"/>
                <w:szCs w:val="18"/>
              </w:rPr>
              <w:t xml:space="preserve">Изменение </w:t>
            </w:r>
            <w:r>
              <w:rPr>
                <w:rFonts w:ascii="Arial" w:hAnsi="Arial" w:cs="Arial"/>
                <w:sz w:val="18"/>
                <w:szCs w:val="18"/>
              </w:rPr>
              <w:t xml:space="preserve">в сравнении с </w:t>
            </w:r>
            <w:r w:rsidR="00AE4C5B">
              <w:rPr>
                <w:rFonts w:ascii="Arial" w:hAnsi="Arial" w:cs="Arial"/>
                <w:sz w:val="18"/>
                <w:szCs w:val="18"/>
              </w:rPr>
              <w:t>2018 г., +/-</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Сингапур</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1</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+2</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Гонконг</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2</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США</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3</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-2</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Швейцария</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4</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+1</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ОАЭ</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5</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+2</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Нидерланды</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6</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-2</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Ирландия</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7</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+5</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Дания</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8</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-2</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Швеция</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9</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w:t>
            </w:r>
          </w:p>
        </w:tc>
      </w:tr>
      <w:tr w:rsidR="00185A5B" w:rsidRPr="008B5645" w:rsidTr="00BE617D">
        <w:tc>
          <w:tcPr>
            <w:tcW w:w="3284"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Катар</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10</w:t>
            </w:r>
          </w:p>
        </w:tc>
        <w:tc>
          <w:tcPr>
            <w:tcW w:w="3285" w:type="dxa"/>
            <w:vAlign w:val="center"/>
          </w:tcPr>
          <w:p w:rsidR="00185A5B" w:rsidRPr="008B5645" w:rsidRDefault="00AE4C5B" w:rsidP="00CD6AE7">
            <w:pPr>
              <w:jc w:val="center"/>
              <w:rPr>
                <w:rFonts w:ascii="Arial" w:hAnsi="Arial" w:cs="Arial"/>
                <w:sz w:val="18"/>
                <w:szCs w:val="18"/>
              </w:rPr>
            </w:pPr>
            <w:r>
              <w:rPr>
                <w:rFonts w:ascii="Arial" w:hAnsi="Arial" w:cs="Arial"/>
                <w:sz w:val="18"/>
                <w:szCs w:val="18"/>
              </w:rPr>
              <w:t>+4</w:t>
            </w:r>
          </w:p>
        </w:tc>
      </w:tr>
      <w:tr w:rsidR="00AE4C5B" w:rsidRPr="008B5645" w:rsidTr="00BE617D">
        <w:tc>
          <w:tcPr>
            <w:tcW w:w="3284" w:type="dxa"/>
            <w:vAlign w:val="center"/>
          </w:tcPr>
          <w:p w:rsidR="00AE4C5B" w:rsidRDefault="00AE4C5B" w:rsidP="00CD6AE7">
            <w:pPr>
              <w:jc w:val="center"/>
              <w:rPr>
                <w:rFonts w:ascii="Arial" w:hAnsi="Arial" w:cs="Arial"/>
                <w:sz w:val="18"/>
                <w:szCs w:val="18"/>
              </w:rPr>
            </w:pPr>
            <w:r>
              <w:rPr>
                <w:rFonts w:ascii="Arial" w:hAnsi="Arial" w:cs="Arial"/>
                <w:sz w:val="18"/>
                <w:szCs w:val="18"/>
              </w:rPr>
              <w:t>...</w:t>
            </w:r>
          </w:p>
        </w:tc>
        <w:tc>
          <w:tcPr>
            <w:tcW w:w="3285" w:type="dxa"/>
            <w:vAlign w:val="center"/>
          </w:tcPr>
          <w:p w:rsidR="00AE4C5B" w:rsidRPr="008B5645" w:rsidRDefault="00AE4C5B" w:rsidP="00CD6AE7">
            <w:pPr>
              <w:jc w:val="center"/>
              <w:rPr>
                <w:rFonts w:ascii="Arial" w:hAnsi="Arial" w:cs="Arial"/>
                <w:sz w:val="18"/>
                <w:szCs w:val="18"/>
              </w:rPr>
            </w:pPr>
            <w:r>
              <w:rPr>
                <w:rFonts w:ascii="Arial" w:hAnsi="Arial" w:cs="Arial"/>
                <w:sz w:val="18"/>
                <w:szCs w:val="18"/>
              </w:rPr>
              <w:t>...</w:t>
            </w:r>
          </w:p>
        </w:tc>
        <w:tc>
          <w:tcPr>
            <w:tcW w:w="3285" w:type="dxa"/>
            <w:vAlign w:val="center"/>
          </w:tcPr>
          <w:p w:rsidR="00AE4C5B" w:rsidRPr="008B5645" w:rsidRDefault="00AE4C5B" w:rsidP="00CD6AE7">
            <w:pPr>
              <w:jc w:val="center"/>
              <w:rPr>
                <w:rFonts w:ascii="Arial" w:hAnsi="Arial" w:cs="Arial"/>
                <w:sz w:val="18"/>
                <w:szCs w:val="18"/>
              </w:rPr>
            </w:pPr>
            <w:r>
              <w:rPr>
                <w:rFonts w:ascii="Arial" w:hAnsi="Arial" w:cs="Arial"/>
                <w:sz w:val="18"/>
                <w:szCs w:val="18"/>
              </w:rPr>
              <w:t>...</w:t>
            </w:r>
          </w:p>
        </w:tc>
      </w:tr>
      <w:tr w:rsidR="00AE4C5B" w:rsidRPr="008B5645" w:rsidTr="00BE617D">
        <w:tc>
          <w:tcPr>
            <w:tcW w:w="3284" w:type="dxa"/>
            <w:vAlign w:val="center"/>
          </w:tcPr>
          <w:p w:rsidR="00AE4C5B" w:rsidRDefault="00AE4C5B" w:rsidP="00CD6AE7">
            <w:pPr>
              <w:jc w:val="center"/>
              <w:rPr>
                <w:rFonts w:ascii="Arial" w:hAnsi="Arial" w:cs="Arial"/>
                <w:sz w:val="18"/>
                <w:szCs w:val="18"/>
              </w:rPr>
            </w:pPr>
            <w:r>
              <w:rPr>
                <w:rFonts w:ascii="Arial" w:hAnsi="Arial" w:cs="Arial"/>
                <w:sz w:val="18"/>
                <w:szCs w:val="18"/>
              </w:rPr>
              <w:t>Китай</w:t>
            </w:r>
          </w:p>
        </w:tc>
        <w:tc>
          <w:tcPr>
            <w:tcW w:w="3285" w:type="dxa"/>
            <w:vAlign w:val="center"/>
          </w:tcPr>
          <w:p w:rsidR="00AE4C5B" w:rsidRPr="008B5645" w:rsidRDefault="00AE4C5B" w:rsidP="00CD6AE7">
            <w:pPr>
              <w:jc w:val="center"/>
              <w:rPr>
                <w:rFonts w:ascii="Arial" w:hAnsi="Arial" w:cs="Arial"/>
                <w:sz w:val="18"/>
                <w:szCs w:val="18"/>
              </w:rPr>
            </w:pPr>
            <w:r>
              <w:rPr>
                <w:rFonts w:ascii="Arial" w:hAnsi="Arial" w:cs="Arial"/>
                <w:sz w:val="18"/>
                <w:szCs w:val="18"/>
              </w:rPr>
              <w:t>14</w:t>
            </w:r>
          </w:p>
        </w:tc>
        <w:tc>
          <w:tcPr>
            <w:tcW w:w="3285" w:type="dxa"/>
            <w:vAlign w:val="center"/>
          </w:tcPr>
          <w:p w:rsidR="00AE4C5B" w:rsidRPr="008B5645" w:rsidRDefault="00AE4C5B" w:rsidP="00CD6AE7">
            <w:pPr>
              <w:jc w:val="center"/>
              <w:rPr>
                <w:rFonts w:ascii="Arial" w:hAnsi="Arial" w:cs="Arial"/>
                <w:sz w:val="18"/>
                <w:szCs w:val="18"/>
              </w:rPr>
            </w:pPr>
            <w:r>
              <w:rPr>
                <w:rFonts w:ascii="Arial" w:hAnsi="Arial" w:cs="Arial"/>
                <w:sz w:val="18"/>
                <w:szCs w:val="18"/>
              </w:rPr>
              <w:t>-1</w:t>
            </w:r>
          </w:p>
        </w:tc>
      </w:tr>
    </w:tbl>
    <w:p w:rsidR="00185A5B" w:rsidRDefault="00CB2400" w:rsidP="00AE4C5B">
      <w:pPr>
        <w:spacing w:after="0" w:line="240" w:lineRule="auto"/>
        <w:jc w:val="both"/>
        <w:rPr>
          <w:rFonts w:ascii="Times New Roman" w:hAnsi="Times New Roman" w:cs="Times New Roman"/>
          <w:sz w:val="24"/>
          <w:szCs w:val="24"/>
        </w:rPr>
      </w:pPr>
      <w:r w:rsidRPr="00CB2400">
        <w:rPr>
          <w:rFonts w:ascii="Times New Roman" w:hAnsi="Times New Roman" w:cs="Times New Roman"/>
          <w:sz w:val="24"/>
          <w:szCs w:val="24"/>
        </w:rPr>
        <w:t>Ссылка на источник информации</w:t>
      </w:r>
      <w:r>
        <w:rPr>
          <w:rFonts w:ascii="Times New Roman" w:hAnsi="Times New Roman" w:cs="Times New Roman"/>
          <w:sz w:val="24"/>
          <w:szCs w:val="24"/>
        </w:rPr>
        <w:t xml:space="preserve">: </w:t>
      </w:r>
      <w:r w:rsidR="00AE4C5B" w:rsidRPr="00AE4C5B">
        <w:rPr>
          <w:rFonts w:ascii="Times New Roman" w:hAnsi="Times New Roman" w:cs="Times New Roman"/>
          <w:sz w:val="24"/>
          <w:szCs w:val="24"/>
        </w:rPr>
        <w:t>https://basetop.ru/rejting-konkurentosposobnosti-stran-mira-2019-imd/</w:t>
      </w:r>
    </w:p>
    <w:p w:rsidR="00AE4C5B" w:rsidRDefault="00AE4C5B" w:rsidP="00AE4C5B">
      <w:pPr>
        <w:spacing w:after="0" w:line="240" w:lineRule="auto"/>
        <w:jc w:val="both"/>
        <w:rPr>
          <w:rFonts w:ascii="Times New Roman" w:hAnsi="Times New Roman" w:cs="Times New Roman"/>
          <w:sz w:val="24"/>
          <w:szCs w:val="24"/>
        </w:rPr>
      </w:pPr>
    </w:p>
    <w:p w:rsidR="00185A5B" w:rsidRPr="006C15D7" w:rsidRDefault="00AE4C5B" w:rsidP="00CD6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Как видно из таблицы, Китай занимает 14 место в Международном рейтинге конкурентоспсобности в 2019 году, что на одну строчку ниже, чем в 2018 году.</w:t>
      </w:r>
    </w:p>
    <w:p w:rsidR="002D3FC8" w:rsidRDefault="007374A2" w:rsidP="002D3FC8">
      <w:pPr>
        <w:spacing w:after="0" w:line="240" w:lineRule="auto"/>
        <w:ind w:firstLine="567"/>
        <w:jc w:val="both"/>
        <w:rPr>
          <w:rFonts w:ascii="Times New Roman" w:hAnsi="Times New Roman" w:cs="Times New Roman"/>
          <w:sz w:val="24"/>
          <w:szCs w:val="24"/>
        </w:rPr>
      </w:pPr>
      <w:r w:rsidRPr="007374A2">
        <w:rPr>
          <w:rFonts w:ascii="Times New Roman" w:hAnsi="Times New Roman" w:cs="Times New Roman"/>
          <w:sz w:val="24"/>
          <w:szCs w:val="24"/>
        </w:rPr>
        <w:t xml:space="preserve">Здоровая рабочая сила имеет наибольшее значение для конкурентоспособности и производительности страны. Больные работники создают значительные дополнительные расходы для бизнеса, поскольку отсутствуют или работают менее производительно. Инвестиции в здравоохранение чрезвычайно важны как с экономической, так и с моральной точки зрения. </w:t>
      </w:r>
      <w:r w:rsidR="00EC3C09">
        <w:rPr>
          <w:rFonts w:ascii="Times New Roman" w:hAnsi="Times New Roman" w:cs="Times New Roman"/>
          <w:sz w:val="24"/>
          <w:szCs w:val="24"/>
        </w:rPr>
        <w:t xml:space="preserve"> В течение последнего десятилетия в Китае проводится крупнейшая реформа</w:t>
      </w:r>
      <w:r w:rsidR="00AE4C5B">
        <w:rPr>
          <w:rFonts w:ascii="Times New Roman" w:hAnsi="Times New Roman" w:cs="Times New Roman"/>
          <w:sz w:val="24"/>
          <w:szCs w:val="24"/>
        </w:rPr>
        <w:t xml:space="preserve"> </w:t>
      </w:r>
      <w:r w:rsidR="00EC3C09">
        <w:rPr>
          <w:rFonts w:ascii="Times New Roman" w:hAnsi="Times New Roman" w:cs="Times New Roman"/>
          <w:sz w:val="24"/>
          <w:szCs w:val="24"/>
        </w:rPr>
        <w:t xml:space="preserve">здравоохранения, ставящая целью обеспечить доступность услуг здравоохранения всем слоям населения. </w:t>
      </w:r>
      <w:r w:rsidR="00EC3C09" w:rsidRPr="00EC3C09">
        <w:rPr>
          <w:rFonts w:ascii="Times New Roman" w:hAnsi="Times New Roman" w:cs="Times New Roman"/>
          <w:sz w:val="24"/>
          <w:szCs w:val="24"/>
        </w:rPr>
        <w:t xml:space="preserve">На сессии Генеральной Ассамблеи </w:t>
      </w:r>
      <w:r w:rsidR="00AE4C5B">
        <w:rPr>
          <w:rFonts w:ascii="Times New Roman" w:hAnsi="Times New Roman" w:cs="Times New Roman"/>
          <w:sz w:val="24"/>
          <w:szCs w:val="24"/>
        </w:rPr>
        <w:t>ООН</w:t>
      </w:r>
      <w:r w:rsidR="00EC3C09" w:rsidRPr="00EC3C09">
        <w:rPr>
          <w:rFonts w:ascii="Times New Roman" w:hAnsi="Times New Roman" w:cs="Times New Roman"/>
          <w:sz w:val="24"/>
          <w:szCs w:val="24"/>
        </w:rPr>
        <w:t xml:space="preserve"> в сентябре 2015 г. </w:t>
      </w:r>
      <w:r w:rsidR="00AE4C5B">
        <w:rPr>
          <w:rFonts w:ascii="Times New Roman" w:hAnsi="Times New Roman" w:cs="Times New Roman"/>
          <w:sz w:val="24"/>
          <w:szCs w:val="24"/>
        </w:rPr>
        <w:t>было объявлено</w:t>
      </w:r>
      <w:r w:rsidR="00EC3C09" w:rsidRPr="00EC3C09">
        <w:rPr>
          <w:rFonts w:ascii="Times New Roman" w:hAnsi="Times New Roman" w:cs="Times New Roman"/>
          <w:sz w:val="24"/>
          <w:szCs w:val="24"/>
        </w:rPr>
        <w:t xml:space="preserve"> о создании фонда, исходный размер которого составит 2 млн. долл. США и к 2030</w:t>
      </w:r>
      <w:r w:rsidR="00AE4C5B">
        <w:rPr>
          <w:rFonts w:ascii="Times New Roman" w:hAnsi="Times New Roman" w:cs="Times New Roman"/>
          <w:sz w:val="24"/>
          <w:szCs w:val="24"/>
        </w:rPr>
        <w:t> </w:t>
      </w:r>
      <w:r w:rsidR="00EC3C09" w:rsidRPr="00EC3C09">
        <w:rPr>
          <w:rFonts w:ascii="Times New Roman" w:hAnsi="Times New Roman" w:cs="Times New Roman"/>
          <w:sz w:val="24"/>
          <w:szCs w:val="24"/>
        </w:rPr>
        <w:t>г. будет увеличен до 12 млн. долл.</w:t>
      </w:r>
      <w:r w:rsidR="00EC3C09">
        <w:rPr>
          <w:rFonts w:ascii="Times New Roman" w:hAnsi="Times New Roman" w:cs="Times New Roman"/>
          <w:sz w:val="24"/>
          <w:szCs w:val="24"/>
        </w:rPr>
        <w:t> </w:t>
      </w:r>
      <w:r w:rsidR="002D3FC8">
        <w:rPr>
          <w:rFonts w:ascii="Times New Roman" w:hAnsi="Times New Roman" w:cs="Times New Roman"/>
          <w:sz w:val="24"/>
          <w:szCs w:val="24"/>
        </w:rPr>
        <w:t>США. Фонд предназначен</w:t>
      </w:r>
      <w:r w:rsidR="00EC3C09" w:rsidRPr="00EC3C09">
        <w:rPr>
          <w:rFonts w:ascii="Times New Roman" w:hAnsi="Times New Roman" w:cs="Times New Roman"/>
          <w:sz w:val="24"/>
          <w:szCs w:val="24"/>
        </w:rPr>
        <w:t xml:space="preserve"> для оказания поддержки наименее развитым странам в области устойчивого развития на период до 2030 года.</w:t>
      </w:r>
    </w:p>
    <w:p w:rsidR="0071284F" w:rsidRDefault="007374A2" w:rsidP="00CD6AE7">
      <w:pPr>
        <w:spacing w:after="0" w:line="240" w:lineRule="auto"/>
        <w:ind w:firstLine="567"/>
        <w:jc w:val="both"/>
        <w:rPr>
          <w:rFonts w:ascii="Times New Roman" w:hAnsi="Times New Roman" w:cs="Times New Roman"/>
          <w:sz w:val="24"/>
          <w:szCs w:val="24"/>
        </w:rPr>
      </w:pPr>
      <w:r w:rsidRPr="007374A2">
        <w:rPr>
          <w:rFonts w:ascii="Times New Roman" w:hAnsi="Times New Roman" w:cs="Times New Roman"/>
          <w:sz w:val="24"/>
          <w:szCs w:val="24"/>
        </w:rPr>
        <w:t>Кроме здоровья, эта составляющая также учитывает охват и качество образования населения.</w:t>
      </w:r>
      <w:r w:rsidR="002D3FC8">
        <w:rPr>
          <w:rFonts w:ascii="Times New Roman" w:hAnsi="Times New Roman" w:cs="Times New Roman"/>
          <w:sz w:val="24"/>
          <w:szCs w:val="24"/>
        </w:rPr>
        <w:t xml:space="preserve"> </w:t>
      </w:r>
      <w:r w:rsidR="00964EC0">
        <w:rPr>
          <w:rFonts w:ascii="Times New Roman" w:hAnsi="Times New Roman" w:cs="Times New Roman"/>
          <w:sz w:val="24"/>
          <w:szCs w:val="24"/>
        </w:rPr>
        <w:t>В настоящее время в</w:t>
      </w:r>
      <w:r w:rsidR="002D3FC8">
        <w:rPr>
          <w:rFonts w:ascii="Times New Roman" w:hAnsi="Times New Roman" w:cs="Times New Roman"/>
          <w:sz w:val="24"/>
          <w:szCs w:val="24"/>
        </w:rPr>
        <w:t>о многих  странах наблюдает</w:t>
      </w:r>
      <w:r w:rsidR="00964EC0">
        <w:rPr>
          <w:rFonts w:ascii="Times New Roman" w:hAnsi="Times New Roman" w:cs="Times New Roman"/>
          <w:sz w:val="24"/>
          <w:szCs w:val="24"/>
        </w:rPr>
        <w:t>ся</w:t>
      </w:r>
      <w:r w:rsidR="002D3FC8">
        <w:rPr>
          <w:rFonts w:ascii="Times New Roman" w:hAnsi="Times New Roman" w:cs="Times New Roman"/>
          <w:sz w:val="24"/>
          <w:szCs w:val="24"/>
        </w:rPr>
        <w:t xml:space="preserve"> рост венчурных инвестиций в образование.</w:t>
      </w:r>
      <w:r w:rsidR="00AE4C5B">
        <w:rPr>
          <w:rFonts w:ascii="Times New Roman" w:hAnsi="Times New Roman" w:cs="Times New Roman"/>
          <w:sz w:val="24"/>
          <w:szCs w:val="24"/>
        </w:rPr>
        <w:t xml:space="preserve"> Эти инвестиции представляют собой довольно рискованные вложения в развитие молодой компании, однако, в случае успеха, инвестор получает огромную прибыль. Инвесторов в данном случае особенно привлекают технологии обучения современного поколения и создание различных исследовательских институтов.</w:t>
      </w:r>
      <w:r w:rsidR="002D3FC8">
        <w:rPr>
          <w:rFonts w:ascii="Times New Roman" w:hAnsi="Times New Roman" w:cs="Times New Roman"/>
          <w:sz w:val="24"/>
          <w:szCs w:val="24"/>
        </w:rPr>
        <w:t xml:space="preserve"> По темпу роста таких инвестиций Китай опередил даже США. Так, на Китай сейчас приходится около 50% глобальных венчурных инвестиций. Для сравнения </w:t>
      </w:r>
      <w:r w:rsidR="00675EA4">
        <w:rPr>
          <w:rFonts w:ascii="Times New Roman" w:hAnsi="Times New Roman" w:cs="Times New Roman"/>
          <w:sz w:val="24"/>
          <w:szCs w:val="24"/>
        </w:rPr>
        <w:t>на рисунке 3</w:t>
      </w:r>
      <w:r w:rsidR="005C1FAD">
        <w:rPr>
          <w:rFonts w:ascii="Times New Roman" w:hAnsi="Times New Roman" w:cs="Times New Roman"/>
          <w:sz w:val="24"/>
          <w:szCs w:val="24"/>
        </w:rPr>
        <w:t xml:space="preserve"> представлены данные по Китаю и США.</w:t>
      </w:r>
    </w:p>
    <w:p w:rsidR="005C1FAD" w:rsidRDefault="005C1FAD" w:rsidP="00CD6AE7">
      <w:pPr>
        <w:spacing w:after="0" w:line="240" w:lineRule="auto"/>
        <w:ind w:firstLine="567"/>
        <w:jc w:val="both"/>
        <w:rPr>
          <w:rFonts w:ascii="Times New Roman" w:hAnsi="Times New Roman" w:cs="Times New Roman"/>
          <w:sz w:val="24"/>
          <w:szCs w:val="24"/>
        </w:rPr>
      </w:pPr>
    </w:p>
    <w:p w:rsidR="005C1FAD" w:rsidRPr="006C15D7" w:rsidRDefault="005C1FAD" w:rsidP="005C1FA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6E806CD" wp14:editId="1E59D1FF">
            <wp:extent cx="6081623" cy="217385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5EA4" w:rsidRDefault="00675EA4" w:rsidP="005C1FAD">
      <w:pPr>
        <w:spacing w:after="0" w:line="240" w:lineRule="auto"/>
        <w:jc w:val="center"/>
        <w:rPr>
          <w:rFonts w:ascii="Times New Roman" w:hAnsi="Times New Roman" w:cs="Times New Roman"/>
          <w:sz w:val="24"/>
          <w:szCs w:val="24"/>
        </w:rPr>
      </w:pPr>
    </w:p>
    <w:p w:rsidR="005C1FAD" w:rsidRPr="005C1FAD" w:rsidRDefault="00675EA4" w:rsidP="005C1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3</w:t>
      </w:r>
      <w:r w:rsidR="005C1FAD" w:rsidRPr="005C1FAD">
        <w:rPr>
          <w:rFonts w:ascii="Times New Roman" w:hAnsi="Times New Roman" w:cs="Times New Roman"/>
          <w:sz w:val="24"/>
          <w:szCs w:val="24"/>
        </w:rPr>
        <w:t xml:space="preserve"> – Динамика </w:t>
      </w:r>
      <w:r w:rsidR="005C1FAD">
        <w:rPr>
          <w:rFonts w:ascii="Times New Roman" w:hAnsi="Times New Roman" w:cs="Times New Roman"/>
          <w:sz w:val="24"/>
          <w:szCs w:val="24"/>
        </w:rPr>
        <w:t>венчурных инвестиций в образование в Китае и США</w:t>
      </w:r>
      <w:r w:rsidR="005C1FAD" w:rsidRPr="005C1FAD">
        <w:rPr>
          <w:rFonts w:ascii="Times New Roman" w:hAnsi="Times New Roman" w:cs="Times New Roman"/>
          <w:sz w:val="24"/>
          <w:szCs w:val="24"/>
        </w:rPr>
        <w:t xml:space="preserve"> в период с 20</w:t>
      </w:r>
      <w:r w:rsidR="005C1FAD">
        <w:rPr>
          <w:rFonts w:ascii="Times New Roman" w:hAnsi="Times New Roman" w:cs="Times New Roman"/>
          <w:sz w:val="24"/>
          <w:szCs w:val="24"/>
        </w:rPr>
        <w:t>14 по 2018</w:t>
      </w:r>
      <w:r w:rsidR="005C1FAD" w:rsidRPr="005C1FAD">
        <w:rPr>
          <w:rFonts w:ascii="Times New Roman" w:hAnsi="Times New Roman" w:cs="Times New Roman"/>
          <w:sz w:val="24"/>
          <w:szCs w:val="24"/>
        </w:rPr>
        <w:t xml:space="preserve"> гг.</w:t>
      </w:r>
    </w:p>
    <w:p w:rsidR="006C15D7" w:rsidRPr="001F0558" w:rsidRDefault="005C1FAD" w:rsidP="005C1FAD">
      <w:pPr>
        <w:spacing w:after="0" w:line="240" w:lineRule="auto"/>
        <w:jc w:val="both"/>
        <w:rPr>
          <w:rFonts w:ascii="Times New Roman" w:hAnsi="Times New Roman" w:cs="Times New Roman"/>
          <w:sz w:val="24"/>
          <w:szCs w:val="24"/>
        </w:rPr>
      </w:pPr>
      <w:r w:rsidRPr="005C1FAD">
        <w:rPr>
          <w:rFonts w:ascii="Times New Roman" w:hAnsi="Times New Roman" w:cs="Times New Roman"/>
          <w:sz w:val="24"/>
          <w:szCs w:val="24"/>
        </w:rPr>
        <w:t xml:space="preserve">Ссылка на источник информации: </w:t>
      </w:r>
      <w:r w:rsidR="001F0558" w:rsidRPr="001F0558">
        <w:rPr>
          <w:rFonts w:ascii="Times New Roman" w:hAnsi="Times New Roman" w:cs="Times New Roman"/>
          <w:sz w:val="24"/>
          <w:szCs w:val="24"/>
        </w:rPr>
        <w:t>https://edexpert.ru/investments-leaders-and-new-developments</w:t>
      </w:r>
    </w:p>
    <w:p w:rsidR="00205E68" w:rsidRDefault="00205E68" w:rsidP="00205E68">
      <w:pPr>
        <w:spacing w:after="0" w:line="240" w:lineRule="auto"/>
        <w:jc w:val="both"/>
        <w:rPr>
          <w:rFonts w:ascii="Times New Roman" w:hAnsi="Times New Roman" w:cs="Times New Roman"/>
          <w:b/>
          <w:sz w:val="24"/>
          <w:szCs w:val="24"/>
        </w:rPr>
      </w:pPr>
    </w:p>
    <w:p w:rsidR="00AE4C5B" w:rsidRDefault="00AE4C5B" w:rsidP="00AE4C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предполагать, что у Китая есть все шансы стать мировым лидером в ближайшие годы. Об этом свидетельствуют постоянный рост ВВП и заинтересованность государства в поддержании развития различных сфер экономики,  которые повышают уровень её конкурентоспособности. </w:t>
      </w:r>
    </w:p>
    <w:p w:rsidR="00AE4C5B" w:rsidRPr="00AE4C5B" w:rsidRDefault="00AE4C5B" w:rsidP="00AE4C5B">
      <w:pPr>
        <w:spacing w:after="0" w:line="240" w:lineRule="auto"/>
        <w:ind w:firstLine="567"/>
        <w:jc w:val="both"/>
        <w:rPr>
          <w:rFonts w:ascii="Times New Roman" w:hAnsi="Times New Roman" w:cs="Times New Roman"/>
          <w:sz w:val="24"/>
          <w:szCs w:val="24"/>
        </w:rPr>
      </w:pPr>
    </w:p>
    <w:p w:rsidR="0066350E" w:rsidRPr="00EE4D0D" w:rsidRDefault="0066350E" w:rsidP="0066350E">
      <w:pPr>
        <w:spacing w:after="0" w:line="240" w:lineRule="auto"/>
        <w:jc w:val="center"/>
        <w:rPr>
          <w:rFonts w:ascii="Times New Roman" w:hAnsi="Times New Roman" w:cs="Times New Roman"/>
          <w:b/>
          <w:sz w:val="24"/>
          <w:szCs w:val="24"/>
        </w:rPr>
      </w:pPr>
      <w:r w:rsidRPr="003E201A">
        <w:rPr>
          <w:rFonts w:ascii="Times New Roman" w:hAnsi="Times New Roman" w:cs="Times New Roman"/>
          <w:b/>
          <w:sz w:val="24"/>
          <w:szCs w:val="24"/>
        </w:rPr>
        <w:t>Список литературы.</w:t>
      </w:r>
    </w:p>
    <w:p w:rsidR="00AE4C5B" w:rsidRDefault="00AE4C5B" w:rsidP="00205E6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Всемирная организация здравоохранения [Электронный ресурс]. – URL: </w:t>
      </w:r>
      <w:r w:rsidRPr="00AE4C5B">
        <w:rPr>
          <w:rFonts w:ascii="Times New Roman" w:hAnsi="Times New Roman" w:cs="Times New Roman"/>
          <w:sz w:val="24"/>
          <w:szCs w:val="24"/>
        </w:rPr>
        <w:t>https://www.who.int/gho/ru/</w:t>
      </w:r>
    </w:p>
    <w:p w:rsidR="00AE4C5B" w:rsidRDefault="00AE4C5B" w:rsidP="00205E6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Головачев, А.С. </w:t>
      </w:r>
      <w:r w:rsidRPr="006C745F">
        <w:rPr>
          <w:rFonts w:ascii="Times New Roman" w:hAnsi="Times New Roman" w:cs="Times New Roman"/>
          <w:sz w:val="24"/>
          <w:szCs w:val="24"/>
        </w:rPr>
        <w:t>Конкурентоспособност</w:t>
      </w:r>
      <w:r>
        <w:rPr>
          <w:rFonts w:ascii="Times New Roman" w:hAnsi="Times New Roman" w:cs="Times New Roman"/>
          <w:sz w:val="24"/>
          <w:szCs w:val="24"/>
        </w:rPr>
        <w:t>ь организации : учеб. пособие /</w:t>
      </w:r>
      <w:r w:rsidRPr="006C745F">
        <w:rPr>
          <w:rFonts w:ascii="Times New Roman" w:hAnsi="Times New Roman" w:cs="Times New Roman"/>
          <w:sz w:val="24"/>
          <w:szCs w:val="24"/>
        </w:rPr>
        <w:t xml:space="preserve">А. С. Головачев. – Минск: Выш. шк., 2012. – 319 </w:t>
      </w:r>
      <w:r>
        <w:rPr>
          <w:rFonts w:ascii="Times New Roman" w:hAnsi="Times New Roman" w:cs="Times New Roman"/>
          <w:sz w:val="24"/>
          <w:szCs w:val="24"/>
        </w:rPr>
        <w:t xml:space="preserve">с. : ил. </w:t>
      </w:r>
      <w:r w:rsidRPr="006C745F">
        <w:rPr>
          <w:rFonts w:ascii="Times New Roman" w:hAnsi="Times New Roman" w:cs="Times New Roman"/>
          <w:sz w:val="24"/>
          <w:szCs w:val="24"/>
        </w:rPr>
        <w:t xml:space="preserve">ISBN 978-985-06-1862-7. </w:t>
      </w:r>
    </w:p>
    <w:p w:rsidR="00AE4C5B" w:rsidRPr="003E201A" w:rsidRDefault="00AE4C5B" w:rsidP="00205E6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Pr="003E201A">
        <w:rPr>
          <w:rFonts w:ascii="Times New Roman" w:hAnsi="Times New Roman" w:cs="Times New Roman"/>
          <w:sz w:val="24"/>
          <w:szCs w:val="24"/>
        </w:rPr>
        <w:t>.</w:t>
      </w:r>
      <w:r w:rsidRPr="002C052E">
        <w:rPr>
          <w:rFonts w:ascii="Times New Roman" w:hAnsi="Times New Roman" w:cs="Times New Roman"/>
          <w:sz w:val="24"/>
          <w:szCs w:val="24"/>
          <w:lang w:val="en-US"/>
        </w:rPr>
        <w:t> </w:t>
      </w:r>
      <w:r>
        <w:rPr>
          <w:rFonts w:ascii="Times New Roman" w:hAnsi="Times New Roman" w:cs="Times New Roman"/>
          <w:sz w:val="24"/>
          <w:szCs w:val="24"/>
        </w:rPr>
        <w:t xml:space="preserve">Журнал </w:t>
      </w:r>
      <w:r>
        <w:rPr>
          <w:rFonts w:ascii="Times New Roman" w:hAnsi="Times New Roman" w:cs="Times New Roman"/>
          <w:sz w:val="24"/>
          <w:szCs w:val="24"/>
          <w:lang w:val="en-US"/>
        </w:rPr>
        <w:t>EdExpert</w:t>
      </w:r>
      <w:r w:rsidRPr="003E201A">
        <w:rPr>
          <w:rFonts w:ascii="Times New Roman" w:hAnsi="Times New Roman" w:cs="Times New Roman"/>
          <w:sz w:val="24"/>
          <w:szCs w:val="24"/>
        </w:rPr>
        <w:t xml:space="preserve"> [</w:t>
      </w:r>
      <w:r w:rsidRPr="00D45922">
        <w:rPr>
          <w:rFonts w:ascii="Times New Roman" w:hAnsi="Times New Roman" w:cs="Times New Roman"/>
          <w:sz w:val="24"/>
          <w:szCs w:val="24"/>
        </w:rPr>
        <w:t>Электронный</w:t>
      </w:r>
      <w:r w:rsidRPr="003E201A">
        <w:rPr>
          <w:rFonts w:ascii="Times New Roman" w:hAnsi="Times New Roman" w:cs="Times New Roman"/>
          <w:sz w:val="24"/>
          <w:szCs w:val="24"/>
        </w:rPr>
        <w:t xml:space="preserve"> </w:t>
      </w:r>
      <w:r w:rsidRPr="00D45922">
        <w:rPr>
          <w:rFonts w:ascii="Times New Roman" w:hAnsi="Times New Roman" w:cs="Times New Roman"/>
          <w:sz w:val="24"/>
          <w:szCs w:val="24"/>
        </w:rPr>
        <w:t>ресурс</w:t>
      </w:r>
      <w:r w:rsidRPr="003E201A">
        <w:rPr>
          <w:rFonts w:ascii="Times New Roman" w:hAnsi="Times New Roman" w:cs="Times New Roman"/>
          <w:sz w:val="24"/>
          <w:szCs w:val="24"/>
        </w:rPr>
        <w:t xml:space="preserve">]. – </w:t>
      </w:r>
      <w:r w:rsidRPr="002C052E">
        <w:rPr>
          <w:rFonts w:ascii="Times New Roman" w:hAnsi="Times New Roman" w:cs="Times New Roman"/>
          <w:sz w:val="24"/>
          <w:szCs w:val="24"/>
          <w:lang w:val="en-US"/>
        </w:rPr>
        <w:t>URL</w:t>
      </w:r>
      <w:r w:rsidRPr="003E201A">
        <w:rPr>
          <w:rFonts w:ascii="Times New Roman" w:hAnsi="Times New Roman" w:cs="Times New Roman"/>
          <w:sz w:val="24"/>
          <w:szCs w:val="24"/>
        </w:rPr>
        <w:t xml:space="preserve">: </w:t>
      </w:r>
      <w:r w:rsidRPr="003E201A">
        <w:rPr>
          <w:rFonts w:ascii="Times New Roman" w:hAnsi="Times New Roman" w:cs="Times New Roman"/>
          <w:sz w:val="24"/>
          <w:szCs w:val="24"/>
          <w:lang w:val="en-US"/>
        </w:rPr>
        <w:t>https</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edexpert</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ru</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investments</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leaders</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and</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new</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developments</w:t>
      </w:r>
      <w:r w:rsidRPr="003E201A">
        <w:rPr>
          <w:rFonts w:ascii="Times New Roman" w:hAnsi="Times New Roman" w:cs="Times New Roman"/>
          <w:sz w:val="24"/>
          <w:szCs w:val="24"/>
        </w:rPr>
        <w:t xml:space="preserve"> </w:t>
      </w:r>
    </w:p>
    <w:p w:rsidR="00AE4C5B" w:rsidRPr="003E201A" w:rsidRDefault="00AE4C5B" w:rsidP="00205E6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Pr="003E201A">
        <w:rPr>
          <w:rFonts w:ascii="Times New Roman" w:hAnsi="Times New Roman" w:cs="Times New Roman"/>
          <w:sz w:val="24"/>
          <w:szCs w:val="24"/>
        </w:rPr>
        <w:t>.</w:t>
      </w:r>
      <w:r w:rsidRPr="003E201A">
        <w:rPr>
          <w:rFonts w:ascii="Times New Roman" w:hAnsi="Times New Roman" w:cs="Times New Roman"/>
          <w:sz w:val="24"/>
          <w:szCs w:val="24"/>
          <w:lang w:val="en-US"/>
        </w:rPr>
        <w:t> </w:t>
      </w:r>
      <w:r>
        <w:rPr>
          <w:rFonts w:ascii="Times New Roman" w:hAnsi="Times New Roman" w:cs="Times New Roman"/>
          <w:sz w:val="24"/>
          <w:szCs w:val="24"/>
        </w:rPr>
        <w:t>Мировой</w:t>
      </w:r>
      <w:r w:rsidRPr="003E201A">
        <w:rPr>
          <w:rFonts w:ascii="Times New Roman" w:hAnsi="Times New Roman" w:cs="Times New Roman"/>
          <w:sz w:val="24"/>
          <w:szCs w:val="24"/>
        </w:rPr>
        <w:t xml:space="preserve"> </w:t>
      </w:r>
      <w:r>
        <w:rPr>
          <w:rFonts w:ascii="Times New Roman" w:hAnsi="Times New Roman" w:cs="Times New Roman"/>
          <w:sz w:val="24"/>
          <w:szCs w:val="24"/>
        </w:rPr>
        <w:t>аталас</w:t>
      </w:r>
      <w:r w:rsidRPr="003E201A">
        <w:rPr>
          <w:rFonts w:ascii="Times New Roman" w:hAnsi="Times New Roman" w:cs="Times New Roman"/>
          <w:sz w:val="24"/>
          <w:szCs w:val="24"/>
        </w:rPr>
        <w:t xml:space="preserve"> </w:t>
      </w:r>
      <w:r>
        <w:rPr>
          <w:rFonts w:ascii="Times New Roman" w:hAnsi="Times New Roman" w:cs="Times New Roman"/>
          <w:sz w:val="24"/>
          <w:szCs w:val="24"/>
        </w:rPr>
        <w:t>данных</w:t>
      </w:r>
      <w:r w:rsidRPr="003E201A">
        <w:rPr>
          <w:rFonts w:ascii="Times New Roman" w:hAnsi="Times New Roman" w:cs="Times New Roman"/>
          <w:sz w:val="24"/>
          <w:szCs w:val="24"/>
        </w:rPr>
        <w:t xml:space="preserve"> [</w:t>
      </w:r>
      <w:r>
        <w:rPr>
          <w:rFonts w:ascii="Times New Roman" w:hAnsi="Times New Roman" w:cs="Times New Roman"/>
          <w:sz w:val="24"/>
          <w:szCs w:val="24"/>
        </w:rPr>
        <w:t>Электронный</w:t>
      </w:r>
      <w:r w:rsidRPr="003E201A">
        <w:rPr>
          <w:rFonts w:ascii="Times New Roman" w:hAnsi="Times New Roman" w:cs="Times New Roman"/>
          <w:sz w:val="24"/>
          <w:szCs w:val="24"/>
        </w:rPr>
        <w:t xml:space="preserve"> </w:t>
      </w:r>
      <w:r>
        <w:rPr>
          <w:rFonts w:ascii="Times New Roman" w:hAnsi="Times New Roman" w:cs="Times New Roman"/>
          <w:sz w:val="24"/>
          <w:szCs w:val="24"/>
        </w:rPr>
        <w:t>ресурс</w:t>
      </w:r>
      <w:r w:rsidRPr="003E201A">
        <w:rPr>
          <w:rFonts w:ascii="Times New Roman" w:hAnsi="Times New Roman" w:cs="Times New Roman"/>
          <w:sz w:val="24"/>
          <w:szCs w:val="24"/>
        </w:rPr>
        <w:t xml:space="preserve">]. – </w:t>
      </w:r>
      <w:r w:rsidRPr="003E201A">
        <w:rPr>
          <w:rFonts w:ascii="Times New Roman" w:hAnsi="Times New Roman" w:cs="Times New Roman"/>
          <w:sz w:val="24"/>
          <w:szCs w:val="24"/>
          <w:lang w:val="en-US"/>
        </w:rPr>
        <w:t>URL</w:t>
      </w:r>
      <w:r w:rsidRPr="003E201A">
        <w:rPr>
          <w:rFonts w:ascii="Times New Roman" w:hAnsi="Times New Roman" w:cs="Times New Roman"/>
          <w:sz w:val="24"/>
          <w:szCs w:val="24"/>
        </w:rPr>
        <w:t>:https://knoema.ru/atlas/</w:t>
      </w:r>
    </w:p>
    <w:p w:rsidR="00AE4C5B" w:rsidRDefault="00AE4C5B" w:rsidP="00205E6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5</w:t>
      </w:r>
      <w:r w:rsidRPr="003E201A">
        <w:rPr>
          <w:rFonts w:ascii="Times New Roman" w:hAnsi="Times New Roman" w:cs="Times New Roman"/>
          <w:sz w:val="24"/>
          <w:szCs w:val="24"/>
        </w:rPr>
        <w:t>.</w:t>
      </w:r>
      <w:r w:rsidRPr="002C052E">
        <w:rPr>
          <w:rFonts w:ascii="Times New Roman" w:hAnsi="Times New Roman" w:cs="Times New Roman"/>
          <w:sz w:val="24"/>
          <w:szCs w:val="24"/>
          <w:lang w:val="en-US"/>
        </w:rPr>
        <w:t> </w:t>
      </w:r>
      <w:r>
        <w:rPr>
          <w:rFonts w:ascii="Times New Roman" w:hAnsi="Times New Roman" w:cs="Times New Roman"/>
          <w:sz w:val="24"/>
          <w:szCs w:val="24"/>
        </w:rPr>
        <w:t>Организация Объединенных Наций</w:t>
      </w:r>
      <w:r w:rsidRPr="003E201A">
        <w:t xml:space="preserve"> </w:t>
      </w:r>
      <w:r w:rsidRPr="003E201A">
        <w:rPr>
          <w:rFonts w:ascii="Times New Roman" w:hAnsi="Times New Roman" w:cs="Times New Roman"/>
          <w:sz w:val="24"/>
          <w:szCs w:val="24"/>
        </w:rPr>
        <w:t>[</w:t>
      </w:r>
      <w:r w:rsidRPr="00D45922">
        <w:rPr>
          <w:rFonts w:ascii="Times New Roman" w:hAnsi="Times New Roman" w:cs="Times New Roman"/>
          <w:sz w:val="24"/>
          <w:szCs w:val="24"/>
        </w:rPr>
        <w:t>Электронный</w:t>
      </w:r>
      <w:r w:rsidRPr="003E201A">
        <w:rPr>
          <w:rFonts w:ascii="Times New Roman" w:hAnsi="Times New Roman" w:cs="Times New Roman"/>
          <w:sz w:val="24"/>
          <w:szCs w:val="24"/>
        </w:rPr>
        <w:t xml:space="preserve"> </w:t>
      </w:r>
      <w:r w:rsidRPr="00D45922">
        <w:rPr>
          <w:rFonts w:ascii="Times New Roman" w:hAnsi="Times New Roman" w:cs="Times New Roman"/>
          <w:sz w:val="24"/>
          <w:szCs w:val="24"/>
        </w:rPr>
        <w:t>ресурс</w:t>
      </w:r>
      <w:r w:rsidRPr="003E201A">
        <w:rPr>
          <w:rFonts w:ascii="Times New Roman" w:hAnsi="Times New Roman" w:cs="Times New Roman"/>
          <w:sz w:val="24"/>
          <w:szCs w:val="24"/>
        </w:rPr>
        <w:t xml:space="preserve">]. – </w:t>
      </w:r>
      <w:r w:rsidRPr="002C052E">
        <w:rPr>
          <w:rFonts w:ascii="Times New Roman" w:hAnsi="Times New Roman" w:cs="Times New Roman"/>
          <w:sz w:val="24"/>
          <w:szCs w:val="24"/>
          <w:lang w:val="en-US"/>
        </w:rPr>
        <w:t>URL</w:t>
      </w:r>
      <w:r w:rsidRPr="003E201A">
        <w:rPr>
          <w:rFonts w:ascii="Times New Roman" w:hAnsi="Times New Roman" w:cs="Times New Roman"/>
          <w:sz w:val="24"/>
          <w:szCs w:val="24"/>
        </w:rPr>
        <w:t xml:space="preserve">: </w:t>
      </w:r>
      <w:r w:rsidRPr="00AE4C5B">
        <w:rPr>
          <w:rFonts w:ascii="Times New Roman" w:hAnsi="Times New Roman" w:cs="Times New Roman"/>
          <w:sz w:val="24"/>
          <w:szCs w:val="24"/>
          <w:lang w:val="en-US"/>
        </w:rPr>
        <w:t>https</w:t>
      </w:r>
      <w:r w:rsidRPr="00AE4C5B">
        <w:rPr>
          <w:rFonts w:ascii="Times New Roman" w:hAnsi="Times New Roman" w:cs="Times New Roman"/>
          <w:sz w:val="24"/>
          <w:szCs w:val="24"/>
        </w:rPr>
        <w:t>://</w:t>
      </w:r>
      <w:r w:rsidRPr="00AE4C5B">
        <w:rPr>
          <w:rFonts w:ascii="Times New Roman" w:hAnsi="Times New Roman" w:cs="Times New Roman"/>
          <w:sz w:val="24"/>
          <w:szCs w:val="24"/>
          <w:lang w:val="en-US"/>
        </w:rPr>
        <w:t>www</w:t>
      </w:r>
      <w:r w:rsidRPr="00AE4C5B">
        <w:rPr>
          <w:rFonts w:ascii="Times New Roman" w:hAnsi="Times New Roman" w:cs="Times New Roman"/>
          <w:sz w:val="24"/>
          <w:szCs w:val="24"/>
        </w:rPr>
        <w:t>.</w:t>
      </w:r>
      <w:r w:rsidRPr="00AE4C5B">
        <w:rPr>
          <w:rFonts w:ascii="Times New Roman" w:hAnsi="Times New Roman" w:cs="Times New Roman"/>
          <w:sz w:val="24"/>
          <w:szCs w:val="24"/>
          <w:lang w:val="en-US"/>
        </w:rPr>
        <w:t>un</w:t>
      </w:r>
      <w:r w:rsidRPr="00AE4C5B">
        <w:rPr>
          <w:rFonts w:ascii="Times New Roman" w:hAnsi="Times New Roman" w:cs="Times New Roman"/>
          <w:sz w:val="24"/>
          <w:szCs w:val="24"/>
        </w:rPr>
        <w:t>.</w:t>
      </w:r>
      <w:r w:rsidRPr="00AE4C5B">
        <w:rPr>
          <w:rFonts w:ascii="Times New Roman" w:hAnsi="Times New Roman" w:cs="Times New Roman"/>
          <w:sz w:val="24"/>
          <w:szCs w:val="24"/>
          <w:lang w:val="en-US"/>
        </w:rPr>
        <w:t>org</w:t>
      </w:r>
      <w:r w:rsidRPr="00AE4C5B">
        <w:rPr>
          <w:rFonts w:ascii="Times New Roman" w:hAnsi="Times New Roman" w:cs="Times New Roman"/>
          <w:sz w:val="24"/>
          <w:szCs w:val="24"/>
        </w:rPr>
        <w:t>/</w:t>
      </w:r>
      <w:r w:rsidRPr="00AE4C5B">
        <w:rPr>
          <w:rFonts w:ascii="Times New Roman" w:hAnsi="Times New Roman" w:cs="Times New Roman"/>
          <w:sz w:val="24"/>
          <w:szCs w:val="24"/>
          <w:lang w:val="en-US"/>
        </w:rPr>
        <w:t>ru</w:t>
      </w:r>
      <w:r w:rsidRPr="00AE4C5B">
        <w:rPr>
          <w:rFonts w:ascii="Times New Roman" w:hAnsi="Times New Roman" w:cs="Times New Roman"/>
          <w:sz w:val="24"/>
          <w:szCs w:val="24"/>
        </w:rPr>
        <w:t>/</w:t>
      </w:r>
      <w:r w:rsidRPr="003E201A">
        <w:rPr>
          <w:rFonts w:ascii="Times New Roman" w:hAnsi="Times New Roman" w:cs="Times New Roman"/>
          <w:sz w:val="24"/>
          <w:szCs w:val="24"/>
        </w:rPr>
        <w:t xml:space="preserve"> </w:t>
      </w:r>
    </w:p>
    <w:p w:rsidR="00AE4C5B" w:rsidRDefault="00AE4C5B" w:rsidP="00AE4C5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6. </w:t>
      </w:r>
      <w:r w:rsidRPr="00AE4C5B">
        <w:rPr>
          <w:rFonts w:ascii="Times New Roman" w:hAnsi="Times New Roman" w:cs="Times New Roman"/>
          <w:sz w:val="24"/>
          <w:szCs w:val="24"/>
        </w:rPr>
        <w:t>Рейтинг конкурентоспособности стран мира 2019, IMD</w:t>
      </w:r>
      <w:r>
        <w:rPr>
          <w:rFonts w:ascii="Times New Roman" w:hAnsi="Times New Roman" w:cs="Times New Roman"/>
          <w:sz w:val="24"/>
          <w:szCs w:val="24"/>
        </w:rPr>
        <w:t xml:space="preserve"> </w:t>
      </w:r>
      <w:r w:rsidRPr="00AE4C5B">
        <w:rPr>
          <w:rFonts w:ascii="Times New Roman" w:hAnsi="Times New Roman" w:cs="Times New Roman"/>
          <w:sz w:val="24"/>
          <w:szCs w:val="24"/>
        </w:rPr>
        <w:t xml:space="preserve">[Электронный ресурс]. – </w:t>
      </w:r>
      <w:r w:rsidRPr="00AE4C5B">
        <w:rPr>
          <w:rFonts w:ascii="Times New Roman" w:hAnsi="Times New Roman" w:cs="Times New Roman"/>
          <w:sz w:val="24"/>
          <w:szCs w:val="24"/>
          <w:lang w:val="en-US"/>
        </w:rPr>
        <w:t>URL</w:t>
      </w:r>
      <w:r w:rsidRPr="00AE4C5B">
        <w:rPr>
          <w:rFonts w:ascii="Times New Roman" w:hAnsi="Times New Roman" w:cs="Times New Roman"/>
          <w:sz w:val="24"/>
          <w:szCs w:val="24"/>
        </w:rPr>
        <w:t>: https://basetop.ru/rejting-konkurentosposobnosti-stran-mira-2019-imd/</w:t>
      </w:r>
    </w:p>
    <w:p w:rsidR="00AE4C5B" w:rsidRDefault="00AE4C5B" w:rsidP="0066350E">
      <w:pPr>
        <w:spacing w:after="0" w:line="240" w:lineRule="auto"/>
        <w:jc w:val="right"/>
        <w:rPr>
          <w:rFonts w:ascii="Times New Roman" w:hAnsi="Times New Roman" w:cs="Times New Roman"/>
          <w:sz w:val="24"/>
          <w:szCs w:val="24"/>
        </w:rPr>
      </w:pPr>
    </w:p>
    <w:p w:rsidR="0066350E" w:rsidRPr="006C08AF" w:rsidRDefault="0066350E" w:rsidP="0066350E">
      <w:pPr>
        <w:spacing w:after="0" w:line="240" w:lineRule="auto"/>
        <w:jc w:val="right"/>
        <w:rPr>
          <w:rFonts w:ascii="Times New Roman" w:hAnsi="Times New Roman" w:cs="Times New Roman"/>
          <w:sz w:val="24"/>
          <w:szCs w:val="24"/>
          <w:lang w:val="en-US"/>
        </w:rPr>
      </w:pPr>
      <w:r w:rsidRPr="006C08AF">
        <w:rPr>
          <w:rFonts w:ascii="Times New Roman" w:hAnsi="Times New Roman" w:cs="Times New Roman"/>
          <w:sz w:val="24"/>
          <w:szCs w:val="24"/>
          <w:lang w:val="en-US"/>
        </w:rPr>
        <w:t>Shilets E.S.</w:t>
      </w:r>
    </w:p>
    <w:p w:rsidR="0066350E" w:rsidRPr="006C745F" w:rsidRDefault="0066350E" w:rsidP="0066350E">
      <w:pPr>
        <w:spacing w:after="0" w:line="240" w:lineRule="auto"/>
        <w:jc w:val="right"/>
        <w:rPr>
          <w:rFonts w:ascii="Times New Roman" w:hAnsi="Times New Roman" w:cs="Times New Roman"/>
          <w:sz w:val="24"/>
          <w:szCs w:val="24"/>
          <w:lang w:val="en-US"/>
        </w:rPr>
      </w:pPr>
      <w:r w:rsidRPr="006C08AF">
        <w:rPr>
          <w:rFonts w:ascii="Times New Roman" w:hAnsi="Times New Roman" w:cs="Times New Roman"/>
          <w:sz w:val="24"/>
          <w:szCs w:val="24"/>
          <w:lang w:val="en-US"/>
        </w:rPr>
        <w:t xml:space="preserve"> Sukhinina A.O.</w:t>
      </w:r>
    </w:p>
    <w:p w:rsidR="0066350E" w:rsidRPr="0066350E" w:rsidRDefault="007E6D96" w:rsidP="0066350E">
      <w:pPr>
        <w:spacing w:after="0" w:line="240" w:lineRule="auto"/>
        <w:jc w:val="center"/>
        <w:rPr>
          <w:rFonts w:ascii="Times New Roman" w:hAnsi="Times New Roman" w:cs="Times New Roman"/>
          <w:b/>
          <w:sz w:val="24"/>
          <w:szCs w:val="24"/>
          <w:lang w:val="en-US"/>
        </w:rPr>
      </w:pPr>
      <w:r w:rsidRPr="007E6D96">
        <w:rPr>
          <w:rFonts w:ascii="Times New Roman" w:hAnsi="Times New Roman" w:cs="Times New Roman"/>
          <w:b/>
          <w:sz w:val="24"/>
          <w:szCs w:val="24"/>
          <w:lang w:val="en-US"/>
        </w:rPr>
        <w:t>IMPROVING THE COMPETITIVENESS OF CHINA'S ECONOMY IN THE CONTEXT OF GLOBALIZATION</w:t>
      </w:r>
    </w:p>
    <w:p w:rsidR="0066350E" w:rsidRPr="0066350E" w:rsidRDefault="0066350E" w:rsidP="0066350E">
      <w:pPr>
        <w:spacing w:after="0" w:line="240" w:lineRule="auto"/>
        <w:ind w:firstLine="567"/>
        <w:jc w:val="both"/>
        <w:rPr>
          <w:rFonts w:ascii="Times New Roman" w:hAnsi="Times New Roman" w:cs="Times New Roman"/>
          <w:sz w:val="24"/>
          <w:szCs w:val="24"/>
          <w:lang w:val="en-US"/>
        </w:rPr>
      </w:pPr>
    </w:p>
    <w:p w:rsidR="0066350E" w:rsidRPr="0066350E" w:rsidRDefault="0066350E" w:rsidP="0066350E">
      <w:pPr>
        <w:spacing w:after="0" w:line="240" w:lineRule="auto"/>
        <w:ind w:firstLine="567"/>
        <w:jc w:val="both"/>
        <w:rPr>
          <w:rFonts w:ascii="Times New Roman" w:hAnsi="Times New Roman" w:cs="Times New Roman"/>
          <w:i/>
          <w:sz w:val="24"/>
          <w:szCs w:val="24"/>
          <w:lang w:val="en-US"/>
        </w:rPr>
      </w:pPr>
      <w:r w:rsidRPr="0066350E">
        <w:rPr>
          <w:rFonts w:ascii="Times New Roman" w:hAnsi="Times New Roman" w:cs="Times New Roman"/>
          <w:i/>
          <w:sz w:val="24"/>
          <w:szCs w:val="24"/>
          <w:lang w:val="en-US"/>
        </w:rPr>
        <w:t>Today, China can be increasingly seen as an example for building a model of state development at many levels. As the world's second largest economy, China is showing rapid and steady growth. The country is the most populous in the world and successfully uses its positive economic development to reduce poverty and maintain the well-being of its citizens. One of the factors of Chinese economic success is large – scale investments. China has made huge investments and government support measures in various areas, including infrastructure development, health, education (including online education), R &amp; d, and so on. The state is also interested in the inflow of foreign capital, which makes it possible to use foreign management experience, open access to the latest technologies, and expand export-oriented industries. Thus, China occupies a leading position in terms of world exports. Measured by purchasing power parity, China's share of global GDP rose to 19% in 2019. In the human development index in 2018, China ranked 4th, behind Norway, Switzerland and Ireland. In the international competitiven</w:t>
      </w:r>
      <w:r w:rsidR="00F52C12">
        <w:rPr>
          <w:rFonts w:ascii="Times New Roman" w:hAnsi="Times New Roman" w:cs="Times New Roman"/>
          <w:i/>
          <w:sz w:val="24"/>
          <w:szCs w:val="24"/>
          <w:lang w:val="en-US"/>
        </w:rPr>
        <w:t xml:space="preserve">ess ranking, China was ranked </w:t>
      </w:r>
      <w:r w:rsidR="00F52C12" w:rsidRPr="00F52C12">
        <w:rPr>
          <w:rFonts w:ascii="Times New Roman" w:hAnsi="Times New Roman" w:cs="Times New Roman"/>
          <w:i/>
          <w:sz w:val="24"/>
          <w:szCs w:val="24"/>
          <w:lang w:val="en-US"/>
        </w:rPr>
        <w:t>14</w:t>
      </w:r>
      <w:r w:rsidR="00F52C12">
        <w:rPr>
          <w:rFonts w:ascii="Times New Roman" w:hAnsi="Times New Roman" w:cs="Times New Roman"/>
          <w:i/>
          <w:sz w:val="24"/>
          <w:szCs w:val="24"/>
          <w:lang w:val="en-US"/>
        </w:rPr>
        <w:t xml:space="preserve">th among </w:t>
      </w:r>
      <w:r w:rsidR="00F52C12" w:rsidRPr="00F52C12">
        <w:rPr>
          <w:rFonts w:ascii="Times New Roman" w:hAnsi="Times New Roman" w:cs="Times New Roman"/>
          <w:i/>
          <w:sz w:val="24"/>
          <w:szCs w:val="24"/>
          <w:lang w:val="en-US"/>
        </w:rPr>
        <w:t>63</w:t>
      </w:r>
      <w:r w:rsidR="00F52C12">
        <w:rPr>
          <w:rFonts w:ascii="Times New Roman" w:hAnsi="Times New Roman" w:cs="Times New Roman"/>
          <w:i/>
          <w:sz w:val="24"/>
          <w:szCs w:val="24"/>
          <w:lang w:val="en-US"/>
        </w:rPr>
        <w:t xml:space="preserve"> countries in</w:t>
      </w:r>
      <w:r w:rsidRPr="0066350E">
        <w:rPr>
          <w:rFonts w:ascii="Times New Roman" w:hAnsi="Times New Roman" w:cs="Times New Roman"/>
          <w:i/>
          <w:sz w:val="24"/>
          <w:szCs w:val="24"/>
          <w:lang w:val="en-US"/>
        </w:rPr>
        <w:t xml:space="preserve"> </w:t>
      </w:r>
      <w:r w:rsidR="00F52C12" w:rsidRPr="00F52C12">
        <w:rPr>
          <w:rFonts w:ascii="Times New Roman" w:hAnsi="Times New Roman" w:cs="Times New Roman"/>
          <w:i/>
          <w:sz w:val="24"/>
          <w:szCs w:val="24"/>
          <w:lang w:val="en-US"/>
        </w:rPr>
        <w:t>2019</w:t>
      </w:r>
      <w:r w:rsidRPr="0066350E">
        <w:rPr>
          <w:rFonts w:ascii="Times New Roman" w:hAnsi="Times New Roman" w:cs="Times New Roman"/>
          <w:i/>
          <w:sz w:val="24"/>
          <w:szCs w:val="24"/>
          <w:lang w:val="en-US"/>
        </w:rPr>
        <w:t>. China prides itself on having about 9 percent of the world's arable land to feed nearly 20 percent of the world's population. We can assume that in the coming years, the Chinese economy will take a leading position.</w:t>
      </w:r>
    </w:p>
    <w:p w:rsidR="0066350E" w:rsidRPr="00205BC7" w:rsidRDefault="0066350E" w:rsidP="0066350E">
      <w:pPr>
        <w:spacing w:after="0" w:line="240" w:lineRule="auto"/>
        <w:ind w:firstLine="567"/>
        <w:jc w:val="both"/>
        <w:rPr>
          <w:rFonts w:ascii="Times New Roman" w:hAnsi="Times New Roman" w:cs="Times New Roman"/>
          <w:b/>
          <w:sz w:val="24"/>
          <w:szCs w:val="24"/>
          <w:lang w:val="en-US"/>
        </w:rPr>
      </w:pPr>
    </w:p>
    <w:p w:rsidR="0066350E" w:rsidRPr="00205BC7" w:rsidRDefault="0066350E" w:rsidP="0066350E">
      <w:pPr>
        <w:spacing w:after="0" w:line="240" w:lineRule="auto"/>
        <w:ind w:firstLine="567"/>
        <w:jc w:val="both"/>
        <w:rPr>
          <w:rFonts w:ascii="Times New Roman" w:hAnsi="Times New Roman" w:cs="Times New Roman"/>
          <w:i/>
          <w:sz w:val="24"/>
          <w:szCs w:val="24"/>
          <w:lang w:val="en-US"/>
        </w:rPr>
      </w:pPr>
      <w:r w:rsidRPr="0066350E">
        <w:rPr>
          <w:rFonts w:ascii="Times New Roman" w:hAnsi="Times New Roman" w:cs="Times New Roman"/>
          <w:b/>
          <w:sz w:val="24"/>
          <w:szCs w:val="24"/>
          <w:lang w:val="en-US"/>
        </w:rPr>
        <w:t>Keywords</w:t>
      </w:r>
      <w:r w:rsidRPr="0066350E">
        <w:rPr>
          <w:rFonts w:ascii="Times New Roman" w:hAnsi="Times New Roman" w:cs="Times New Roman"/>
          <w:i/>
          <w:sz w:val="24"/>
          <w:szCs w:val="24"/>
          <w:lang w:val="en-US"/>
        </w:rPr>
        <w:t xml:space="preserve"> </w:t>
      </w:r>
      <w:bookmarkStart w:id="0" w:name="_GoBack"/>
      <w:r w:rsidRPr="0066350E">
        <w:rPr>
          <w:rFonts w:ascii="Times New Roman" w:hAnsi="Times New Roman" w:cs="Times New Roman"/>
          <w:i/>
          <w:sz w:val="24"/>
          <w:szCs w:val="24"/>
          <w:lang w:val="en-US"/>
        </w:rPr>
        <w:t>world economy, national economy, investment, GDP, competitiveness, infrastructure, export</w:t>
      </w:r>
      <w:bookmarkEnd w:id="0"/>
    </w:p>
    <w:p w:rsidR="006C745F" w:rsidRPr="00205BC7" w:rsidRDefault="006C745F" w:rsidP="006C745F">
      <w:pPr>
        <w:spacing w:after="0" w:line="240" w:lineRule="auto"/>
        <w:jc w:val="center"/>
        <w:rPr>
          <w:rFonts w:ascii="Times New Roman" w:hAnsi="Times New Roman" w:cs="Times New Roman"/>
          <w:b/>
          <w:sz w:val="24"/>
          <w:szCs w:val="24"/>
          <w:lang w:val="en-US"/>
        </w:rPr>
      </w:pPr>
    </w:p>
    <w:p w:rsidR="006C745F" w:rsidRPr="006C08AF" w:rsidRDefault="006C745F" w:rsidP="006C745F">
      <w:pPr>
        <w:spacing w:after="0" w:line="240" w:lineRule="auto"/>
        <w:jc w:val="center"/>
        <w:rPr>
          <w:rFonts w:ascii="Times New Roman" w:hAnsi="Times New Roman" w:cs="Times New Roman"/>
          <w:b/>
          <w:sz w:val="24"/>
          <w:szCs w:val="24"/>
          <w:lang w:val="en-US"/>
        </w:rPr>
      </w:pPr>
      <w:r w:rsidRPr="006C08AF">
        <w:rPr>
          <w:rFonts w:ascii="Times New Roman" w:hAnsi="Times New Roman" w:cs="Times New Roman"/>
          <w:b/>
          <w:sz w:val="24"/>
          <w:szCs w:val="24"/>
          <w:lang w:val="en-US"/>
        </w:rPr>
        <w:t>Bibliography.</w:t>
      </w:r>
    </w:p>
    <w:p w:rsidR="00AE4C5B" w:rsidRDefault="00AE4C5B" w:rsidP="00205E68">
      <w:pPr>
        <w:spacing w:after="0" w:line="240" w:lineRule="auto"/>
        <w:ind w:firstLine="567"/>
        <w:jc w:val="both"/>
        <w:rPr>
          <w:rFonts w:ascii="Times New Roman" w:hAnsi="Times New Roman" w:cs="Times New Roman"/>
          <w:sz w:val="24"/>
          <w:szCs w:val="24"/>
          <w:lang w:val="en-US"/>
        </w:rPr>
      </w:pPr>
      <w:r w:rsidRPr="008E7C0F">
        <w:rPr>
          <w:rFonts w:ascii="Times New Roman" w:hAnsi="Times New Roman" w:cs="Times New Roman"/>
          <w:sz w:val="24"/>
          <w:szCs w:val="24"/>
          <w:lang w:val="en-US"/>
        </w:rPr>
        <w:t>1</w:t>
      </w:r>
      <w:r w:rsidRPr="006C08AF">
        <w:rPr>
          <w:rFonts w:ascii="Times New Roman" w:hAnsi="Times New Roman" w:cs="Times New Roman"/>
          <w:sz w:val="24"/>
          <w:szCs w:val="24"/>
          <w:lang w:val="en-US"/>
        </w:rPr>
        <w:t>. </w:t>
      </w:r>
      <w:r w:rsidRPr="00205E68">
        <w:rPr>
          <w:rFonts w:ascii="Times New Roman" w:hAnsi="Times New Roman" w:cs="Times New Roman"/>
          <w:sz w:val="24"/>
          <w:szCs w:val="24"/>
          <w:lang w:val="en-US"/>
        </w:rPr>
        <w:t xml:space="preserve"> EdExpert Journal [Electronic resource]. – URL: https://edexpert.ru/investments-leaders-and-new-developments</w:t>
      </w:r>
    </w:p>
    <w:p w:rsidR="00AE4C5B" w:rsidRPr="00205E68" w:rsidRDefault="00AE4C5B" w:rsidP="00205E68">
      <w:pPr>
        <w:spacing w:after="0" w:line="240" w:lineRule="auto"/>
        <w:ind w:firstLine="567"/>
        <w:jc w:val="both"/>
        <w:rPr>
          <w:rFonts w:ascii="Times New Roman" w:hAnsi="Times New Roman" w:cs="Times New Roman"/>
          <w:sz w:val="24"/>
          <w:szCs w:val="24"/>
          <w:lang w:val="en-US"/>
        </w:rPr>
      </w:pPr>
      <w:r w:rsidRPr="00AE4C5B">
        <w:rPr>
          <w:rFonts w:ascii="Times New Roman" w:hAnsi="Times New Roman" w:cs="Times New Roman"/>
          <w:sz w:val="24"/>
          <w:szCs w:val="24"/>
          <w:lang w:val="en-US"/>
        </w:rPr>
        <w:t>2</w:t>
      </w:r>
      <w:r w:rsidRPr="006C08AF">
        <w:rPr>
          <w:rFonts w:ascii="Times New Roman" w:hAnsi="Times New Roman" w:cs="Times New Roman"/>
          <w:sz w:val="24"/>
          <w:szCs w:val="24"/>
          <w:lang w:val="en-US"/>
        </w:rPr>
        <w:t>. </w:t>
      </w:r>
      <w:r w:rsidR="00F52C12">
        <w:rPr>
          <w:rFonts w:ascii="Times New Roman" w:hAnsi="Times New Roman" w:cs="Times New Roman"/>
          <w:sz w:val="24"/>
          <w:szCs w:val="24"/>
          <w:lang w:val="en-US"/>
        </w:rPr>
        <w:t>Golovachev, A.</w:t>
      </w:r>
      <w:r w:rsidR="00F52C12" w:rsidRPr="00F52C12">
        <w:rPr>
          <w:rFonts w:ascii="Times New Roman" w:hAnsi="Times New Roman" w:cs="Times New Roman"/>
          <w:sz w:val="24"/>
          <w:szCs w:val="24"/>
          <w:lang w:val="en-US"/>
        </w:rPr>
        <w:t xml:space="preserve"> </w:t>
      </w:r>
      <w:r w:rsidRPr="003E201A">
        <w:rPr>
          <w:rFonts w:ascii="Times New Roman" w:hAnsi="Times New Roman" w:cs="Times New Roman"/>
          <w:sz w:val="24"/>
          <w:szCs w:val="24"/>
          <w:lang w:val="en-US"/>
        </w:rPr>
        <w:t>S. Competitiveness of the organization: textbook. manual /</w:t>
      </w:r>
      <w:r w:rsidR="00F52C12" w:rsidRPr="00F52C12">
        <w:rPr>
          <w:rFonts w:ascii="Times New Roman" w:hAnsi="Times New Roman" w:cs="Times New Roman"/>
          <w:sz w:val="24"/>
          <w:szCs w:val="24"/>
          <w:lang w:val="en-US"/>
        </w:rPr>
        <w:t xml:space="preserve"> </w:t>
      </w:r>
      <w:r w:rsidR="00F52C12">
        <w:rPr>
          <w:rFonts w:ascii="Times New Roman" w:hAnsi="Times New Roman" w:cs="Times New Roman"/>
          <w:sz w:val="24"/>
          <w:szCs w:val="24"/>
          <w:lang w:val="en-US"/>
        </w:rPr>
        <w:t>A.</w:t>
      </w:r>
      <w:r w:rsidR="00F52C12" w:rsidRPr="00F52C12">
        <w:rPr>
          <w:rFonts w:ascii="Times New Roman" w:hAnsi="Times New Roman" w:cs="Times New Roman"/>
          <w:sz w:val="24"/>
          <w:szCs w:val="24"/>
          <w:lang w:val="en-US"/>
        </w:rPr>
        <w:t> </w:t>
      </w:r>
      <w:r w:rsidRPr="003E201A">
        <w:rPr>
          <w:rFonts w:ascii="Times New Roman" w:hAnsi="Times New Roman" w:cs="Times New Roman"/>
          <w:sz w:val="24"/>
          <w:szCs w:val="24"/>
          <w:lang w:val="en-US"/>
        </w:rPr>
        <w:t>S.</w:t>
      </w:r>
      <w:r w:rsidR="00F52C12" w:rsidRPr="00F52C12">
        <w:rPr>
          <w:rFonts w:ascii="Times New Roman" w:hAnsi="Times New Roman" w:cs="Times New Roman"/>
          <w:sz w:val="24"/>
          <w:szCs w:val="24"/>
          <w:lang w:val="en-US"/>
        </w:rPr>
        <w:t> </w:t>
      </w:r>
      <w:r w:rsidRPr="003E201A">
        <w:rPr>
          <w:rFonts w:ascii="Times New Roman" w:hAnsi="Times New Roman" w:cs="Times New Roman"/>
          <w:sz w:val="24"/>
          <w:szCs w:val="24"/>
          <w:lang w:val="en-US"/>
        </w:rPr>
        <w:t>Golovachev. - Minsk: Vysh. shk., 2012. - 319 p.: Il. ISBN 978-985-06-1862-7.</w:t>
      </w:r>
    </w:p>
    <w:p w:rsidR="00AE4C5B" w:rsidRPr="006C08AF" w:rsidRDefault="00AE4C5B" w:rsidP="00205E68">
      <w:pPr>
        <w:spacing w:after="0" w:line="240" w:lineRule="auto"/>
        <w:ind w:firstLine="567"/>
        <w:jc w:val="both"/>
        <w:rPr>
          <w:rFonts w:ascii="Times New Roman" w:hAnsi="Times New Roman" w:cs="Times New Roman"/>
          <w:sz w:val="24"/>
          <w:szCs w:val="24"/>
          <w:lang w:val="en-US"/>
        </w:rPr>
      </w:pPr>
      <w:r w:rsidRPr="00AE4C5B">
        <w:rPr>
          <w:rFonts w:ascii="Times New Roman" w:hAnsi="Times New Roman" w:cs="Times New Roman"/>
          <w:sz w:val="24"/>
          <w:szCs w:val="24"/>
          <w:lang w:val="en-US"/>
        </w:rPr>
        <w:t>3</w:t>
      </w:r>
      <w:r w:rsidRPr="006C08AF">
        <w:rPr>
          <w:rFonts w:ascii="Times New Roman" w:hAnsi="Times New Roman" w:cs="Times New Roman"/>
          <w:sz w:val="24"/>
          <w:szCs w:val="24"/>
          <w:lang w:val="en-US"/>
        </w:rPr>
        <w:t>. </w:t>
      </w:r>
      <w:r w:rsidRPr="00205E68">
        <w:rPr>
          <w:rFonts w:ascii="Times New Roman" w:hAnsi="Times New Roman" w:cs="Times New Roman"/>
          <w:sz w:val="24"/>
          <w:szCs w:val="24"/>
          <w:lang w:val="en-US"/>
        </w:rPr>
        <w:t>United Nations [Electronic resource]. - URL: https://www.un.org/ru/</w:t>
      </w:r>
    </w:p>
    <w:p w:rsidR="00AE4C5B" w:rsidRPr="00AE4C5B" w:rsidRDefault="00AE4C5B" w:rsidP="00205E68">
      <w:pPr>
        <w:spacing w:after="0" w:line="240" w:lineRule="auto"/>
        <w:ind w:firstLine="567"/>
        <w:jc w:val="both"/>
        <w:rPr>
          <w:rFonts w:ascii="Times New Roman" w:hAnsi="Times New Roman" w:cs="Times New Roman"/>
          <w:sz w:val="24"/>
          <w:szCs w:val="24"/>
          <w:lang w:val="en-US"/>
        </w:rPr>
      </w:pPr>
      <w:r w:rsidRPr="00AE4C5B">
        <w:rPr>
          <w:rFonts w:ascii="Times New Roman" w:hAnsi="Times New Roman" w:cs="Times New Roman"/>
          <w:sz w:val="24"/>
          <w:szCs w:val="24"/>
          <w:lang w:val="en-US"/>
        </w:rPr>
        <w:t>4. World competitiveness rating 2019, IMD [Electronic resource]. - URL: https://basetop.ru/rejting-konkurentosposobnosti-stran-mira-2019-imd/</w:t>
      </w:r>
    </w:p>
    <w:p w:rsidR="00AE4C5B" w:rsidRPr="00205E68" w:rsidRDefault="00AE4C5B" w:rsidP="00205E68">
      <w:pPr>
        <w:spacing w:after="0" w:line="240" w:lineRule="auto"/>
        <w:ind w:firstLine="567"/>
        <w:jc w:val="both"/>
        <w:rPr>
          <w:rFonts w:ascii="Times New Roman" w:hAnsi="Times New Roman" w:cs="Times New Roman"/>
          <w:sz w:val="24"/>
          <w:szCs w:val="24"/>
          <w:lang w:val="en-US"/>
        </w:rPr>
      </w:pPr>
      <w:r w:rsidRPr="00AE4C5B">
        <w:rPr>
          <w:rFonts w:ascii="Times New Roman" w:hAnsi="Times New Roman" w:cs="Times New Roman"/>
          <w:sz w:val="24"/>
          <w:szCs w:val="24"/>
          <w:lang w:val="en-US"/>
        </w:rPr>
        <w:t>5</w:t>
      </w:r>
      <w:r w:rsidRPr="006C08AF">
        <w:rPr>
          <w:rFonts w:ascii="Times New Roman" w:hAnsi="Times New Roman" w:cs="Times New Roman"/>
          <w:sz w:val="24"/>
          <w:szCs w:val="24"/>
          <w:lang w:val="en-US"/>
        </w:rPr>
        <w:t>. </w:t>
      </w:r>
      <w:r w:rsidRPr="00205E68">
        <w:rPr>
          <w:rFonts w:ascii="Times New Roman" w:hAnsi="Times New Roman" w:cs="Times New Roman"/>
          <w:sz w:val="24"/>
          <w:szCs w:val="24"/>
          <w:lang w:val="en-US"/>
        </w:rPr>
        <w:t xml:space="preserve">World </w:t>
      </w:r>
      <w:r>
        <w:rPr>
          <w:rFonts w:ascii="Times New Roman" w:hAnsi="Times New Roman" w:cs="Times New Roman"/>
          <w:sz w:val="24"/>
          <w:szCs w:val="24"/>
          <w:lang w:val="en-US"/>
        </w:rPr>
        <w:t xml:space="preserve">Data </w:t>
      </w:r>
      <w:r w:rsidRPr="00205E68">
        <w:rPr>
          <w:rFonts w:ascii="Times New Roman" w:hAnsi="Times New Roman" w:cs="Times New Roman"/>
          <w:sz w:val="24"/>
          <w:szCs w:val="24"/>
          <w:lang w:val="en-US"/>
        </w:rPr>
        <w:t>Atlas [Electronic resource]. - URL:https://knoema.ru/atlas/</w:t>
      </w:r>
    </w:p>
    <w:p w:rsidR="00AE4C5B" w:rsidRPr="00AE4C5B" w:rsidRDefault="00AE4C5B" w:rsidP="00205E68">
      <w:pPr>
        <w:spacing w:after="0" w:line="240" w:lineRule="auto"/>
        <w:ind w:firstLine="567"/>
        <w:jc w:val="both"/>
        <w:rPr>
          <w:rFonts w:ascii="Times New Roman" w:hAnsi="Times New Roman" w:cs="Times New Roman"/>
          <w:sz w:val="24"/>
          <w:szCs w:val="24"/>
          <w:lang w:val="en-US"/>
        </w:rPr>
      </w:pPr>
      <w:r w:rsidRPr="00F52C12">
        <w:rPr>
          <w:rFonts w:ascii="Times New Roman" w:hAnsi="Times New Roman" w:cs="Times New Roman"/>
          <w:sz w:val="24"/>
          <w:szCs w:val="24"/>
          <w:lang w:val="en-US"/>
        </w:rPr>
        <w:t>6</w:t>
      </w:r>
      <w:r w:rsidRPr="00205E68">
        <w:rPr>
          <w:rFonts w:ascii="Times New Roman" w:hAnsi="Times New Roman" w:cs="Times New Roman"/>
          <w:sz w:val="24"/>
          <w:szCs w:val="24"/>
          <w:lang w:val="en-US"/>
        </w:rPr>
        <w:t>.</w:t>
      </w:r>
      <w:r w:rsidRPr="006C08AF">
        <w:rPr>
          <w:rFonts w:ascii="Times New Roman" w:hAnsi="Times New Roman" w:cs="Times New Roman"/>
          <w:sz w:val="24"/>
          <w:szCs w:val="24"/>
          <w:lang w:val="en-US"/>
        </w:rPr>
        <w:t> </w:t>
      </w:r>
      <w:r w:rsidRPr="00205E68">
        <w:rPr>
          <w:rFonts w:ascii="Times New Roman" w:hAnsi="Times New Roman" w:cs="Times New Roman"/>
          <w:sz w:val="24"/>
          <w:szCs w:val="24"/>
          <w:lang w:val="en-US"/>
        </w:rPr>
        <w:t>World health organization [Electronic resource]. - URL: https://www.who.int/gho/ru/</w:t>
      </w:r>
    </w:p>
    <w:p w:rsidR="00205E68" w:rsidRDefault="00205E68" w:rsidP="00205E68">
      <w:pPr>
        <w:spacing w:after="0" w:line="240" w:lineRule="auto"/>
        <w:jc w:val="both"/>
        <w:rPr>
          <w:rFonts w:ascii="Times New Roman" w:hAnsi="Times New Roman" w:cs="Times New Roman"/>
          <w:sz w:val="24"/>
          <w:szCs w:val="24"/>
          <w:lang w:val="en-US"/>
        </w:rPr>
      </w:pPr>
    </w:p>
    <w:p w:rsidR="006C745F" w:rsidRDefault="006C745F" w:rsidP="00205E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Шилец Елена Станиславовна (Украина, г. Донецк) – д.э.н., профессор, зав. кафедрой «Международная экономика», Государственное образовательное учреждение Высшего профессионального образования «Донецкий Национальный Университет» (г. Донецк, ул. Университетская, д. 24, </w:t>
      </w:r>
      <w:r w:rsidRPr="006C745F">
        <w:rPr>
          <w:rFonts w:ascii="Times New Roman" w:hAnsi="Times New Roman" w:cs="Times New Roman"/>
          <w:sz w:val="24"/>
          <w:szCs w:val="24"/>
          <w:lang w:val="en-US"/>
        </w:rPr>
        <w:t>shilec</w:t>
      </w:r>
      <w:r w:rsidRPr="00205E68">
        <w:rPr>
          <w:rFonts w:ascii="Times New Roman" w:hAnsi="Times New Roman" w:cs="Times New Roman"/>
          <w:sz w:val="24"/>
          <w:szCs w:val="24"/>
        </w:rPr>
        <w:t>1@</w:t>
      </w:r>
      <w:r w:rsidRPr="006C745F">
        <w:rPr>
          <w:rFonts w:ascii="Times New Roman" w:hAnsi="Times New Roman" w:cs="Times New Roman"/>
          <w:sz w:val="24"/>
          <w:szCs w:val="24"/>
          <w:lang w:val="en-US"/>
        </w:rPr>
        <w:t>mail</w:t>
      </w:r>
      <w:r w:rsidRPr="00205E68">
        <w:rPr>
          <w:rFonts w:ascii="Times New Roman" w:hAnsi="Times New Roman" w:cs="Times New Roman"/>
          <w:sz w:val="24"/>
          <w:szCs w:val="24"/>
        </w:rPr>
        <w:t>.</w:t>
      </w:r>
      <w:r w:rsidRPr="006C745F">
        <w:rPr>
          <w:rFonts w:ascii="Times New Roman" w:hAnsi="Times New Roman" w:cs="Times New Roman"/>
          <w:sz w:val="24"/>
          <w:szCs w:val="24"/>
          <w:lang w:val="en-US"/>
        </w:rPr>
        <w:t>ru</w:t>
      </w:r>
      <w:r>
        <w:rPr>
          <w:rFonts w:ascii="Times New Roman" w:hAnsi="Times New Roman" w:cs="Times New Roman"/>
          <w:sz w:val="24"/>
          <w:szCs w:val="24"/>
        </w:rPr>
        <w:t>);</w:t>
      </w:r>
    </w:p>
    <w:p w:rsidR="006C745F" w:rsidRPr="00A64425" w:rsidRDefault="006C745F" w:rsidP="00205E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Сухинина Алина Олеговна (Украина, г. Донецк) – магистр </w:t>
      </w:r>
      <w:r w:rsidRPr="00A64425">
        <w:rPr>
          <w:rFonts w:ascii="Times New Roman" w:hAnsi="Times New Roman" w:cs="Times New Roman"/>
          <w:sz w:val="24"/>
          <w:szCs w:val="24"/>
        </w:rPr>
        <w:t>кафедры «Международная экономика»</w:t>
      </w:r>
      <w:r>
        <w:rPr>
          <w:rFonts w:ascii="Times New Roman" w:hAnsi="Times New Roman" w:cs="Times New Roman"/>
          <w:sz w:val="24"/>
          <w:szCs w:val="24"/>
        </w:rPr>
        <w:t xml:space="preserve">, </w:t>
      </w:r>
      <w:r w:rsidRPr="00826ACE">
        <w:rPr>
          <w:rFonts w:ascii="Times New Roman" w:hAnsi="Times New Roman" w:cs="Times New Roman"/>
          <w:sz w:val="24"/>
          <w:szCs w:val="24"/>
        </w:rPr>
        <w:t>Государственное образовательное учреждение Высшего профессионального образования «Донецкий Национальный Университет» (г. Донецк, ул. Университетская, д. 24</w:t>
      </w:r>
      <w:r w:rsidRPr="006C745F">
        <w:rPr>
          <w:rFonts w:ascii="Times New Roman" w:hAnsi="Times New Roman" w:cs="Times New Roman"/>
          <w:sz w:val="24"/>
          <w:szCs w:val="24"/>
        </w:rPr>
        <w:t>,</w:t>
      </w:r>
      <w:r w:rsidRPr="00A64425">
        <w:t xml:space="preserve"> </w:t>
      </w:r>
      <w:r>
        <w:rPr>
          <w:rFonts w:ascii="Times New Roman" w:hAnsi="Times New Roman" w:cs="Times New Roman"/>
          <w:sz w:val="24"/>
          <w:szCs w:val="24"/>
          <w:lang w:val="en-US"/>
        </w:rPr>
        <w:t>alya.sukhinina.97@mail.ru</w:t>
      </w:r>
      <w:r>
        <w:rPr>
          <w:rFonts w:ascii="Times New Roman" w:hAnsi="Times New Roman" w:cs="Times New Roman"/>
          <w:sz w:val="24"/>
          <w:szCs w:val="24"/>
        </w:rPr>
        <w:t>)</w:t>
      </w:r>
      <w:r w:rsidRPr="006C745F">
        <w:rPr>
          <w:rFonts w:ascii="Times New Roman" w:hAnsi="Times New Roman" w:cs="Times New Roman"/>
          <w:sz w:val="24"/>
          <w:szCs w:val="24"/>
        </w:rPr>
        <w:t>.</w:t>
      </w:r>
    </w:p>
    <w:p w:rsidR="006C745F" w:rsidRPr="006C745F" w:rsidRDefault="006C745F" w:rsidP="0066350E">
      <w:pPr>
        <w:spacing w:after="0" w:line="240" w:lineRule="auto"/>
        <w:ind w:firstLine="567"/>
        <w:jc w:val="both"/>
        <w:rPr>
          <w:rFonts w:ascii="Times New Roman" w:hAnsi="Times New Roman" w:cs="Times New Roman"/>
          <w:i/>
          <w:sz w:val="24"/>
          <w:szCs w:val="24"/>
        </w:rPr>
      </w:pPr>
    </w:p>
    <w:sectPr w:rsidR="006C745F" w:rsidRPr="006C745F" w:rsidSect="00EE2B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61"/>
    <w:rsid w:val="00185A5B"/>
    <w:rsid w:val="001F0558"/>
    <w:rsid w:val="00205BC7"/>
    <w:rsid w:val="00205E68"/>
    <w:rsid w:val="002D3FC8"/>
    <w:rsid w:val="00306AE6"/>
    <w:rsid w:val="003E201A"/>
    <w:rsid w:val="00454461"/>
    <w:rsid w:val="005C1FAD"/>
    <w:rsid w:val="005D55A6"/>
    <w:rsid w:val="006114BC"/>
    <w:rsid w:val="0066350E"/>
    <w:rsid w:val="00663739"/>
    <w:rsid w:val="00675EA4"/>
    <w:rsid w:val="006C15D7"/>
    <w:rsid w:val="006C745F"/>
    <w:rsid w:val="00705F4D"/>
    <w:rsid w:val="0071284F"/>
    <w:rsid w:val="007374A2"/>
    <w:rsid w:val="007E6D96"/>
    <w:rsid w:val="008B2D7F"/>
    <w:rsid w:val="008B5645"/>
    <w:rsid w:val="008E7C0F"/>
    <w:rsid w:val="009209F7"/>
    <w:rsid w:val="00964EC0"/>
    <w:rsid w:val="009946A3"/>
    <w:rsid w:val="009F6A40"/>
    <w:rsid w:val="00AE4C5B"/>
    <w:rsid w:val="00BB4F17"/>
    <w:rsid w:val="00C06F5C"/>
    <w:rsid w:val="00CB2400"/>
    <w:rsid w:val="00CD6AE7"/>
    <w:rsid w:val="00CE3A47"/>
    <w:rsid w:val="00D037BF"/>
    <w:rsid w:val="00EC3C09"/>
    <w:rsid w:val="00EE2B35"/>
    <w:rsid w:val="00F32887"/>
    <w:rsid w:val="00F5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3739"/>
    <w:rPr>
      <w:color w:val="0000FF" w:themeColor="hyperlink"/>
      <w:u w:val="single"/>
    </w:rPr>
  </w:style>
  <w:style w:type="character" w:styleId="a5">
    <w:name w:val="FollowedHyperlink"/>
    <w:basedOn w:val="a0"/>
    <w:uiPriority w:val="99"/>
    <w:semiHidden/>
    <w:unhideWhenUsed/>
    <w:rsid w:val="00663739"/>
    <w:rPr>
      <w:color w:val="800080" w:themeColor="followedHyperlink"/>
      <w:u w:val="single"/>
    </w:rPr>
  </w:style>
  <w:style w:type="paragraph" w:styleId="a6">
    <w:name w:val="Balloon Text"/>
    <w:basedOn w:val="a"/>
    <w:link w:val="a7"/>
    <w:uiPriority w:val="99"/>
    <w:semiHidden/>
    <w:unhideWhenUsed/>
    <w:rsid w:val="00CB24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3739"/>
    <w:rPr>
      <w:color w:val="0000FF" w:themeColor="hyperlink"/>
      <w:u w:val="single"/>
    </w:rPr>
  </w:style>
  <w:style w:type="character" w:styleId="a5">
    <w:name w:val="FollowedHyperlink"/>
    <w:basedOn w:val="a0"/>
    <w:uiPriority w:val="99"/>
    <w:semiHidden/>
    <w:unhideWhenUsed/>
    <w:rsid w:val="00663739"/>
    <w:rPr>
      <w:color w:val="800080" w:themeColor="followedHyperlink"/>
      <w:u w:val="single"/>
    </w:rPr>
  </w:style>
  <w:style w:type="paragraph" w:styleId="a6">
    <w:name w:val="Balloon Text"/>
    <w:basedOn w:val="a"/>
    <w:link w:val="a7"/>
    <w:uiPriority w:val="99"/>
    <w:semiHidden/>
    <w:unhideWhenUsed/>
    <w:rsid w:val="00CB24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Ряд 1</c:v>
                </c:pt>
              </c:strCache>
            </c:strRef>
          </c:tx>
          <c:marker>
            <c:symbol val="none"/>
          </c:marker>
          <c:dLbls>
            <c:dLblPos val="t"/>
            <c:showLegendKey val="0"/>
            <c:showVal val="1"/>
            <c:showCatName val="0"/>
            <c:showSerName val="0"/>
            <c:showPercent val="0"/>
            <c:showBubbleSize val="0"/>
            <c:showLeaderLines val="0"/>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1604</c:v>
                </c:pt>
                <c:pt idx="1">
                  <c:v>2009</c:v>
                </c:pt>
                <c:pt idx="2">
                  <c:v>2175</c:v>
                </c:pt>
                <c:pt idx="3">
                  <c:v>2356</c:v>
                </c:pt>
                <c:pt idx="4">
                  <c:v>2463</c:v>
                </c:pt>
                <c:pt idx="5">
                  <c:v>2360</c:v>
                </c:pt>
                <c:pt idx="6">
                  <c:v>2198</c:v>
                </c:pt>
                <c:pt idx="7">
                  <c:v>2429</c:v>
                </c:pt>
                <c:pt idx="8">
                  <c:v>2651</c:v>
                </c:pt>
                <c:pt idx="9">
                  <c:v>2954</c:v>
                </c:pt>
              </c:numCache>
            </c:numRef>
          </c:val>
          <c:smooth val="0"/>
        </c:ser>
        <c:dLbls>
          <c:showLegendKey val="0"/>
          <c:showVal val="0"/>
          <c:showCatName val="0"/>
          <c:showSerName val="0"/>
          <c:showPercent val="0"/>
          <c:showBubbleSize val="0"/>
        </c:dLbls>
        <c:dropLines/>
        <c:marker val="1"/>
        <c:smooth val="0"/>
        <c:axId val="234888192"/>
        <c:axId val="180012160"/>
      </c:lineChart>
      <c:catAx>
        <c:axId val="234888192"/>
        <c:scaling>
          <c:orientation val="minMax"/>
        </c:scaling>
        <c:delete val="0"/>
        <c:axPos val="b"/>
        <c:numFmt formatCode="General" sourceLinked="1"/>
        <c:majorTickMark val="none"/>
        <c:minorTickMark val="none"/>
        <c:tickLblPos val="nextTo"/>
        <c:crossAx val="180012160"/>
        <c:crosses val="autoZero"/>
        <c:auto val="1"/>
        <c:lblAlgn val="ctr"/>
        <c:lblOffset val="100"/>
        <c:noMultiLvlLbl val="0"/>
      </c:catAx>
      <c:valAx>
        <c:axId val="180012160"/>
        <c:scaling>
          <c:orientation val="minMax"/>
        </c:scaling>
        <c:delete val="0"/>
        <c:axPos val="l"/>
        <c:majorGridlines/>
        <c:title>
          <c:tx>
            <c:rich>
              <a:bodyPr rot="-5400000" vert="horz"/>
              <a:lstStyle/>
              <a:p>
                <a:pPr>
                  <a:defRPr/>
                </a:pPr>
                <a:r>
                  <a:rPr lang="ru-RU"/>
                  <a:t>млрд. долл. США</a:t>
                </a:r>
              </a:p>
            </c:rich>
          </c:tx>
          <c:overlay val="0"/>
        </c:title>
        <c:numFmt formatCode="General" sourceLinked="1"/>
        <c:majorTickMark val="out"/>
        <c:minorTickMark val="none"/>
        <c:tickLblPos val="nextTo"/>
        <c:crossAx val="234888192"/>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marker>
            <c:symbol val="none"/>
          </c:marker>
          <c:dLbls>
            <c:dLblPos val="t"/>
            <c:showLegendKey val="0"/>
            <c:showVal val="1"/>
            <c:showCatName val="0"/>
            <c:showSerName val="0"/>
            <c:showPercent val="0"/>
            <c:showBubbleSize val="0"/>
            <c:showLeaderLines val="0"/>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1604</c:v>
                </c:pt>
                <c:pt idx="1">
                  <c:v>2009</c:v>
                </c:pt>
                <c:pt idx="2">
                  <c:v>2175</c:v>
                </c:pt>
                <c:pt idx="3">
                  <c:v>2356</c:v>
                </c:pt>
                <c:pt idx="4">
                  <c:v>2463</c:v>
                </c:pt>
                <c:pt idx="5">
                  <c:v>2360</c:v>
                </c:pt>
                <c:pt idx="6">
                  <c:v>2198</c:v>
                </c:pt>
                <c:pt idx="7">
                  <c:v>2429</c:v>
                </c:pt>
                <c:pt idx="8">
                  <c:v>2651</c:v>
                </c:pt>
                <c:pt idx="9">
                  <c:v>2954</c:v>
                </c:pt>
              </c:numCache>
            </c:numRef>
          </c:val>
          <c:smooth val="0"/>
        </c:ser>
        <c:dLbls>
          <c:showLegendKey val="0"/>
          <c:showVal val="0"/>
          <c:showCatName val="0"/>
          <c:showSerName val="0"/>
          <c:showPercent val="0"/>
          <c:showBubbleSize val="0"/>
        </c:dLbls>
        <c:dropLines/>
        <c:marker val="1"/>
        <c:smooth val="0"/>
        <c:axId val="234943488"/>
        <c:axId val="180013888"/>
      </c:lineChart>
      <c:catAx>
        <c:axId val="234943488"/>
        <c:scaling>
          <c:orientation val="minMax"/>
        </c:scaling>
        <c:delete val="0"/>
        <c:axPos val="b"/>
        <c:numFmt formatCode="General" sourceLinked="1"/>
        <c:majorTickMark val="none"/>
        <c:minorTickMark val="none"/>
        <c:tickLblPos val="nextTo"/>
        <c:crossAx val="180013888"/>
        <c:crosses val="autoZero"/>
        <c:auto val="1"/>
        <c:lblAlgn val="ctr"/>
        <c:lblOffset val="100"/>
        <c:noMultiLvlLbl val="0"/>
      </c:catAx>
      <c:valAx>
        <c:axId val="180013888"/>
        <c:scaling>
          <c:orientation val="minMax"/>
        </c:scaling>
        <c:delete val="0"/>
        <c:axPos val="l"/>
        <c:majorGridlines/>
        <c:title>
          <c:tx>
            <c:rich>
              <a:bodyPr rot="-5400000" vert="horz"/>
              <a:lstStyle/>
              <a:p>
                <a:pPr>
                  <a:defRPr/>
                </a:pPr>
                <a:r>
                  <a:rPr lang="ru-RU"/>
                  <a:t>млрд. долл. США</a:t>
                </a:r>
              </a:p>
            </c:rich>
          </c:tx>
          <c:overlay val="0"/>
        </c:title>
        <c:numFmt formatCode="General" sourceLinked="1"/>
        <c:majorTickMark val="out"/>
        <c:minorTickMark val="none"/>
        <c:tickLblPos val="nextTo"/>
        <c:crossAx val="234943488"/>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Лист1!$B$1</c:f>
              <c:strCache>
                <c:ptCount val="1"/>
                <c:pt idx="0">
                  <c:v>Китай</c:v>
                </c:pt>
              </c:strCache>
            </c:strRef>
          </c:tx>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0.6</c:v>
                </c:pt>
                <c:pt idx="1">
                  <c:v>2</c:v>
                </c:pt>
                <c:pt idx="2">
                  <c:v>1.6</c:v>
                </c:pt>
                <c:pt idx="3">
                  <c:v>2.2999999999999998</c:v>
                </c:pt>
                <c:pt idx="4">
                  <c:v>5.3</c:v>
                </c:pt>
              </c:numCache>
            </c:numRef>
          </c:val>
          <c:smooth val="0"/>
        </c:ser>
        <c:ser>
          <c:idx val="1"/>
          <c:order val="1"/>
          <c:tx>
            <c:strRef>
              <c:f>Лист1!$C$1</c:f>
              <c:strCache>
                <c:ptCount val="1"/>
                <c:pt idx="0">
                  <c:v>США</c:v>
                </c:pt>
              </c:strCache>
            </c:strRef>
          </c:tx>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c:v>
                </c:pt>
                <c:pt idx="1">
                  <c:v>1.5</c:v>
                </c:pt>
                <c:pt idx="2">
                  <c:v>1.1000000000000001</c:v>
                </c:pt>
                <c:pt idx="3">
                  <c:v>1.3</c:v>
                </c:pt>
                <c:pt idx="4">
                  <c:v>1.6</c:v>
                </c:pt>
              </c:numCache>
            </c:numRef>
          </c:val>
          <c:smooth val="0"/>
        </c:ser>
        <c:dLbls>
          <c:dLblPos val="l"/>
          <c:showLegendKey val="0"/>
          <c:showVal val="1"/>
          <c:showCatName val="0"/>
          <c:showSerName val="0"/>
          <c:showPercent val="0"/>
          <c:showBubbleSize val="0"/>
        </c:dLbls>
        <c:dropLines/>
        <c:marker val="1"/>
        <c:smooth val="0"/>
        <c:axId val="154916352"/>
        <c:axId val="180014464"/>
      </c:lineChart>
      <c:catAx>
        <c:axId val="154916352"/>
        <c:scaling>
          <c:orientation val="minMax"/>
        </c:scaling>
        <c:delete val="0"/>
        <c:axPos val="b"/>
        <c:numFmt formatCode="General" sourceLinked="1"/>
        <c:majorTickMark val="none"/>
        <c:minorTickMark val="none"/>
        <c:tickLblPos val="nextTo"/>
        <c:crossAx val="180014464"/>
        <c:crosses val="autoZero"/>
        <c:auto val="1"/>
        <c:lblAlgn val="ctr"/>
        <c:lblOffset val="100"/>
        <c:noMultiLvlLbl val="0"/>
      </c:catAx>
      <c:valAx>
        <c:axId val="180014464"/>
        <c:scaling>
          <c:orientation val="minMax"/>
        </c:scaling>
        <c:delete val="0"/>
        <c:axPos val="l"/>
        <c:majorGridlines/>
        <c:title>
          <c:tx>
            <c:rich>
              <a:bodyPr/>
              <a:lstStyle/>
              <a:p>
                <a:pPr>
                  <a:defRPr/>
                </a:pPr>
                <a:r>
                  <a:rPr lang="ru-RU"/>
                  <a:t>млрд. долл. США</a:t>
                </a:r>
              </a:p>
            </c:rich>
          </c:tx>
          <c:overlay val="0"/>
        </c:title>
        <c:numFmt formatCode="General" sourceLinked="1"/>
        <c:majorTickMark val="out"/>
        <c:minorTickMark val="none"/>
        <c:tickLblPos val="nextTo"/>
        <c:crossAx val="154916352"/>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617</TotalTime>
  <Pages>1</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2020-04-15T12:23:00Z</dcterms:created>
  <dcterms:modified xsi:type="dcterms:W3CDTF">2020-05-03T11:37:00Z</dcterms:modified>
</cp:coreProperties>
</file>