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731" w:rsidRDefault="00D02731" w:rsidP="00D02731">
      <w:pPr>
        <w:pStyle w:val="Standard"/>
        <w:widowControl w:val="0"/>
        <w:spacing w:after="0" w:line="240" w:lineRule="auto"/>
        <w:ind w:left="680" w:firstLine="505"/>
      </w:pPr>
      <w:r>
        <w:rPr>
          <w:rFonts w:ascii="Times New Roman" w:eastAsia="Times New Roman" w:hAnsi="Times New Roman" w:cs="Times New Roman"/>
          <w:b/>
          <w:sz w:val="24"/>
          <w:szCs w:val="24"/>
          <w:lang w:eastAsia="ru-RU" w:bidi="ru-RU"/>
        </w:rPr>
        <w:t xml:space="preserve">УДК 336 / ББК </w:t>
      </w:r>
      <w:r>
        <w:rPr>
          <w:rFonts w:ascii="Times New Roman" w:eastAsia="Times New Roman" w:hAnsi="Times New Roman" w:cs="Times New Roman"/>
          <w:b/>
          <w:bCs/>
          <w:color w:val="000000"/>
          <w:sz w:val="24"/>
          <w:szCs w:val="24"/>
          <w:lang w:eastAsia="ru-RU" w:bidi="ru-RU"/>
        </w:rPr>
        <w:t>65.050</w:t>
      </w:r>
    </w:p>
    <w:p w:rsidR="00D02731" w:rsidRDefault="00D02731" w:rsidP="00D02731">
      <w:pPr>
        <w:pStyle w:val="Standard"/>
        <w:widowControl w:val="0"/>
        <w:spacing w:after="0" w:line="240" w:lineRule="auto"/>
        <w:ind w:left="680" w:firstLine="505"/>
        <w:jc w:val="right"/>
        <w:rPr>
          <w:rFonts w:ascii="Times New Roman" w:eastAsia="Times New Roman" w:hAnsi="Times New Roman" w:cs="Times New Roman"/>
          <w:b/>
          <w:sz w:val="24"/>
          <w:szCs w:val="24"/>
          <w:lang w:eastAsia="ru-RU" w:bidi="ru-RU"/>
        </w:rPr>
      </w:pPr>
      <w:r>
        <w:rPr>
          <w:rFonts w:ascii="Times New Roman" w:eastAsia="Times New Roman" w:hAnsi="Times New Roman" w:cs="Times New Roman"/>
          <w:b/>
          <w:sz w:val="24"/>
          <w:szCs w:val="24"/>
          <w:lang w:eastAsia="ru-RU" w:bidi="ru-RU"/>
        </w:rPr>
        <w:t>Аллагулов Р.Х.</w:t>
      </w:r>
    </w:p>
    <w:p w:rsidR="00D02731" w:rsidRDefault="00D02731" w:rsidP="00D02731">
      <w:pPr>
        <w:pStyle w:val="Standard"/>
        <w:widowControl w:val="0"/>
        <w:spacing w:before="1" w:after="0" w:line="240" w:lineRule="auto"/>
        <w:ind w:right="-1"/>
        <w:rPr>
          <w:rFonts w:ascii="Times New Roman" w:eastAsia="Times New Roman" w:hAnsi="Times New Roman" w:cs="Times New Roman"/>
          <w:i/>
          <w:sz w:val="24"/>
          <w:szCs w:val="24"/>
          <w:lang w:eastAsia="ru-RU" w:bidi="ru-RU"/>
        </w:rPr>
      </w:pPr>
    </w:p>
    <w:p w:rsidR="00D02731" w:rsidRDefault="00D02731" w:rsidP="00D02731">
      <w:pPr>
        <w:pStyle w:val="Standard"/>
        <w:widowControl w:val="0"/>
        <w:spacing w:after="0" w:line="240" w:lineRule="auto"/>
        <w:ind w:right="-1"/>
        <w:jc w:val="center"/>
        <w:outlineLvl w:val="0"/>
        <w:rPr>
          <w:rFonts w:ascii="Times New Roman" w:eastAsia="Times New Roman" w:hAnsi="Times New Roman" w:cs="Times New Roman"/>
          <w:b/>
          <w:bCs/>
          <w:sz w:val="24"/>
          <w:szCs w:val="24"/>
          <w:lang w:eastAsia="ru-RU" w:bidi="ru-RU"/>
        </w:rPr>
      </w:pPr>
      <w:r>
        <w:rPr>
          <w:rFonts w:ascii="Times New Roman" w:eastAsia="Times New Roman" w:hAnsi="Times New Roman" w:cs="Times New Roman"/>
          <w:b/>
          <w:bCs/>
          <w:sz w:val="24"/>
          <w:szCs w:val="24"/>
          <w:lang w:eastAsia="ru-RU" w:bidi="ru-RU"/>
        </w:rPr>
        <w:t>ДЕНЕЖНО-КРЕДИТНАЯ ПОЛИТИКА РФ: НЕОБХОДИМОСТЬ КОРРЕКЦИИ МЕХАНИЗМА В УСЛОВИЯХ МАКРОЭКОНОМИЧЕСКОЙ НЕСТАБИЛЬНОСТИ</w:t>
      </w:r>
    </w:p>
    <w:p w:rsidR="00D02731" w:rsidRDefault="00D02731" w:rsidP="00D02731">
      <w:pPr>
        <w:pStyle w:val="Standard"/>
        <w:widowControl w:val="0"/>
        <w:spacing w:before="8" w:after="0" w:line="240" w:lineRule="auto"/>
        <w:ind w:right="-1"/>
        <w:rPr>
          <w:rFonts w:ascii="Times New Roman" w:eastAsia="Times New Roman" w:hAnsi="Times New Roman" w:cs="Times New Roman"/>
          <w:sz w:val="24"/>
          <w:szCs w:val="24"/>
          <w:lang w:eastAsia="ru-RU" w:bidi="ru-RU"/>
        </w:rPr>
      </w:pPr>
    </w:p>
    <w:p w:rsidR="00D02731" w:rsidRDefault="00D02731" w:rsidP="00D02731">
      <w:pPr>
        <w:pStyle w:val="Standard"/>
        <w:widowControl w:val="0"/>
        <w:spacing w:after="0" w:line="240" w:lineRule="auto"/>
        <w:ind w:firstLine="709"/>
        <w:jc w:val="both"/>
      </w:pPr>
      <w:r>
        <w:rPr>
          <w:rFonts w:ascii="Times New Roman" w:eastAsia="Times New Roman" w:hAnsi="Times New Roman" w:cs="Times New Roman"/>
          <w:b/>
          <w:i/>
          <w:sz w:val="24"/>
          <w:szCs w:val="24"/>
          <w:lang w:eastAsia="ru-RU" w:bidi="ru-RU"/>
        </w:rPr>
        <w:t xml:space="preserve">Аннотация: </w:t>
      </w:r>
      <w:r>
        <w:rPr>
          <w:rFonts w:ascii="Times New Roman" w:eastAsia="Times New Roman" w:hAnsi="Times New Roman" w:cs="Times New Roman"/>
          <w:i/>
          <w:sz w:val="24"/>
          <w:szCs w:val="24"/>
          <w:lang w:eastAsia="ru-RU" w:bidi="ru-RU"/>
        </w:rPr>
        <w:t>в статье</w:t>
      </w:r>
      <w:r>
        <w:rPr>
          <w:rFonts w:ascii="Times New Roman" w:eastAsia="Times New Roman" w:hAnsi="Times New Roman" w:cs="Times New Roman"/>
          <w:b/>
          <w:i/>
          <w:sz w:val="24"/>
          <w:szCs w:val="24"/>
          <w:lang w:eastAsia="ru-RU" w:bidi="ru-RU"/>
        </w:rPr>
        <w:t xml:space="preserve"> </w:t>
      </w:r>
      <w:r>
        <w:rPr>
          <w:rFonts w:ascii="Times New Roman" w:eastAsia="Times New Roman" w:hAnsi="Times New Roman" w:cs="Times New Roman"/>
          <w:i/>
          <w:sz w:val="24"/>
          <w:szCs w:val="24"/>
          <w:lang w:eastAsia="ru-RU" w:bidi="ru-RU"/>
        </w:rPr>
        <w:t>осуществлена попытка уяснить основные теоретические аспекты (цели, инструменты, приоритеты) денежно кредитной политики, проанализировать современную экономическую ситуацию в стране, определиться с необходимостью и направлением коррекции механизма монетарной политики. Последняя должна быть смягчена, чтобы в условиях экономического спада не войти в конфликт со стимулирующей бюджетно-налоговой политикой государства.</w:t>
      </w:r>
    </w:p>
    <w:p w:rsidR="00D02731" w:rsidRDefault="00D02731" w:rsidP="00D02731">
      <w:pPr>
        <w:pStyle w:val="Standard"/>
        <w:widowControl w:val="0"/>
        <w:spacing w:before="8" w:after="0" w:line="240" w:lineRule="auto"/>
        <w:ind w:firstLine="567"/>
        <w:jc w:val="both"/>
        <w:rPr>
          <w:rFonts w:ascii="Times New Roman" w:eastAsia="Times New Roman" w:hAnsi="Times New Roman" w:cs="Times New Roman"/>
          <w:i/>
          <w:sz w:val="24"/>
          <w:szCs w:val="24"/>
          <w:lang w:eastAsia="ru-RU" w:bidi="ru-RU"/>
        </w:rPr>
      </w:pPr>
    </w:p>
    <w:p w:rsidR="00D02731" w:rsidRDefault="00D02731" w:rsidP="00D02731">
      <w:pPr>
        <w:pStyle w:val="Standard"/>
        <w:widowControl w:val="0"/>
        <w:spacing w:before="8" w:after="0" w:line="240" w:lineRule="auto"/>
        <w:ind w:right="-1" w:firstLine="567"/>
        <w:jc w:val="both"/>
      </w:pPr>
      <w:r>
        <w:rPr>
          <w:rFonts w:ascii="Times New Roman" w:eastAsia="Times New Roman" w:hAnsi="Times New Roman" w:cs="Times New Roman"/>
          <w:b/>
          <w:i/>
          <w:sz w:val="24"/>
          <w:szCs w:val="24"/>
          <w:lang w:eastAsia="ru-RU" w:bidi="ru-RU"/>
        </w:rPr>
        <w:t>Ключевые слова:</w:t>
      </w:r>
      <w:r>
        <w:rPr>
          <w:rFonts w:ascii="Times New Roman" w:eastAsia="Times New Roman" w:hAnsi="Times New Roman" w:cs="Times New Roman"/>
          <w:i/>
          <w:sz w:val="24"/>
          <w:szCs w:val="24"/>
          <w:lang w:eastAsia="ru-RU" w:bidi="ru-RU"/>
        </w:rPr>
        <w:t xml:space="preserve"> макроэкономическая нестабильность, пандемия, инфляция, безработица, коррекция экономической политики, денежно-кредитная политика, бюджетно-налоговая политика.</w:t>
      </w:r>
    </w:p>
    <w:p w:rsidR="00D02731" w:rsidRDefault="00D02731" w:rsidP="00D02731">
      <w:pPr>
        <w:pStyle w:val="Standard"/>
        <w:widowControl w:val="0"/>
        <w:spacing w:before="8" w:after="0" w:line="240" w:lineRule="auto"/>
        <w:ind w:right="-1"/>
        <w:rPr>
          <w:rFonts w:ascii="Times New Roman" w:eastAsia="Times New Roman" w:hAnsi="Times New Roman" w:cs="Times New Roman"/>
          <w:sz w:val="24"/>
          <w:szCs w:val="24"/>
          <w:lang w:eastAsia="ru-RU" w:bidi="ru-RU"/>
        </w:rPr>
      </w:pPr>
    </w:p>
    <w:p w:rsidR="00D02731" w:rsidRDefault="00D02731" w:rsidP="00D02731">
      <w:pPr>
        <w:pStyle w:val="Standard"/>
        <w:widowControl w:val="0"/>
        <w:spacing w:after="0" w:line="360" w:lineRule="auto"/>
        <w:ind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Сегодня ситуация как в мировой, так и в национальной экономике очень быстро меняется, происходит спад темпов их роста. В связи с этим представляет актуальность изучение факторов, способствующих данным процессам, а также коррекция, которую необходимо провести в механизме экономической политики в целом и денежно-кредитной политики (ДКП), в частности.</w:t>
      </w:r>
    </w:p>
    <w:p w:rsidR="00D02731" w:rsidRDefault="00D02731" w:rsidP="00D02731">
      <w:pPr>
        <w:pStyle w:val="Standard"/>
        <w:widowControl w:val="0"/>
        <w:tabs>
          <w:tab w:val="left" w:pos="1070"/>
        </w:tabs>
        <w:spacing w:after="0" w:line="360" w:lineRule="auto"/>
        <w:ind w:firstLine="709"/>
        <w:jc w:val="both"/>
      </w:pPr>
      <w:r>
        <w:rPr>
          <w:rFonts w:ascii="Times New Roman" w:eastAsia="Times New Roman" w:hAnsi="Times New Roman" w:cs="Times New Roman"/>
          <w:sz w:val="24"/>
          <w:szCs w:val="24"/>
          <w:lang w:eastAsia="ru-RU" w:bidi="ru-RU"/>
        </w:rPr>
        <w:t>А. Основные, в т.ч. и теоретические моменты, касающиеся приоритетов и механизма денежно-кредитной политики, можно отразить в следующем</w:t>
      </w:r>
      <w:r>
        <w:rPr>
          <w:rFonts w:ascii="Times New Roman" w:eastAsia="Times New Roman" w:hAnsi="Times New Roman" w:cs="Times New Roman"/>
          <w:spacing w:val="-1"/>
          <w:sz w:val="24"/>
          <w:szCs w:val="24"/>
          <w:lang w:eastAsia="ru-RU" w:bidi="ru-RU"/>
        </w:rPr>
        <w:t xml:space="preserve"> </w:t>
      </w:r>
      <w:r>
        <w:rPr>
          <w:rFonts w:ascii="Times New Roman" w:eastAsia="Times New Roman" w:hAnsi="Times New Roman" w:cs="Times New Roman"/>
          <w:sz w:val="24"/>
          <w:szCs w:val="24"/>
          <w:lang w:eastAsia="ru-RU" w:bidi="ru-RU"/>
        </w:rPr>
        <w:t>виде:</w:t>
      </w:r>
    </w:p>
    <w:p w:rsidR="00D02731" w:rsidRDefault="00D02731" w:rsidP="00D02731">
      <w:pPr>
        <w:pStyle w:val="Standard"/>
        <w:widowControl w:val="0"/>
        <w:numPr>
          <w:ilvl w:val="0"/>
          <w:numId w:val="3"/>
        </w:numPr>
        <w:tabs>
          <w:tab w:val="left" w:pos="1079"/>
        </w:tabs>
        <w:spacing w:after="0" w:line="360" w:lineRule="auto"/>
        <w:ind w:left="0" w:firstLine="709"/>
        <w:jc w:val="both"/>
      </w:pPr>
      <w:r>
        <w:rPr>
          <w:rFonts w:ascii="Times New Roman" w:eastAsia="Times New Roman" w:hAnsi="Times New Roman" w:cs="Times New Roman"/>
          <w:sz w:val="24"/>
          <w:szCs w:val="24"/>
          <w:lang w:eastAsia="ru-RU" w:bidi="ru-RU"/>
        </w:rPr>
        <w:t>Стратегическими целями современной ДКП выступают устойчивые темпы экономического роста, уменьшение (в определенные периоды – стабилизация) безработицы и инфляции и достижение положительного (равновесного) платежного баланса страны. Помимо стратегических, зачастую выделяются промежуточные и тактические цели ДКП (денежная база, денежные агрегаты, объем денежной массы, уровень процентной ставки, обменный курс национальной валюты и др.). Цели ДКП достаточно стабильны, однако их соотношение, первоочередность, выбор механизма достижения меняются в зависимости от объективных и субъективных условий, от экономической и политической ситуации в стране;</w:t>
      </w:r>
    </w:p>
    <w:p w:rsidR="00D02731" w:rsidRDefault="00D02731" w:rsidP="00D02731">
      <w:pPr>
        <w:pStyle w:val="Standard"/>
        <w:widowControl w:val="0"/>
        <w:numPr>
          <w:ilvl w:val="0"/>
          <w:numId w:val="2"/>
        </w:numPr>
        <w:tabs>
          <w:tab w:val="left" w:pos="1079"/>
        </w:tabs>
        <w:spacing w:after="0" w:line="360" w:lineRule="auto"/>
        <w:ind w:left="0" w:firstLine="709"/>
        <w:jc w:val="both"/>
      </w:pPr>
      <w:r>
        <w:rPr>
          <w:rFonts w:ascii="Times New Roman" w:eastAsia="Times New Roman" w:hAnsi="Times New Roman" w:cs="Times New Roman"/>
          <w:sz w:val="24"/>
          <w:szCs w:val="24"/>
          <w:lang w:eastAsia="ru-RU" w:bidi="ru-RU"/>
        </w:rPr>
        <w:t>Передаточный механизм ДКП относительно сложный, в частности, стимулирование экономического роста при режиме монетарного таргетирования представляет следующую цепочку принимаемых решений и происходящих вследствие этого процессов: изменение предложения денег результате =&gt; изменение ставки процента =&gt; реакция совокупных (в особенности инвестиционных) расходов на динамику ставки процента =&gt; изменение объема</w:t>
      </w:r>
      <w:r>
        <w:rPr>
          <w:rFonts w:ascii="Times New Roman" w:eastAsia="Times New Roman" w:hAnsi="Times New Roman" w:cs="Times New Roman"/>
          <w:spacing w:val="-5"/>
          <w:sz w:val="24"/>
          <w:szCs w:val="24"/>
          <w:lang w:eastAsia="ru-RU" w:bidi="ru-RU"/>
        </w:rPr>
        <w:t xml:space="preserve"> </w:t>
      </w:r>
      <w:r>
        <w:rPr>
          <w:rFonts w:ascii="Times New Roman" w:eastAsia="Times New Roman" w:hAnsi="Times New Roman" w:cs="Times New Roman"/>
          <w:sz w:val="24"/>
          <w:szCs w:val="24"/>
          <w:lang w:eastAsia="ru-RU" w:bidi="ru-RU"/>
        </w:rPr>
        <w:t xml:space="preserve">выпуска;  При режиме инфляционного таргетирования сокращается цепочка передаточного </w:t>
      </w:r>
      <w:r>
        <w:rPr>
          <w:rFonts w:ascii="Times New Roman" w:eastAsia="Times New Roman" w:hAnsi="Times New Roman" w:cs="Times New Roman"/>
          <w:sz w:val="24"/>
          <w:szCs w:val="24"/>
          <w:lang w:eastAsia="ru-RU" w:bidi="ru-RU"/>
        </w:rPr>
        <w:lastRenderedPageBreak/>
        <w:t>механизма ДКП (за счет устранения непосредственного воздействия на денежную массу). Среди ее инструментов на первый план выдвигается процентная</w:t>
      </w:r>
      <w:r>
        <w:rPr>
          <w:rFonts w:ascii="Times New Roman" w:eastAsia="Times New Roman" w:hAnsi="Times New Roman" w:cs="Times New Roman"/>
          <w:spacing w:val="-2"/>
          <w:sz w:val="24"/>
          <w:szCs w:val="24"/>
          <w:lang w:eastAsia="ru-RU" w:bidi="ru-RU"/>
        </w:rPr>
        <w:t xml:space="preserve"> </w:t>
      </w:r>
      <w:r>
        <w:rPr>
          <w:rFonts w:ascii="Times New Roman" w:eastAsia="Times New Roman" w:hAnsi="Times New Roman" w:cs="Times New Roman"/>
          <w:sz w:val="24"/>
          <w:szCs w:val="24"/>
          <w:lang w:eastAsia="ru-RU" w:bidi="ru-RU"/>
        </w:rPr>
        <w:t xml:space="preserve">ставка </w:t>
      </w:r>
      <w:r>
        <w:rPr>
          <w:rFonts w:ascii="Times New Roman" w:eastAsia="Times New Roman" w:hAnsi="Times New Roman"/>
          <w:sz w:val="23"/>
        </w:rPr>
        <w:t>[9]</w:t>
      </w:r>
      <w:r>
        <w:rPr>
          <w:rFonts w:ascii="Times New Roman" w:eastAsia="Times New Roman" w:hAnsi="Times New Roman" w:cs="Times New Roman"/>
          <w:sz w:val="24"/>
          <w:szCs w:val="24"/>
          <w:lang w:eastAsia="ru-RU" w:bidi="ru-RU"/>
        </w:rPr>
        <w:t>;</w:t>
      </w:r>
    </w:p>
    <w:p w:rsidR="00D02731" w:rsidRDefault="00D02731" w:rsidP="00D02731">
      <w:pPr>
        <w:pStyle w:val="Standard"/>
        <w:widowControl w:val="0"/>
        <w:numPr>
          <w:ilvl w:val="0"/>
          <w:numId w:val="2"/>
        </w:numPr>
        <w:tabs>
          <w:tab w:val="left" w:pos="1079"/>
          <w:tab w:val="left" w:pos="1130"/>
        </w:tabs>
        <w:spacing w:after="0" w:line="360" w:lineRule="auto"/>
        <w:ind w:left="0" w:firstLine="709"/>
        <w:jc w:val="both"/>
      </w:pPr>
      <w:r>
        <w:rPr>
          <w:rFonts w:ascii="Times New Roman" w:eastAsia="Times New Roman" w:hAnsi="Times New Roman" w:cs="Times New Roman"/>
          <w:sz w:val="24"/>
          <w:szCs w:val="24"/>
          <w:lang w:eastAsia="ru-RU" w:bidi="ru-RU"/>
        </w:rPr>
        <w:t xml:space="preserve"> ЦБ РФ уже осуществил и продолжает предпринимать серьезные шаги на пути к полноценному инфляционному таргетированию: введена ключевая</w:t>
      </w:r>
      <w:r>
        <w:rPr>
          <w:rFonts w:ascii="Times New Roman" w:eastAsia="Times New Roman" w:hAnsi="Times New Roman" w:cs="Times New Roman"/>
          <w:spacing w:val="-2"/>
          <w:sz w:val="24"/>
          <w:szCs w:val="24"/>
          <w:lang w:eastAsia="ru-RU" w:bidi="ru-RU"/>
        </w:rPr>
        <w:t xml:space="preserve"> </w:t>
      </w:r>
      <w:r>
        <w:rPr>
          <w:rFonts w:ascii="Times New Roman" w:eastAsia="Times New Roman" w:hAnsi="Times New Roman" w:cs="Times New Roman"/>
          <w:sz w:val="24"/>
          <w:szCs w:val="24"/>
          <w:lang w:eastAsia="ru-RU" w:bidi="ru-RU"/>
        </w:rPr>
        <w:t>ставка; завершено формирование процентного коридора Центрального банка РФ; начали проводиться аукционы по предоставлению</w:t>
      </w:r>
      <w:r>
        <w:rPr>
          <w:rFonts w:ascii="Times New Roman" w:eastAsia="Times New Roman" w:hAnsi="Times New Roman" w:cs="Times New Roman"/>
          <w:spacing w:val="-6"/>
          <w:sz w:val="24"/>
          <w:szCs w:val="24"/>
          <w:lang w:eastAsia="ru-RU" w:bidi="ru-RU"/>
        </w:rPr>
        <w:t xml:space="preserve"> </w:t>
      </w:r>
      <w:r>
        <w:rPr>
          <w:rFonts w:ascii="Times New Roman" w:eastAsia="Times New Roman" w:hAnsi="Times New Roman" w:cs="Times New Roman"/>
          <w:sz w:val="24"/>
          <w:szCs w:val="24"/>
          <w:lang w:eastAsia="ru-RU" w:bidi="ru-RU"/>
        </w:rPr>
        <w:t>кредитов; выровнены нормы обязательных</w:t>
      </w:r>
      <w:r>
        <w:rPr>
          <w:rFonts w:ascii="Times New Roman" w:eastAsia="Times New Roman" w:hAnsi="Times New Roman" w:cs="Times New Roman"/>
          <w:spacing w:val="-2"/>
          <w:sz w:val="24"/>
          <w:szCs w:val="24"/>
          <w:lang w:eastAsia="ru-RU" w:bidi="ru-RU"/>
        </w:rPr>
        <w:t xml:space="preserve"> </w:t>
      </w:r>
      <w:r>
        <w:rPr>
          <w:rFonts w:ascii="Times New Roman" w:eastAsia="Times New Roman" w:hAnsi="Times New Roman" w:cs="Times New Roman"/>
          <w:sz w:val="24"/>
          <w:szCs w:val="24"/>
          <w:lang w:eastAsia="ru-RU" w:bidi="ru-RU"/>
        </w:rPr>
        <w:t>резервов; установлены количественные показатели инфляции на предстоящий</w:t>
      </w:r>
      <w:r>
        <w:rPr>
          <w:rFonts w:ascii="Times New Roman" w:eastAsia="Times New Roman" w:hAnsi="Times New Roman" w:cs="Times New Roman"/>
          <w:spacing w:val="-2"/>
          <w:sz w:val="24"/>
          <w:szCs w:val="24"/>
          <w:lang w:eastAsia="ru-RU" w:bidi="ru-RU"/>
        </w:rPr>
        <w:t xml:space="preserve"> </w:t>
      </w:r>
      <w:r>
        <w:rPr>
          <w:rFonts w:ascii="Times New Roman" w:eastAsia="Times New Roman" w:hAnsi="Times New Roman" w:cs="Times New Roman"/>
          <w:sz w:val="24"/>
          <w:szCs w:val="24"/>
          <w:lang w:eastAsia="ru-RU" w:bidi="ru-RU"/>
        </w:rPr>
        <w:t>период; участники рынка заверяются в том, что инфляционные цели превалируют над всеми</w:t>
      </w:r>
      <w:r>
        <w:rPr>
          <w:rFonts w:ascii="Times New Roman" w:eastAsia="Times New Roman" w:hAnsi="Times New Roman" w:cs="Times New Roman"/>
          <w:spacing w:val="-3"/>
          <w:sz w:val="24"/>
          <w:szCs w:val="24"/>
          <w:lang w:eastAsia="ru-RU" w:bidi="ru-RU"/>
        </w:rPr>
        <w:t xml:space="preserve"> </w:t>
      </w:r>
      <w:r>
        <w:rPr>
          <w:rFonts w:ascii="Times New Roman" w:eastAsia="Times New Roman" w:hAnsi="Times New Roman" w:cs="Times New Roman"/>
          <w:sz w:val="24"/>
          <w:szCs w:val="24"/>
          <w:lang w:eastAsia="ru-RU" w:bidi="ru-RU"/>
        </w:rPr>
        <w:t>остальными; повышена действенность процентного канала передаточного механизма денежно-кредитной политики (основными инструментами регулирования ликвидности банковского сектора стали операции Банка России на аукционной основе сроком на 1 неделю, ставка по которым является ключевой ставкой Банка</w:t>
      </w:r>
      <w:r>
        <w:rPr>
          <w:rFonts w:ascii="Times New Roman" w:eastAsia="Times New Roman" w:hAnsi="Times New Roman" w:cs="Times New Roman"/>
          <w:spacing w:val="-1"/>
          <w:sz w:val="24"/>
          <w:szCs w:val="24"/>
          <w:lang w:eastAsia="ru-RU" w:bidi="ru-RU"/>
        </w:rPr>
        <w:t xml:space="preserve"> </w:t>
      </w:r>
      <w:r>
        <w:rPr>
          <w:rFonts w:ascii="Times New Roman" w:eastAsia="Times New Roman" w:hAnsi="Times New Roman" w:cs="Times New Roman"/>
          <w:sz w:val="24"/>
          <w:szCs w:val="24"/>
          <w:lang w:eastAsia="ru-RU" w:bidi="ru-RU"/>
        </w:rPr>
        <w:t>России); осуществляется допуск более широкого круга контрагентов к операциям Центрального банка.</w:t>
      </w:r>
    </w:p>
    <w:p w:rsidR="00D02731" w:rsidRDefault="00D02731" w:rsidP="00D02731">
      <w:pPr>
        <w:pStyle w:val="Standard"/>
        <w:widowControl w:val="0"/>
        <w:tabs>
          <w:tab w:val="left" w:pos="1113"/>
        </w:tabs>
        <w:spacing w:after="0" w:line="360" w:lineRule="auto"/>
        <w:ind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Б. С учетом этих положений, проанализируем ситуацию в современной (первая четверть 2020 года) экономике и денежно-кредитной сфере РФ:</w:t>
      </w:r>
    </w:p>
    <w:p w:rsidR="00D02731" w:rsidRDefault="00D02731" w:rsidP="00D02731">
      <w:pPr>
        <w:pStyle w:val="Standard"/>
        <w:widowControl w:val="0"/>
        <w:numPr>
          <w:ilvl w:val="1"/>
          <w:numId w:val="1"/>
        </w:numPr>
        <w:tabs>
          <w:tab w:val="left" w:pos="1182"/>
        </w:tabs>
        <w:spacing w:after="0" w:line="360" w:lineRule="auto"/>
        <w:ind w:left="0" w:firstLine="709"/>
        <w:jc w:val="both"/>
      </w:pPr>
      <w:r>
        <w:rPr>
          <w:rFonts w:ascii="Times New Roman" w:eastAsia="Times New Roman" w:hAnsi="Times New Roman" w:cs="Times New Roman"/>
          <w:sz w:val="24"/>
          <w:szCs w:val="24"/>
          <w:lang w:eastAsia="ru-RU" w:bidi="ru-RU"/>
        </w:rPr>
        <w:t>Замедлились темпы экономического роста (примерно с 2012 г.), и, мы считаем, что в настоящее время наблюдается рецессия. Резко упал совокупный спрос: снизились все его составляющие (личное потребление, инвестиции, экспорт) за исключением государственных расходов. Падает инвестиционная активность. Основными факторами замедления экономики послужили как долгосрочные факторы структурного характера («перекос» в сторону сырьевых отраслей, высокая загруженность и одновременно изношенность производственных мощностей, высокая занятость при низкой безработице), так и краткосрочные (спад в мировой экономике, снижение цен на нефть, резкое снижение экспорта и в целом сокращение внешней торговли, введение ограничительных мер в стране в связи с пандемией)</w:t>
      </w:r>
      <w:r>
        <w:rPr>
          <w:rFonts w:ascii="Times New Roman" w:eastAsia="Times New Roman" w:hAnsi="Times New Roman"/>
          <w:sz w:val="23"/>
        </w:rPr>
        <w:t xml:space="preserve"> [2, с.7-11]</w:t>
      </w:r>
      <w:r>
        <w:rPr>
          <w:rFonts w:ascii="Times New Roman" w:eastAsia="Times New Roman" w:hAnsi="Times New Roman" w:cs="Times New Roman"/>
          <w:sz w:val="24"/>
          <w:szCs w:val="24"/>
          <w:lang w:eastAsia="ru-RU" w:bidi="ru-RU"/>
        </w:rPr>
        <w:t>;</w:t>
      </w:r>
    </w:p>
    <w:p w:rsidR="00D02731" w:rsidRDefault="00D02731" w:rsidP="00D02731">
      <w:pPr>
        <w:pStyle w:val="Standard"/>
        <w:widowControl w:val="0"/>
        <w:numPr>
          <w:ilvl w:val="1"/>
          <w:numId w:val="1"/>
        </w:numPr>
        <w:tabs>
          <w:tab w:val="left" w:pos="1120"/>
        </w:tabs>
        <w:spacing w:after="0" w:line="360" w:lineRule="auto"/>
        <w:ind w:left="0" w:right="-1" w:firstLine="709"/>
        <w:jc w:val="both"/>
      </w:pPr>
      <w:r>
        <w:rPr>
          <w:rFonts w:ascii="Times New Roman" w:eastAsia="Times New Roman" w:hAnsi="Times New Roman" w:cs="Times New Roman"/>
          <w:sz w:val="24"/>
          <w:szCs w:val="24"/>
          <w:lang w:eastAsia="ru-RU" w:bidi="ru-RU"/>
        </w:rPr>
        <w:t xml:space="preserve">Усиливается макроэкономическая нестабильность. Спад экономики, связанный на данном этапе с ограничительными мерами (пандемия), с одной стороны, последствия повышения пенсионного возраста – с другой, предопределяют существенный рост безработицы </w:t>
      </w:r>
      <w:r>
        <w:rPr>
          <w:rFonts w:ascii="Times New Roman" w:eastAsia="Times New Roman" w:hAnsi="Times New Roman"/>
          <w:sz w:val="23"/>
        </w:rPr>
        <w:t>[1. С11-21]</w:t>
      </w:r>
      <w:r>
        <w:rPr>
          <w:rFonts w:ascii="Times New Roman" w:eastAsia="Times New Roman" w:hAnsi="Times New Roman" w:cs="Times New Roman"/>
          <w:sz w:val="24"/>
          <w:szCs w:val="24"/>
          <w:lang w:eastAsia="ru-RU" w:bidi="ru-RU"/>
        </w:rPr>
        <w:t xml:space="preserve">. Минтруд РФ еще в апреле допустил ее полуторное увеличение: «появление до 6 млн безработных в России после эпидемии» </w:t>
      </w:r>
      <w:r>
        <w:rPr>
          <w:rFonts w:ascii="Times New Roman" w:eastAsia="Times New Roman" w:hAnsi="Times New Roman"/>
          <w:sz w:val="23"/>
        </w:rPr>
        <w:t>[7]</w:t>
      </w:r>
      <w:r>
        <w:rPr>
          <w:rFonts w:ascii="Times New Roman" w:eastAsia="Times New Roman" w:hAnsi="Times New Roman" w:cs="Times New Roman"/>
          <w:sz w:val="24"/>
          <w:szCs w:val="24"/>
          <w:lang w:eastAsia="ru-RU" w:bidi="ru-RU"/>
        </w:rPr>
        <w:t xml:space="preserve">. Инфляция в апреле 2020 г. составила 3,1% , ключевая ставка с 27.04.2020 г. -  5,50% </w:t>
      </w:r>
      <w:r>
        <w:rPr>
          <w:rFonts w:ascii="Times New Roman" w:eastAsia="Times New Roman" w:hAnsi="Times New Roman"/>
          <w:sz w:val="23"/>
        </w:rPr>
        <w:t>[6]</w:t>
      </w:r>
      <w:r>
        <w:rPr>
          <w:rFonts w:ascii="Times New Roman" w:eastAsia="Times New Roman" w:hAnsi="Times New Roman" w:cs="Times New Roman"/>
          <w:sz w:val="24"/>
          <w:szCs w:val="24"/>
          <w:lang w:eastAsia="ru-RU" w:bidi="ru-RU"/>
        </w:rPr>
        <w:t>. Предполагаем, что рост цен, инфляция в ближайшее время будут «тормозиться» уменьшением личного потребления и инвестирования.</w:t>
      </w:r>
    </w:p>
    <w:p w:rsidR="00D02731" w:rsidRDefault="00D02731" w:rsidP="00D02731">
      <w:pPr>
        <w:pStyle w:val="Standard"/>
        <w:widowControl w:val="0"/>
        <w:numPr>
          <w:ilvl w:val="1"/>
          <w:numId w:val="1"/>
        </w:numPr>
        <w:tabs>
          <w:tab w:val="left" w:pos="1182"/>
        </w:tabs>
        <w:spacing w:after="0" w:line="360" w:lineRule="auto"/>
        <w:ind w:left="0" w:firstLine="709"/>
        <w:jc w:val="both"/>
      </w:pPr>
      <w:r>
        <w:rPr>
          <w:rFonts w:ascii="Times New Roman" w:eastAsia="Times New Roman" w:hAnsi="Times New Roman" w:cs="Times New Roman"/>
          <w:sz w:val="24"/>
          <w:szCs w:val="24"/>
          <w:lang w:eastAsia="ru-RU" w:bidi="ru-RU"/>
        </w:rPr>
        <w:lastRenderedPageBreak/>
        <w:t>В денежно-кредитной сфере обращают на себя внимание: ослабление курса рубля и высокая закредитованность населения, а также уменьшение оттока капитала за рубеж. Произошли изменения в платежном балансе: «Профицит счёта текущих операций платёжного баланса России в январе — марте 2020 года, по предварительной оценке, регулятора, уменьшился более чем на треть и составил $21,7 млрд против $33,6 млрд за аналогичный период прошлого года.»</w:t>
      </w:r>
      <w:r>
        <w:rPr>
          <w:rFonts w:ascii="Times New Roman" w:eastAsia="Times New Roman" w:hAnsi="Times New Roman"/>
          <w:sz w:val="23"/>
        </w:rPr>
        <w:t xml:space="preserve"> [8]</w:t>
      </w:r>
      <w:r>
        <w:rPr>
          <w:rFonts w:ascii="Times New Roman" w:eastAsia="Times New Roman" w:hAnsi="Times New Roman" w:cs="Times New Roman"/>
          <w:sz w:val="24"/>
          <w:szCs w:val="24"/>
          <w:lang w:eastAsia="ru-RU" w:bidi="ru-RU"/>
        </w:rPr>
        <w:t xml:space="preserve">. Одновременно растет дистанционное обслуживание, развивается рынок электронных банковских услуг </w:t>
      </w:r>
      <w:r>
        <w:rPr>
          <w:rFonts w:ascii="Times New Roman" w:eastAsia="Times New Roman" w:hAnsi="Times New Roman"/>
          <w:sz w:val="23"/>
        </w:rPr>
        <w:t>[3, с 27-31]</w:t>
      </w:r>
      <w:r>
        <w:rPr>
          <w:rFonts w:ascii="Times New Roman" w:eastAsia="Times New Roman" w:hAnsi="Times New Roman" w:cs="Times New Roman"/>
          <w:sz w:val="24"/>
          <w:szCs w:val="24"/>
          <w:lang w:eastAsia="ru-RU" w:bidi="ru-RU"/>
        </w:rPr>
        <w:t>;</w:t>
      </w:r>
    </w:p>
    <w:p w:rsidR="00D02731" w:rsidRDefault="00D02731" w:rsidP="00D02731">
      <w:pPr>
        <w:pStyle w:val="Standard"/>
        <w:widowControl w:val="0"/>
        <w:numPr>
          <w:ilvl w:val="1"/>
          <w:numId w:val="1"/>
        </w:numPr>
        <w:tabs>
          <w:tab w:val="left" w:pos="1182"/>
        </w:tabs>
        <w:spacing w:after="0" w:line="360" w:lineRule="auto"/>
        <w:ind w:left="0" w:firstLine="709"/>
        <w:jc w:val="both"/>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Усложнилась ситуация в бюджетно-налоговой сфере. Несмотря на повышение НДС и пенсионного возраста («экономия на пенсиях»), бюджет в результате пандемии оказался в ситуации сокращения доходов (в соотношении с ВВП) и увеличения расходов;</w:t>
      </w:r>
    </w:p>
    <w:p w:rsidR="00D02731" w:rsidRDefault="00D02731" w:rsidP="00D02731">
      <w:pPr>
        <w:pStyle w:val="Standard"/>
        <w:widowControl w:val="0"/>
        <w:numPr>
          <w:ilvl w:val="1"/>
          <w:numId w:val="1"/>
        </w:numPr>
        <w:tabs>
          <w:tab w:val="left" w:pos="1182"/>
        </w:tabs>
        <w:spacing w:after="0" w:line="360" w:lineRule="auto"/>
        <w:ind w:left="0" w:firstLine="709"/>
        <w:jc w:val="both"/>
      </w:pPr>
      <w:r>
        <w:rPr>
          <w:rFonts w:ascii="Times New Roman" w:eastAsia="Times New Roman" w:hAnsi="Times New Roman" w:cs="Times New Roman"/>
          <w:sz w:val="24"/>
          <w:szCs w:val="24"/>
          <w:lang w:eastAsia="ru-RU" w:bidi="ru-RU"/>
        </w:rPr>
        <w:t xml:space="preserve">Прогнозы ЕБРР и ЦБР подтверждают, что российская экономика в ближайшем будущем будет находиться на фазе спада: «ВВП в III–IV кварталах будет ниже, чем в тех же кварталах прошлого года, в целом за 2020 год он снизится на 4–6%. Самый большой вклад в снижение ВВП внесет падение экспорта, которое может составить от 10 до 15%. Также существенно (на 6–10%) снизятся по сравнению с прошлым годом и инвестиции в основной капитал» </w:t>
      </w:r>
      <w:r>
        <w:rPr>
          <w:rFonts w:ascii="Times New Roman" w:eastAsia="Times New Roman" w:hAnsi="Times New Roman"/>
          <w:sz w:val="23"/>
        </w:rPr>
        <w:t>[4;5]</w:t>
      </w:r>
      <w:r>
        <w:rPr>
          <w:rFonts w:ascii="Times New Roman" w:eastAsia="Times New Roman" w:hAnsi="Times New Roman" w:cs="Times New Roman"/>
          <w:sz w:val="24"/>
          <w:szCs w:val="24"/>
          <w:lang w:eastAsia="ru-RU" w:bidi="ru-RU"/>
        </w:rPr>
        <w:t>.</w:t>
      </w:r>
    </w:p>
    <w:p w:rsidR="00D02731" w:rsidRDefault="00D02731" w:rsidP="00D02731">
      <w:pPr>
        <w:pStyle w:val="Standard"/>
        <w:widowControl w:val="0"/>
        <w:spacing w:after="0" w:line="360" w:lineRule="auto"/>
        <w:ind w:right="-1" w:firstLine="709"/>
        <w:jc w:val="both"/>
      </w:pPr>
      <w:r>
        <w:rPr>
          <w:rFonts w:ascii="Times New Roman" w:eastAsia="Times New Roman" w:hAnsi="Times New Roman" w:cs="Times New Roman"/>
          <w:sz w:val="24"/>
          <w:szCs w:val="24"/>
          <w:lang w:eastAsia="ru-RU" w:bidi="ru-RU"/>
        </w:rPr>
        <w:t>В. В этих условиях важен экономический рост, сопровождающийся стабильным уровнем цен. Необходимость в инфляционном таргетировании, считаем, не уменьшилась и связана с тем, что основным фактором экономического роста сегодня являются рост личного потребления и инвестиции. С этой целью в стране начала проводиться стимулирующая бюджетно-налоговая политика (БНП). В краткосрочном плане важны меры роста госрасходов, предпринятые в связи с пандемией. Однако для долгосрочного экономического роста в области БНП необходимы реализация национальных проектов, а в сфере ДКП - «длинные деньги». И то, и другое требует изменения инфляционных ожиданий, повышения уровня предсказуемости экономической ситуации и обеспечения низкой инфляции. Следовательно, долгосрочной целью денежно- кредитной политики сегодня должна оставаться стабильность цен.</w:t>
      </w:r>
      <w:r>
        <w:t xml:space="preserve"> </w:t>
      </w:r>
      <w:r>
        <w:rPr>
          <w:rFonts w:ascii="Times New Roman" w:eastAsia="Times New Roman" w:hAnsi="Times New Roman" w:cs="Times New Roman"/>
          <w:sz w:val="24"/>
          <w:szCs w:val="24"/>
          <w:lang w:eastAsia="ru-RU" w:bidi="ru-RU"/>
        </w:rPr>
        <w:t>В то же время в краткосрочном периоде центральный банк может реагировать и на динамику других макроэкономических показателей, прежде всего реального выпуска. Необходимо преодолеть проблемы, которые возникают и на уровне инструментов (неразвитость системы рефинансирования), и в сфере институтов</w:t>
      </w:r>
      <w:r>
        <w:rPr>
          <w:rFonts w:ascii="Times New Roman" w:eastAsia="Times New Roman" w:hAnsi="Times New Roman" w:cs="Times New Roman"/>
          <w:spacing w:val="-8"/>
          <w:sz w:val="24"/>
          <w:szCs w:val="24"/>
          <w:lang w:eastAsia="ru-RU" w:bidi="ru-RU"/>
        </w:rPr>
        <w:t xml:space="preserve"> </w:t>
      </w:r>
      <w:r>
        <w:rPr>
          <w:rFonts w:ascii="Times New Roman" w:eastAsia="Times New Roman" w:hAnsi="Times New Roman" w:cs="Times New Roman"/>
          <w:spacing w:val="-3"/>
          <w:sz w:val="24"/>
          <w:szCs w:val="24"/>
          <w:lang w:eastAsia="ru-RU" w:bidi="ru-RU"/>
        </w:rPr>
        <w:t>(неликвидность</w:t>
      </w:r>
      <w:r>
        <w:rPr>
          <w:rFonts w:ascii="Times New Roman" w:eastAsia="Times New Roman" w:hAnsi="Times New Roman" w:cs="Times New Roman"/>
          <w:spacing w:val="-9"/>
          <w:sz w:val="24"/>
          <w:szCs w:val="24"/>
          <w:lang w:eastAsia="ru-RU" w:bidi="ru-RU"/>
        </w:rPr>
        <w:t xml:space="preserve"> </w:t>
      </w:r>
      <w:r>
        <w:rPr>
          <w:rFonts w:ascii="Times New Roman" w:eastAsia="Times New Roman" w:hAnsi="Times New Roman" w:cs="Times New Roman"/>
          <w:sz w:val="24"/>
          <w:szCs w:val="24"/>
          <w:lang w:eastAsia="ru-RU" w:bidi="ru-RU"/>
        </w:rPr>
        <w:t>рынка</w:t>
      </w:r>
      <w:r>
        <w:rPr>
          <w:rFonts w:ascii="Times New Roman" w:eastAsia="Times New Roman" w:hAnsi="Times New Roman" w:cs="Times New Roman"/>
          <w:spacing w:val="-9"/>
          <w:sz w:val="24"/>
          <w:szCs w:val="24"/>
          <w:lang w:eastAsia="ru-RU" w:bidi="ru-RU"/>
        </w:rPr>
        <w:t xml:space="preserve"> </w:t>
      </w:r>
      <w:r>
        <w:rPr>
          <w:rFonts w:ascii="Times New Roman" w:eastAsia="Times New Roman" w:hAnsi="Times New Roman" w:cs="Times New Roman"/>
          <w:sz w:val="24"/>
          <w:szCs w:val="24"/>
          <w:lang w:eastAsia="ru-RU" w:bidi="ru-RU"/>
        </w:rPr>
        <w:t>государственных</w:t>
      </w:r>
      <w:r>
        <w:rPr>
          <w:rFonts w:ascii="Times New Roman" w:eastAsia="Times New Roman" w:hAnsi="Times New Roman" w:cs="Times New Roman"/>
          <w:spacing w:val="-7"/>
          <w:sz w:val="24"/>
          <w:szCs w:val="24"/>
          <w:lang w:eastAsia="ru-RU" w:bidi="ru-RU"/>
        </w:rPr>
        <w:t xml:space="preserve"> </w:t>
      </w:r>
      <w:r>
        <w:rPr>
          <w:rFonts w:ascii="Times New Roman" w:eastAsia="Times New Roman" w:hAnsi="Times New Roman" w:cs="Times New Roman"/>
          <w:sz w:val="24"/>
          <w:szCs w:val="24"/>
          <w:lang w:eastAsia="ru-RU" w:bidi="ru-RU"/>
        </w:rPr>
        <w:t>бумаг).</w:t>
      </w:r>
      <w:r>
        <w:rPr>
          <w:rFonts w:ascii="Times New Roman" w:eastAsia="Times New Roman" w:hAnsi="Times New Roman" w:cs="Times New Roman"/>
          <w:spacing w:val="-9"/>
          <w:sz w:val="24"/>
          <w:szCs w:val="24"/>
          <w:lang w:eastAsia="ru-RU" w:bidi="ru-RU"/>
        </w:rPr>
        <w:t xml:space="preserve"> </w:t>
      </w:r>
      <w:r>
        <w:rPr>
          <w:rFonts w:ascii="Times New Roman" w:eastAsia="Times New Roman" w:hAnsi="Times New Roman" w:cs="Times New Roman"/>
          <w:sz w:val="24"/>
          <w:szCs w:val="24"/>
          <w:lang w:eastAsia="ru-RU" w:bidi="ru-RU"/>
        </w:rPr>
        <w:t>Весьма</w:t>
      </w:r>
      <w:r>
        <w:rPr>
          <w:rFonts w:ascii="Times New Roman" w:eastAsia="Times New Roman" w:hAnsi="Times New Roman" w:cs="Times New Roman"/>
          <w:spacing w:val="-9"/>
          <w:sz w:val="24"/>
          <w:szCs w:val="24"/>
          <w:lang w:eastAsia="ru-RU" w:bidi="ru-RU"/>
        </w:rPr>
        <w:t xml:space="preserve"> </w:t>
      </w:r>
      <w:r>
        <w:rPr>
          <w:rFonts w:ascii="Times New Roman" w:eastAsia="Times New Roman" w:hAnsi="Times New Roman" w:cs="Times New Roman"/>
          <w:sz w:val="24"/>
          <w:szCs w:val="24"/>
          <w:lang w:eastAsia="ru-RU" w:bidi="ru-RU"/>
        </w:rPr>
        <w:t xml:space="preserve">значительна зависимость экономики от внешних шоков. Как показали последние события, </w:t>
      </w:r>
      <w:r>
        <w:rPr>
          <w:rFonts w:ascii="Times New Roman" w:eastAsia="Times New Roman" w:hAnsi="Times New Roman" w:cs="Times New Roman"/>
          <w:sz w:val="24"/>
          <w:szCs w:val="24"/>
          <w:lang w:eastAsia="ru-RU" w:bidi="ru-RU"/>
        </w:rPr>
        <w:lastRenderedPageBreak/>
        <w:t xml:space="preserve">связанные с пандемией, на реализацию ДКП </w:t>
      </w:r>
      <w:r>
        <w:rPr>
          <w:rFonts w:ascii="Times New Roman" w:eastAsia="Times New Roman" w:hAnsi="Times New Roman" w:cs="Times New Roman"/>
          <w:spacing w:val="-2"/>
          <w:sz w:val="24"/>
          <w:szCs w:val="24"/>
          <w:lang w:eastAsia="ru-RU" w:bidi="ru-RU"/>
        </w:rPr>
        <w:t xml:space="preserve">существенное </w:t>
      </w:r>
      <w:r>
        <w:rPr>
          <w:rFonts w:ascii="Times New Roman" w:eastAsia="Times New Roman" w:hAnsi="Times New Roman" w:cs="Times New Roman"/>
          <w:spacing w:val="-3"/>
          <w:sz w:val="24"/>
          <w:szCs w:val="24"/>
          <w:lang w:eastAsia="ru-RU" w:bidi="ru-RU"/>
        </w:rPr>
        <w:t xml:space="preserve">влияние </w:t>
      </w:r>
      <w:r>
        <w:rPr>
          <w:rFonts w:ascii="Times New Roman" w:eastAsia="Times New Roman" w:hAnsi="Times New Roman" w:cs="Times New Roman"/>
          <w:sz w:val="24"/>
          <w:szCs w:val="24"/>
          <w:lang w:eastAsia="ru-RU" w:bidi="ru-RU"/>
        </w:rPr>
        <w:t xml:space="preserve">оказывают не </w:t>
      </w:r>
      <w:r>
        <w:rPr>
          <w:rFonts w:ascii="Times New Roman" w:eastAsia="Times New Roman" w:hAnsi="Times New Roman" w:cs="Times New Roman"/>
          <w:spacing w:val="-2"/>
          <w:sz w:val="24"/>
          <w:szCs w:val="24"/>
          <w:lang w:eastAsia="ru-RU" w:bidi="ru-RU"/>
        </w:rPr>
        <w:t xml:space="preserve">только </w:t>
      </w:r>
      <w:r>
        <w:rPr>
          <w:rFonts w:ascii="Times New Roman" w:eastAsia="Times New Roman" w:hAnsi="Times New Roman" w:cs="Times New Roman"/>
          <w:sz w:val="24"/>
          <w:szCs w:val="24"/>
          <w:lang w:eastAsia="ru-RU" w:bidi="ru-RU"/>
        </w:rPr>
        <w:t>экономические, но и иные условия в</w:t>
      </w:r>
      <w:r>
        <w:rPr>
          <w:rFonts w:ascii="Times New Roman" w:eastAsia="Times New Roman" w:hAnsi="Times New Roman" w:cs="Times New Roman"/>
          <w:spacing w:val="-7"/>
          <w:sz w:val="24"/>
          <w:szCs w:val="24"/>
          <w:lang w:eastAsia="ru-RU" w:bidi="ru-RU"/>
        </w:rPr>
        <w:t xml:space="preserve"> </w:t>
      </w:r>
      <w:r>
        <w:rPr>
          <w:rFonts w:ascii="Times New Roman" w:eastAsia="Times New Roman" w:hAnsi="Times New Roman" w:cs="Times New Roman"/>
          <w:sz w:val="24"/>
          <w:szCs w:val="24"/>
          <w:lang w:eastAsia="ru-RU" w:bidi="ru-RU"/>
        </w:rPr>
        <w:t>стране. Сегодня весьма важно смягчить ДКП. Она не должна противоречить стимулирующей БНП. В целом изменение приоритетов и механизма ДКП, считаем мы, должно позволить избежать конфликта с БНП, поскольку главной целью денежно-кредитной политики в современных условиях становится стимулирование высокого уровня занятости и роста производства, а не плановое «создание» инфляции.</w:t>
      </w:r>
    </w:p>
    <w:p w:rsidR="00D02731" w:rsidRDefault="00D02731" w:rsidP="00D02731">
      <w:pPr>
        <w:pStyle w:val="Standard"/>
        <w:ind w:right="-1" w:firstLine="709"/>
        <w:jc w:val="center"/>
        <w:rPr>
          <w:rFonts w:ascii="Times New Roman" w:hAnsi="Times New Roman" w:cs="Times New Roman"/>
          <w:sz w:val="24"/>
          <w:szCs w:val="24"/>
        </w:rPr>
      </w:pPr>
      <w:r>
        <w:rPr>
          <w:rFonts w:ascii="Times New Roman" w:hAnsi="Times New Roman" w:cs="Times New Roman"/>
          <w:b/>
          <w:sz w:val="24"/>
          <w:szCs w:val="24"/>
        </w:rPr>
        <w:t>Список литературы</w:t>
      </w:r>
    </w:p>
    <w:p w:rsidR="00D02731" w:rsidRDefault="00D02731" w:rsidP="00D02731">
      <w:pPr>
        <w:pStyle w:val="Footnote"/>
        <w:ind w:firstLine="567"/>
        <w:jc w:val="both"/>
        <w:rPr>
          <w:rFonts w:ascii="Times New Roman" w:hAnsi="Times New Roman" w:cs="Times New Roman"/>
          <w:sz w:val="24"/>
          <w:szCs w:val="24"/>
        </w:rPr>
      </w:pPr>
      <w:r>
        <w:rPr>
          <w:rFonts w:ascii="Times New Roman" w:hAnsi="Times New Roman" w:cs="Times New Roman"/>
          <w:sz w:val="24"/>
          <w:szCs w:val="24"/>
        </w:rPr>
        <w:t>1. Аллагулов Р.Х.  Трудовой потенциал региона: содержание категории, анализ состояния и проблем рационального использования. В сборнике: Актуальные вопросы университетской науки Сборник научных трудов. Уфа, 2016. С. 11-21.</w:t>
      </w:r>
    </w:p>
    <w:p w:rsidR="00D02731" w:rsidRDefault="00D02731" w:rsidP="00D02731">
      <w:pPr>
        <w:pStyle w:val="Footnote"/>
        <w:ind w:firstLine="567"/>
        <w:jc w:val="both"/>
        <w:rPr>
          <w:rFonts w:ascii="Times New Roman" w:hAnsi="Times New Roman" w:cs="Times New Roman"/>
          <w:sz w:val="24"/>
          <w:szCs w:val="24"/>
        </w:rPr>
      </w:pPr>
      <w:r>
        <w:rPr>
          <w:rFonts w:ascii="Times New Roman" w:hAnsi="Times New Roman" w:cs="Times New Roman"/>
          <w:sz w:val="24"/>
          <w:szCs w:val="24"/>
        </w:rPr>
        <w:t>2. Аллагулов Р.Х. О значении и логике проведения лекции для студентов неэкономических специальностей (направлений) на тему: "Экономический рост и экономический цикл. Макроэкономическая нестабильность". В сборнике: Междисциплинарный подход к исследованию экономики материалы III Международной научно-практической конференции: в 3 частях. 2017. С. 7-11.</w:t>
      </w:r>
    </w:p>
    <w:p w:rsidR="00D02731" w:rsidRDefault="00D02731" w:rsidP="00D02731">
      <w:pPr>
        <w:pStyle w:val="Footnote"/>
        <w:ind w:firstLine="567"/>
        <w:jc w:val="both"/>
        <w:rPr>
          <w:rFonts w:ascii="Times New Roman" w:hAnsi="Times New Roman" w:cs="Times New Roman"/>
          <w:sz w:val="24"/>
          <w:szCs w:val="24"/>
        </w:rPr>
      </w:pPr>
      <w:r>
        <w:rPr>
          <w:rFonts w:ascii="Times New Roman" w:hAnsi="Times New Roman" w:cs="Times New Roman"/>
          <w:sz w:val="24"/>
          <w:szCs w:val="24"/>
        </w:rPr>
        <w:t>3. Аллагулов Р.Х., Гильфанова Г.М. О некоторых аспектах развития рынка электронных банковских услуг в РФ. В сборнике: Современное общество: наука, техника, образование материалы Всероссийской научной конференции. Кызыргулов И.Р.. 2016. С. 27-31.</w:t>
      </w:r>
    </w:p>
    <w:p w:rsidR="00D02731" w:rsidRDefault="00D02731" w:rsidP="00D02731">
      <w:pPr>
        <w:pStyle w:val="Standard"/>
        <w:widowControl w:val="0"/>
        <w:tabs>
          <w:tab w:val="left" w:pos="1182"/>
        </w:tabs>
        <w:spacing w:after="0" w:line="240" w:lineRule="auto"/>
        <w:ind w:firstLine="567"/>
        <w:jc w:val="both"/>
      </w:pPr>
      <w:r>
        <w:rPr>
          <w:rFonts w:ascii="Times New Roman" w:eastAsia="Times New Roman" w:hAnsi="Times New Roman" w:cs="Times New Roman"/>
          <w:sz w:val="24"/>
          <w:szCs w:val="24"/>
          <w:lang w:eastAsia="ru-RU" w:bidi="ru-RU"/>
        </w:rPr>
        <w:t xml:space="preserve">4. Доклад о денежно-кредитной политике, апрель 2020. </w:t>
      </w:r>
      <w:hyperlink r:id="rId5" w:history="1">
        <w:r>
          <w:rPr>
            <w:rStyle w:val="Internetlink"/>
            <w:rFonts w:ascii="Times New Roman" w:eastAsia="Times New Roman" w:hAnsi="Times New Roman" w:cs="Times New Roman"/>
            <w:sz w:val="24"/>
            <w:szCs w:val="24"/>
            <w:lang w:eastAsia="ru-RU" w:bidi="ru-RU"/>
          </w:rPr>
          <w:t>https://cbr.ru/analytics/dkp/ddcp/longread_2_30/page/</w:t>
        </w:r>
      </w:hyperlink>
      <w:r>
        <w:rPr>
          <w:rStyle w:val="Internetlink"/>
          <w:rFonts w:ascii="Times New Roman" w:eastAsia="Times New Roman" w:hAnsi="Times New Roman" w:cs="Times New Roman"/>
          <w:sz w:val="24"/>
          <w:szCs w:val="24"/>
          <w:lang w:eastAsia="ru-RU" w:bidi="ru-RU"/>
        </w:rPr>
        <w:t>;</w:t>
      </w:r>
    </w:p>
    <w:p w:rsidR="00D02731" w:rsidRDefault="00D02731" w:rsidP="00D02731">
      <w:pPr>
        <w:pStyle w:val="Standard"/>
        <w:widowControl w:val="0"/>
        <w:tabs>
          <w:tab w:val="left" w:pos="1182"/>
        </w:tabs>
        <w:spacing w:after="0" w:line="240" w:lineRule="auto"/>
        <w:ind w:firstLine="567"/>
        <w:jc w:val="both"/>
      </w:pPr>
      <w:r>
        <w:rPr>
          <w:rStyle w:val="Internetlink"/>
          <w:rFonts w:ascii="Times New Roman" w:eastAsia="Times New Roman" w:hAnsi="Times New Roman" w:cs="Times New Roman"/>
          <w:sz w:val="24"/>
          <w:szCs w:val="24"/>
          <w:lang w:eastAsia="ru-RU" w:bidi="ru-RU"/>
        </w:rPr>
        <w:t>5. ЕБРР спрогнозировал падение ВВП России на 4,5% по итогам года. https://www.rbc.ru/economics/13/05/2020/5ebb920e9a7947cd3b2b0de1?utm_source=yxnews&amp;utm_medium=desktop&amp;utm_referrer=https%3A%2F%2Fyandex.ru%2Fnews</w:t>
      </w:r>
    </w:p>
    <w:p w:rsidR="00D02731" w:rsidRDefault="00D02731" w:rsidP="00D02731">
      <w:pPr>
        <w:pStyle w:val="Standard"/>
        <w:spacing w:after="0" w:line="240" w:lineRule="auto"/>
        <w:ind w:right="-1" w:firstLine="567"/>
        <w:rPr>
          <w:rFonts w:ascii="Times New Roman" w:hAnsi="Times New Roman" w:cs="Times New Roman"/>
          <w:sz w:val="24"/>
          <w:szCs w:val="24"/>
        </w:rPr>
      </w:pPr>
      <w:r>
        <w:rPr>
          <w:rFonts w:ascii="Times New Roman" w:hAnsi="Times New Roman" w:cs="Times New Roman"/>
          <w:sz w:val="24"/>
          <w:szCs w:val="24"/>
        </w:rPr>
        <w:t>6. Ключевые показатели ЦБР. https://cbr.ru/key-indicators/</w:t>
      </w:r>
    </w:p>
    <w:p w:rsidR="00D02731" w:rsidRDefault="00D02731" w:rsidP="00D02731">
      <w:pPr>
        <w:pStyle w:val="Footnote"/>
        <w:ind w:firstLine="567"/>
        <w:jc w:val="both"/>
        <w:rPr>
          <w:rFonts w:ascii="Times New Roman" w:hAnsi="Times New Roman" w:cs="Times New Roman"/>
          <w:sz w:val="24"/>
          <w:szCs w:val="24"/>
        </w:rPr>
      </w:pPr>
      <w:r>
        <w:rPr>
          <w:rFonts w:ascii="Times New Roman" w:hAnsi="Times New Roman" w:cs="Times New Roman"/>
          <w:sz w:val="24"/>
          <w:szCs w:val="24"/>
        </w:rPr>
        <w:t>7. Минтруд допустил появление до 6 млн безработных в России после эпидемии. https://www.rbc.ru/society/28/04/2020/5ea87a179a794752f55d0511</w:t>
      </w:r>
    </w:p>
    <w:p w:rsidR="00D02731" w:rsidRDefault="00D02731" w:rsidP="00D02731">
      <w:pPr>
        <w:pStyle w:val="Standard"/>
        <w:spacing w:after="0" w:line="240" w:lineRule="auto"/>
        <w:ind w:right="-1" w:firstLine="567"/>
        <w:rPr>
          <w:rFonts w:ascii="Times New Roman" w:hAnsi="Times New Roman" w:cs="Times New Roman"/>
          <w:sz w:val="24"/>
          <w:szCs w:val="24"/>
        </w:rPr>
      </w:pPr>
      <w:r>
        <w:rPr>
          <w:rFonts w:ascii="Times New Roman" w:hAnsi="Times New Roman" w:cs="Times New Roman"/>
          <w:sz w:val="24"/>
          <w:szCs w:val="24"/>
        </w:rPr>
        <w:t>8. Отток капитала из России в I квартале 2020 года сократился на 29,2%.  https://regnum.ru/news/economy/2912544.html</w:t>
      </w:r>
    </w:p>
    <w:p w:rsidR="00D02731" w:rsidRDefault="00D02731" w:rsidP="00D02731">
      <w:pPr>
        <w:pStyle w:val="Footnote"/>
        <w:ind w:firstLine="567"/>
        <w:jc w:val="both"/>
        <w:rPr>
          <w:rFonts w:ascii="Times New Roman" w:hAnsi="Times New Roman" w:cs="Times New Roman"/>
          <w:sz w:val="24"/>
          <w:szCs w:val="24"/>
        </w:rPr>
      </w:pPr>
      <w:r>
        <w:rPr>
          <w:rFonts w:ascii="Times New Roman" w:hAnsi="Times New Roman" w:cs="Times New Roman"/>
          <w:sz w:val="24"/>
          <w:szCs w:val="24"/>
        </w:rPr>
        <w:t>9. Экономика. Учебное пособие. Под ред. Сибагатуллиной С.Р., в 2-х томах. Уфа, 2012. Том 2</w:t>
      </w:r>
    </w:p>
    <w:p w:rsidR="00D02731" w:rsidRDefault="00D02731" w:rsidP="00D02731">
      <w:pPr>
        <w:pStyle w:val="Footnote"/>
        <w:spacing w:line="360" w:lineRule="auto"/>
        <w:ind w:firstLine="567"/>
        <w:jc w:val="both"/>
        <w:rPr>
          <w:rFonts w:ascii="Times New Roman" w:hAnsi="Times New Roman" w:cs="Times New Roman"/>
          <w:sz w:val="24"/>
          <w:szCs w:val="24"/>
        </w:rPr>
      </w:pPr>
    </w:p>
    <w:p w:rsidR="00D02731" w:rsidRDefault="00D02731" w:rsidP="00D02731">
      <w:pPr>
        <w:pStyle w:val="Standard"/>
        <w:spacing w:line="240" w:lineRule="auto"/>
        <w:ind w:right="-1" w:firstLine="709"/>
        <w:jc w:val="center"/>
        <w:rPr>
          <w:rFonts w:ascii="Times New Roman" w:hAnsi="Times New Roman" w:cs="Times New Roman"/>
          <w:sz w:val="24"/>
          <w:szCs w:val="24"/>
        </w:rPr>
      </w:pPr>
      <w:r>
        <w:rPr>
          <w:rFonts w:ascii="Times New Roman" w:hAnsi="Times New Roman" w:cs="Times New Roman"/>
          <w:b/>
          <w:sz w:val="24"/>
          <w:szCs w:val="24"/>
        </w:rPr>
        <w:t>Информация об авторе</w:t>
      </w:r>
    </w:p>
    <w:p w:rsidR="00D02731" w:rsidRDefault="00D02731" w:rsidP="00D02731">
      <w:pPr>
        <w:pStyle w:val="Standard"/>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Аллагулов Ринат Хасанович, кандидат экономических наук, доцент, Федеральное государственное бюджетное образовательное учреждение высшего образования «Башкирский государственный университет». Адрес: 450076, Россия, г.Уфа, ул. Заки Валиди, д.32</w:t>
      </w:r>
    </w:p>
    <w:p w:rsidR="00D02731" w:rsidRPr="00C51703" w:rsidRDefault="00D02731" w:rsidP="00D02731">
      <w:pPr>
        <w:pStyle w:val="Standard"/>
        <w:spacing w:after="0" w:line="240" w:lineRule="auto"/>
        <w:ind w:firstLine="709"/>
        <w:rPr>
          <w:rFonts w:ascii="Times New Roman" w:hAnsi="Times New Roman" w:cs="Times New Roman"/>
          <w:sz w:val="24"/>
          <w:szCs w:val="24"/>
          <w:lang w:val="en-US"/>
        </w:rPr>
      </w:pPr>
      <w:r>
        <w:rPr>
          <w:rFonts w:ascii="Times New Roman" w:hAnsi="Times New Roman" w:cs="Times New Roman"/>
          <w:sz w:val="24"/>
          <w:szCs w:val="24"/>
        </w:rPr>
        <w:t>Тел</w:t>
      </w:r>
      <w:r w:rsidRPr="00C51703">
        <w:rPr>
          <w:rFonts w:ascii="Times New Roman" w:hAnsi="Times New Roman" w:cs="Times New Roman"/>
          <w:sz w:val="24"/>
          <w:szCs w:val="24"/>
          <w:lang w:val="en-US"/>
        </w:rPr>
        <w:t xml:space="preserve">.: 8(347)272-63-70, </w:t>
      </w:r>
      <w:r>
        <w:rPr>
          <w:rFonts w:ascii="Times New Roman" w:hAnsi="Times New Roman" w:cs="Times New Roman"/>
          <w:sz w:val="24"/>
          <w:szCs w:val="24"/>
        </w:rPr>
        <w:t>Факс</w:t>
      </w:r>
      <w:r w:rsidRPr="00C51703">
        <w:rPr>
          <w:rFonts w:ascii="Times New Roman" w:hAnsi="Times New Roman" w:cs="Times New Roman"/>
          <w:sz w:val="24"/>
          <w:szCs w:val="24"/>
          <w:lang w:val="en-US"/>
        </w:rPr>
        <w:t>: 273-67-78 E-mail: rector@bsunet.ru</w:t>
      </w:r>
    </w:p>
    <w:p w:rsidR="00D02731" w:rsidRPr="00C51703" w:rsidRDefault="00D02731" w:rsidP="00D02731">
      <w:pPr>
        <w:pStyle w:val="Standard"/>
        <w:spacing w:after="0" w:line="240" w:lineRule="auto"/>
        <w:ind w:firstLine="709"/>
        <w:rPr>
          <w:rFonts w:ascii="Times New Roman" w:hAnsi="Times New Roman" w:cs="Times New Roman"/>
          <w:sz w:val="24"/>
          <w:szCs w:val="24"/>
          <w:lang w:val="en-US"/>
        </w:rPr>
      </w:pPr>
    </w:p>
    <w:p w:rsidR="00D02731" w:rsidRPr="00C51703" w:rsidRDefault="00D02731" w:rsidP="00D02731">
      <w:pPr>
        <w:pStyle w:val="Standard"/>
        <w:spacing w:after="0" w:line="360" w:lineRule="auto"/>
        <w:ind w:firstLine="709"/>
        <w:jc w:val="right"/>
        <w:rPr>
          <w:rFonts w:ascii="Times New Roman" w:hAnsi="Times New Roman" w:cs="Times New Roman"/>
          <w:b/>
          <w:bCs/>
          <w:sz w:val="24"/>
          <w:szCs w:val="24"/>
          <w:lang w:val="en-US"/>
        </w:rPr>
      </w:pPr>
      <w:r w:rsidRPr="00C51703">
        <w:rPr>
          <w:rFonts w:ascii="Times New Roman" w:hAnsi="Times New Roman" w:cs="Times New Roman"/>
          <w:b/>
          <w:bCs/>
          <w:sz w:val="24"/>
          <w:szCs w:val="24"/>
          <w:lang w:val="en-US"/>
        </w:rPr>
        <w:t>Allagulov R.</w:t>
      </w:r>
      <w:r>
        <w:rPr>
          <w:rFonts w:ascii="Times New Roman" w:hAnsi="Times New Roman" w:cs="Times New Roman"/>
          <w:b/>
          <w:bCs/>
          <w:sz w:val="24"/>
          <w:szCs w:val="24"/>
          <w:lang w:val="en-US"/>
        </w:rPr>
        <w:t>H</w:t>
      </w:r>
      <w:r w:rsidRPr="00C51703">
        <w:rPr>
          <w:rFonts w:ascii="Times New Roman" w:hAnsi="Times New Roman" w:cs="Times New Roman"/>
          <w:b/>
          <w:bCs/>
          <w:sz w:val="24"/>
          <w:szCs w:val="24"/>
          <w:lang w:val="en-US"/>
        </w:rPr>
        <w:t>.</w:t>
      </w:r>
    </w:p>
    <w:p w:rsidR="00D02731" w:rsidRPr="00C51703" w:rsidRDefault="00D02731" w:rsidP="00D02731">
      <w:pPr>
        <w:pStyle w:val="Standard"/>
        <w:spacing w:after="0" w:line="360" w:lineRule="auto"/>
        <w:jc w:val="center"/>
        <w:rPr>
          <w:rFonts w:ascii="Times New Roman" w:hAnsi="Times New Roman" w:cs="Times New Roman"/>
          <w:b/>
          <w:bCs/>
          <w:sz w:val="24"/>
          <w:szCs w:val="24"/>
          <w:lang w:val="en-US"/>
        </w:rPr>
      </w:pPr>
      <w:r w:rsidRPr="00C51703">
        <w:rPr>
          <w:rFonts w:ascii="Times New Roman" w:hAnsi="Times New Roman" w:cs="Times New Roman"/>
          <w:b/>
          <w:bCs/>
          <w:sz w:val="24"/>
          <w:szCs w:val="24"/>
          <w:lang w:val="en-US"/>
        </w:rPr>
        <w:t>MONETARY POLICY OF THE RUSSIAN FEDERATION:  THE NEED FOR CORRECTION OF THE MECHANISM IN THE CONDITIONS OF MACROECONOMIC INSTABILITY</w:t>
      </w:r>
    </w:p>
    <w:p w:rsidR="00D02731" w:rsidRPr="00C51703" w:rsidRDefault="00D02731" w:rsidP="00D02731">
      <w:pPr>
        <w:pStyle w:val="Standard"/>
        <w:spacing w:after="0" w:line="240" w:lineRule="auto"/>
        <w:ind w:firstLine="709"/>
        <w:rPr>
          <w:rFonts w:ascii="Times New Roman" w:hAnsi="Times New Roman" w:cs="Times New Roman"/>
          <w:sz w:val="24"/>
          <w:szCs w:val="24"/>
          <w:lang w:val="en-US"/>
        </w:rPr>
      </w:pPr>
    </w:p>
    <w:p w:rsidR="00D02731" w:rsidRPr="00C51703" w:rsidRDefault="00D02731" w:rsidP="00D02731">
      <w:pPr>
        <w:pStyle w:val="Standard"/>
        <w:spacing w:after="0" w:line="360" w:lineRule="auto"/>
        <w:ind w:firstLine="709"/>
        <w:jc w:val="both"/>
        <w:rPr>
          <w:rFonts w:ascii="Times New Roman" w:hAnsi="Times New Roman" w:cs="Times New Roman"/>
          <w:i/>
          <w:iCs/>
          <w:sz w:val="24"/>
          <w:szCs w:val="24"/>
          <w:lang w:val="en-US"/>
        </w:rPr>
      </w:pPr>
      <w:r w:rsidRPr="00C51703">
        <w:rPr>
          <w:rFonts w:ascii="Times New Roman" w:hAnsi="Times New Roman" w:cs="Times New Roman"/>
          <w:b/>
          <w:bCs/>
          <w:i/>
          <w:iCs/>
          <w:sz w:val="24"/>
          <w:szCs w:val="24"/>
          <w:lang w:val="en-US"/>
        </w:rPr>
        <w:t>Abstract:</w:t>
      </w:r>
      <w:r w:rsidRPr="00C51703">
        <w:rPr>
          <w:rFonts w:ascii="Times New Roman" w:hAnsi="Times New Roman" w:cs="Times New Roman"/>
          <w:i/>
          <w:iCs/>
          <w:sz w:val="24"/>
          <w:szCs w:val="24"/>
          <w:lang w:val="en-US"/>
        </w:rPr>
        <w:t xml:space="preserve"> the article attempts to clarify the main theoretical aspects (goals, instruments, priorities) of monetary policy, analyze the current economic situation in the country, determine the need and direction of correction of the monetary policy mechanism. The latter should be mitigated so as not to come into conflict with a stimulating fiscal policy in the face of an economic downturn.</w:t>
      </w:r>
    </w:p>
    <w:p w:rsidR="00D02731" w:rsidRPr="00C51703" w:rsidRDefault="00D02731" w:rsidP="00D02731">
      <w:pPr>
        <w:pStyle w:val="Standard"/>
        <w:spacing w:after="0" w:line="360" w:lineRule="auto"/>
        <w:ind w:firstLine="709"/>
        <w:jc w:val="both"/>
        <w:rPr>
          <w:rFonts w:ascii="Times New Roman" w:hAnsi="Times New Roman" w:cs="Times New Roman"/>
          <w:i/>
          <w:iCs/>
          <w:sz w:val="24"/>
          <w:szCs w:val="24"/>
          <w:lang w:val="en-US"/>
        </w:rPr>
      </w:pPr>
      <w:r w:rsidRPr="00C51703">
        <w:rPr>
          <w:rFonts w:ascii="Times New Roman" w:hAnsi="Times New Roman" w:cs="Times New Roman"/>
          <w:b/>
          <w:bCs/>
          <w:i/>
          <w:iCs/>
          <w:sz w:val="24"/>
          <w:szCs w:val="24"/>
          <w:lang w:val="en-US"/>
        </w:rPr>
        <w:t>Keywords:</w:t>
      </w:r>
      <w:r w:rsidRPr="00C51703">
        <w:rPr>
          <w:rFonts w:ascii="Times New Roman" w:hAnsi="Times New Roman" w:cs="Times New Roman"/>
          <w:i/>
          <w:iCs/>
          <w:sz w:val="24"/>
          <w:szCs w:val="24"/>
          <w:lang w:val="en-US"/>
        </w:rPr>
        <w:t xml:space="preserve"> macroeconomic instability, pandemic, inflation, unemployment, correction of economic policy, monetary policy, fiscal policy.</w:t>
      </w:r>
    </w:p>
    <w:p w:rsidR="00D02731" w:rsidRPr="00C51703" w:rsidRDefault="00D02731" w:rsidP="00D02731">
      <w:pPr>
        <w:pStyle w:val="Standard"/>
        <w:spacing w:after="0" w:line="360" w:lineRule="auto"/>
        <w:ind w:firstLine="709"/>
        <w:jc w:val="both"/>
        <w:rPr>
          <w:rFonts w:ascii="Times New Roman" w:hAnsi="Times New Roman" w:cs="Times New Roman"/>
          <w:i/>
          <w:iCs/>
          <w:sz w:val="24"/>
          <w:szCs w:val="24"/>
          <w:lang w:val="en-US"/>
        </w:rPr>
      </w:pPr>
    </w:p>
    <w:p w:rsidR="00D02731" w:rsidRPr="00C51703" w:rsidRDefault="00D02731" w:rsidP="00D02731">
      <w:pPr>
        <w:pStyle w:val="Standard"/>
        <w:spacing w:line="360" w:lineRule="auto"/>
        <w:jc w:val="center"/>
        <w:rPr>
          <w:rFonts w:ascii="Times New Roman" w:hAnsi="Times New Roman" w:cs="Times New Roman"/>
          <w:sz w:val="24"/>
          <w:szCs w:val="24"/>
          <w:lang w:val="en-US"/>
        </w:rPr>
      </w:pPr>
      <w:r w:rsidRPr="00C51703">
        <w:rPr>
          <w:rFonts w:ascii="Times New Roman" w:hAnsi="Times New Roman" w:cs="Times New Roman"/>
          <w:b/>
          <w:bCs/>
          <w:sz w:val="24"/>
          <w:szCs w:val="24"/>
          <w:lang w:val="en-US"/>
        </w:rPr>
        <w:t>Bibliography</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1. Allagulov R.Kh. The labor potential of the region: the content of the category, analysis of the status and problems of rational use. In the collection: Actual problems of university science. Collection of scientific papers. Ufa, 2016.S. 11-21.</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2. Allagulov R.Kh. On the meaning and logic of the lecture for students of non-economic specialties (areas) on the topic: "Economic growth and the economic cycle. Macroeconomic instability." In the collection: Interdisciplinary approach to the study of economics materials of the III International scientific-practical conference dedicated to the 70th anniversary of the Department of General Economic Theory of BashSU: in 3 parts. 2017.S. 7-11.</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3. Allagulov R.Kh., Gilfanova G.M. On some aspects of the development of the electronic banking services market in the Russian Federation. In the collection: Modern society: science, technology, education, materials of the All-Russian Scientific Conference with international participation in 4 volumes. Kyzyrgulov I.R. 2016.P. 27-31.</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4. Monetary Policy Report, April 2020. https://cbr.ru/analytics/dkp/ddcp/longread_2_30/page/;</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5. The EBRD has predicted a fall in Russia's GDP by 4.5% for the year. https://www.rbc.ru/economics/13/05/2020/5ebb920e9a7947cd3b2b0de1?utm_source=yxnews&amp;utm_medium=desktop&amp;utm_referrer=https%3A%2F%2Fyandex.ru%2Fnews</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6. Key indicators of the CBR. https://cbr.ru/key-indicators/</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7. The Ministry of Labor allowed the appearance of up to 6 million unemployed in Russia after the epidemic. https://www.rbc.ru/society/28/04/2020/5ea87a179a794752f55d0511</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8. The outflow of capital from Russia in the I quarter of 2020 decreased by 29.2%. https://regnum.ru/news/economy/2912544.html</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9. The economy. Tutorial. Ed. Sibagatullina S.R., in 2 volumes. Ufa, 2012. Volume 2</w:t>
      </w:r>
    </w:p>
    <w:p w:rsidR="00D02731" w:rsidRPr="00C51703" w:rsidRDefault="00D02731" w:rsidP="00D02731">
      <w:pPr>
        <w:pStyle w:val="Standard"/>
        <w:spacing w:after="86" w:line="240" w:lineRule="auto"/>
        <w:ind w:firstLine="567"/>
        <w:jc w:val="both"/>
        <w:rPr>
          <w:rFonts w:ascii="Times New Roman" w:hAnsi="Times New Roman" w:cs="Times New Roman"/>
          <w:sz w:val="24"/>
          <w:szCs w:val="24"/>
          <w:lang w:val="en-US"/>
        </w:rPr>
      </w:pPr>
    </w:p>
    <w:p w:rsidR="00D02731" w:rsidRPr="00C51703" w:rsidRDefault="00D02731" w:rsidP="00D02731">
      <w:pPr>
        <w:pStyle w:val="Standard"/>
        <w:spacing w:line="240" w:lineRule="auto"/>
        <w:jc w:val="center"/>
        <w:rPr>
          <w:rFonts w:ascii="Times New Roman" w:hAnsi="Times New Roman" w:cs="Times New Roman"/>
          <w:b/>
          <w:bCs/>
          <w:sz w:val="24"/>
          <w:szCs w:val="24"/>
          <w:lang w:val="en-US"/>
        </w:rPr>
      </w:pPr>
      <w:r w:rsidRPr="00C51703">
        <w:rPr>
          <w:rFonts w:ascii="Times New Roman" w:hAnsi="Times New Roman" w:cs="Times New Roman"/>
          <w:b/>
          <w:bCs/>
          <w:sz w:val="24"/>
          <w:szCs w:val="24"/>
          <w:lang w:val="en-US"/>
        </w:rPr>
        <w:t>Author Information</w:t>
      </w:r>
    </w:p>
    <w:p w:rsidR="00D02731" w:rsidRPr="00C51703" w:rsidRDefault="00D02731" w:rsidP="00D02731">
      <w:pPr>
        <w:pStyle w:val="Standard"/>
        <w:spacing w:after="0"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Allagulov Rinat Hasanovich, Candidate of Economic Sciences, Associate Professor,</w:t>
      </w:r>
    </w:p>
    <w:p w:rsidR="00D02731" w:rsidRPr="00C51703" w:rsidRDefault="00D02731" w:rsidP="00D02731">
      <w:pPr>
        <w:pStyle w:val="Standard"/>
        <w:spacing w:after="0"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Federal State Budgetary Educational Institution of Higher Education "Bashkir State University"</w:t>
      </w:r>
    </w:p>
    <w:p w:rsidR="00D02731" w:rsidRPr="00C51703" w:rsidRDefault="00D02731" w:rsidP="00D02731">
      <w:pPr>
        <w:pStyle w:val="Standard"/>
        <w:spacing w:after="0"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Address: 450076, Russia, Republic of Bashkortostan, Ufa, ul. Zaki Validi, 32</w:t>
      </w:r>
    </w:p>
    <w:p w:rsidR="00D02731" w:rsidRPr="00C51703" w:rsidRDefault="00D02731" w:rsidP="00D02731">
      <w:pPr>
        <w:pStyle w:val="Standard"/>
        <w:spacing w:after="0" w:line="240" w:lineRule="auto"/>
        <w:ind w:firstLine="567"/>
        <w:jc w:val="both"/>
        <w:rPr>
          <w:rFonts w:ascii="Times New Roman" w:hAnsi="Times New Roman" w:cs="Times New Roman"/>
          <w:sz w:val="24"/>
          <w:szCs w:val="24"/>
          <w:lang w:val="en-US"/>
        </w:rPr>
      </w:pPr>
      <w:r w:rsidRPr="00C51703">
        <w:rPr>
          <w:rFonts w:ascii="Times New Roman" w:hAnsi="Times New Roman" w:cs="Times New Roman"/>
          <w:sz w:val="24"/>
          <w:szCs w:val="24"/>
          <w:lang w:val="en-US"/>
        </w:rPr>
        <w:t>Phone: 8 (347) 272-63-70, Fax: 273-67-78 E-mail: rector@bsunet.ru</w:t>
      </w:r>
    </w:p>
    <w:p w:rsidR="00A279DB" w:rsidRPr="00D02731" w:rsidRDefault="00A279DB">
      <w:pPr>
        <w:rPr>
          <w:lang w:val="en-US"/>
        </w:rPr>
      </w:pPr>
      <w:bookmarkStart w:id="0" w:name="_GoBack"/>
      <w:bookmarkEnd w:id="0"/>
    </w:p>
    <w:sectPr w:rsidR="00A279DB" w:rsidRPr="00D02731">
      <w:pgSz w:w="12240" w:h="15840"/>
      <w:pgMar w:top="1440" w:right="1183" w:bottom="1440"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243EB"/>
    <w:multiLevelType w:val="multilevel"/>
    <w:tmpl w:val="9F8A129A"/>
    <w:styleLink w:val="WWNum1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2473F63"/>
    <w:multiLevelType w:val="multilevel"/>
    <w:tmpl w:val="DBF6287E"/>
    <w:styleLink w:val="WWNum1"/>
    <w:lvl w:ilvl="0">
      <w:start w:val="1"/>
      <w:numFmt w:val="upperRoman"/>
      <w:lvlText w:val="%1."/>
      <w:lvlJc w:val="left"/>
      <w:pPr>
        <w:ind w:left="310" w:hanging="192"/>
      </w:pPr>
      <w:rPr>
        <w:rFonts w:eastAsia="Times New Roman" w:cs="Times New Roman"/>
        <w:w w:val="99"/>
        <w:sz w:val="20"/>
        <w:szCs w:val="20"/>
        <w:lang w:val="ru-RU" w:eastAsia="ru-RU" w:bidi="ru-RU"/>
      </w:rPr>
    </w:lvl>
    <w:lvl w:ilvl="1">
      <w:start w:val="1"/>
      <w:numFmt w:val="decimal"/>
      <w:lvlText w:val="%2."/>
      <w:lvlJc w:val="left"/>
      <w:pPr>
        <w:ind w:left="310" w:hanging="202"/>
      </w:pPr>
      <w:rPr>
        <w:rFonts w:ascii="Times New Roman" w:eastAsia="Times New Roman" w:hAnsi="Times New Roman" w:cs="Times New Roman"/>
        <w:spacing w:val="0"/>
        <w:w w:val="99"/>
        <w:sz w:val="24"/>
        <w:szCs w:val="24"/>
        <w:lang w:val="ru-RU" w:eastAsia="ru-RU" w:bidi="ru-RU"/>
      </w:rPr>
    </w:lvl>
    <w:lvl w:ilvl="2">
      <w:numFmt w:val="bullet"/>
      <w:lvlText w:val="•"/>
      <w:lvlJc w:val="left"/>
      <w:pPr>
        <w:ind w:left="1758" w:hanging="202"/>
      </w:pPr>
      <w:rPr>
        <w:lang w:val="ru-RU" w:eastAsia="ru-RU" w:bidi="ru-RU"/>
      </w:rPr>
    </w:lvl>
    <w:lvl w:ilvl="3">
      <w:numFmt w:val="bullet"/>
      <w:lvlText w:val="•"/>
      <w:lvlJc w:val="left"/>
      <w:pPr>
        <w:ind w:left="2477" w:hanging="202"/>
      </w:pPr>
      <w:rPr>
        <w:lang w:val="ru-RU" w:eastAsia="ru-RU" w:bidi="ru-RU"/>
      </w:rPr>
    </w:lvl>
    <w:lvl w:ilvl="4">
      <w:numFmt w:val="bullet"/>
      <w:lvlText w:val="•"/>
      <w:lvlJc w:val="left"/>
      <w:pPr>
        <w:ind w:left="3197" w:hanging="202"/>
      </w:pPr>
      <w:rPr>
        <w:lang w:val="ru-RU" w:eastAsia="ru-RU" w:bidi="ru-RU"/>
      </w:rPr>
    </w:lvl>
    <w:lvl w:ilvl="5">
      <w:numFmt w:val="bullet"/>
      <w:lvlText w:val="•"/>
      <w:lvlJc w:val="left"/>
      <w:pPr>
        <w:ind w:left="3916" w:hanging="202"/>
      </w:pPr>
      <w:rPr>
        <w:lang w:val="ru-RU" w:eastAsia="ru-RU" w:bidi="ru-RU"/>
      </w:rPr>
    </w:lvl>
    <w:lvl w:ilvl="6">
      <w:numFmt w:val="bullet"/>
      <w:lvlText w:val="•"/>
      <w:lvlJc w:val="left"/>
      <w:pPr>
        <w:ind w:left="4635" w:hanging="202"/>
      </w:pPr>
      <w:rPr>
        <w:lang w:val="ru-RU" w:eastAsia="ru-RU" w:bidi="ru-RU"/>
      </w:rPr>
    </w:lvl>
    <w:lvl w:ilvl="7">
      <w:numFmt w:val="bullet"/>
      <w:lvlText w:val="•"/>
      <w:lvlJc w:val="left"/>
      <w:pPr>
        <w:ind w:left="5354" w:hanging="202"/>
      </w:pPr>
      <w:rPr>
        <w:lang w:val="ru-RU" w:eastAsia="ru-RU" w:bidi="ru-RU"/>
      </w:rPr>
    </w:lvl>
    <w:lvl w:ilvl="8">
      <w:numFmt w:val="bullet"/>
      <w:lvlText w:val="•"/>
      <w:lvlJc w:val="left"/>
      <w:pPr>
        <w:ind w:left="6074" w:hanging="202"/>
      </w:pPr>
      <w:rPr>
        <w:lang w:val="ru-RU" w:eastAsia="ru-RU" w:bidi="ru-RU"/>
      </w:rPr>
    </w:lvl>
  </w:abstractNum>
  <w:num w:numId="1">
    <w:abstractNumId w:val="1"/>
  </w:num>
  <w:num w:numId="2">
    <w:abstractNumId w:val="0"/>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10EA"/>
    <w:rsid w:val="009C10EA"/>
    <w:rsid w:val="00A279DB"/>
    <w:rsid w:val="00D027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2511226-9FC2-4322-8711-16C7978D5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D02731"/>
    <w:pPr>
      <w:suppressAutoHyphens/>
      <w:autoSpaceDN w:val="0"/>
      <w:spacing w:after="200" w:line="276" w:lineRule="auto"/>
      <w:textAlignment w:val="baseline"/>
    </w:pPr>
    <w:rPr>
      <w:rFonts w:ascii="Calibri" w:eastAsia="Calibri" w:hAnsi="Calibri" w:cs="Tahoma"/>
    </w:rPr>
  </w:style>
  <w:style w:type="paragraph" w:customStyle="1" w:styleId="Footnote">
    <w:name w:val="Footnote"/>
    <w:basedOn w:val="Standard"/>
    <w:rsid w:val="00D02731"/>
    <w:pPr>
      <w:spacing w:after="0" w:line="240" w:lineRule="auto"/>
    </w:pPr>
    <w:rPr>
      <w:sz w:val="20"/>
      <w:szCs w:val="20"/>
    </w:rPr>
  </w:style>
  <w:style w:type="character" w:customStyle="1" w:styleId="Internetlink">
    <w:name w:val="Internet link"/>
    <w:basedOn w:val="a0"/>
    <w:rsid w:val="00D02731"/>
    <w:rPr>
      <w:color w:val="0000FF"/>
      <w:u w:val="single"/>
    </w:rPr>
  </w:style>
  <w:style w:type="numbering" w:customStyle="1" w:styleId="WWNum1">
    <w:name w:val="WWNum1"/>
    <w:basedOn w:val="a2"/>
    <w:rsid w:val="00D02731"/>
    <w:pPr>
      <w:numPr>
        <w:numId w:val="1"/>
      </w:numPr>
    </w:pPr>
  </w:style>
  <w:style w:type="numbering" w:customStyle="1" w:styleId="WWNum11">
    <w:name w:val="WWNum11"/>
    <w:basedOn w:val="a2"/>
    <w:rsid w:val="00D02731"/>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br.ru/analytics/dkp/ddcp/longread_2_30/pag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1885</Words>
  <Characters>10751</Characters>
  <Application>Microsoft Office Word</Application>
  <DocSecurity>0</DocSecurity>
  <Lines>89</Lines>
  <Paragraphs>25</Paragraphs>
  <ScaleCrop>false</ScaleCrop>
  <Company/>
  <LinksUpToDate>false</LinksUpToDate>
  <CharactersWithSpaces>12611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misha</dc:creator>
  <cp:keywords/>
  <dc:description/>
  <cp:lastModifiedBy>misha</cp:lastModifiedBy>
  <cp:revision>2</cp:revision>
  <dcterms:created xsi:type="dcterms:W3CDTF">2020-05-15T15:52:00Z</dcterms:created>
  <dcterms:modified xsi:type="dcterms:W3CDTF">2020-05-15T15:52:00Z</dcterms:modified>
</cp:coreProperties>
</file>