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24" w:rsidRDefault="008A2124" w:rsidP="008A2124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:rsidR="008A2124" w:rsidRPr="00477769" w:rsidRDefault="003562B5" w:rsidP="008A2124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</w:pPr>
      <w:r>
        <w:rPr>
          <w:rStyle w:val="rvts52"/>
          <w:b/>
          <w:bCs/>
          <w:color w:val="FF0000"/>
        </w:rPr>
        <w:t xml:space="preserve"> </w:t>
      </w:r>
      <w:r w:rsidR="003D5178">
        <w:rPr>
          <w:rStyle w:val="rvts52"/>
          <w:b/>
          <w:bCs/>
        </w:rPr>
        <w:t>УДК 336.6</w:t>
      </w:r>
    </w:p>
    <w:p w:rsidR="008A2124" w:rsidRDefault="006E0ECB" w:rsidP="008A2124">
      <w:pPr>
        <w:pStyle w:val="rvps34"/>
        <w:shd w:val="clear" w:color="auto" w:fill="FFFFFF"/>
        <w:suppressAutoHyphens/>
        <w:spacing w:before="0" w:beforeAutospacing="0" w:after="0" w:afterAutospacing="0"/>
        <w:ind w:firstLine="540"/>
        <w:jc w:val="right"/>
      </w:pPr>
      <w:r>
        <w:rPr>
          <w:rStyle w:val="rvts52"/>
          <w:b/>
          <w:bCs/>
        </w:rPr>
        <w:t>Харионовская Т.Л.</w:t>
      </w:r>
    </w:p>
    <w:p w:rsidR="008A2124" w:rsidRDefault="006E0ECB" w:rsidP="008A2124">
      <w:pPr>
        <w:pStyle w:val="rvps33"/>
        <w:shd w:val="clear" w:color="auto" w:fill="FFFFFF"/>
        <w:suppressAutoHyphens/>
        <w:spacing w:before="0" w:beforeAutospacing="0" w:after="0" w:afterAutospacing="0"/>
        <w:ind w:firstLine="540"/>
        <w:jc w:val="center"/>
        <w:rPr>
          <w:rStyle w:val="rvts52"/>
          <w:b/>
          <w:bCs/>
        </w:rPr>
      </w:pPr>
      <w:r>
        <w:rPr>
          <w:rStyle w:val="rvts52"/>
          <w:b/>
          <w:bCs/>
        </w:rPr>
        <w:t>КОРПОРАТИВНЫЕ ОБЛИГАЦИИ КАК АЛЬТЕРНАТИВНЫЙ ФИНАНСОВЫЙ ИНСТРУМЕНТ ФИНАНСИРОВАНИЯ КОМПАНИИ</w:t>
      </w:r>
    </w:p>
    <w:p w:rsidR="006E0ECB" w:rsidRDefault="006E0ECB" w:rsidP="008A2124">
      <w:pPr>
        <w:pStyle w:val="rvps33"/>
        <w:shd w:val="clear" w:color="auto" w:fill="FFFFFF"/>
        <w:suppressAutoHyphens/>
        <w:spacing w:before="0" w:beforeAutospacing="0" w:after="0" w:afterAutospacing="0"/>
        <w:ind w:firstLine="540"/>
        <w:jc w:val="center"/>
      </w:pPr>
    </w:p>
    <w:p w:rsidR="008A2124" w:rsidRDefault="008A2124" w:rsidP="008A21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7A" w:rsidRDefault="008A2124" w:rsidP="008A2124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Style w:val="rvts54"/>
          <w:i/>
          <w:iCs/>
        </w:rPr>
      </w:pPr>
      <w:r>
        <w:rPr>
          <w:rStyle w:val="rvts52"/>
          <w:b/>
          <w:bCs/>
        </w:rPr>
        <w:t xml:space="preserve">Аннотация статьи на русском языке </w:t>
      </w:r>
      <w:r w:rsidR="006E0ECB">
        <w:rPr>
          <w:rStyle w:val="rvts54"/>
          <w:i/>
          <w:iCs/>
        </w:rPr>
        <w:t>В данной статье рассматриваются вопросы применения корпоративных облигаций как источника долгосрочного финансирования компании.</w:t>
      </w:r>
      <w:r w:rsidR="00A609F1">
        <w:rPr>
          <w:rStyle w:val="rvts54"/>
          <w:i/>
          <w:iCs/>
        </w:rPr>
        <w:t xml:space="preserve"> </w:t>
      </w:r>
      <w:r w:rsidR="00EA6D7A">
        <w:rPr>
          <w:rStyle w:val="rvts54"/>
          <w:i/>
          <w:iCs/>
        </w:rPr>
        <w:t>Определяются положительные и отрицательные</w:t>
      </w:r>
      <w:r w:rsidR="00A609F1">
        <w:rPr>
          <w:rStyle w:val="rvts54"/>
          <w:i/>
          <w:iCs/>
        </w:rPr>
        <w:t xml:space="preserve"> стороны использования </w:t>
      </w:r>
      <w:r w:rsidR="00EA6D7A">
        <w:rPr>
          <w:rStyle w:val="rvts54"/>
          <w:i/>
          <w:iCs/>
        </w:rPr>
        <w:t>данного финансового инструмента</w:t>
      </w:r>
      <w:r w:rsidR="00A609F1">
        <w:rPr>
          <w:rStyle w:val="rvts54"/>
          <w:i/>
          <w:iCs/>
        </w:rPr>
        <w:t xml:space="preserve"> наряду с банковским кредитованием. </w:t>
      </w:r>
    </w:p>
    <w:p w:rsidR="008A2124" w:rsidRDefault="008A2124" w:rsidP="008A2124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Style w:val="rvts54"/>
          <w:i/>
          <w:iCs/>
        </w:rPr>
      </w:pPr>
      <w:r>
        <w:rPr>
          <w:rStyle w:val="rvts52"/>
          <w:b/>
          <w:bCs/>
        </w:rPr>
        <w:t xml:space="preserve">Ключевые слова на русском языке </w:t>
      </w:r>
      <w:r w:rsidR="00E93315">
        <w:rPr>
          <w:rStyle w:val="rvts52"/>
          <w:b/>
          <w:bCs/>
        </w:rPr>
        <w:t xml:space="preserve">  </w:t>
      </w:r>
      <w:r w:rsidR="00E93315">
        <w:rPr>
          <w:rStyle w:val="rvts54"/>
          <w:i/>
          <w:iCs/>
        </w:rPr>
        <w:t>Корпоративная облигация, банковский кредит, долговое финансирование</w:t>
      </w:r>
      <w:r>
        <w:rPr>
          <w:rStyle w:val="rvts54"/>
          <w:i/>
          <w:iCs/>
        </w:rPr>
        <w:t>.</w:t>
      </w:r>
    </w:p>
    <w:p w:rsidR="00B47F0E" w:rsidRDefault="00B47F0E" w:rsidP="008A2124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rStyle w:val="rvts54"/>
          <w:i/>
          <w:iCs/>
        </w:rPr>
      </w:pPr>
    </w:p>
    <w:p w:rsidR="003F19E4" w:rsidRDefault="00B47F0E" w:rsidP="00525728">
      <w:pPr>
        <w:pStyle w:val="rvps26"/>
        <w:shd w:val="clear" w:color="auto" w:fill="FFFFFF"/>
        <w:suppressAutoHyphens/>
        <w:spacing w:before="0" w:beforeAutospacing="0" w:after="0" w:afterAutospacing="0" w:line="360" w:lineRule="auto"/>
        <w:ind w:firstLine="851"/>
        <w:jc w:val="both"/>
        <w:rPr>
          <w:rStyle w:val="rvts54"/>
          <w:iCs/>
        </w:rPr>
      </w:pPr>
      <w:r>
        <w:rPr>
          <w:rStyle w:val="rvts54"/>
          <w:iCs/>
        </w:rPr>
        <w:t xml:space="preserve">Рынок ценных бумаг как составной элемент финансового рынка выполняет посредническую функцию, оказывая помощь инвестору инвестировать свои свободные денежные средства и эмитенту, который получает доступ к этим финансовым ресурсам. </w:t>
      </w:r>
      <w:r w:rsidR="00A41C30">
        <w:rPr>
          <w:rStyle w:val="rvts54"/>
          <w:iCs/>
        </w:rPr>
        <w:t xml:space="preserve"> Распространенными и</w:t>
      </w:r>
      <w:r>
        <w:rPr>
          <w:rStyle w:val="rvts54"/>
          <w:iCs/>
        </w:rPr>
        <w:t xml:space="preserve">сточниками финансирования деятельности хозяйствующего субъекта является банковский кредит, собственные ресурсы, лизинг, дополнительные выпуски акций. В настоящее время наиболее недооценённым методом финансирования деятельности является </w:t>
      </w:r>
      <w:r w:rsidR="00A41C30">
        <w:rPr>
          <w:rStyle w:val="rvts54"/>
          <w:iCs/>
        </w:rPr>
        <w:t>выпуск в</w:t>
      </w:r>
      <w:r>
        <w:rPr>
          <w:rStyle w:val="rvts54"/>
          <w:iCs/>
        </w:rPr>
        <w:t xml:space="preserve"> обращение корпоративных облигаций.  </w:t>
      </w:r>
      <w:r w:rsidR="00D419EA">
        <w:rPr>
          <w:rStyle w:val="rvts54"/>
          <w:iCs/>
        </w:rPr>
        <w:t xml:space="preserve">К сожалению, так сложилось исторически, что в Российской </w:t>
      </w:r>
      <w:r w:rsidR="00D05008">
        <w:rPr>
          <w:rStyle w:val="rvts54"/>
          <w:iCs/>
        </w:rPr>
        <w:t>Федерации финансовая</w:t>
      </w:r>
      <w:r w:rsidR="00D419EA">
        <w:rPr>
          <w:rStyle w:val="rvts54"/>
          <w:iCs/>
        </w:rPr>
        <w:t xml:space="preserve"> система больше ориентирована на банковский сектор, чем</w:t>
      </w:r>
      <w:r w:rsidR="00D05008">
        <w:rPr>
          <w:rStyle w:val="rvts54"/>
          <w:iCs/>
        </w:rPr>
        <w:t xml:space="preserve"> </w:t>
      </w:r>
      <w:r w:rsidR="00E864BF">
        <w:rPr>
          <w:rStyle w:val="rvts54"/>
          <w:iCs/>
        </w:rPr>
        <w:t>на рынок</w:t>
      </w:r>
      <w:r w:rsidR="00D419EA">
        <w:rPr>
          <w:rStyle w:val="rvts54"/>
          <w:iCs/>
        </w:rPr>
        <w:t xml:space="preserve"> ценных бумаг.</w:t>
      </w:r>
      <w:r w:rsidR="00D05008">
        <w:rPr>
          <w:rStyle w:val="rvts54"/>
          <w:iCs/>
        </w:rPr>
        <w:t xml:space="preserve"> В дореволюционной России по данным историков, «к 1914 году облигации составляли лишь 1% от общей стоимости ценных бумаг на фондовых рынках. При этом доля акций составляла 20 %, а остальной объем составляли государственные облигации и закладные. </w:t>
      </w:r>
      <w:r w:rsidR="00D05008" w:rsidRPr="00983E63">
        <w:rPr>
          <w:rStyle w:val="rvts54"/>
          <w:iCs/>
        </w:rPr>
        <w:t>[</w:t>
      </w:r>
      <w:r w:rsidR="00697796">
        <w:rPr>
          <w:rStyle w:val="rvts54"/>
          <w:iCs/>
        </w:rPr>
        <w:t xml:space="preserve"> 1</w:t>
      </w:r>
      <w:r w:rsidR="00131C86">
        <w:rPr>
          <w:rStyle w:val="rvts54"/>
          <w:iCs/>
        </w:rPr>
        <w:t xml:space="preserve">, </w:t>
      </w:r>
      <w:r w:rsidR="00983E63">
        <w:rPr>
          <w:rStyle w:val="rvts54"/>
          <w:iCs/>
        </w:rPr>
        <w:t>с.</w:t>
      </w:r>
      <w:r w:rsidR="00131C86">
        <w:rPr>
          <w:rStyle w:val="rvts54"/>
          <w:iCs/>
        </w:rPr>
        <w:t xml:space="preserve"> 5</w:t>
      </w:r>
      <w:r w:rsidR="00D05008" w:rsidRPr="00983E63">
        <w:rPr>
          <w:rStyle w:val="rvts54"/>
          <w:iCs/>
        </w:rPr>
        <w:t>]</w:t>
      </w:r>
      <w:r w:rsidR="00983E63">
        <w:rPr>
          <w:rStyle w:val="rvts54"/>
          <w:iCs/>
        </w:rPr>
        <w:t xml:space="preserve">. Самый первый выпуск корпоративных облигаций в современной </w:t>
      </w:r>
      <w:r w:rsidR="00E864BF">
        <w:rPr>
          <w:rStyle w:val="rvts54"/>
          <w:iCs/>
        </w:rPr>
        <w:t>России был</w:t>
      </w:r>
      <w:r w:rsidR="00983E63">
        <w:rPr>
          <w:rStyle w:val="rvts54"/>
          <w:iCs/>
        </w:rPr>
        <w:t xml:space="preserve"> осуществлен НК «</w:t>
      </w:r>
      <w:proofErr w:type="spellStart"/>
      <w:r w:rsidR="00983E63">
        <w:rPr>
          <w:rStyle w:val="rvts54"/>
          <w:iCs/>
        </w:rPr>
        <w:t>ЛУКойл</w:t>
      </w:r>
      <w:proofErr w:type="spellEnd"/>
      <w:r w:rsidR="00983E63">
        <w:rPr>
          <w:rStyle w:val="rvts54"/>
          <w:iCs/>
        </w:rPr>
        <w:t>» в 1999 году.</w:t>
      </w:r>
      <w:r w:rsidR="003F19E4">
        <w:rPr>
          <w:rStyle w:val="rvts54"/>
          <w:iCs/>
        </w:rPr>
        <w:t xml:space="preserve"> На сегодняшний день выпускаются следующие виды облигаций. (таблица 1).</w:t>
      </w:r>
    </w:p>
    <w:p w:rsidR="005F75BB" w:rsidRDefault="00100286" w:rsidP="00100286">
      <w:pPr>
        <w:pStyle w:val="rvps26"/>
        <w:shd w:val="clear" w:color="auto" w:fill="FFFFFF"/>
        <w:suppressAutoHyphens/>
        <w:ind w:firstLine="567"/>
        <w:jc w:val="center"/>
        <w:rPr>
          <w:rStyle w:val="rvts54"/>
          <w:iCs/>
        </w:rPr>
      </w:pPr>
      <w:r>
        <w:rPr>
          <w:rStyle w:val="rvts54"/>
          <w:iCs/>
        </w:rPr>
        <w:t>Таблица 1-Виды облигаций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0286" w:rsidTr="00100286">
        <w:tc>
          <w:tcPr>
            <w:tcW w:w="4814" w:type="dxa"/>
          </w:tcPr>
          <w:p w:rsidR="00100286" w:rsidRPr="00100286" w:rsidRDefault="00100286" w:rsidP="00100286">
            <w:pPr>
              <w:pStyle w:val="rvps26"/>
              <w:suppressAutoHyphens/>
              <w:jc w:val="center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100286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Признак классификации</w:t>
            </w:r>
          </w:p>
        </w:tc>
        <w:tc>
          <w:tcPr>
            <w:tcW w:w="4814" w:type="dxa"/>
          </w:tcPr>
          <w:p w:rsidR="00100286" w:rsidRPr="00100286" w:rsidRDefault="00100286" w:rsidP="00100286">
            <w:pPr>
              <w:pStyle w:val="rvps26"/>
              <w:suppressAutoHyphens/>
              <w:jc w:val="center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100286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Виды облигаций</w:t>
            </w:r>
          </w:p>
        </w:tc>
      </w:tr>
      <w:tr w:rsidR="00100286" w:rsidTr="00100286">
        <w:tc>
          <w:tcPr>
            <w:tcW w:w="4814" w:type="dxa"/>
          </w:tcPr>
          <w:p w:rsidR="00100286" w:rsidRPr="00100286" w:rsidRDefault="00100286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100286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Срок выпуска</w:t>
            </w:r>
          </w:p>
        </w:tc>
        <w:tc>
          <w:tcPr>
            <w:tcW w:w="4814" w:type="dxa"/>
          </w:tcPr>
          <w:p w:rsidR="00100286" w:rsidRPr="00100286" w:rsidRDefault="00100286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100286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Краткосрочные, долгосрочные, среднесрочные</w:t>
            </w:r>
          </w:p>
        </w:tc>
      </w:tr>
      <w:tr w:rsidR="00100286" w:rsidTr="00100286">
        <w:tc>
          <w:tcPr>
            <w:tcW w:w="4814" w:type="dxa"/>
          </w:tcPr>
          <w:p w:rsidR="00100286" w:rsidRPr="00C4131B" w:rsidRDefault="00C4131B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П</w:t>
            </w:r>
            <w:r w:rsidR="00645432"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ринадлежность</w:t>
            </w:r>
          </w:p>
        </w:tc>
        <w:tc>
          <w:tcPr>
            <w:tcW w:w="4814" w:type="dxa"/>
          </w:tcPr>
          <w:p w:rsidR="00100286" w:rsidRPr="00C4131B" w:rsidRDefault="00645432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Именные, на предъявителя</w:t>
            </w:r>
          </w:p>
        </w:tc>
      </w:tr>
      <w:tr w:rsidR="00100286" w:rsidTr="00100286">
        <w:tc>
          <w:tcPr>
            <w:tcW w:w="4814" w:type="dxa"/>
          </w:tcPr>
          <w:p w:rsidR="00100286" w:rsidRPr="00C4131B" w:rsidRDefault="00C4131B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>
              <w:rPr>
                <w:rStyle w:val="rvts54"/>
                <w:rFonts w:ascii="Arial" w:hAnsi="Arial" w:cs="Arial"/>
                <w:iCs/>
                <w:sz w:val="18"/>
                <w:szCs w:val="18"/>
              </w:rPr>
              <w:t>Степень</w:t>
            </w:r>
            <w:r w:rsidR="00645432"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 xml:space="preserve"> обеспечения</w:t>
            </w:r>
          </w:p>
        </w:tc>
        <w:tc>
          <w:tcPr>
            <w:tcW w:w="4814" w:type="dxa"/>
          </w:tcPr>
          <w:p w:rsidR="00100286" w:rsidRPr="00C4131B" w:rsidRDefault="00645432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Закладные (обеспеченные</w:t>
            </w:r>
            <w:r w:rsidR="00C4131B"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), не закладные</w:t>
            </w:r>
            <w:r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 xml:space="preserve"> (необеспеченные)</w:t>
            </w:r>
          </w:p>
        </w:tc>
      </w:tr>
      <w:tr w:rsidR="00100286" w:rsidTr="00100286">
        <w:tc>
          <w:tcPr>
            <w:tcW w:w="4814" w:type="dxa"/>
          </w:tcPr>
          <w:p w:rsidR="00100286" w:rsidRPr="00C4131B" w:rsidRDefault="00645432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Периодичность выплаты дохода</w:t>
            </w:r>
          </w:p>
        </w:tc>
        <w:tc>
          <w:tcPr>
            <w:tcW w:w="4814" w:type="dxa"/>
          </w:tcPr>
          <w:p w:rsidR="00100286" w:rsidRPr="00C4131B" w:rsidRDefault="00645432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Дисконтные, купонные</w:t>
            </w:r>
          </w:p>
        </w:tc>
      </w:tr>
      <w:tr w:rsidR="00100286" w:rsidTr="00100286">
        <w:tc>
          <w:tcPr>
            <w:tcW w:w="4814" w:type="dxa"/>
          </w:tcPr>
          <w:p w:rsidR="00100286" w:rsidRPr="00C4131B" w:rsidRDefault="00C4131B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Д</w:t>
            </w:r>
            <w:r w:rsidR="00645432"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оходность</w:t>
            </w:r>
          </w:p>
        </w:tc>
        <w:tc>
          <w:tcPr>
            <w:tcW w:w="4814" w:type="dxa"/>
          </w:tcPr>
          <w:p w:rsidR="00100286" w:rsidRPr="00C4131B" w:rsidRDefault="00C4131B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Доходные, бездоходные</w:t>
            </w:r>
          </w:p>
        </w:tc>
      </w:tr>
      <w:tr w:rsidR="00100286" w:rsidTr="00100286">
        <w:tc>
          <w:tcPr>
            <w:tcW w:w="4814" w:type="dxa"/>
          </w:tcPr>
          <w:p w:rsidR="00100286" w:rsidRPr="00C4131B" w:rsidRDefault="00C4131B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В</w:t>
            </w:r>
            <w:r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озможности досрочного выкупа</w:t>
            </w:r>
          </w:p>
        </w:tc>
        <w:tc>
          <w:tcPr>
            <w:tcW w:w="4814" w:type="dxa"/>
          </w:tcPr>
          <w:p w:rsidR="00100286" w:rsidRPr="00C4131B" w:rsidRDefault="00C4131B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Отзывные, безотзывные</w:t>
            </w:r>
          </w:p>
        </w:tc>
      </w:tr>
      <w:tr w:rsidR="00100286" w:rsidTr="00100286">
        <w:tc>
          <w:tcPr>
            <w:tcW w:w="4814" w:type="dxa"/>
          </w:tcPr>
          <w:p w:rsidR="00100286" w:rsidRPr="00C4131B" w:rsidRDefault="00C4131B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Характер обращения</w:t>
            </w:r>
          </w:p>
        </w:tc>
        <w:tc>
          <w:tcPr>
            <w:tcW w:w="4814" w:type="dxa"/>
          </w:tcPr>
          <w:p w:rsidR="00100286" w:rsidRPr="00C4131B" w:rsidRDefault="00C4131B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C4131B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Конвертируемые, неконвертируемые</w:t>
            </w:r>
          </w:p>
        </w:tc>
      </w:tr>
      <w:tr w:rsidR="00100286" w:rsidTr="00100286">
        <w:tc>
          <w:tcPr>
            <w:tcW w:w="4814" w:type="dxa"/>
          </w:tcPr>
          <w:p w:rsidR="00100286" w:rsidRPr="00274877" w:rsidRDefault="00274877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274877">
              <w:rPr>
                <w:rStyle w:val="rvts54"/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Style w:val="rvts54"/>
                <w:rFonts w:ascii="Arial" w:hAnsi="Arial" w:cs="Arial"/>
                <w:iCs/>
                <w:sz w:val="18"/>
                <w:szCs w:val="18"/>
              </w:rPr>
              <w:t>Цель</w:t>
            </w:r>
            <w:r w:rsidRPr="00274877">
              <w:rPr>
                <w:rStyle w:val="rvts54"/>
                <w:rFonts w:ascii="Arial" w:hAnsi="Arial" w:cs="Arial"/>
                <w:iCs/>
                <w:sz w:val="18"/>
                <w:szCs w:val="18"/>
              </w:rPr>
              <w:t xml:space="preserve"> выпуска</w:t>
            </w:r>
          </w:p>
        </w:tc>
        <w:tc>
          <w:tcPr>
            <w:tcW w:w="4814" w:type="dxa"/>
          </w:tcPr>
          <w:p w:rsidR="00100286" w:rsidRPr="00274877" w:rsidRDefault="00274877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274877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На инвестиционные проекты, на целевые программы</w:t>
            </w:r>
          </w:p>
        </w:tc>
      </w:tr>
      <w:tr w:rsidR="00100286" w:rsidTr="00100286">
        <w:tc>
          <w:tcPr>
            <w:tcW w:w="4814" w:type="dxa"/>
          </w:tcPr>
          <w:p w:rsidR="00100286" w:rsidRPr="00274877" w:rsidRDefault="00274877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274877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Способ выплаты купонного дохода</w:t>
            </w:r>
          </w:p>
        </w:tc>
        <w:tc>
          <w:tcPr>
            <w:tcW w:w="4814" w:type="dxa"/>
          </w:tcPr>
          <w:p w:rsidR="00100286" w:rsidRPr="00274877" w:rsidRDefault="00274877" w:rsidP="00100286">
            <w:pPr>
              <w:pStyle w:val="rvps26"/>
              <w:suppressAutoHyphens/>
              <w:jc w:val="both"/>
              <w:rPr>
                <w:rStyle w:val="rvts54"/>
                <w:rFonts w:ascii="Arial" w:hAnsi="Arial" w:cs="Arial"/>
                <w:iCs/>
                <w:sz w:val="18"/>
                <w:szCs w:val="18"/>
              </w:rPr>
            </w:pPr>
            <w:r w:rsidRPr="00274877">
              <w:rPr>
                <w:rStyle w:val="rvts54"/>
                <w:rFonts w:ascii="Arial" w:hAnsi="Arial" w:cs="Arial"/>
                <w:iCs/>
                <w:sz w:val="18"/>
                <w:szCs w:val="18"/>
              </w:rPr>
              <w:t>Фиксированная купонная ставка, плавающая купонная ставка</w:t>
            </w:r>
          </w:p>
        </w:tc>
      </w:tr>
    </w:tbl>
    <w:p w:rsidR="006369A3" w:rsidRDefault="006369A3" w:rsidP="006369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02717"/>
          <w:sz w:val="21"/>
          <w:szCs w:val="21"/>
          <w:lang w:eastAsia="ru-RU"/>
        </w:rPr>
      </w:pPr>
    </w:p>
    <w:p w:rsidR="006369A3" w:rsidRPr="006369A3" w:rsidRDefault="006369A3" w:rsidP="006369A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2717"/>
          <w:sz w:val="21"/>
          <w:szCs w:val="21"/>
          <w:lang w:eastAsia="ru-RU"/>
        </w:rPr>
        <w:tab/>
      </w:r>
      <w:r w:rsidRPr="006369A3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 Выпускать облигации могут хозяйствующие субъекты, имеющие организационно-правовую форму в виде акционерного общества</w:t>
      </w:r>
      <w:r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 и общества с ограниченной </w:t>
      </w:r>
      <w:r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lastRenderedPageBreak/>
        <w:t xml:space="preserve">ответственностью. </w:t>
      </w:r>
      <w:r w:rsidRPr="006369A3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Процедура эмиссии корпоративных облигаций прописана в Федеральном </w:t>
      </w:r>
      <w:r w:rsidR="00423E1F" w:rsidRPr="006369A3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законе ФЗ</w:t>
      </w:r>
      <w:r w:rsidRPr="006369A3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-39 от 22.04.1996 «О рынке ценных бумаг» и осуществляется по определенному алгоритму, который включает в себя </w:t>
      </w:r>
      <w:r w:rsidR="00423E1F" w:rsidRPr="006369A3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следующие элементы</w:t>
      </w:r>
      <w:r w:rsidRPr="006369A3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:</w:t>
      </w:r>
    </w:p>
    <w:p w:rsidR="006369A3" w:rsidRDefault="006369A3" w:rsidP="008015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</w:pPr>
      <w:r w:rsidRPr="006369A3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 Принятие решения о размещении. В акционерном </w:t>
      </w:r>
      <w:r w:rsidR="00423E1F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обществе данное решение принимается постановлением совета директоров, в обществе с ограниченной ответственности – общим собранием участников.</w:t>
      </w:r>
    </w:p>
    <w:p w:rsidR="00423E1F" w:rsidRDefault="00423E1F" w:rsidP="008015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2. </w:t>
      </w:r>
      <w:r w:rsidR="00801572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Утверждение решения об эмиссии облигаций (не позднее 6 месяцев с даты принятия решения)</w:t>
      </w:r>
    </w:p>
    <w:p w:rsidR="00801572" w:rsidRDefault="00801572" w:rsidP="008015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3. Государственная регистрация выпуска (не позднее 3 месяцев с даты утверждения решения о выпуске)</w:t>
      </w:r>
    </w:p>
    <w:p w:rsidR="00801572" w:rsidRDefault="00801572" w:rsidP="008015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4. Размещение ценных бумаг на первичном рынке (в течении срока, указанного в решении о выпуске)</w:t>
      </w:r>
    </w:p>
    <w:p w:rsidR="00801572" w:rsidRPr="006369A3" w:rsidRDefault="00801572" w:rsidP="008015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5. Государственная регистрация отчета об итогах выпуска (не позднее 30 дней после окончания срока размещения, указанного в решении о выпуске)</w:t>
      </w:r>
    </w:p>
    <w:p w:rsidR="006369A3" w:rsidRPr="00F05633" w:rsidRDefault="00801572" w:rsidP="00631B3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2717"/>
          <w:sz w:val="21"/>
          <w:szCs w:val="21"/>
          <w:lang w:eastAsia="ru-RU"/>
        </w:rPr>
        <w:tab/>
      </w:r>
      <w:r w:rsidR="00ED1A99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Выпуск облигаций содержит ограничение</w:t>
      </w:r>
      <w:r w:rsidR="00631B33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. Эмиссия облигаций коммерческой организации возможна только после полной оплаты уставного капитала.</w:t>
      </w:r>
      <w:r w:rsidR="00F05633" w:rsidRPr="00F05633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 [</w:t>
      </w:r>
      <w:r w:rsidR="00697796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2</w:t>
      </w:r>
      <w:r w:rsidR="00F05633" w:rsidRPr="00F05633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]</w:t>
      </w:r>
    </w:p>
    <w:p w:rsidR="005F75BB" w:rsidRDefault="00525728" w:rsidP="00525728">
      <w:pPr>
        <w:pStyle w:val="rvps26"/>
        <w:shd w:val="clear" w:color="auto" w:fill="FFFFFF"/>
        <w:suppressAutoHyphens/>
        <w:spacing w:line="360" w:lineRule="auto"/>
        <w:ind w:firstLine="851"/>
        <w:contextualSpacing/>
        <w:jc w:val="both"/>
        <w:rPr>
          <w:rStyle w:val="rvts54"/>
          <w:iCs/>
        </w:rPr>
      </w:pPr>
      <w:r>
        <w:rPr>
          <w:rStyle w:val="rvts54"/>
          <w:iCs/>
        </w:rPr>
        <w:t>Рассмотрим текущее состояние рынка корпоративных облигаций</w:t>
      </w:r>
      <w:r w:rsidR="00173A58">
        <w:rPr>
          <w:rStyle w:val="rvts54"/>
          <w:iCs/>
        </w:rPr>
        <w:t xml:space="preserve"> Ро</w:t>
      </w:r>
      <w:r w:rsidR="00B35D1F">
        <w:rPr>
          <w:rStyle w:val="rvts54"/>
          <w:iCs/>
        </w:rPr>
        <w:t>ссийской Федерации за период 2012-2017 гг.</w:t>
      </w:r>
      <w:r>
        <w:rPr>
          <w:rStyle w:val="rvts54"/>
          <w:iCs/>
        </w:rPr>
        <w:t xml:space="preserve"> (Таблица 2)</w:t>
      </w:r>
    </w:p>
    <w:p w:rsidR="00525728" w:rsidRPr="00282444" w:rsidRDefault="00173A58" w:rsidP="00B35D1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525728" w:rsidRPr="00282444">
        <w:rPr>
          <w:rFonts w:ascii="Times New Roman" w:hAnsi="Times New Roman" w:cs="Times New Roman"/>
          <w:sz w:val="24"/>
          <w:szCs w:val="24"/>
        </w:rPr>
        <w:t xml:space="preserve"> - Основные параметры рынка кор</w:t>
      </w:r>
      <w:r w:rsidR="00B35D1F">
        <w:rPr>
          <w:rFonts w:ascii="Times New Roman" w:hAnsi="Times New Roman" w:cs="Times New Roman"/>
          <w:sz w:val="24"/>
          <w:szCs w:val="24"/>
        </w:rPr>
        <w:t>поративных облигаций в 2012-2017</w:t>
      </w:r>
      <w:r w:rsidR="00525728" w:rsidRPr="00282444">
        <w:rPr>
          <w:rFonts w:ascii="Times New Roman" w:hAnsi="Times New Roman" w:cs="Times New Roman"/>
          <w:sz w:val="24"/>
          <w:szCs w:val="24"/>
        </w:rPr>
        <w:t xml:space="preserve"> </w:t>
      </w:r>
      <w:r w:rsidR="00B35D1F" w:rsidRPr="00282444">
        <w:rPr>
          <w:rFonts w:ascii="Times New Roman" w:hAnsi="Times New Roman" w:cs="Times New Roman"/>
          <w:sz w:val="24"/>
          <w:szCs w:val="24"/>
        </w:rPr>
        <w:t>гг.</w:t>
      </w:r>
      <w:r w:rsidR="00B35D1F">
        <w:rPr>
          <w:rFonts w:ascii="Times New Roman" w:hAnsi="Times New Roman" w:cs="Times New Roman"/>
          <w:sz w:val="24"/>
          <w:szCs w:val="24"/>
        </w:rPr>
        <w:t>, млн. руб.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1134"/>
        <w:gridCol w:w="1134"/>
        <w:gridCol w:w="1134"/>
        <w:gridCol w:w="1276"/>
        <w:gridCol w:w="1134"/>
      </w:tblGrid>
      <w:tr w:rsidR="00282444" w:rsidTr="00B35D1F">
        <w:tc>
          <w:tcPr>
            <w:tcW w:w="3431" w:type="dxa"/>
          </w:tcPr>
          <w:p w:rsidR="00282444" w:rsidRPr="00282444" w:rsidRDefault="00282444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444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76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282444" w:rsidTr="00B35D1F">
        <w:tc>
          <w:tcPr>
            <w:tcW w:w="3431" w:type="dxa"/>
          </w:tcPr>
          <w:p w:rsidR="00282444" w:rsidRPr="00282444" w:rsidRDefault="00282444" w:rsidP="00282444">
            <w:pPr>
              <w:tabs>
                <w:tab w:val="left" w:pos="567"/>
              </w:tabs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2444">
              <w:rPr>
                <w:rFonts w:ascii="Arial" w:hAnsi="Arial" w:cs="Arial"/>
                <w:sz w:val="18"/>
                <w:szCs w:val="18"/>
              </w:rPr>
              <w:t>Количество размещенных облигаций, млн. шт.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1420,2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4629,8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2835,1</w:t>
            </w:r>
          </w:p>
        </w:tc>
        <w:tc>
          <w:tcPr>
            <w:tcW w:w="1276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4976,1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4703</w:t>
            </w:r>
          </w:p>
        </w:tc>
      </w:tr>
      <w:tr w:rsidR="00282444" w:rsidTr="00B35D1F">
        <w:tc>
          <w:tcPr>
            <w:tcW w:w="3431" w:type="dxa"/>
          </w:tcPr>
          <w:p w:rsidR="00282444" w:rsidRPr="00282444" w:rsidRDefault="00282444" w:rsidP="00282444">
            <w:pPr>
              <w:tabs>
                <w:tab w:val="left" w:pos="567"/>
              </w:tabs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2444">
              <w:rPr>
                <w:rFonts w:ascii="Arial" w:hAnsi="Arial" w:cs="Arial"/>
                <w:sz w:val="18"/>
                <w:szCs w:val="18"/>
              </w:rPr>
              <w:t>Общая стоимость облигаций по номиналу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1419139,5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6568746,1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2060593,6</w:t>
            </w:r>
          </w:p>
        </w:tc>
        <w:tc>
          <w:tcPr>
            <w:tcW w:w="1276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2732229,0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4756774,2</w:t>
            </w:r>
          </w:p>
        </w:tc>
      </w:tr>
      <w:tr w:rsidR="00282444" w:rsidTr="00B35D1F">
        <w:tc>
          <w:tcPr>
            <w:tcW w:w="3431" w:type="dxa"/>
          </w:tcPr>
          <w:p w:rsidR="00282444" w:rsidRPr="00282444" w:rsidRDefault="00282444" w:rsidP="00282444">
            <w:pPr>
              <w:tabs>
                <w:tab w:val="left" w:pos="567"/>
              </w:tabs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2444">
              <w:rPr>
                <w:rFonts w:ascii="Arial" w:hAnsi="Arial" w:cs="Arial"/>
                <w:sz w:val="18"/>
                <w:szCs w:val="18"/>
              </w:rPr>
              <w:t>Общая стоимость облигаций по рыночной цене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1559982,6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6721734,8</w:t>
            </w:r>
          </w:p>
        </w:tc>
        <w:tc>
          <w:tcPr>
            <w:tcW w:w="1134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2079364,9</w:t>
            </w:r>
          </w:p>
        </w:tc>
        <w:tc>
          <w:tcPr>
            <w:tcW w:w="1276" w:type="dxa"/>
          </w:tcPr>
          <w:p w:rsidR="00282444" w:rsidRPr="007D3543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3147375,1</w:t>
            </w:r>
          </w:p>
        </w:tc>
        <w:tc>
          <w:tcPr>
            <w:tcW w:w="1134" w:type="dxa"/>
          </w:tcPr>
          <w:p w:rsidR="00282444" w:rsidRPr="007D3543" w:rsidRDefault="007D3543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4307764,0</w:t>
            </w:r>
          </w:p>
        </w:tc>
      </w:tr>
      <w:tr w:rsidR="00282444" w:rsidTr="00B35D1F">
        <w:tc>
          <w:tcPr>
            <w:tcW w:w="3431" w:type="dxa"/>
          </w:tcPr>
          <w:p w:rsidR="00282444" w:rsidRPr="00282444" w:rsidRDefault="00282444" w:rsidP="00282444">
            <w:pPr>
              <w:tabs>
                <w:tab w:val="left" w:pos="567"/>
              </w:tabs>
              <w:spacing w:line="240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8244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Начисленные доходы (проценты) по облигациям, выпущенным отчитывающейся организацией</w:t>
            </w:r>
          </w:p>
          <w:p w:rsidR="00282444" w:rsidRPr="00282444" w:rsidRDefault="00282444" w:rsidP="00282444">
            <w:pPr>
              <w:tabs>
                <w:tab w:val="left" w:pos="567"/>
              </w:tabs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2444" w:rsidRPr="007D3543" w:rsidRDefault="007D3543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111319,0</w:t>
            </w:r>
          </w:p>
        </w:tc>
        <w:tc>
          <w:tcPr>
            <w:tcW w:w="1134" w:type="dxa"/>
          </w:tcPr>
          <w:p w:rsidR="00282444" w:rsidRPr="007D3543" w:rsidRDefault="007D3543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н/д</w:t>
            </w:r>
          </w:p>
        </w:tc>
        <w:tc>
          <w:tcPr>
            <w:tcW w:w="1134" w:type="dxa"/>
          </w:tcPr>
          <w:p w:rsidR="00282444" w:rsidRPr="007D3543" w:rsidRDefault="007D3543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163008,3</w:t>
            </w:r>
          </w:p>
        </w:tc>
        <w:tc>
          <w:tcPr>
            <w:tcW w:w="1276" w:type="dxa"/>
          </w:tcPr>
          <w:p w:rsidR="00282444" w:rsidRPr="007D3543" w:rsidRDefault="007D3543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н/д</w:t>
            </w:r>
          </w:p>
        </w:tc>
        <w:tc>
          <w:tcPr>
            <w:tcW w:w="1134" w:type="dxa"/>
          </w:tcPr>
          <w:p w:rsidR="00282444" w:rsidRPr="007D3543" w:rsidRDefault="007D3543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434882,9</w:t>
            </w:r>
          </w:p>
        </w:tc>
      </w:tr>
      <w:tr w:rsidR="00282444" w:rsidTr="00B35D1F">
        <w:tc>
          <w:tcPr>
            <w:tcW w:w="3431" w:type="dxa"/>
          </w:tcPr>
          <w:p w:rsidR="00282444" w:rsidRPr="00282444" w:rsidRDefault="00282444" w:rsidP="00282444">
            <w:pPr>
              <w:tabs>
                <w:tab w:val="left" w:pos="567"/>
              </w:tabs>
              <w:spacing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2444">
              <w:rPr>
                <w:rFonts w:ascii="Arial" w:hAnsi="Arial" w:cs="Arial"/>
                <w:sz w:val="18"/>
                <w:szCs w:val="18"/>
              </w:rPr>
              <w:t>Начисленные доходы (проценты) по облигациям других эмитентов.</w:t>
            </w:r>
          </w:p>
        </w:tc>
        <w:tc>
          <w:tcPr>
            <w:tcW w:w="1134" w:type="dxa"/>
          </w:tcPr>
          <w:p w:rsidR="00282444" w:rsidRPr="007D3543" w:rsidRDefault="007D3543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9482,3</w:t>
            </w:r>
          </w:p>
        </w:tc>
        <w:tc>
          <w:tcPr>
            <w:tcW w:w="1134" w:type="dxa"/>
          </w:tcPr>
          <w:p w:rsidR="00282444" w:rsidRPr="007D3543" w:rsidRDefault="007D3543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н/д</w:t>
            </w:r>
          </w:p>
        </w:tc>
        <w:tc>
          <w:tcPr>
            <w:tcW w:w="1134" w:type="dxa"/>
          </w:tcPr>
          <w:p w:rsidR="00282444" w:rsidRPr="007D3543" w:rsidRDefault="007D3543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63760,0</w:t>
            </w:r>
          </w:p>
        </w:tc>
        <w:tc>
          <w:tcPr>
            <w:tcW w:w="1276" w:type="dxa"/>
          </w:tcPr>
          <w:p w:rsidR="00282444" w:rsidRPr="007D3543" w:rsidRDefault="007D3543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н/д</w:t>
            </w:r>
          </w:p>
        </w:tc>
        <w:tc>
          <w:tcPr>
            <w:tcW w:w="1134" w:type="dxa"/>
          </w:tcPr>
          <w:p w:rsidR="00282444" w:rsidRPr="007D3543" w:rsidRDefault="007D3543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543">
              <w:rPr>
                <w:rFonts w:ascii="Arial" w:hAnsi="Arial" w:cs="Arial"/>
                <w:sz w:val="18"/>
                <w:szCs w:val="18"/>
              </w:rPr>
              <w:t>145321,8</w:t>
            </w:r>
          </w:p>
        </w:tc>
      </w:tr>
      <w:tr w:rsidR="00B35D1F" w:rsidTr="00B35D1F">
        <w:tc>
          <w:tcPr>
            <w:tcW w:w="9243" w:type="dxa"/>
            <w:gridSpan w:val="6"/>
          </w:tcPr>
          <w:p w:rsidR="00B35D1F" w:rsidRPr="000A0B48" w:rsidRDefault="00B35D1F" w:rsidP="000A0B48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5D1F">
              <w:rPr>
                <w:rFonts w:ascii="Arial" w:hAnsi="Arial" w:cs="Arial"/>
                <w:sz w:val="18"/>
                <w:szCs w:val="18"/>
              </w:rPr>
              <w:t>Источник: составлено автором по данным официального сайта Росстат</w:t>
            </w:r>
          </w:p>
        </w:tc>
      </w:tr>
    </w:tbl>
    <w:p w:rsidR="004A1BB1" w:rsidRDefault="000A0B48" w:rsidP="00052132">
      <w:pPr>
        <w:pStyle w:val="rvps26"/>
        <w:shd w:val="clear" w:color="auto" w:fill="FFFFFF"/>
        <w:suppressAutoHyphens/>
        <w:spacing w:line="360" w:lineRule="auto"/>
        <w:ind w:firstLine="567"/>
        <w:contextualSpacing/>
        <w:jc w:val="both"/>
        <w:rPr>
          <w:rStyle w:val="rvts54"/>
          <w:iCs/>
        </w:rPr>
      </w:pPr>
      <w:r>
        <w:rPr>
          <w:rStyle w:val="rvts54"/>
          <w:iCs/>
        </w:rPr>
        <w:t>Как видно</w:t>
      </w:r>
      <w:r w:rsidR="00E92BA6">
        <w:rPr>
          <w:rStyle w:val="rvts54"/>
          <w:iCs/>
        </w:rPr>
        <w:t>,</w:t>
      </w:r>
      <w:r>
        <w:rPr>
          <w:rStyle w:val="rvts54"/>
          <w:iCs/>
        </w:rPr>
        <w:t xml:space="preserve"> из представленного анализа в </w:t>
      </w:r>
      <w:r w:rsidR="00282444">
        <w:rPr>
          <w:rStyle w:val="rvts54"/>
          <w:iCs/>
        </w:rPr>
        <w:t>современных условиях</w:t>
      </w:r>
      <w:r w:rsidR="00E92BA6">
        <w:rPr>
          <w:rStyle w:val="rvts54"/>
          <w:iCs/>
        </w:rPr>
        <w:t xml:space="preserve"> у предприятий увеличивается потребность в привлечении дополнительных финансовых ресурсах</w:t>
      </w:r>
      <w:r w:rsidR="00282444">
        <w:rPr>
          <w:rStyle w:val="rvts54"/>
          <w:iCs/>
        </w:rPr>
        <w:t>.</w:t>
      </w:r>
      <w:r w:rsidR="00173A58">
        <w:rPr>
          <w:rStyle w:val="rvts54"/>
          <w:iCs/>
        </w:rPr>
        <w:t xml:space="preserve"> </w:t>
      </w:r>
      <w:r w:rsidR="007D3543">
        <w:rPr>
          <w:rStyle w:val="rvts54"/>
          <w:iCs/>
        </w:rPr>
        <w:t xml:space="preserve">За исследуемый период количество размещенных </w:t>
      </w:r>
      <w:r w:rsidR="003562B5">
        <w:rPr>
          <w:rStyle w:val="rvts54"/>
          <w:iCs/>
        </w:rPr>
        <w:t>облигаций выросло</w:t>
      </w:r>
      <w:r w:rsidR="007D3543">
        <w:rPr>
          <w:rStyle w:val="rvts54"/>
          <w:iCs/>
        </w:rPr>
        <w:t xml:space="preserve"> в три раза. Общая стоимость</w:t>
      </w:r>
      <w:r w:rsidR="003562B5">
        <w:rPr>
          <w:rStyle w:val="rvts54"/>
          <w:iCs/>
        </w:rPr>
        <w:t xml:space="preserve"> облигаций по номиналу увеличилась более, чем на 3 трлн. рублей.</w:t>
      </w:r>
      <w:r w:rsidR="007D3543">
        <w:rPr>
          <w:rStyle w:val="rvts54"/>
          <w:iCs/>
        </w:rPr>
        <w:t xml:space="preserve"> </w:t>
      </w:r>
      <w:r w:rsidR="00AA4915">
        <w:rPr>
          <w:rStyle w:val="rvts54"/>
          <w:iCs/>
        </w:rPr>
        <w:t xml:space="preserve">Можно отметить, что рынок корпоративных облигаций развивается достаточно хорошими темпами. </w:t>
      </w:r>
      <w:r w:rsidR="004A1BB1">
        <w:rPr>
          <w:rStyle w:val="rvts54"/>
          <w:iCs/>
        </w:rPr>
        <w:t xml:space="preserve">Облигационные займы позволяют предприятию разместить средства среди большого количества инвесторов, и не зависеть от одного кредитора при финансировании деятельности </w:t>
      </w:r>
      <w:r w:rsidR="004A1BB1">
        <w:rPr>
          <w:rStyle w:val="rvts54"/>
          <w:iCs/>
        </w:rPr>
        <w:lastRenderedPageBreak/>
        <w:t>при помощи банковского кредита.</w:t>
      </w:r>
      <w:r w:rsidR="004A1BB1" w:rsidRPr="00BA7F89">
        <w:rPr>
          <w:rStyle w:val="rvts54"/>
          <w:iCs/>
        </w:rPr>
        <w:t xml:space="preserve"> </w:t>
      </w:r>
      <w:r w:rsidR="008F38A0">
        <w:rPr>
          <w:rStyle w:val="rvts54"/>
          <w:iCs/>
        </w:rPr>
        <w:t xml:space="preserve">Коммерческим банкам не выгодно предоставлять долгосрочные кредиты свыше 3-5 лет, а выпуск облигаций позволяет получить заемные средства на долгосрочной основе. Конечно, при этом эмитент должен </w:t>
      </w:r>
      <w:r w:rsidR="00990657">
        <w:rPr>
          <w:rStyle w:val="rvts54"/>
          <w:iCs/>
        </w:rPr>
        <w:t xml:space="preserve">обладать абсолютно </w:t>
      </w:r>
      <w:r w:rsidR="008F38A0">
        <w:rPr>
          <w:rStyle w:val="rvts54"/>
          <w:iCs/>
        </w:rPr>
        <w:t xml:space="preserve">устойчивым финансовым положением, иметь положительную деловую репутацию </w:t>
      </w:r>
      <w:r w:rsidR="00990657">
        <w:rPr>
          <w:rStyle w:val="rvts54"/>
          <w:iCs/>
        </w:rPr>
        <w:t xml:space="preserve">среди потенциальных </w:t>
      </w:r>
      <w:r w:rsidR="00911E75">
        <w:rPr>
          <w:rStyle w:val="rvts54"/>
          <w:iCs/>
        </w:rPr>
        <w:t>инвесторов, стратегическую программу своего развития.</w:t>
      </w:r>
      <w:r w:rsidR="00216867">
        <w:rPr>
          <w:rStyle w:val="rvts54"/>
          <w:iCs/>
        </w:rPr>
        <w:t xml:space="preserve"> Кроме того, коммерческим банкам зачастую не выгодно досрочное погашение кредита, при этом при наличии у компании денежных </w:t>
      </w:r>
      <w:r w:rsidR="00911E75">
        <w:rPr>
          <w:rStyle w:val="rvts54"/>
          <w:iCs/>
        </w:rPr>
        <w:t>средств имеется</w:t>
      </w:r>
      <w:r w:rsidR="00216867">
        <w:rPr>
          <w:rStyle w:val="rvts54"/>
          <w:iCs/>
        </w:rPr>
        <w:t xml:space="preserve"> возможность выкупать свои ценные бумаги до наступления срока при этом экономя на процентах.</w:t>
      </w:r>
      <w:r w:rsidR="00911E75">
        <w:rPr>
          <w:rStyle w:val="rvts54"/>
          <w:iCs/>
        </w:rPr>
        <w:t xml:space="preserve"> Налоговый Кодекс Российской Федерации</w:t>
      </w:r>
      <w:r w:rsidR="00611073">
        <w:rPr>
          <w:rStyle w:val="rvts54"/>
          <w:iCs/>
        </w:rPr>
        <w:t xml:space="preserve"> все выплаты по облигациям относит в состав внереализационных расходов, тем самым уменьшая налогооблагаемую базу по налогу на прибыль эмитента.</w:t>
      </w:r>
      <w:r w:rsidR="00E063F6">
        <w:rPr>
          <w:rStyle w:val="rvts54"/>
          <w:iCs/>
        </w:rPr>
        <w:t xml:space="preserve"> В соответствии с последними изменениями в российское   законодательство, для выпуска облигационного займа не требуется залоговое обеспечение, по сравнению с получением банковского кредита.</w:t>
      </w:r>
    </w:p>
    <w:p w:rsidR="00E063F6" w:rsidRDefault="00154109" w:rsidP="00052132">
      <w:pPr>
        <w:pStyle w:val="rvps26"/>
        <w:shd w:val="clear" w:color="auto" w:fill="FFFFFF"/>
        <w:suppressAutoHyphens/>
        <w:spacing w:line="360" w:lineRule="auto"/>
        <w:ind w:firstLine="567"/>
        <w:contextualSpacing/>
        <w:jc w:val="both"/>
        <w:rPr>
          <w:rStyle w:val="rvts54"/>
          <w:iCs/>
        </w:rPr>
      </w:pPr>
      <w:r>
        <w:rPr>
          <w:rStyle w:val="rvts54"/>
          <w:iCs/>
        </w:rPr>
        <w:t>В настоящее время данным источником финансирования больше всего пользуются крупные компании,</w:t>
      </w:r>
      <w:r w:rsidR="00052132">
        <w:rPr>
          <w:rStyle w:val="rvts54"/>
          <w:iCs/>
        </w:rPr>
        <w:t xml:space="preserve"> с государственным участием, банки и финансовые институты.</w:t>
      </w:r>
      <w:r w:rsidR="004A1BB1" w:rsidRPr="00BA7F89">
        <w:rPr>
          <w:rStyle w:val="rvts54"/>
          <w:iCs/>
        </w:rPr>
        <w:t xml:space="preserve"> </w:t>
      </w:r>
      <w:r w:rsidR="00222095">
        <w:rPr>
          <w:rStyle w:val="rvts54"/>
          <w:iCs/>
        </w:rPr>
        <w:t>У п</w:t>
      </w:r>
      <w:r w:rsidR="00052132">
        <w:rPr>
          <w:rStyle w:val="rvts54"/>
          <w:iCs/>
        </w:rPr>
        <w:t>редпр</w:t>
      </w:r>
      <w:r w:rsidR="00222095">
        <w:rPr>
          <w:rStyle w:val="rvts54"/>
          <w:iCs/>
        </w:rPr>
        <w:t>иятий</w:t>
      </w:r>
      <w:r w:rsidR="00052132">
        <w:rPr>
          <w:rStyle w:val="rvts54"/>
          <w:iCs/>
        </w:rPr>
        <w:t xml:space="preserve"> реального сектора экономики</w:t>
      </w:r>
      <w:r w:rsidR="00222095">
        <w:rPr>
          <w:rStyle w:val="rvts54"/>
          <w:iCs/>
        </w:rPr>
        <w:t xml:space="preserve"> фактически отсутствует альтернатива банковскому кредитованию. В случае кризисной ситуации в банковском секторе многие компании испытывают недостаток финансовых ресурсов, что влечет за собой высокие риски не только для хозяйствующего субъекта, но и для всей российской экономики. </w:t>
      </w:r>
      <w:r w:rsidR="00C64D15">
        <w:rPr>
          <w:rStyle w:val="rvts54"/>
          <w:iCs/>
        </w:rPr>
        <w:t>Стоит заметить, коммерческие банки являются основными инвесторами на рынке облигаций и выполняют роль андеррайтеров</w:t>
      </w:r>
      <w:r w:rsidR="00E8560E">
        <w:rPr>
          <w:rStyle w:val="rvts54"/>
          <w:iCs/>
        </w:rPr>
        <w:t>, но большой интерес для них в первую очередь представляют облигации, входящие в ломбардный список Банка России, так как эти ценные бумаги принимаются регулятором в качестве залога при предоставлении финансирования кредитным организациям.</w:t>
      </w:r>
      <w:r w:rsidR="00E063F6">
        <w:rPr>
          <w:rStyle w:val="rvts54"/>
          <w:iCs/>
        </w:rPr>
        <w:t xml:space="preserve"> Вторым институциональным инвестором на рынке корпоративных облигаций являются негосударственные пенсионные фонды</w:t>
      </w:r>
      <w:r w:rsidR="005A0156">
        <w:rPr>
          <w:rStyle w:val="rvts54"/>
          <w:iCs/>
        </w:rPr>
        <w:t xml:space="preserve"> (НПФ)</w:t>
      </w:r>
      <w:r w:rsidR="00E063F6">
        <w:rPr>
          <w:rStyle w:val="rvts54"/>
          <w:iCs/>
        </w:rPr>
        <w:t>.</w:t>
      </w:r>
      <w:r w:rsidR="005A0156">
        <w:rPr>
          <w:rStyle w:val="rvts54"/>
          <w:iCs/>
        </w:rPr>
        <w:t xml:space="preserve"> Но контроль за размещением средств пенсионных резервов НПФ ведется Банком России, который установил дополнительные ограничения на инвестирование средств пенсионных накоплений.</w:t>
      </w:r>
    </w:p>
    <w:p w:rsidR="00525728" w:rsidRPr="00B35D1F" w:rsidRDefault="00E063F6" w:rsidP="00AA4915">
      <w:pPr>
        <w:pStyle w:val="rvps26"/>
        <w:shd w:val="clear" w:color="auto" w:fill="FFFFFF"/>
        <w:suppressAutoHyphens/>
        <w:spacing w:line="360" w:lineRule="auto"/>
        <w:ind w:firstLine="567"/>
        <w:contextualSpacing/>
        <w:jc w:val="both"/>
        <w:rPr>
          <w:rStyle w:val="rvts54"/>
          <w:iCs/>
        </w:rPr>
      </w:pPr>
      <w:r>
        <w:rPr>
          <w:rStyle w:val="rvts54"/>
          <w:iCs/>
        </w:rPr>
        <w:t xml:space="preserve"> </w:t>
      </w:r>
      <w:r w:rsidR="00772C65">
        <w:rPr>
          <w:rStyle w:val="rvts54"/>
          <w:iCs/>
        </w:rPr>
        <w:t>Л</w:t>
      </w:r>
      <w:r w:rsidR="00173A58">
        <w:rPr>
          <w:rStyle w:val="rvts54"/>
          <w:iCs/>
        </w:rPr>
        <w:t>юбому хозяйс</w:t>
      </w:r>
      <w:r w:rsidR="005A0156">
        <w:rPr>
          <w:rStyle w:val="rvts54"/>
          <w:iCs/>
        </w:rPr>
        <w:t xml:space="preserve">твующему субъекту </w:t>
      </w:r>
      <w:r w:rsidR="00471DC2">
        <w:rPr>
          <w:rStyle w:val="rvts54"/>
          <w:iCs/>
        </w:rPr>
        <w:t>важно оценить</w:t>
      </w:r>
      <w:r w:rsidR="00173A58">
        <w:rPr>
          <w:rStyle w:val="rvts54"/>
          <w:iCs/>
        </w:rPr>
        <w:t xml:space="preserve"> стоимость привлеченных ресурсов. </w:t>
      </w:r>
      <w:r w:rsidR="00471DC2">
        <w:rPr>
          <w:rStyle w:val="rvts54"/>
          <w:iCs/>
        </w:rPr>
        <w:t xml:space="preserve"> По оценкам экспертов, для осуществления выпуска эмитент несет следующие расходы:</w:t>
      </w:r>
      <w:r w:rsidR="0077299C">
        <w:rPr>
          <w:rStyle w:val="rvts54"/>
          <w:iCs/>
        </w:rPr>
        <w:t xml:space="preserve"> комиссия организаторам выпуска 0,3-0,5 %,</w:t>
      </w:r>
      <w:r w:rsidR="00471DC2">
        <w:rPr>
          <w:rStyle w:val="rvts54"/>
          <w:iCs/>
        </w:rPr>
        <w:t xml:space="preserve"> оплата услуг андеррайтера от 0,2-0,6 %, биржи </w:t>
      </w:r>
      <w:r w:rsidR="00471DC2" w:rsidRPr="00471DC2">
        <w:rPr>
          <w:rStyle w:val="rvts54"/>
          <w:iCs/>
        </w:rPr>
        <w:t>&lt;</w:t>
      </w:r>
      <w:r w:rsidR="00471DC2">
        <w:rPr>
          <w:rStyle w:val="rvts54"/>
          <w:iCs/>
        </w:rPr>
        <w:t xml:space="preserve">0,1%, депозитария &lt;0,1 %, расходы на рекламу 0,2%, государственная </w:t>
      </w:r>
      <w:r w:rsidR="0077299C">
        <w:rPr>
          <w:rStyle w:val="rvts54"/>
          <w:iCs/>
        </w:rPr>
        <w:t>пошлина за регистрацию выпуска эмиссионных ценных бумаг 0,2 % от общего объема эмиссии, но не более 200000 рублей. Поэтому, совокупные затраты эмитента</w:t>
      </w:r>
      <w:r w:rsidR="00410902">
        <w:rPr>
          <w:rStyle w:val="rvts54"/>
          <w:iCs/>
        </w:rPr>
        <w:t xml:space="preserve"> на размещение облигаций составляют около 2 %, в результате чего увеличивается полная стоимость заемных средств. </w:t>
      </w:r>
      <w:r w:rsidR="00CC5764">
        <w:rPr>
          <w:rStyle w:val="rvts54"/>
          <w:iCs/>
        </w:rPr>
        <w:t xml:space="preserve"> С 2019 года Постановлением Правительства РФ заработал механизм </w:t>
      </w:r>
      <w:r w:rsidR="00061558">
        <w:rPr>
          <w:rStyle w:val="rvts54"/>
          <w:iCs/>
        </w:rPr>
        <w:t>субсидирования для</w:t>
      </w:r>
      <w:r w:rsidR="00CC5764">
        <w:rPr>
          <w:rStyle w:val="rvts54"/>
          <w:iCs/>
        </w:rPr>
        <w:t xml:space="preserve"> субъектов малого предпринимательства расходов, связанных с выпуском облигаций</w:t>
      </w:r>
      <w:r w:rsidR="00061558">
        <w:rPr>
          <w:rStyle w:val="rvts54"/>
          <w:iCs/>
        </w:rPr>
        <w:t xml:space="preserve">. Данная </w:t>
      </w:r>
      <w:r w:rsidR="00061558">
        <w:rPr>
          <w:rStyle w:val="rvts54"/>
          <w:iCs/>
        </w:rPr>
        <w:lastRenderedPageBreak/>
        <w:t>программа Правительства РФ позволяет данным субъектам приоритетных отраслей получить субсидию до 1,5 миллионов рублей в рамках компенсации затрат на листинг облигаций, а также до 70 % выплат по ставке купона по облигациям. Действие этой программы будет рассчитано до 2024 года.</w:t>
      </w:r>
      <w:r w:rsidR="00711A95">
        <w:rPr>
          <w:rStyle w:val="rvts54"/>
          <w:iCs/>
        </w:rPr>
        <w:t xml:space="preserve"> </w:t>
      </w:r>
      <w:r w:rsidR="00061558" w:rsidRPr="00B35D1F">
        <w:rPr>
          <w:rStyle w:val="rvts54"/>
          <w:iCs/>
        </w:rPr>
        <w:t>[</w:t>
      </w:r>
      <w:r w:rsidR="00711A95">
        <w:rPr>
          <w:rStyle w:val="rvts54"/>
          <w:iCs/>
        </w:rPr>
        <w:t>3</w:t>
      </w:r>
      <w:r w:rsidR="00A83653" w:rsidRPr="00B35D1F">
        <w:rPr>
          <w:rStyle w:val="rvts54"/>
          <w:iCs/>
        </w:rPr>
        <w:t>]</w:t>
      </w:r>
      <w:r w:rsidR="00A83653">
        <w:rPr>
          <w:rStyle w:val="rvts54"/>
          <w:iCs/>
        </w:rPr>
        <w:t xml:space="preserve"> В</w:t>
      </w:r>
      <w:r w:rsidR="003D5178">
        <w:rPr>
          <w:rStyle w:val="rvts54"/>
          <w:iCs/>
        </w:rPr>
        <w:t xml:space="preserve"> соответствии с российским законодательством компании, входящие на рынок ценных бумаг как эмитент обязаны составлять отчетность по международным стандартам финансовой отчетности (МСФО</w:t>
      </w:r>
      <w:r w:rsidR="00A83653">
        <w:rPr>
          <w:rStyle w:val="rvts54"/>
          <w:iCs/>
        </w:rPr>
        <w:t>), что</w:t>
      </w:r>
      <w:r w:rsidR="003D5178">
        <w:rPr>
          <w:rStyle w:val="rvts54"/>
          <w:iCs/>
        </w:rPr>
        <w:t xml:space="preserve"> также повлечет за собой дополнительные управленческие расходы, связанные с переподготовкой или привлечением специалистов в подготовке такой отчетности и в дополнительном программном обеспечении.</w:t>
      </w:r>
    </w:p>
    <w:p w:rsidR="00711A95" w:rsidRDefault="00711A95" w:rsidP="005A0156">
      <w:pPr>
        <w:pStyle w:val="rvps26"/>
        <w:shd w:val="clear" w:color="auto" w:fill="FFFFFF"/>
        <w:suppressAutoHyphens/>
        <w:spacing w:line="360" w:lineRule="auto"/>
        <w:ind w:firstLine="567"/>
        <w:contextualSpacing/>
        <w:jc w:val="both"/>
        <w:rPr>
          <w:rStyle w:val="rvts54"/>
          <w:iCs/>
        </w:rPr>
      </w:pPr>
      <w:r>
        <w:rPr>
          <w:rStyle w:val="rvts54"/>
          <w:iCs/>
        </w:rPr>
        <w:t>Практика эмиссии облигаций для финансирования своей деятельности будет более востребована, если</w:t>
      </w:r>
      <w:r w:rsidR="005B077B">
        <w:rPr>
          <w:rStyle w:val="rvts54"/>
          <w:iCs/>
        </w:rPr>
        <w:t xml:space="preserve"> на государственном уровне будет разработана программа защиты «облигационеров». Отсутствие постоянного финансового мониторинга платежеспособности </w:t>
      </w:r>
      <w:r w:rsidR="00A83653">
        <w:rPr>
          <w:rStyle w:val="rvts54"/>
          <w:iCs/>
        </w:rPr>
        <w:t>эмитента, его финансовой прозрачности могут сильно влиять на инвестиционную активность инвесторов.</w:t>
      </w:r>
      <w:r w:rsidR="001858F4">
        <w:rPr>
          <w:rStyle w:val="rvts54"/>
          <w:iCs/>
        </w:rPr>
        <w:t xml:space="preserve"> Банк России разрабатывает и реализует мероприятия, связанные с развитие</w:t>
      </w:r>
      <w:r w:rsidR="00393C92">
        <w:rPr>
          <w:rStyle w:val="rvts54"/>
          <w:iCs/>
        </w:rPr>
        <w:t xml:space="preserve">м рынка корпоративных облигаций: упрощена процедура регистрации проспекта эмиссии, проводятся мероприятия по повышению финансовой </w:t>
      </w:r>
      <w:r w:rsidR="002D409F">
        <w:rPr>
          <w:rStyle w:val="rvts54"/>
          <w:iCs/>
        </w:rPr>
        <w:t xml:space="preserve">грамотности и эмитентов, и инвесторов для принятия ими взвешенных решений, осуществлен переход на использование в регуляторных целях национальных кредитных рейтингов. Введенные законодательством льготы по налогу на доходы с физических лиц при инвестициях в корпоративные облигации должны поспособствовать повышению спроса на данном рынке со стороны физических лиц. Но данных мероприятий на сегодняшний день не достаточно для ускоренного развития рынка корпоративных облигаций. </w:t>
      </w:r>
    </w:p>
    <w:p w:rsidR="000775D0" w:rsidRPr="00711A95" w:rsidRDefault="000775D0" w:rsidP="005A0156">
      <w:pPr>
        <w:pStyle w:val="rvps26"/>
        <w:shd w:val="clear" w:color="auto" w:fill="FFFFFF"/>
        <w:suppressAutoHyphens/>
        <w:spacing w:line="360" w:lineRule="auto"/>
        <w:ind w:firstLine="567"/>
        <w:contextualSpacing/>
        <w:jc w:val="both"/>
        <w:rPr>
          <w:rStyle w:val="rvts54"/>
          <w:iCs/>
        </w:rPr>
      </w:pPr>
      <w:r>
        <w:rPr>
          <w:rStyle w:val="rvts54"/>
          <w:iCs/>
        </w:rPr>
        <w:t>Таким образом, можно сделать вывод, что облигационные займы являются достаточно</w:t>
      </w:r>
      <w:r w:rsidR="00B538AC">
        <w:rPr>
          <w:rStyle w:val="rvts54"/>
          <w:iCs/>
        </w:rPr>
        <w:t xml:space="preserve"> привлекательным финансовым инструментом. Дальнейшее развитие рынка корпоративных облигаций обеспечит рост в развитии российского финансового рынка и будет способствовать укреплению его конкурентоспособности на международном рынке капитала.</w:t>
      </w:r>
      <w:r>
        <w:rPr>
          <w:rStyle w:val="rvts54"/>
          <w:iCs/>
        </w:rPr>
        <w:t xml:space="preserve"> </w:t>
      </w:r>
    </w:p>
    <w:p w:rsidR="00393C92" w:rsidRDefault="00393C92" w:rsidP="008A21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A2124" w:rsidRDefault="008A2124" w:rsidP="008A212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на русском языке</w:t>
      </w:r>
    </w:p>
    <w:p w:rsidR="00131C86" w:rsidRPr="00711A95" w:rsidRDefault="00131C86" w:rsidP="00AA491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Карякин</w:t>
      </w:r>
      <w:r w:rsidR="00AA4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</w:t>
      </w:r>
      <w:r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Корпоративные облигации как инструмент привлечения </w:t>
      </w:r>
      <w:r w:rsidR="00AA4915"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</w:t>
      </w:r>
      <w:r w:rsidR="00AA49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A4915" w:rsidRPr="00A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  <w:r w:rsidR="00AA4915"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Карякин</w:t>
      </w:r>
      <w:r w:rsidR="00AA4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4915"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  <w:r w:rsidR="00A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4915"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Шовиков</w:t>
      </w:r>
      <w:proofErr w:type="spellEnd"/>
      <w:r w:rsidR="00AA4915"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А.Л </w:t>
      </w:r>
      <w:proofErr w:type="spellStart"/>
      <w:r w:rsidR="00AA4915"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Килячков</w:t>
      </w:r>
      <w:proofErr w:type="spellEnd"/>
      <w:r w:rsidR="00A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AA4915"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</w:t>
      </w:r>
      <w:r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8050A"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</w:t>
      </w:r>
      <w:r w:rsidR="0018050A">
        <w:rPr>
          <w:rFonts w:ascii="Times New Roman" w:eastAsia="Times New Roman" w:hAnsi="Times New Roman" w:cs="Times New Roman"/>
          <w:sz w:val="24"/>
          <w:szCs w:val="24"/>
          <w:lang w:eastAsia="ru-RU"/>
        </w:rPr>
        <w:t>. - 2000.-№</w:t>
      </w:r>
      <w:r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(66)</w:t>
      </w:r>
      <w:r w:rsidR="0018050A">
        <w:rPr>
          <w:rFonts w:ascii="Times New Roman" w:eastAsia="Times New Roman" w:hAnsi="Times New Roman" w:cs="Times New Roman"/>
          <w:sz w:val="24"/>
          <w:szCs w:val="24"/>
          <w:lang w:eastAsia="ru-RU"/>
        </w:rPr>
        <w:t>.С.</w:t>
      </w:r>
      <w:r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2-10</w:t>
      </w:r>
      <w:r w:rsidR="00180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633" w:rsidRPr="0018050A" w:rsidRDefault="00F05633" w:rsidP="00AA491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</w:pPr>
      <w:r w:rsidRPr="00711A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11A95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 Федеральном законе ФЗ-39 от 22.04.1996 «О рынке ценных бумаг»</w:t>
      </w:r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 </w:t>
      </w:r>
      <w:r w:rsidR="0018050A" w:rsidRP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[</w:t>
      </w:r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Электронный ресурс</w:t>
      </w:r>
      <w:r w:rsidR="0018050A" w:rsidRP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]</w:t>
      </w:r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// </w:t>
      </w:r>
      <w:proofErr w:type="spellStart"/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КонсультантПлюс</w:t>
      </w:r>
      <w:proofErr w:type="spellEnd"/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: справочно-правовая система/Компания «</w:t>
      </w:r>
      <w:proofErr w:type="spellStart"/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КонсультантПлюс</w:t>
      </w:r>
      <w:proofErr w:type="spellEnd"/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»</w:t>
      </w:r>
    </w:p>
    <w:p w:rsidR="0018050A" w:rsidRPr="0018050A" w:rsidRDefault="00061558" w:rsidP="0018050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</w:pPr>
      <w:r w:rsidRPr="00711A95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3.</w:t>
      </w:r>
      <w:r w:rsidR="00711A95" w:rsidRPr="00711A95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 Постановление Правительства РФ от 30 апреля 2019 г. № 532 </w:t>
      </w:r>
      <w:proofErr w:type="gramStart"/>
      <w:r w:rsidR="00711A95" w:rsidRPr="00711A95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« Об</w:t>
      </w:r>
      <w:proofErr w:type="gramEnd"/>
      <w:r w:rsidR="00711A95" w:rsidRPr="00711A95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 утверждении  Правил предоставления субсидий из федерального бюджета российским организациям-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</w:t>
      </w:r>
      <w:r w:rsidR="00711A95" w:rsidRPr="00711A95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lastRenderedPageBreak/>
        <w:t>фондовой бирже»</w:t>
      </w:r>
      <w:r w:rsidR="0018050A" w:rsidRP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 [</w:t>
      </w:r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Электронный ресурс</w:t>
      </w:r>
      <w:r w:rsidR="0018050A" w:rsidRP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]</w:t>
      </w:r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 xml:space="preserve">// </w:t>
      </w:r>
      <w:proofErr w:type="spellStart"/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КонсультантПлюс</w:t>
      </w:r>
      <w:proofErr w:type="spellEnd"/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: справочно-правовая система/Компания «</w:t>
      </w:r>
      <w:proofErr w:type="spellStart"/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КонсультантПлюс</w:t>
      </w:r>
      <w:proofErr w:type="spellEnd"/>
      <w:r w:rsidR="0018050A"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  <w:t>»</w:t>
      </w:r>
    </w:p>
    <w:p w:rsidR="00711A95" w:rsidRDefault="00711A95" w:rsidP="00131C8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402717"/>
          <w:sz w:val="24"/>
          <w:szCs w:val="24"/>
          <w:lang w:eastAsia="ru-RU"/>
        </w:rPr>
      </w:pPr>
    </w:p>
    <w:p w:rsidR="00A04329" w:rsidRDefault="00A04329" w:rsidP="008A212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124" w:rsidRDefault="008A2124" w:rsidP="008A212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 (-ах) на русском языке</w:t>
      </w:r>
    </w:p>
    <w:p w:rsidR="008A2124" w:rsidRPr="00100286" w:rsidRDefault="000B2C20" w:rsidP="008A212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Харионовская Татьяна Леонидовна (Россия, Вологда</w:t>
      </w:r>
      <w:r w:rsidR="008A2124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>
        <w:rPr>
          <w:rFonts w:ascii="Times New Roman" w:eastAsia="Calibri" w:hAnsi="Times New Roman" w:cs="Times New Roman"/>
          <w:sz w:val="24"/>
          <w:szCs w:val="24"/>
        </w:rPr>
        <w:t>кандидат экономических наук</w:t>
      </w:r>
      <w:r w:rsidR="008A21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8A212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ФГБОУ ВО</w:t>
      </w:r>
      <w:r w:rsidR="008A2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Вологодский государственный </w:t>
      </w:r>
      <w:r w:rsidR="00717FFC">
        <w:rPr>
          <w:rFonts w:ascii="Times New Roman" w:eastAsia="Calibri" w:hAnsi="Times New Roman" w:cs="Times New Roman"/>
          <w:sz w:val="24"/>
          <w:szCs w:val="24"/>
        </w:rPr>
        <w:t>университет (160000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Вологодская область г. Вологда </w:t>
      </w:r>
      <w:r w:rsidR="00717FFC">
        <w:rPr>
          <w:rFonts w:ascii="Times New Roman" w:eastAsia="Calibri" w:hAnsi="Times New Roman" w:cs="Times New Roman"/>
          <w:sz w:val="24"/>
          <w:szCs w:val="24"/>
        </w:rPr>
        <w:t>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Ленина</w:t>
      </w:r>
      <w:r w:rsidRPr="001002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15, </w:t>
      </w:r>
      <w:r w:rsidR="00717FFC">
        <w:rPr>
          <w:rFonts w:ascii="Times New Roman" w:eastAsia="Calibri" w:hAnsi="Times New Roman" w:cs="Times New Roman"/>
          <w:sz w:val="24"/>
          <w:szCs w:val="24"/>
          <w:lang w:val="en-US"/>
        </w:rPr>
        <w:t>kanz</w:t>
      </w:r>
      <w:r w:rsidR="00717FFC" w:rsidRPr="00100286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r w:rsidR="00717FFC">
        <w:rPr>
          <w:rFonts w:ascii="Times New Roman" w:eastAsia="Calibri" w:hAnsi="Times New Roman" w:cs="Times New Roman"/>
          <w:sz w:val="24"/>
          <w:szCs w:val="24"/>
          <w:lang w:val="en-US"/>
        </w:rPr>
        <w:t>vogu</w:t>
      </w:r>
      <w:r w:rsidR="00717FFC" w:rsidRPr="00100286">
        <w:rPr>
          <w:rFonts w:ascii="Times New Roman" w:eastAsia="Calibri" w:hAnsi="Times New Roman" w:cs="Times New Roman"/>
          <w:sz w:val="24"/>
          <w:szCs w:val="24"/>
          <w:lang w:val="en-US"/>
        </w:rPr>
        <w:t>35.</w:t>
      </w:r>
      <w:r w:rsidR="00717FF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8A2124" w:rsidRPr="00100286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717FFC" w:rsidRPr="00100286" w:rsidRDefault="00717FFC" w:rsidP="008A21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124" w:rsidRPr="00100286" w:rsidRDefault="00ED6085" w:rsidP="008A212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1002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Kharionovsky</w:t>
      </w:r>
      <w:proofErr w:type="spellEnd"/>
      <w:r w:rsidRPr="0010028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Tatiana </w:t>
      </w:r>
      <w:r w:rsidR="008A2124" w:rsidRPr="0010028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8A2124" w:rsidRPr="00ED6085" w:rsidRDefault="00ED6085" w:rsidP="008A21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D60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CORPORATE BONDS AS AN ALTERNATIVE FINANCIAL INSTRUMENT FOR COMPANY FINANCING</w:t>
      </w:r>
    </w:p>
    <w:p w:rsidR="008A2124" w:rsidRPr="00100286" w:rsidRDefault="008A2124" w:rsidP="008A21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D6085" w:rsidRPr="00100286" w:rsidRDefault="008A2124" w:rsidP="008A21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Pr="00ED6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</w:t>
      </w:r>
      <w:r w:rsidRPr="00ED6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ED6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</w:t>
      </w:r>
      <w:r w:rsidRPr="00ED6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языке</w:t>
      </w:r>
      <w:r w:rsidRPr="00ED60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6085" w:rsidRPr="00ED608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This article discusses the use of corporate bonds as a source of long-term financing of the company. The positive and negative aspects of using this financial instrument along with Bank lending are determined. </w:t>
      </w:r>
    </w:p>
    <w:p w:rsidR="008A2124" w:rsidRPr="00100286" w:rsidRDefault="008A2124" w:rsidP="008A21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</w:t>
      </w:r>
      <w:r w:rsidRPr="00ED6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Pr="00ED6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ED6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</w:t>
      </w:r>
      <w:r w:rsidRPr="00ED60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языке</w:t>
      </w:r>
      <w:r w:rsidRPr="00ED60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D6085" w:rsidRPr="00ED608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Corporate bonds, Bank loans, debt financing.</w:t>
      </w:r>
      <w:r w:rsidR="00ED6085" w:rsidRPr="00ED60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2124" w:rsidRPr="00100286" w:rsidRDefault="008A2124" w:rsidP="008A21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124" w:rsidRPr="000775D0" w:rsidRDefault="008A2124" w:rsidP="008A2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Pr="000775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Pr="000775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0775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</w:t>
      </w:r>
      <w:r w:rsidRPr="000775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языке</w:t>
      </w:r>
    </w:p>
    <w:p w:rsidR="0018050A" w:rsidRPr="000775D0" w:rsidRDefault="0018050A" w:rsidP="008A21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10902" w:rsidRPr="000775D0" w:rsidRDefault="0018050A" w:rsidP="003D51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Karyakin</w:t>
      </w:r>
      <w:proofErr w:type="spellEnd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 V. Corporate bonds as a tool for attracting investment/ D. V. </w:t>
      </w:r>
      <w:proofErr w:type="spellStart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Koryakin</w:t>
      </w:r>
      <w:proofErr w:type="spellEnd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 N. </w:t>
      </w:r>
      <w:proofErr w:type="spellStart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Novikov</w:t>
      </w:r>
      <w:proofErr w:type="spellEnd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L. </w:t>
      </w:r>
      <w:proofErr w:type="spellStart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Kilyachkov</w:t>
      </w:r>
      <w:proofErr w:type="spellEnd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/ Finance and credit. - 2000.-№ </w:t>
      </w:r>
      <w:r w:rsidRPr="00077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(66).C. 2-10.</w:t>
      </w:r>
    </w:p>
    <w:p w:rsidR="0018050A" w:rsidRDefault="0018050A" w:rsidP="003D51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Federal law FZ-39 of 22.04.1996 "on the securities market" [Electronic resource]// </w:t>
      </w:r>
      <w:proofErr w:type="spellStart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ConsultantPlus</w:t>
      </w:r>
      <w:proofErr w:type="spellEnd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reference and legal system/Company "</w:t>
      </w:r>
      <w:proofErr w:type="spellStart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ConsultantPlus</w:t>
      </w:r>
      <w:proofErr w:type="spellEnd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</w:p>
    <w:p w:rsidR="0018050A" w:rsidRDefault="0018050A" w:rsidP="003D51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Resolution of the Government of the Russian Federation of April 30, 2019 No. 532 "on approval of the Rules for granting subsidies from the Federal budget to Russian organizations - small and medium-sized businesses in order to compensate part of the costs of issuing shares and bonds and paying coupon income on bonds placed on the stock exchange" [Electronic resource]// </w:t>
      </w:r>
      <w:proofErr w:type="spellStart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ConsultantPlus</w:t>
      </w:r>
      <w:proofErr w:type="spellEnd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reference and legal system/Company "</w:t>
      </w:r>
      <w:proofErr w:type="spellStart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ConsultantPlus</w:t>
      </w:r>
      <w:proofErr w:type="spellEnd"/>
      <w:r w:rsidRPr="001805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proofErr w:type="gramEnd"/>
    </w:p>
    <w:p w:rsidR="0018050A" w:rsidRPr="0018050A" w:rsidRDefault="0018050A" w:rsidP="003D51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124" w:rsidRDefault="008A2124" w:rsidP="003D5178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 (-ах) на английском языке</w:t>
      </w:r>
    </w:p>
    <w:p w:rsidR="00ED6085" w:rsidRPr="00ED6085" w:rsidRDefault="00ED6085" w:rsidP="003D51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D608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Tatyana </w:t>
      </w:r>
      <w:proofErr w:type="spellStart"/>
      <w:r w:rsidRPr="00ED6085">
        <w:rPr>
          <w:rFonts w:ascii="Times New Roman" w:eastAsia="Calibri" w:hAnsi="Times New Roman" w:cs="Times New Roman"/>
          <w:b/>
          <w:sz w:val="24"/>
          <w:szCs w:val="24"/>
          <w:lang w:val="en-US"/>
        </w:rPr>
        <w:t>kharionovskaya</w:t>
      </w:r>
      <w:proofErr w:type="spellEnd"/>
      <w:r w:rsidRPr="00ED608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(Russia, Vologda) - candidate of economic Sciences, associate Professor, Vologda state University (160000 Vologda region, Vologda, Lenin street 15, kanz@vogu35.ru).</w:t>
      </w:r>
    </w:p>
    <w:p w:rsidR="008A2124" w:rsidRPr="00ED6085" w:rsidRDefault="008A2124" w:rsidP="0018050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</w:p>
    <w:p w:rsidR="00BC3C0D" w:rsidRPr="00B35D1F" w:rsidRDefault="00BC3C0D">
      <w:pPr>
        <w:rPr>
          <w:lang w:val="en-US"/>
        </w:rPr>
      </w:pPr>
    </w:p>
    <w:sectPr w:rsidR="00BC3C0D" w:rsidRPr="00B35D1F" w:rsidSect="00D050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3B2A"/>
    <w:multiLevelType w:val="multilevel"/>
    <w:tmpl w:val="0CD8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2083A"/>
    <w:multiLevelType w:val="multilevel"/>
    <w:tmpl w:val="A75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412DF"/>
    <w:multiLevelType w:val="multilevel"/>
    <w:tmpl w:val="6D46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5404C"/>
    <w:multiLevelType w:val="multilevel"/>
    <w:tmpl w:val="DF98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D543B"/>
    <w:multiLevelType w:val="multilevel"/>
    <w:tmpl w:val="5E34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4206D"/>
    <w:multiLevelType w:val="hybridMultilevel"/>
    <w:tmpl w:val="4800BBA4"/>
    <w:lvl w:ilvl="0" w:tplc="F1328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E8"/>
    <w:rsid w:val="00052132"/>
    <w:rsid w:val="00061558"/>
    <w:rsid w:val="000775D0"/>
    <w:rsid w:val="000A0B48"/>
    <w:rsid w:val="000B2C20"/>
    <w:rsid w:val="00100286"/>
    <w:rsid w:val="00131C86"/>
    <w:rsid w:val="00154109"/>
    <w:rsid w:val="00173A58"/>
    <w:rsid w:val="0018050A"/>
    <w:rsid w:val="001858F4"/>
    <w:rsid w:val="00216867"/>
    <w:rsid w:val="00222095"/>
    <w:rsid w:val="00274877"/>
    <w:rsid w:val="00282444"/>
    <w:rsid w:val="002D409F"/>
    <w:rsid w:val="002E39E8"/>
    <w:rsid w:val="003562B5"/>
    <w:rsid w:val="00393C92"/>
    <w:rsid w:val="003D5178"/>
    <w:rsid w:val="003F19E4"/>
    <w:rsid w:val="00410902"/>
    <w:rsid w:val="00423E1F"/>
    <w:rsid w:val="00443ABF"/>
    <w:rsid w:val="00471DC2"/>
    <w:rsid w:val="00477769"/>
    <w:rsid w:val="004A1BB1"/>
    <w:rsid w:val="00525728"/>
    <w:rsid w:val="005A0156"/>
    <w:rsid w:val="005B077B"/>
    <w:rsid w:val="005F75BB"/>
    <w:rsid w:val="00611073"/>
    <w:rsid w:val="00631B33"/>
    <w:rsid w:val="006369A3"/>
    <w:rsid w:val="00645432"/>
    <w:rsid w:val="00697796"/>
    <w:rsid w:val="006E0ECB"/>
    <w:rsid w:val="00711A95"/>
    <w:rsid w:val="00717FFC"/>
    <w:rsid w:val="0077299C"/>
    <w:rsid w:val="00772C65"/>
    <w:rsid w:val="007C4237"/>
    <w:rsid w:val="007D3543"/>
    <w:rsid w:val="00801572"/>
    <w:rsid w:val="008A2124"/>
    <w:rsid w:val="008C596E"/>
    <w:rsid w:val="008F38A0"/>
    <w:rsid w:val="009108D1"/>
    <w:rsid w:val="00911E75"/>
    <w:rsid w:val="00983E63"/>
    <w:rsid w:val="00990657"/>
    <w:rsid w:val="00A04329"/>
    <w:rsid w:val="00A41C30"/>
    <w:rsid w:val="00A609F1"/>
    <w:rsid w:val="00A83653"/>
    <w:rsid w:val="00AA4915"/>
    <w:rsid w:val="00AD0765"/>
    <w:rsid w:val="00AE61DC"/>
    <w:rsid w:val="00B35D1F"/>
    <w:rsid w:val="00B47F0E"/>
    <w:rsid w:val="00B538AC"/>
    <w:rsid w:val="00BA7F89"/>
    <w:rsid w:val="00BC3C0D"/>
    <w:rsid w:val="00BD746F"/>
    <w:rsid w:val="00C4131B"/>
    <w:rsid w:val="00C64D15"/>
    <w:rsid w:val="00CC5764"/>
    <w:rsid w:val="00D05008"/>
    <w:rsid w:val="00D31299"/>
    <w:rsid w:val="00D419EA"/>
    <w:rsid w:val="00E063F6"/>
    <w:rsid w:val="00E8560E"/>
    <w:rsid w:val="00E864BF"/>
    <w:rsid w:val="00E92BA6"/>
    <w:rsid w:val="00E93315"/>
    <w:rsid w:val="00EA10E9"/>
    <w:rsid w:val="00EA6D7A"/>
    <w:rsid w:val="00ED1A99"/>
    <w:rsid w:val="00ED6085"/>
    <w:rsid w:val="00F0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46FE2-CAE8-40B2-8B0D-411D86D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124"/>
    <w:rPr>
      <w:color w:val="0563C1" w:themeColor="hyperlink"/>
      <w:u w:val="single"/>
    </w:rPr>
  </w:style>
  <w:style w:type="paragraph" w:customStyle="1" w:styleId="rvps33">
    <w:name w:val="rvps33"/>
    <w:basedOn w:val="a"/>
    <w:rsid w:val="008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8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8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8A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8A2124"/>
  </w:style>
  <w:style w:type="character" w:customStyle="1" w:styleId="rvts1">
    <w:name w:val="rvts1"/>
    <w:basedOn w:val="a0"/>
    <w:rsid w:val="008A2124"/>
  </w:style>
  <w:style w:type="character" w:customStyle="1" w:styleId="rvts54">
    <w:name w:val="rvts54"/>
    <w:basedOn w:val="a0"/>
    <w:rsid w:val="008A2124"/>
  </w:style>
  <w:style w:type="paragraph" w:styleId="a4">
    <w:name w:val="List Paragraph"/>
    <w:basedOn w:val="a"/>
    <w:uiPriority w:val="34"/>
    <w:qFormat/>
    <w:rsid w:val="00131C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15</cp:revision>
  <dcterms:created xsi:type="dcterms:W3CDTF">2020-05-15T09:25:00Z</dcterms:created>
  <dcterms:modified xsi:type="dcterms:W3CDTF">2020-05-17T13:03:00Z</dcterms:modified>
</cp:coreProperties>
</file>