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369" w:rsidRPr="0066499A" w:rsidRDefault="005A5369" w:rsidP="005A5369">
      <w:pPr>
        <w:suppressAutoHyphens/>
        <w:ind w:firstLine="709"/>
        <w:rPr>
          <w:b/>
          <w:sz w:val="24"/>
          <w:szCs w:val="24"/>
        </w:rPr>
      </w:pPr>
      <w:r w:rsidRPr="0066499A">
        <w:rPr>
          <w:b/>
          <w:sz w:val="24"/>
          <w:szCs w:val="24"/>
        </w:rPr>
        <w:t>Индекс УДК/ББК</w:t>
      </w:r>
    </w:p>
    <w:p w:rsidR="005A5369" w:rsidRPr="0066499A" w:rsidRDefault="005A5369" w:rsidP="005A5369">
      <w:pPr>
        <w:suppressAutoHyphens/>
        <w:ind w:firstLine="709"/>
        <w:jc w:val="right"/>
        <w:rPr>
          <w:b/>
          <w:sz w:val="24"/>
          <w:szCs w:val="24"/>
        </w:rPr>
      </w:pPr>
      <w:r w:rsidRPr="0066499A">
        <w:rPr>
          <w:b/>
          <w:sz w:val="24"/>
          <w:szCs w:val="24"/>
        </w:rPr>
        <w:t>Куратова Л.А.</w:t>
      </w:r>
    </w:p>
    <w:p w:rsidR="005A5369" w:rsidRDefault="005A5369" w:rsidP="005A5369">
      <w:pPr>
        <w:suppressAutoHyphens/>
        <w:ind w:firstLine="709"/>
        <w:jc w:val="center"/>
        <w:rPr>
          <w:b/>
          <w:sz w:val="24"/>
          <w:szCs w:val="24"/>
        </w:rPr>
      </w:pPr>
    </w:p>
    <w:p w:rsidR="005A5369" w:rsidRPr="0066499A" w:rsidRDefault="005A5369" w:rsidP="005A5369">
      <w:pPr>
        <w:suppressAutoHyphens/>
        <w:ind w:firstLine="709"/>
        <w:jc w:val="center"/>
        <w:rPr>
          <w:sz w:val="24"/>
          <w:szCs w:val="24"/>
        </w:rPr>
      </w:pPr>
      <w:r w:rsidRPr="0066499A">
        <w:rPr>
          <w:b/>
          <w:sz w:val="24"/>
          <w:szCs w:val="24"/>
        </w:rPr>
        <w:t>ПРОГНОЗИРОВАНИЕ РАЗВИТИЯ ИНФОРМАЦИОННОЙ ИНФРАСТРУКТУРЫ</w:t>
      </w:r>
    </w:p>
    <w:p w:rsidR="005A5369" w:rsidRPr="0066499A" w:rsidRDefault="005A5369" w:rsidP="005A5369">
      <w:pPr>
        <w:suppressAutoHyphens/>
        <w:ind w:firstLine="709"/>
        <w:jc w:val="both"/>
        <w:rPr>
          <w:b/>
          <w:sz w:val="24"/>
          <w:szCs w:val="24"/>
        </w:rPr>
      </w:pPr>
    </w:p>
    <w:p w:rsidR="005A5369" w:rsidRPr="0066499A" w:rsidRDefault="005A5369" w:rsidP="005A5369">
      <w:pPr>
        <w:suppressAutoHyphens/>
        <w:ind w:firstLine="709"/>
        <w:jc w:val="both"/>
        <w:rPr>
          <w:i/>
          <w:sz w:val="24"/>
          <w:szCs w:val="24"/>
        </w:rPr>
      </w:pPr>
      <w:r w:rsidRPr="0066499A">
        <w:rPr>
          <w:rStyle w:val="s0"/>
          <w:b/>
          <w:i/>
          <w:sz w:val="24"/>
          <w:szCs w:val="24"/>
        </w:rPr>
        <w:t xml:space="preserve">Аннотация: </w:t>
      </w:r>
      <w:r w:rsidRPr="0066499A">
        <w:rPr>
          <w:i/>
          <w:sz w:val="24"/>
          <w:szCs w:val="24"/>
        </w:rPr>
        <w:t xml:space="preserve">Необходимость прогнозирования развития информационной инфраструктуры возникает по ряду причин. В первую очередь в связи с </w:t>
      </w:r>
      <w:r w:rsidRPr="0066499A">
        <w:rPr>
          <w:rFonts w:eastAsia="TimesNewRomanPSMT"/>
          <w:i/>
          <w:sz w:val="24"/>
          <w:szCs w:val="24"/>
        </w:rPr>
        <w:t xml:space="preserve">разнообразием регионов России по уровню информатизации, что неоднократно отмечается в исследованиях, необходимостью применения особых методов управления и развития каждой из групп регионов. В настоящей статье выделяются социально-экономические показатели, влияющие на специфику развития различных </w:t>
      </w:r>
      <w:r w:rsidRPr="0066499A">
        <w:rPr>
          <w:i/>
          <w:sz w:val="24"/>
          <w:szCs w:val="24"/>
        </w:rPr>
        <w:t xml:space="preserve">подотраслей информационной инфраструктуры России, в том числе и на примере одного из ее северных регионов – Республики Коми. </w:t>
      </w:r>
    </w:p>
    <w:p w:rsidR="005A5369" w:rsidRDefault="005A5369" w:rsidP="005A5369">
      <w:pPr>
        <w:suppressAutoHyphens/>
        <w:ind w:firstLine="709"/>
        <w:jc w:val="both"/>
        <w:rPr>
          <w:rStyle w:val="s0"/>
          <w:b/>
          <w:i/>
          <w:sz w:val="24"/>
          <w:szCs w:val="24"/>
        </w:rPr>
      </w:pPr>
    </w:p>
    <w:p w:rsidR="005A5369" w:rsidRPr="0066499A" w:rsidRDefault="005A5369" w:rsidP="005A5369">
      <w:pPr>
        <w:suppressAutoHyphens/>
        <w:ind w:firstLine="709"/>
        <w:jc w:val="both"/>
        <w:rPr>
          <w:i/>
          <w:sz w:val="24"/>
          <w:szCs w:val="24"/>
        </w:rPr>
      </w:pPr>
      <w:r w:rsidRPr="0066499A">
        <w:rPr>
          <w:rStyle w:val="s0"/>
          <w:b/>
          <w:i/>
          <w:sz w:val="24"/>
          <w:szCs w:val="24"/>
        </w:rPr>
        <w:t>Ключевые слова:</w:t>
      </w:r>
      <w:r w:rsidRPr="0066499A">
        <w:rPr>
          <w:rStyle w:val="s0"/>
          <w:i/>
          <w:sz w:val="24"/>
          <w:szCs w:val="24"/>
        </w:rPr>
        <w:t xml:space="preserve"> и</w:t>
      </w:r>
      <w:r w:rsidRPr="0066499A">
        <w:rPr>
          <w:i/>
          <w:sz w:val="24"/>
          <w:szCs w:val="24"/>
        </w:rPr>
        <w:t>нформационно-коммуникационные технологии, корреляционно-регрессионный анализ, прогнозирование, «цифровое» неравенство</w:t>
      </w:r>
    </w:p>
    <w:p w:rsidR="005A5369" w:rsidRDefault="005A5369" w:rsidP="005A5369">
      <w:pPr>
        <w:suppressAutoHyphens/>
        <w:ind w:firstLine="709"/>
        <w:jc w:val="both"/>
        <w:rPr>
          <w:sz w:val="24"/>
          <w:szCs w:val="24"/>
        </w:rPr>
      </w:pPr>
    </w:p>
    <w:p w:rsidR="005A5369" w:rsidRPr="0066499A" w:rsidRDefault="005A5369" w:rsidP="005A5369">
      <w:pPr>
        <w:suppressAutoHyphens/>
        <w:ind w:firstLine="709"/>
        <w:jc w:val="both"/>
        <w:rPr>
          <w:sz w:val="24"/>
          <w:szCs w:val="24"/>
          <w:shd w:val="clear" w:color="auto" w:fill="FFFFFF"/>
        </w:rPr>
      </w:pPr>
      <w:r w:rsidRPr="0066499A">
        <w:rPr>
          <w:sz w:val="24"/>
          <w:szCs w:val="24"/>
        </w:rPr>
        <w:t>В современном мире полноценное функционирование экономики любой территории невозможно представить без и</w:t>
      </w:r>
      <w:r w:rsidRPr="0066499A">
        <w:rPr>
          <w:sz w:val="24"/>
          <w:szCs w:val="24"/>
          <w:shd w:val="clear" w:color="auto" w:fill="FFFFFF"/>
        </w:rPr>
        <w:t>нформационной инфраструктуры</w:t>
      </w:r>
      <w:r w:rsidRPr="0066499A">
        <w:rPr>
          <w:sz w:val="24"/>
          <w:szCs w:val="24"/>
        </w:rPr>
        <w:t xml:space="preserve">. </w:t>
      </w:r>
      <w:r w:rsidRPr="0066499A">
        <w:rPr>
          <w:sz w:val="24"/>
          <w:szCs w:val="24"/>
          <w:lang w:val="en-US"/>
        </w:rPr>
        <w:t>An information infrastructure is defined as an awesome shared, evolving, open, standardized, and heterogeneous installed base [1]</w:t>
      </w:r>
      <w:r w:rsidRPr="0066499A">
        <w:rPr>
          <w:rStyle w:val="ad"/>
          <w:sz w:val="24"/>
          <w:szCs w:val="24"/>
          <w:lang w:val="en-US"/>
        </w:rPr>
        <w:footnoteReference w:id="1"/>
      </w:r>
      <w:r w:rsidRPr="0066499A">
        <w:rPr>
          <w:sz w:val="24"/>
          <w:szCs w:val="24"/>
          <w:lang w:val="en-US"/>
        </w:rPr>
        <w:t xml:space="preserve"> This term has been increasingly used to refer to integrated solutions based on the now ongoing fusion of information and communication technologies. The physical and logical elements of the organization’s information infrastructure are people, processes, procedures, tools, facilities, and technology which supports the creation, use, transport, storage, and destruction of information [2-3]. </w:t>
      </w:r>
      <w:r w:rsidRPr="0066499A">
        <w:rPr>
          <w:sz w:val="24"/>
          <w:szCs w:val="24"/>
        </w:rPr>
        <w:t xml:space="preserve">В понятие информационно-коммуникационных технологий (ИКТ) в свою очередь включен широкий набор товаров и услуг. Выделяются так называемые «старые» ИКТ, (радио, телевидение, фиксированная телефонная связь) и «новые» ИКТ (компьютеры, спутниковые системы, беспроводные технологии, Интернет). В последние годы в связи с развитием сети интернет стирается </w:t>
      </w:r>
      <w:r w:rsidRPr="0066499A">
        <w:rPr>
          <w:rStyle w:val="tlid-translation"/>
          <w:sz w:val="24"/>
          <w:szCs w:val="24"/>
        </w:rPr>
        <w:t xml:space="preserve">граница между различными видами телекоммуникаций, например, телевидения и компьютеров. </w:t>
      </w:r>
      <w:r w:rsidRPr="0066499A">
        <w:rPr>
          <w:sz w:val="24"/>
          <w:szCs w:val="24"/>
        </w:rPr>
        <w:t>З</w:t>
      </w:r>
      <w:r w:rsidRPr="0066499A">
        <w:rPr>
          <w:sz w:val="24"/>
          <w:szCs w:val="24"/>
          <w:shd w:val="clear" w:color="auto" w:fill="FFFFFF"/>
        </w:rPr>
        <w:t xml:space="preserve">ачастую ИКТ выделяются в отдельные направления, например, в социальной сфере это может быть телемедицина, </w:t>
      </w:r>
      <w:r w:rsidRPr="0066499A">
        <w:rPr>
          <w:sz w:val="24"/>
          <w:szCs w:val="24"/>
          <w:shd w:val="clear" w:color="auto" w:fill="FFFFFF"/>
          <w:lang w:val="en-US"/>
        </w:rPr>
        <w:t>e</w:t>
      </w:r>
      <w:r w:rsidRPr="0066499A">
        <w:rPr>
          <w:sz w:val="24"/>
          <w:szCs w:val="24"/>
          <w:shd w:val="clear" w:color="auto" w:fill="FFFFFF"/>
        </w:rPr>
        <w:t>-</w:t>
      </w:r>
      <w:r w:rsidRPr="0066499A">
        <w:rPr>
          <w:sz w:val="24"/>
          <w:szCs w:val="24"/>
          <w:shd w:val="clear" w:color="auto" w:fill="FFFFFF"/>
          <w:lang w:val="en-US"/>
        </w:rPr>
        <w:t>Prescription</w:t>
      </w:r>
      <w:r w:rsidRPr="0066499A">
        <w:rPr>
          <w:sz w:val="24"/>
          <w:szCs w:val="24"/>
          <w:shd w:val="clear" w:color="auto" w:fill="FFFFFF"/>
        </w:rPr>
        <w:t xml:space="preserve"> (электронные рецепты), </w:t>
      </w:r>
      <w:r w:rsidRPr="0066499A">
        <w:rPr>
          <w:sz w:val="24"/>
          <w:szCs w:val="24"/>
          <w:shd w:val="clear" w:color="auto" w:fill="FFFFFF"/>
          <w:lang w:val="en-US"/>
        </w:rPr>
        <w:t>E</w:t>
      </w:r>
      <w:r w:rsidRPr="0066499A">
        <w:rPr>
          <w:sz w:val="24"/>
          <w:szCs w:val="24"/>
          <w:shd w:val="clear" w:color="auto" w:fill="FFFFFF"/>
        </w:rPr>
        <w:t>-</w:t>
      </w:r>
      <w:r w:rsidRPr="0066499A">
        <w:rPr>
          <w:sz w:val="24"/>
          <w:szCs w:val="24"/>
          <w:shd w:val="clear" w:color="auto" w:fill="FFFFFF"/>
          <w:lang w:val="en-US"/>
        </w:rPr>
        <w:t>learning</w:t>
      </w:r>
      <w:r w:rsidRPr="0066499A">
        <w:rPr>
          <w:sz w:val="24"/>
          <w:szCs w:val="24"/>
          <w:shd w:val="clear" w:color="auto" w:fill="FFFFFF"/>
        </w:rPr>
        <w:t xml:space="preserve"> (электронное обучение), в финансовой сфере – Интернет-банкинг. </w:t>
      </w:r>
    </w:p>
    <w:p w:rsidR="005A5369" w:rsidRPr="0066499A" w:rsidRDefault="005A5369" w:rsidP="005A5369">
      <w:pPr>
        <w:suppressAutoHyphens/>
        <w:ind w:firstLine="709"/>
        <w:jc w:val="both"/>
        <w:rPr>
          <w:sz w:val="24"/>
          <w:szCs w:val="24"/>
        </w:rPr>
      </w:pPr>
      <w:r w:rsidRPr="0066499A">
        <w:rPr>
          <w:sz w:val="24"/>
          <w:szCs w:val="24"/>
        </w:rPr>
        <w:t>Приверженцы [4-7]</w:t>
      </w:r>
      <w:r>
        <w:rPr>
          <w:sz w:val="24"/>
          <w:szCs w:val="24"/>
        </w:rPr>
        <w:t xml:space="preserve"> </w:t>
      </w:r>
      <w:r w:rsidRPr="0066499A">
        <w:rPr>
          <w:sz w:val="24"/>
          <w:szCs w:val="24"/>
        </w:rPr>
        <w:t xml:space="preserve">первой точки зрения, так называемого «парадокса Солоу»,  считают, что </w:t>
      </w:r>
      <w:r w:rsidRPr="0066499A">
        <w:rPr>
          <w:bCs/>
          <w:sz w:val="24"/>
          <w:szCs w:val="24"/>
          <w:bdr w:val="none" w:sz="0" w:space="0" w:color="auto" w:frame="1"/>
        </w:rPr>
        <w:t>ИКТ не могут повлиять на эффективность экономики или</w:t>
      </w:r>
      <w:r w:rsidRPr="0066499A">
        <w:rPr>
          <w:sz w:val="24"/>
          <w:szCs w:val="24"/>
        </w:rPr>
        <w:t xml:space="preserve"> выступать </w:t>
      </w:r>
      <w:r w:rsidRPr="0066499A">
        <w:rPr>
          <w:bCs/>
          <w:iCs/>
          <w:sz w:val="24"/>
          <w:szCs w:val="24"/>
        </w:rPr>
        <w:t>фактором создания</w:t>
      </w:r>
      <w:r w:rsidRPr="0066499A">
        <w:rPr>
          <w:sz w:val="24"/>
          <w:szCs w:val="24"/>
        </w:rPr>
        <w:t> </w:t>
      </w:r>
      <w:r w:rsidRPr="0066499A">
        <w:rPr>
          <w:bCs/>
          <w:iCs/>
          <w:sz w:val="24"/>
          <w:szCs w:val="24"/>
        </w:rPr>
        <w:t>конкурентных преимуществ, т.к. я</w:t>
      </w:r>
      <w:r w:rsidRPr="0066499A">
        <w:rPr>
          <w:sz w:val="24"/>
          <w:szCs w:val="24"/>
        </w:rPr>
        <w:t xml:space="preserve">вляются лишь </w:t>
      </w:r>
      <w:r w:rsidRPr="0066499A">
        <w:rPr>
          <w:bCs/>
          <w:iCs/>
          <w:sz w:val="24"/>
          <w:szCs w:val="24"/>
        </w:rPr>
        <w:t>общественно необходимым инфраструктурным ресурсом</w:t>
      </w:r>
      <w:r w:rsidRPr="0066499A">
        <w:rPr>
          <w:sz w:val="24"/>
          <w:szCs w:val="24"/>
        </w:rPr>
        <w:t xml:space="preserve">. Зачастую применение ИКТ в деятельности предприятия, например, использование </w:t>
      </w:r>
      <w:r w:rsidRPr="0066499A">
        <w:rPr>
          <w:sz w:val="24"/>
          <w:szCs w:val="24"/>
          <w:lang w:val="en-US"/>
        </w:rPr>
        <w:t>Skype</w:t>
      </w:r>
      <w:r w:rsidRPr="0066499A">
        <w:rPr>
          <w:sz w:val="24"/>
          <w:szCs w:val="24"/>
        </w:rPr>
        <w:t xml:space="preserve">, электронной почты, проведение телеконференций не отражается </w:t>
      </w:r>
      <w:r w:rsidRPr="0066499A">
        <w:rPr>
          <w:sz w:val="24"/>
          <w:szCs w:val="24"/>
          <w:shd w:val="clear" w:color="auto" w:fill="FFFFFF"/>
        </w:rPr>
        <w:t>в официальных статистических данных в полной мере, поэтому невозможно оценить их вклад. Сложности вызывает и возможность фиксирования эффекта повышения производительности за счет инвестиций в ИКТ. В</w:t>
      </w:r>
      <w:r w:rsidRPr="0066499A">
        <w:rPr>
          <w:sz w:val="24"/>
          <w:szCs w:val="24"/>
        </w:rPr>
        <w:t xml:space="preserve">лияние ИКТ (как именно и в какой степени) на экономический рост и производительность плохо поддается прогнозированию. </w:t>
      </w:r>
    </w:p>
    <w:p w:rsidR="005A5369" w:rsidRPr="0066499A" w:rsidRDefault="005A5369" w:rsidP="005A5369">
      <w:pPr>
        <w:suppressAutoHyphens/>
        <w:ind w:firstLine="709"/>
        <w:jc w:val="both"/>
        <w:rPr>
          <w:sz w:val="24"/>
          <w:szCs w:val="24"/>
        </w:rPr>
      </w:pPr>
      <w:r w:rsidRPr="0066499A">
        <w:rPr>
          <w:sz w:val="24"/>
          <w:szCs w:val="24"/>
        </w:rPr>
        <w:t xml:space="preserve">Приверженцы второй точки зрения [8-14] опровергают парадокс Солоу и доказывают, что ИКТ напрямую влияют на производительность и эффективность экономики. Влияние ИКТ на экономическую эффективность возможно путем контроля ряда макроэкономических переменных, таких как занятость, инновации, инфляция, государственные расходы, образование, урбанизация. Наличие корреляции между развертыванием ИКТ и эффективным экономическим ростом в настоящее время фактически считается само собой разумеющимся. </w:t>
      </w:r>
      <w:r w:rsidRPr="0066499A">
        <w:rPr>
          <w:sz w:val="24"/>
          <w:szCs w:val="24"/>
        </w:rPr>
        <w:lastRenderedPageBreak/>
        <w:t>По мнению Всемирного экономического форума (</w:t>
      </w:r>
      <w:r w:rsidRPr="0066499A">
        <w:rPr>
          <w:sz w:val="24"/>
          <w:szCs w:val="24"/>
          <w:lang w:val="en-US"/>
        </w:rPr>
        <w:t>WEF</w:t>
      </w:r>
      <w:r w:rsidRPr="0066499A">
        <w:rPr>
          <w:sz w:val="24"/>
          <w:szCs w:val="24"/>
        </w:rPr>
        <w:t xml:space="preserve">) ИКТ, в первую очередь, фиксированная и мобильная телефонная связь, широкополосной доступ в интернет, влияют на рост ВВП и уровень глобальной бедности. Даже 10% увеличение внедрения широкополосного доступа в интернет приводит к росту ВВП в развивающихся странах на 1,35% , а в развитых странах на 1,19%. Но в то же время </w:t>
      </w:r>
      <w:r w:rsidRPr="0066499A">
        <w:rPr>
          <w:sz w:val="24"/>
          <w:szCs w:val="24"/>
          <w:lang w:val="en-US"/>
        </w:rPr>
        <w:t>WEF</w:t>
      </w:r>
      <w:r w:rsidRPr="0066499A">
        <w:rPr>
          <w:sz w:val="24"/>
          <w:szCs w:val="24"/>
        </w:rPr>
        <w:t xml:space="preserve"> был выявлен еще один парадокс – ИКТ, стимулируя экономическое развитие и снижение глобального неравенства, приводят к росту неравенства доходов внутри страны [15].</w:t>
      </w:r>
    </w:p>
    <w:p w:rsidR="005A5369" w:rsidRPr="0066499A" w:rsidRDefault="005A5369" w:rsidP="005A5369">
      <w:pPr>
        <w:suppressAutoHyphens/>
        <w:ind w:firstLine="709"/>
        <w:jc w:val="both"/>
        <w:rPr>
          <w:sz w:val="24"/>
          <w:szCs w:val="24"/>
        </w:rPr>
      </w:pPr>
      <w:r w:rsidRPr="0066499A">
        <w:rPr>
          <w:sz w:val="24"/>
          <w:szCs w:val="24"/>
        </w:rPr>
        <w:t xml:space="preserve"> ИКТ признаны важными для обеспечения Целей устойчивого развития на период 2016-2030 гг., как инструмент, имеющий потенциал для ускорения прогресса, преодоления цифрового разрыва и развития общественных знаний, способствующий сбалансированному развитию экономических, социальных и экологических компонент. Однако имеется резкая дифференциация между различными странами, регионами, городской и сельской местностями по уровню развития информационной инфраструктуры</w:t>
      </w:r>
      <w:r w:rsidRPr="0066499A">
        <w:rPr>
          <w:rFonts w:eastAsia="TimesNewRomanPSMT"/>
          <w:sz w:val="24"/>
          <w:szCs w:val="24"/>
        </w:rPr>
        <w:t>, что неоднократно отмечается в различных исследованиях.</w:t>
      </w:r>
      <w:r w:rsidRPr="0066499A">
        <w:rPr>
          <w:sz w:val="24"/>
          <w:szCs w:val="24"/>
        </w:rPr>
        <w:t xml:space="preserve"> Возникает необходимость прогнозирования развития информационной инфраструктуры. Имеется ряд исследований [16-19] посвященных прогнозу развития ИКТ, чаще всего авторы используют при своих расчетах регрессионный анализ. Целью данной статьи являлась попытка прогнозирования развития информационной инфраструктуры России.</w:t>
      </w:r>
      <w:r w:rsidRPr="0066499A">
        <w:rPr>
          <w:bCs/>
          <w:spacing w:val="-4"/>
          <w:sz w:val="24"/>
          <w:szCs w:val="24"/>
        </w:rPr>
        <w:t xml:space="preserve"> Отличием разработанной методики является ее применение  не только к динамическим рядам данных, но и к рядам данных по другим признакам, например географическому – по регионам России. Это позволило </w:t>
      </w:r>
      <w:r w:rsidRPr="0066499A">
        <w:rPr>
          <w:spacing w:val="-4"/>
          <w:sz w:val="24"/>
          <w:szCs w:val="24"/>
        </w:rPr>
        <w:t>выявить коррелирующие факторы, слабо изменяющиеся и не меняющиеся по времени.</w:t>
      </w:r>
    </w:p>
    <w:p w:rsidR="005A5369" w:rsidRPr="0066499A" w:rsidRDefault="005A5369" w:rsidP="005A5369">
      <w:pPr>
        <w:suppressAutoHyphens/>
        <w:ind w:firstLine="709"/>
        <w:jc w:val="both"/>
        <w:rPr>
          <w:sz w:val="24"/>
          <w:szCs w:val="24"/>
        </w:rPr>
      </w:pPr>
      <w:r w:rsidRPr="0066499A">
        <w:rPr>
          <w:sz w:val="24"/>
          <w:szCs w:val="24"/>
        </w:rPr>
        <w:t xml:space="preserve">Необходимость прогнозирования развития информационной инфраструктуры возникает по ряду причин. В первую очередь в связи с </w:t>
      </w:r>
      <w:r w:rsidRPr="0066499A">
        <w:rPr>
          <w:rFonts w:eastAsia="TimesNewRomanPSMT"/>
          <w:sz w:val="24"/>
          <w:szCs w:val="24"/>
        </w:rPr>
        <w:t xml:space="preserve">разнообразием регионов России по уровню информатизации, что неоднократно отмечается в исследованиях, необходимостью применения особых методов управления и развития каждой из групп регионов. Особенно актуален такой прогноз для различных </w:t>
      </w:r>
      <w:r w:rsidRPr="0066499A">
        <w:rPr>
          <w:sz w:val="24"/>
          <w:szCs w:val="24"/>
        </w:rPr>
        <w:t xml:space="preserve">подотраслей информационной инфраструктуры в северных регионах России, в которых особенно заметна </w:t>
      </w:r>
      <w:r w:rsidRPr="0066499A">
        <w:rPr>
          <w:rFonts w:eastAsia="TimesNewRomanPSMT"/>
          <w:sz w:val="24"/>
          <w:szCs w:val="24"/>
        </w:rPr>
        <w:t>внутрирегиональная дифференциация, вызывающая «цифровое» неравенство населения и оказывающая сильное влияние на основную проблему северных территорий России – процесс обезлюживания.</w:t>
      </w:r>
    </w:p>
    <w:p w:rsidR="005A5369" w:rsidRPr="0066499A" w:rsidRDefault="005A5369" w:rsidP="005A5369">
      <w:pPr>
        <w:suppressAutoHyphens/>
        <w:ind w:firstLine="709"/>
        <w:jc w:val="both"/>
        <w:rPr>
          <w:sz w:val="24"/>
          <w:szCs w:val="24"/>
        </w:rPr>
      </w:pPr>
      <w:r w:rsidRPr="0066499A">
        <w:rPr>
          <w:rFonts w:eastAsia="TimesNewRomanPSMT"/>
          <w:sz w:val="24"/>
          <w:szCs w:val="24"/>
        </w:rPr>
        <w:t>Для решения поставленной цели исследования б</w:t>
      </w:r>
      <w:r w:rsidRPr="0066499A">
        <w:rPr>
          <w:sz w:val="24"/>
          <w:szCs w:val="24"/>
        </w:rPr>
        <w:t>ыла разработана методика, позволяющая определить внешние социально-экономические факторы, влияющие на развитие ИКТ</w:t>
      </w:r>
      <w:r>
        <w:rPr>
          <w:sz w:val="24"/>
          <w:szCs w:val="24"/>
        </w:rPr>
        <w:t xml:space="preserve">. </w:t>
      </w:r>
      <w:r w:rsidRPr="0066499A">
        <w:rPr>
          <w:sz w:val="24"/>
          <w:szCs w:val="24"/>
        </w:rPr>
        <w:t xml:space="preserve">Для анализа </w:t>
      </w:r>
      <w:r w:rsidRPr="0066499A">
        <w:rPr>
          <w:rFonts w:eastAsia="Times New Roman"/>
          <w:sz w:val="24"/>
          <w:szCs w:val="24"/>
        </w:rPr>
        <w:t xml:space="preserve">были собраны статистические данные </w:t>
      </w:r>
      <w:r w:rsidRPr="0066499A">
        <w:rPr>
          <w:rFonts w:eastAsia="TimesNewRomanPSMT"/>
          <w:sz w:val="24"/>
          <w:szCs w:val="24"/>
        </w:rPr>
        <w:t>[20-21]:</w:t>
      </w:r>
      <w:r w:rsidRPr="0066499A">
        <w:rPr>
          <w:rFonts w:eastAsia="Times New Roman"/>
          <w:sz w:val="24"/>
          <w:szCs w:val="24"/>
        </w:rPr>
        <w:t xml:space="preserve"> 188 социально-экономических показателей  (</w:t>
      </w:r>
      <w:r w:rsidRPr="0066499A">
        <w:rPr>
          <w:sz w:val="24"/>
          <w:szCs w:val="24"/>
        </w:rPr>
        <w:t xml:space="preserve"> ч</w:t>
      </w:r>
      <w:r w:rsidRPr="0066499A">
        <w:rPr>
          <w:rFonts w:eastAsia="Times New Roman"/>
          <w:sz w:val="24"/>
          <w:szCs w:val="24"/>
        </w:rPr>
        <w:t>исленность населения, численность, занятых в экономике, среднедушевые денежные доходы в месяц, численность пенсионеров</w:t>
      </w:r>
      <w:r w:rsidRPr="0066499A">
        <w:rPr>
          <w:sz w:val="24"/>
          <w:szCs w:val="24"/>
        </w:rPr>
        <w:t xml:space="preserve">, </w:t>
      </w:r>
      <w:r w:rsidRPr="0066499A">
        <w:rPr>
          <w:rFonts w:eastAsia="Times New Roman"/>
          <w:sz w:val="24"/>
          <w:szCs w:val="24"/>
        </w:rPr>
        <w:t xml:space="preserve">мужчин и женщин, населения трудоспособного возраста, миграция, доходы и расходы бюджетов и проч.) и 87 </w:t>
      </w:r>
      <w:r w:rsidRPr="0066499A">
        <w:rPr>
          <w:sz w:val="24"/>
          <w:szCs w:val="24"/>
        </w:rPr>
        <w:t>показателей развития информационной инфраструктуры (плотность сотовой связи, плотность электросвязи, численность абонентов различных видов связи и проч). в разбивке по регионам России за период 2005-2017 гг.</w:t>
      </w:r>
    </w:p>
    <w:p w:rsidR="005A5369" w:rsidRPr="0066499A" w:rsidRDefault="005A5369" w:rsidP="005A5369">
      <w:pPr>
        <w:suppressAutoHyphens/>
        <w:ind w:firstLine="709"/>
        <w:jc w:val="both"/>
        <w:rPr>
          <w:rStyle w:val="apple-converted-space"/>
          <w:sz w:val="24"/>
          <w:szCs w:val="24"/>
        </w:rPr>
      </w:pPr>
      <w:r w:rsidRPr="0066499A">
        <w:rPr>
          <w:sz w:val="24"/>
          <w:szCs w:val="24"/>
        </w:rPr>
        <w:t xml:space="preserve">Прогнозная модель строилась в виде уравнения регрессии, в котором в качестве функции выступает объем услуги, а в качестве независимых переменных - определяющие объем услуги показатели. Взаимосвязь между объемом услуги и показателям устанавливалась на основе матрицы </w:t>
      </w:r>
      <w:r w:rsidRPr="0066499A">
        <w:rPr>
          <w:rStyle w:val="apple-converted-space"/>
          <w:sz w:val="24"/>
          <w:szCs w:val="24"/>
        </w:rPr>
        <w:t>коэффициентов парной корреляции.  Из рассмотрения исключались независимые показатели с коэффициентом парной корреляции по абсолютному значению меньше 0,7.</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t xml:space="preserve">Производился отбор среди всех наборов факторов по следующим критериям: </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t>- коэффициенты парной корреляции независимого коэффициента с зависимыми факторами должен быть по абсолютному значению больше 0,7;</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t>- коэффициенты парной корреляции независимых факторов между собой должны быть по абсолютному значению меньше 0,7;</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t>- отклоняются наборы факторов с нулевым определителем мультиколлинеарной матрицы коэффициентов парной регрессии.</w:t>
      </w:r>
    </w:p>
    <w:p w:rsidR="005A5369" w:rsidRPr="0066499A" w:rsidRDefault="005A5369" w:rsidP="005A5369">
      <w:pPr>
        <w:suppressAutoHyphens/>
        <w:ind w:firstLine="709"/>
        <w:jc w:val="both"/>
        <w:rPr>
          <w:sz w:val="24"/>
          <w:szCs w:val="24"/>
        </w:rPr>
      </w:pPr>
      <w:r w:rsidRPr="0066499A">
        <w:rPr>
          <w:rStyle w:val="apple-converted-space"/>
          <w:sz w:val="24"/>
          <w:szCs w:val="24"/>
        </w:rPr>
        <w:t xml:space="preserve">Среди отобранных наборов факторов выбирались наборы с максимальными </w:t>
      </w:r>
      <w:r w:rsidRPr="0066499A">
        <w:rPr>
          <w:rStyle w:val="apple-converted-space"/>
          <w:sz w:val="24"/>
          <w:szCs w:val="24"/>
        </w:rPr>
        <w:lastRenderedPageBreak/>
        <w:t xml:space="preserve">коэффициентами множественной регрессии с целью построения линейной и </w:t>
      </w:r>
      <w:r w:rsidRPr="0066499A">
        <w:rPr>
          <w:sz w:val="24"/>
          <w:szCs w:val="24"/>
        </w:rPr>
        <w:t>экспоненциальной</w:t>
      </w:r>
      <w:r w:rsidRPr="0066499A">
        <w:rPr>
          <w:rStyle w:val="apple-converted-space"/>
          <w:sz w:val="24"/>
          <w:szCs w:val="24"/>
        </w:rPr>
        <w:t xml:space="preserve"> моделей регрессии для динамических рядов данных. В</w:t>
      </w:r>
      <w:r w:rsidRPr="0066499A">
        <w:rPr>
          <w:bCs/>
          <w:sz w:val="24"/>
          <w:szCs w:val="24"/>
        </w:rPr>
        <w:t xml:space="preserve">ыбор модели регрессии – линейной или </w:t>
      </w:r>
      <w:r w:rsidRPr="0066499A">
        <w:rPr>
          <w:sz w:val="24"/>
          <w:szCs w:val="24"/>
        </w:rPr>
        <w:t>экспоненциальной</w:t>
      </w:r>
      <w:r w:rsidRPr="0066499A">
        <w:rPr>
          <w:bCs/>
          <w:sz w:val="24"/>
          <w:szCs w:val="24"/>
        </w:rPr>
        <w:t xml:space="preserve"> – </w:t>
      </w:r>
      <w:r w:rsidRPr="0066499A">
        <w:rPr>
          <w:sz w:val="24"/>
          <w:szCs w:val="24"/>
        </w:rPr>
        <w:t>для динамических рядов данных производился исходя из максимальности коэффициента множественной регрессии.</w:t>
      </w:r>
    </w:p>
    <w:p w:rsidR="005A5369" w:rsidRPr="0066499A" w:rsidRDefault="005A5369" w:rsidP="005A5369">
      <w:pPr>
        <w:suppressAutoHyphens/>
        <w:ind w:firstLine="709"/>
        <w:jc w:val="both"/>
        <w:rPr>
          <w:rFonts w:eastAsia="Times New Roman"/>
          <w:sz w:val="24"/>
          <w:szCs w:val="24"/>
        </w:rPr>
      </w:pPr>
      <w:r w:rsidRPr="0066499A">
        <w:rPr>
          <w:rFonts w:eastAsia="Times New Roman"/>
          <w:sz w:val="24"/>
          <w:szCs w:val="24"/>
        </w:rPr>
        <w:t xml:space="preserve">Производилась оценка качества выбранной модели уравнения регрессии для отобранного набора факторов. Оценка качества моделей уравнения регрессии для отобранных наборов факторов производилась с помощью </w:t>
      </w:r>
      <w:r w:rsidRPr="0066499A">
        <w:rPr>
          <w:rFonts w:eastAsia="Times New Roman"/>
          <w:sz w:val="24"/>
          <w:szCs w:val="24"/>
          <w:lang w:val="en-US"/>
        </w:rPr>
        <w:t>F</w:t>
      </w:r>
      <w:r w:rsidRPr="0066499A">
        <w:rPr>
          <w:rFonts w:eastAsia="Times New Roman"/>
          <w:sz w:val="24"/>
          <w:szCs w:val="24"/>
        </w:rPr>
        <w:t xml:space="preserve">-критерия Фишера, который для всех отобранных наборов факторов выполняется. Средняя относительная ошибка аппроксимации для результирующих наборов факторов модели экспоненциальной регрессии равна 0,07-2%, для линейных – 0,6-2%, что подтверждает правильность выбора моделей. </w:t>
      </w:r>
    </w:p>
    <w:p w:rsidR="005A5369" w:rsidRPr="0066499A" w:rsidRDefault="005A5369" w:rsidP="005A5369">
      <w:pPr>
        <w:suppressAutoHyphens/>
        <w:ind w:firstLine="709"/>
        <w:jc w:val="both"/>
        <w:rPr>
          <w:sz w:val="24"/>
          <w:szCs w:val="24"/>
        </w:rPr>
      </w:pPr>
      <w:r w:rsidRPr="0066499A">
        <w:rPr>
          <w:bCs/>
          <w:sz w:val="24"/>
          <w:szCs w:val="24"/>
        </w:rPr>
        <w:t xml:space="preserve">Сравнивались кривые расчетных значений уравнения регрессии для </w:t>
      </w:r>
      <w:r w:rsidRPr="0066499A">
        <w:rPr>
          <w:sz w:val="24"/>
          <w:szCs w:val="24"/>
        </w:rPr>
        <w:t>динамического ряда зависимого фактора и кривые скользящей и экспоненциальной средней для более точного совпадения с точками данных зависимого фактора.</w:t>
      </w:r>
      <w:r w:rsidRPr="0066499A">
        <w:rPr>
          <w:rFonts w:eastAsia="Times New Roman"/>
          <w:sz w:val="24"/>
          <w:szCs w:val="24"/>
        </w:rPr>
        <w:t xml:space="preserve"> </w:t>
      </w:r>
      <w:r w:rsidRPr="0066499A">
        <w:rPr>
          <w:bCs/>
          <w:sz w:val="24"/>
          <w:szCs w:val="24"/>
        </w:rPr>
        <w:t>С</w:t>
      </w:r>
      <w:r w:rsidRPr="0066499A">
        <w:rPr>
          <w:b/>
          <w:bCs/>
          <w:sz w:val="24"/>
          <w:szCs w:val="24"/>
        </w:rPr>
        <w:t xml:space="preserve"> </w:t>
      </w:r>
      <w:r w:rsidRPr="0066499A">
        <w:rPr>
          <w:bCs/>
          <w:sz w:val="24"/>
          <w:szCs w:val="24"/>
        </w:rPr>
        <w:t xml:space="preserve">целью выделения временного тренда и сезонной составляющей </w:t>
      </w:r>
      <w:r w:rsidRPr="0066499A">
        <w:rPr>
          <w:rFonts w:eastAsia="Times New Roman"/>
          <w:sz w:val="24"/>
          <w:szCs w:val="24"/>
        </w:rPr>
        <w:t>к данным независимого фактора были применены методы сглаживания динамических рядов. П</w:t>
      </w:r>
      <w:r w:rsidRPr="0066499A">
        <w:rPr>
          <w:rFonts w:eastAsia="TimesNewRomanPSMT"/>
          <w:sz w:val="24"/>
          <w:szCs w:val="24"/>
        </w:rPr>
        <w:t>роводился анализ индексов сезонности и сравнение амплитуд сезонной волны.</w:t>
      </w:r>
      <w:r w:rsidRPr="0066499A">
        <w:rPr>
          <w:rFonts w:eastAsia="Times New Roman"/>
          <w:bCs/>
          <w:sz w:val="24"/>
          <w:szCs w:val="24"/>
        </w:rPr>
        <w:t xml:space="preserve"> </w:t>
      </w:r>
    </w:p>
    <w:p w:rsidR="005A5369" w:rsidRPr="0066499A" w:rsidRDefault="005A5369" w:rsidP="005A5369">
      <w:pPr>
        <w:suppressAutoHyphens/>
        <w:ind w:firstLine="709"/>
        <w:jc w:val="both"/>
        <w:rPr>
          <w:sz w:val="24"/>
          <w:szCs w:val="24"/>
        </w:rPr>
      </w:pPr>
      <w:r w:rsidRPr="0066499A">
        <w:rPr>
          <w:rFonts w:eastAsia="Times New Roman"/>
          <w:sz w:val="24"/>
          <w:szCs w:val="24"/>
        </w:rPr>
        <w:t>Для</w:t>
      </w:r>
      <w:r w:rsidRPr="0066499A">
        <w:rPr>
          <w:rFonts w:eastAsia="Times New Roman"/>
          <w:b/>
          <w:sz w:val="24"/>
          <w:szCs w:val="24"/>
        </w:rPr>
        <w:t xml:space="preserve"> </w:t>
      </w:r>
      <w:r w:rsidRPr="0066499A">
        <w:rPr>
          <w:rFonts w:eastAsia="Times New Roman"/>
          <w:sz w:val="24"/>
          <w:szCs w:val="24"/>
        </w:rPr>
        <w:t xml:space="preserve">прогнозирования временной зависимости объема ИКТ на 2019 и 2020 гг. необходимо знать прогнозные значения всех независимых факторов модели. Их оценки были получены на основе линейных и экспоненциальных экстраполяционных моделей. </w:t>
      </w:r>
      <w:r w:rsidRPr="0066499A">
        <w:rPr>
          <w:sz w:val="24"/>
          <w:szCs w:val="24"/>
        </w:rPr>
        <w:t>В результате применения данного метода прогнозирования получают динамические модели, в которых объем ИКТ представляется как функция времени, отражающая общую тенденцию изменения ИКТ в зависимости от потребительского спроса. Для того чтобы правильно оценить тенденции и закономерности потребления ИКТ, для экстраполяции  необходимо использовать временной ряд, который в 1,5-2 раза превышает прогнозируемый период.</w:t>
      </w:r>
    </w:p>
    <w:p w:rsidR="005A5369" w:rsidRPr="0066499A" w:rsidRDefault="005A5369" w:rsidP="005A5369">
      <w:pPr>
        <w:suppressAutoHyphens/>
        <w:ind w:firstLine="709"/>
        <w:jc w:val="both"/>
        <w:rPr>
          <w:sz w:val="24"/>
          <w:szCs w:val="24"/>
        </w:rPr>
      </w:pPr>
      <w:r w:rsidRPr="0066499A">
        <w:rPr>
          <w:rFonts w:eastAsia="Times New Roman"/>
          <w:sz w:val="24"/>
          <w:szCs w:val="24"/>
        </w:rPr>
        <w:t>Экстраполяция независимых факторов осуществлялась с помощью линейной временной регрессии методом наименьших квадратов по линейному «хвосту» временной зависимости независимого фактора. С помощью метода доверительного интервала была произведена оценка качества прогнозирования линейно-регрессионной модели.</w:t>
      </w:r>
    </w:p>
    <w:p w:rsidR="005A5369" w:rsidRPr="0066499A" w:rsidRDefault="005A5369" w:rsidP="005A5369">
      <w:pPr>
        <w:suppressAutoHyphens/>
        <w:ind w:firstLine="709"/>
        <w:jc w:val="both"/>
        <w:rPr>
          <w:sz w:val="24"/>
          <w:szCs w:val="24"/>
        </w:rPr>
      </w:pPr>
      <w:r w:rsidRPr="0066499A">
        <w:rPr>
          <w:rFonts w:eastAsia="Times New Roman"/>
          <w:sz w:val="24"/>
          <w:szCs w:val="24"/>
        </w:rPr>
        <w:t>М</w:t>
      </w:r>
      <w:r w:rsidRPr="0066499A">
        <w:rPr>
          <w:rFonts w:eastAsia="Times New Roman"/>
          <w:bCs/>
          <w:sz w:val="24"/>
          <w:szCs w:val="24"/>
        </w:rPr>
        <w:t>етодика расчета модели множественной регрессии для динамических рядов данных была применена к рядам данных по географическому признаку – по регионам РФ за 2005-2017 гг., 2005 г. и 2017 г.</w:t>
      </w:r>
    </w:p>
    <w:p w:rsidR="005A5369" w:rsidRPr="0066499A" w:rsidRDefault="005A5369" w:rsidP="005A5369">
      <w:pPr>
        <w:suppressAutoHyphens/>
        <w:ind w:firstLine="709"/>
        <w:jc w:val="both"/>
        <w:rPr>
          <w:sz w:val="24"/>
          <w:szCs w:val="24"/>
        </w:rPr>
      </w:pPr>
      <w:r w:rsidRPr="0066499A">
        <w:rPr>
          <w:bCs/>
          <w:sz w:val="24"/>
          <w:szCs w:val="24"/>
        </w:rPr>
        <w:t xml:space="preserve">Сравнение расчетных значений на 2017 г. и прогнозных значений на 2019 г. и 2020 г. по динамическим </w:t>
      </w:r>
      <w:r w:rsidRPr="0066499A">
        <w:rPr>
          <w:sz w:val="24"/>
          <w:szCs w:val="24"/>
        </w:rPr>
        <w:t xml:space="preserve">рядам данных и рядам данных по регионам РФ показало, что </w:t>
      </w:r>
      <w:r w:rsidRPr="0066499A">
        <w:rPr>
          <w:rFonts w:eastAsia="Times New Roman"/>
          <w:bCs/>
          <w:sz w:val="24"/>
          <w:szCs w:val="24"/>
        </w:rPr>
        <w:t>тенденции изменения прогнозных значений могут быть противоположными. В</w:t>
      </w:r>
      <w:r w:rsidRPr="0066499A">
        <w:rPr>
          <w:sz w:val="24"/>
          <w:szCs w:val="24"/>
        </w:rPr>
        <w:t xml:space="preserve"> модели динамических рядов данных может проявляться тенденция роста, в то время как в модели рядов по регионам – тенденция снижения</w:t>
      </w:r>
      <w:r w:rsidRPr="0066499A">
        <w:rPr>
          <w:rFonts w:eastAsia="Times New Roman"/>
          <w:bCs/>
          <w:sz w:val="24"/>
          <w:szCs w:val="24"/>
        </w:rPr>
        <w:t xml:space="preserve">. </w:t>
      </w:r>
      <w:r w:rsidRPr="0066499A">
        <w:rPr>
          <w:sz w:val="24"/>
          <w:szCs w:val="24"/>
        </w:rPr>
        <w:t>Это позволяет более точно выявить тенденции и произвести прогнозирование изменения объемов ИКТ (зависимого фактора).</w:t>
      </w:r>
    </w:p>
    <w:p w:rsidR="005A5369" w:rsidRPr="0066499A" w:rsidRDefault="005A5369" w:rsidP="005A5369">
      <w:pPr>
        <w:suppressAutoHyphens/>
        <w:ind w:firstLine="709"/>
        <w:jc w:val="both"/>
        <w:rPr>
          <w:sz w:val="24"/>
          <w:szCs w:val="24"/>
        </w:rPr>
      </w:pPr>
      <w:r w:rsidRPr="0066499A">
        <w:rPr>
          <w:sz w:val="24"/>
          <w:szCs w:val="24"/>
        </w:rPr>
        <w:t>Одним из важнейших показателей пространственной дифференциации ИКТ является общественное благосостояние. Согласно пирамиде А. Маслоу ИКТ можно отнести к высшим группам потребностей – социальные связи (ИКТ могут удовлетворить потребность общения на расстоянии; новейшие виды ИКТ могут идентифицировать человека по принадлежности к тому или иному классу), потребность в самоактуализации (ИКТ могут реализовать способности человека, его самообразование, в первую очередь за счет возможностей Интернета). В качестве субъектов исследования на данном этапе были отобраны северные регионы Российской Федерации, территории которых полностью относятся к районам Крайнего Севера и приравненным к ним местностям. Из-за отсутствия статистических данных анализ проводился в целом по региону, без деления на городскую и сельскую местность. Наблюдается сильная положительная корреляция между уровнем ВРП и количеством персональных компьютеров в домохозяйствах, коэффициент составляет от 0,85 до 0,99.</w:t>
      </w:r>
    </w:p>
    <w:p w:rsidR="005A5369" w:rsidRPr="0066499A" w:rsidRDefault="005A5369" w:rsidP="005A5369">
      <w:pPr>
        <w:suppressAutoHyphens/>
        <w:ind w:firstLine="709"/>
        <w:jc w:val="both"/>
        <w:rPr>
          <w:rStyle w:val="apple-converted-space"/>
          <w:sz w:val="24"/>
          <w:szCs w:val="24"/>
          <w:highlight w:val="yellow"/>
        </w:rPr>
      </w:pPr>
      <w:r w:rsidRPr="0066499A">
        <w:rPr>
          <w:sz w:val="24"/>
          <w:szCs w:val="24"/>
        </w:rPr>
        <w:t xml:space="preserve">Построение </w:t>
      </w:r>
      <w:r w:rsidRPr="0066499A">
        <w:rPr>
          <w:rStyle w:val="apple-converted-space"/>
          <w:sz w:val="24"/>
          <w:szCs w:val="24"/>
        </w:rPr>
        <w:t>матрицы коэффициентов парной корреляции между факторами выявило, что:</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lastRenderedPageBreak/>
        <w:t>- плотность сотовой связи напрямую зависит от удельного веса обучающихся в общеобразовательных учреждениях и численности населения с доходами ниже прожиточного минимума;</w:t>
      </w:r>
    </w:p>
    <w:p w:rsidR="005A5369" w:rsidRPr="0066499A" w:rsidRDefault="005A5369" w:rsidP="005A5369">
      <w:pPr>
        <w:suppressAutoHyphens/>
        <w:ind w:firstLine="709"/>
        <w:jc w:val="both"/>
        <w:rPr>
          <w:sz w:val="24"/>
          <w:szCs w:val="24"/>
        </w:rPr>
      </w:pPr>
      <w:r w:rsidRPr="0066499A">
        <w:rPr>
          <w:sz w:val="24"/>
          <w:szCs w:val="24"/>
        </w:rPr>
        <w:t>-  на количество абонентов мобильного широкополосного доступа в Интернет влияние оказывает индекс потребительских цен, численность, занятых в экономике и удельный вес обучающихся в образовательных учреждениях. Мобильный интернет предпочитают использовать экономически активные люди, которым интернет необходим в течение всего дня в любом месте;</w:t>
      </w:r>
    </w:p>
    <w:p w:rsidR="005A5369" w:rsidRPr="0066499A" w:rsidRDefault="005A5369" w:rsidP="005A5369">
      <w:pPr>
        <w:suppressAutoHyphens/>
        <w:ind w:firstLine="709"/>
        <w:jc w:val="both"/>
        <w:rPr>
          <w:sz w:val="24"/>
          <w:szCs w:val="24"/>
        </w:rPr>
      </w:pPr>
      <w:r w:rsidRPr="0066499A">
        <w:rPr>
          <w:rStyle w:val="apple-converted-space"/>
          <w:sz w:val="24"/>
          <w:szCs w:val="24"/>
        </w:rPr>
        <w:t>- число абонентов фиксированного широкополосного доступа в Интернет напрямую зависит от численности городского населения</w:t>
      </w:r>
      <w:r w:rsidRPr="0066499A">
        <w:rPr>
          <w:sz w:val="24"/>
          <w:szCs w:val="24"/>
        </w:rPr>
        <w:t>, ч</w:t>
      </w:r>
      <w:r w:rsidRPr="0066499A">
        <w:rPr>
          <w:rStyle w:val="apple-converted-space"/>
          <w:sz w:val="24"/>
          <w:szCs w:val="24"/>
        </w:rPr>
        <w:t>исленности, занятых в экономике</w:t>
      </w:r>
      <w:r w:rsidRPr="0066499A">
        <w:rPr>
          <w:sz w:val="24"/>
          <w:szCs w:val="24"/>
        </w:rPr>
        <w:t xml:space="preserve"> и количества </w:t>
      </w:r>
      <w:r w:rsidRPr="0066499A">
        <w:rPr>
          <w:rStyle w:val="apple-converted-space"/>
          <w:sz w:val="24"/>
          <w:szCs w:val="24"/>
        </w:rPr>
        <w:t>юридических лиц</w:t>
      </w:r>
      <w:r w:rsidRPr="0066499A">
        <w:rPr>
          <w:sz w:val="24"/>
          <w:szCs w:val="24"/>
        </w:rPr>
        <w:t xml:space="preserve">; </w:t>
      </w:r>
    </w:p>
    <w:p w:rsidR="005A5369" w:rsidRPr="0066499A" w:rsidRDefault="005A5369" w:rsidP="005A5369">
      <w:pPr>
        <w:suppressAutoHyphens/>
        <w:ind w:firstLine="709"/>
        <w:jc w:val="both"/>
        <w:rPr>
          <w:rStyle w:val="apple-converted-space"/>
          <w:sz w:val="24"/>
          <w:szCs w:val="24"/>
        </w:rPr>
      </w:pPr>
      <w:r w:rsidRPr="0066499A">
        <w:rPr>
          <w:rStyle w:val="apple-converted-space"/>
          <w:sz w:val="24"/>
          <w:szCs w:val="24"/>
        </w:rPr>
        <w:t>- доля населения, имеющего возможность принимать программы наземного эфирного аналогового телевещания так же, как и доля домохозяйств, имеющих телевизор, зависит, от уровня индекса потребительских цен.</w:t>
      </w:r>
    </w:p>
    <w:p w:rsidR="005A5369" w:rsidRPr="0066499A" w:rsidRDefault="005A5369" w:rsidP="005A5369">
      <w:pPr>
        <w:suppressAutoHyphens/>
        <w:ind w:firstLine="709"/>
        <w:jc w:val="both"/>
        <w:rPr>
          <w:rFonts w:eastAsia="Times New Roman"/>
          <w:sz w:val="24"/>
          <w:szCs w:val="24"/>
        </w:rPr>
      </w:pPr>
      <w:r w:rsidRPr="0066499A">
        <w:rPr>
          <w:rFonts w:eastAsia="Times New Roman"/>
          <w:sz w:val="24"/>
          <w:szCs w:val="24"/>
        </w:rPr>
        <w:t xml:space="preserve">Прогноз объемов различных видов </w:t>
      </w:r>
      <w:r w:rsidRPr="0066499A">
        <w:rPr>
          <w:sz w:val="24"/>
          <w:szCs w:val="24"/>
        </w:rPr>
        <w:t xml:space="preserve">ИКТ строился по выделенному первому независимому фактору. </w:t>
      </w:r>
      <w:r w:rsidRPr="0066499A">
        <w:rPr>
          <w:rFonts w:eastAsia="Times New Roman"/>
          <w:sz w:val="24"/>
          <w:szCs w:val="24"/>
        </w:rPr>
        <w:t xml:space="preserve">По прогнозу на 2019-2020 гг. в России возрастет как число абонентов мобильной связи и мобильного широкополосного доступа в Интернет, так и доля домашних хозяйств, имеющих доступ к сети Интернет в городской местности. </w:t>
      </w:r>
      <w:r w:rsidRPr="0066499A">
        <w:rPr>
          <w:rStyle w:val="apple-converted-space"/>
          <w:sz w:val="24"/>
          <w:szCs w:val="24"/>
        </w:rPr>
        <w:t xml:space="preserve">Это объясняется тем, что в настоящее время </w:t>
      </w:r>
      <w:r w:rsidRPr="0066499A">
        <w:rPr>
          <w:sz w:val="24"/>
          <w:szCs w:val="24"/>
        </w:rPr>
        <w:t>на распространение ИКТ большое влияние оказывает географический фактор. К примеру, в одном из северных регионов России Республике Коми развитие сети интернет и новейших видов мобильной связи (4</w:t>
      </w:r>
      <w:r w:rsidRPr="0066499A">
        <w:rPr>
          <w:sz w:val="24"/>
          <w:szCs w:val="24"/>
          <w:lang w:val="en-US"/>
        </w:rPr>
        <w:t>G</w:t>
      </w:r>
      <w:r w:rsidRPr="0066499A">
        <w:rPr>
          <w:sz w:val="24"/>
          <w:szCs w:val="24"/>
        </w:rPr>
        <w:t>) до сих пор происходит по транспортно-хозяйственной оси (железная дорога, автомобильные дороги). Распространение ИКТ в республике характеризуется урбанистической направленностью – в городах проживает практически две трети жителей, располагаются крупные региональные организации и филиалы федеральных организаций, крупные учреждения образования и здравоохранения. Возникает дифференциация доступа к информационно-коммуникационным услугам, как по количеству операторов, так и по качеству связи в городской и сельской местности. Конфигурация расположения сетей ИКТ приводит к возникновению одного из видов социального неравенства населения – «цифровому» неравенству</w:t>
      </w:r>
    </w:p>
    <w:p w:rsidR="005A5369" w:rsidRPr="0066499A" w:rsidRDefault="005A5369" w:rsidP="005A5369">
      <w:pPr>
        <w:suppressAutoHyphens/>
        <w:ind w:firstLine="709"/>
        <w:jc w:val="both"/>
        <w:rPr>
          <w:rFonts w:eastAsia="Times New Roman"/>
          <w:sz w:val="24"/>
          <w:szCs w:val="24"/>
        </w:rPr>
      </w:pPr>
      <w:r w:rsidRPr="0066499A">
        <w:rPr>
          <w:rFonts w:eastAsia="Times New Roman"/>
          <w:sz w:val="24"/>
          <w:szCs w:val="24"/>
        </w:rPr>
        <w:t xml:space="preserve">В сельской местности в 2019-2020 гг., как впрочем и в городской местности будет наблюдаться тенденция к снижению количество стационарных телефонных аппаратов, при чем в городской местности это будет происходить с большими темпами. </w:t>
      </w:r>
    </w:p>
    <w:p w:rsidR="005A5369" w:rsidRPr="0066499A" w:rsidRDefault="005A5369" w:rsidP="005A5369">
      <w:pPr>
        <w:suppressAutoHyphens/>
        <w:ind w:firstLine="709"/>
        <w:jc w:val="both"/>
        <w:rPr>
          <w:sz w:val="24"/>
          <w:szCs w:val="24"/>
        </w:rPr>
      </w:pPr>
      <w:r w:rsidRPr="0066499A">
        <w:rPr>
          <w:sz w:val="24"/>
          <w:szCs w:val="24"/>
        </w:rPr>
        <w:t xml:space="preserve">Таким образом, проведенный анализ </w:t>
      </w:r>
      <w:r w:rsidRPr="0066499A">
        <w:rPr>
          <w:rFonts w:eastAsia="TimesNewRomanPSMT"/>
          <w:sz w:val="24"/>
          <w:szCs w:val="24"/>
        </w:rPr>
        <w:t>позволяет сделать следующие выводы. Во-первых,</w:t>
      </w:r>
      <w:r w:rsidRPr="0066499A">
        <w:rPr>
          <w:sz w:val="24"/>
          <w:szCs w:val="24"/>
        </w:rPr>
        <w:t xml:space="preserve"> ключевыми факторами пространственной дифференциации ИКТ вляются общественное благосостояние, инновационное развитие, географические особенности региона. Во-вторых, </w:t>
      </w:r>
      <w:r w:rsidRPr="0066499A">
        <w:rPr>
          <w:rFonts w:eastAsia="TimesNewRomanPSMT"/>
          <w:sz w:val="24"/>
          <w:szCs w:val="24"/>
        </w:rPr>
        <w:t xml:space="preserve">следует констатировать, тот факт, что прогнозирование позволит рассчитать объем ИКТ и наметить пути развития информационной инфраструктуры в регионах страны. В-третьих, не смотря на то, что по стране развиваются такие ИКТ, как доступ в Интернет с помощью компьютера или мобильных гаджетов, жители сельской местности не имеют возможности получить данные услуги также полно и качественно как городские жители. Для сельской местности характерна </w:t>
      </w:r>
      <w:r w:rsidRPr="0066499A">
        <w:rPr>
          <w:sz w:val="24"/>
          <w:szCs w:val="24"/>
        </w:rPr>
        <w:t>равномерность распространения и высокая дифференциация доступа к информационно-коммуникационным услугам, как по количеству операторов, так и по качеству связи.</w:t>
      </w:r>
    </w:p>
    <w:p w:rsidR="005A5369" w:rsidRPr="0066499A" w:rsidRDefault="005A5369" w:rsidP="005A5369">
      <w:pPr>
        <w:suppressAutoHyphens/>
        <w:ind w:firstLine="709"/>
        <w:jc w:val="both"/>
        <w:rPr>
          <w:sz w:val="24"/>
          <w:szCs w:val="24"/>
        </w:rPr>
      </w:pPr>
      <w:r w:rsidRPr="0066499A">
        <w:rPr>
          <w:sz w:val="24"/>
          <w:szCs w:val="24"/>
        </w:rPr>
        <w:t xml:space="preserve">Обеспечение равных условий для развития всех видов связи, одинаковый набор услуг с единым стандартом качества, позволят устранить информационное неравенство городских и сельских территорий республики. Развитие информационной инфраструктуры в сельских населенных пунктах возможно при условии поддержки государства, т.к. частные компании по-прежнему не заинтересованы в развитии своих сетей в труднодоступных населенных пунктах. Для активизации информационно-инфраструктурного фактора эффективности базовых секторов и снижения уровня цифрового неравенства населения необходимо развивать конкуренцию на региональном рынке ИКУ, повышать качество предоставления и диверсифицировать набор социально значимых услуг на основе ИКТ, формировать </w:t>
      </w:r>
      <w:r w:rsidRPr="0066499A">
        <w:rPr>
          <w:sz w:val="24"/>
          <w:szCs w:val="24"/>
        </w:rPr>
        <w:lastRenderedPageBreak/>
        <w:t>специализированные сервисы отраслей сельской экономики.</w:t>
      </w:r>
    </w:p>
    <w:p w:rsidR="005A5369" w:rsidRPr="0066499A" w:rsidRDefault="005A5369" w:rsidP="005A5369">
      <w:pPr>
        <w:suppressAutoHyphens/>
        <w:ind w:firstLine="709"/>
        <w:jc w:val="both"/>
        <w:rPr>
          <w:b/>
          <w:sz w:val="24"/>
          <w:szCs w:val="24"/>
        </w:rPr>
      </w:pPr>
    </w:p>
    <w:p w:rsidR="005A5369" w:rsidRPr="0066499A" w:rsidRDefault="005A5369" w:rsidP="005A5369">
      <w:pPr>
        <w:suppressAutoHyphens/>
        <w:ind w:firstLine="709"/>
        <w:jc w:val="center"/>
        <w:rPr>
          <w:b/>
          <w:sz w:val="24"/>
          <w:szCs w:val="24"/>
        </w:rPr>
      </w:pPr>
      <w:r w:rsidRPr="0066499A">
        <w:rPr>
          <w:b/>
          <w:sz w:val="24"/>
          <w:szCs w:val="24"/>
        </w:rPr>
        <w:t>Библиографический список</w:t>
      </w:r>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bCs/>
          <w:sz w:val="24"/>
          <w:szCs w:val="24"/>
        </w:rPr>
        <w:t>Ole Hanseth. From systems and tools to networks and infrastructures - from design to cultivation. Towards a theory of ICT solutions and its design methodology implications</w:t>
      </w:r>
      <w:r w:rsidRPr="0066499A">
        <w:rPr>
          <w:sz w:val="24"/>
          <w:szCs w:val="24"/>
        </w:rPr>
        <w:t xml:space="preserve">. </w:t>
      </w:r>
      <w:r w:rsidRPr="0066499A">
        <w:rPr>
          <w:color w:val="000000" w:themeColor="text1"/>
          <w:sz w:val="24"/>
          <w:szCs w:val="24"/>
        </w:rPr>
        <w:t xml:space="preserve">Режим доступа: </w:t>
      </w:r>
      <w:r w:rsidRPr="0066499A">
        <w:rPr>
          <w:sz w:val="24"/>
          <w:szCs w:val="24"/>
        </w:rPr>
        <w:t xml:space="preserve">URL: </w:t>
      </w:r>
      <w:r w:rsidRPr="0066499A">
        <w:rPr>
          <w:bCs/>
          <w:sz w:val="24"/>
          <w:szCs w:val="24"/>
        </w:rPr>
        <w:t>http://heim.ifi.uio.no/~oleha/Publications/ib_ISR_3rd_resubm2.html</w:t>
      </w:r>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John P. Pironti. Key elements of a threat and vulnerability management program. </w:t>
      </w:r>
      <w:r w:rsidRPr="0066499A">
        <w:rPr>
          <w:color w:val="000000" w:themeColor="text1"/>
          <w:sz w:val="24"/>
          <w:szCs w:val="24"/>
        </w:rPr>
        <w:t xml:space="preserve">Режим доступа: </w:t>
      </w:r>
      <w:hyperlink r:id="rId8" w:history="1">
        <w:r w:rsidRPr="0066499A">
          <w:rPr>
            <w:rStyle w:val="a8"/>
            <w:rFonts w:eastAsia="Calibri"/>
            <w:sz w:val="24"/>
            <w:szCs w:val="24"/>
          </w:rPr>
          <w:t>http://iparchitects.com/wp-content/uploads/2016/07/Key-Elements-of-a-Threat-and-Vulnerability-Management-Program-ISACA-Member-Journal-May-2006.pdf</w:t>
        </w:r>
      </w:hyperlink>
    </w:p>
    <w:p w:rsidR="005A5369" w:rsidRPr="0066499A" w:rsidRDefault="005A5369" w:rsidP="005A5369">
      <w:pPr>
        <w:pStyle w:val="ab"/>
        <w:widowControl w:val="0"/>
        <w:numPr>
          <w:ilvl w:val="0"/>
          <w:numId w:val="2"/>
        </w:numPr>
        <w:suppressAutoHyphens/>
        <w:ind w:left="0" w:firstLine="709"/>
        <w:jc w:val="both"/>
        <w:rPr>
          <w:sz w:val="24"/>
          <w:szCs w:val="24"/>
          <w:lang w:val="ru-RU"/>
        </w:rPr>
      </w:pPr>
      <w:r w:rsidRPr="0066499A">
        <w:rPr>
          <w:sz w:val="24"/>
          <w:szCs w:val="24"/>
        </w:rPr>
        <w:t xml:space="preserve">John P. Pironti. Securing information infrastructure: expert advice on evaluating the new risks and structuring your defenses. </w:t>
      </w:r>
      <w:r w:rsidRPr="0066499A">
        <w:rPr>
          <w:color w:val="000000" w:themeColor="text1"/>
          <w:sz w:val="24"/>
          <w:szCs w:val="24"/>
        </w:rPr>
        <w:t xml:space="preserve">Режим доступа: </w:t>
      </w:r>
      <w:r w:rsidRPr="0066499A">
        <w:rPr>
          <w:sz w:val="24"/>
          <w:szCs w:val="24"/>
        </w:rPr>
        <w:t>http</w:t>
      </w:r>
      <w:r w:rsidRPr="0066499A">
        <w:rPr>
          <w:sz w:val="24"/>
          <w:szCs w:val="24"/>
          <w:lang w:val="ru-RU"/>
        </w:rPr>
        <w:t>://</w:t>
      </w:r>
      <w:r w:rsidRPr="0066499A">
        <w:rPr>
          <w:sz w:val="24"/>
          <w:szCs w:val="24"/>
        </w:rPr>
        <w:t>iparchitects</w:t>
      </w:r>
      <w:r w:rsidRPr="0066499A">
        <w:rPr>
          <w:sz w:val="24"/>
          <w:szCs w:val="24"/>
          <w:lang w:val="ru-RU"/>
        </w:rPr>
        <w:t>.</w:t>
      </w:r>
      <w:r w:rsidRPr="0066499A">
        <w:rPr>
          <w:sz w:val="24"/>
          <w:szCs w:val="24"/>
        </w:rPr>
        <w:t>com</w:t>
      </w:r>
      <w:r w:rsidRPr="0066499A">
        <w:rPr>
          <w:sz w:val="24"/>
          <w:szCs w:val="24"/>
          <w:lang w:val="ru-RU"/>
        </w:rPr>
        <w:t>/</w:t>
      </w:r>
      <w:r w:rsidRPr="0066499A">
        <w:rPr>
          <w:sz w:val="24"/>
          <w:szCs w:val="24"/>
        </w:rPr>
        <w:t>wp</w:t>
      </w:r>
      <w:r w:rsidRPr="0066499A">
        <w:rPr>
          <w:sz w:val="24"/>
          <w:szCs w:val="24"/>
          <w:lang w:val="ru-RU"/>
        </w:rPr>
        <w:t>-</w:t>
      </w:r>
      <w:r w:rsidRPr="0066499A">
        <w:rPr>
          <w:sz w:val="24"/>
          <w:szCs w:val="24"/>
        </w:rPr>
        <w:t>content</w:t>
      </w:r>
      <w:r w:rsidRPr="0066499A">
        <w:rPr>
          <w:sz w:val="24"/>
          <w:szCs w:val="24"/>
          <w:lang w:val="ru-RU"/>
        </w:rPr>
        <w:t>/</w:t>
      </w:r>
      <w:r w:rsidRPr="0066499A">
        <w:rPr>
          <w:sz w:val="24"/>
          <w:szCs w:val="24"/>
        </w:rPr>
        <w:t>uploads</w:t>
      </w:r>
      <w:r w:rsidRPr="0066499A">
        <w:rPr>
          <w:sz w:val="24"/>
          <w:szCs w:val="24"/>
          <w:lang w:val="ru-RU"/>
        </w:rPr>
        <w:t>/2016/07/</w:t>
      </w:r>
      <w:r w:rsidRPr="0066499A">
        <w:rPr>
          <w:sz w:val="24"/>
          <w:szCs w:val="24"/>
        </w:rPr>
        <w:t>Securing</w:t>
      </w:r>
      <w:r w:rsidRPr="0066499A">
        <w:rPr>
          <w:sz w:val="24"/>
          <w:szCs w:val="24"/>
          <w:lang w:val="ru-RU"/>
        </w:rPr>
        <w:t>-</w:t>
      </w:r>
      <w:r w:rsidRPr="0066499A">
        <w:rPr>
          <w:sz w:val="24"/>
          <w:szCs w:val="24"/>
        </w:rPr>
        <w:t>Information</w:t>
      </w:r>
      <w:r w:rsidRPr="0066499A">
        <w:rPr>
          <w:sz w:val="24"/>
          <w:szCs w:val="24"/>
          <w:lang w:val="ru-RU"/>
        </w:rPr>
        <w:t>-</w:t>
      </w:r>
      <w:r w:rsidRPr="0066499A">
        <w:rPr>
          <w:sz w:val="24"/>
          <w:szCs w:val="24"/>
        </w:rPr>
        <w:t>Infrastructure</w:t>
      </w:r>
      <w:r w:rsidRPr="0066499A">
        <w:rPr>
          <w:sz w:val="24"/>
          <w:szCs w:val="24"/>
          <w:lang w:val="ru-RU"/>
        </w:rPr>
        <w:t>.</w:t>
      </w:r>
      <w:r w:rsidRPr="0066499A">
        <w:rPr>
          <w:sz w:val="24"/>
          <w:szCs w:val="24"/>
        </w:rPr>
        <w:t>pdf</w:t>
      </w:r>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Solow R.M. Technical Change and the Aggregate Production Function. </w:t>
      </w:r>
      <w:r w:rsidRPr="0066499A">
        <w:rPr>
          <w:color w:val="000000" w:themeColor="text1"/>
          <w:sz w:val="24"/>
          <w:szCs w:val="24"/>
        </w:rPr>
        <w:t xml:space="preserve">Режим доступа: </w:t>
      </w:r>
      <w:hyperlink r:id="rId9" w:history="1">
        <w:r w:rsidRPr="0066499A">
          <w:rPr>
            <w:rStyle w:val="a8"/>
            <w:rFonts w:eastAsia="Calibri"/>
            <w:sz w:val="24"/>
            <w:szCs w:val="24"/>
          </w:rPr>
          <w:t>http://faculty.georgetown.edu/mh5/class/econ489/Solow-Growth-Accounting.pdf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Solow R.M. We'd Better Watch Out. </w:t>
      </w:r>
      <w:r w:rsidRPr="0066499A">
        <w:rPr>
          <w:color w:val="000000" w:themeColor="text1"/>
          <w:sz w:val="24"/>
          <w:szCs w:val="24"/>
        </w:rPr>
        <w:t xml:space="preserve">Режим доступа: </w:t>
      </w:r>
      <w:hyperlink r:id="rId10" w:history="1">
        <w:r w:rsidRPr="0066499A">
          <w:rPr>
            <w:rStyle w:val="a8"/>
            <w:rFonts w:eastAsia="Calibri"/>
            <w:sz w:val="24"/>
            <w:szCs w:val="24"/>
          </w:rPr>
          <w:t>http://www.standupeconomist.com/pdf/misc/solow-computer-productivity.pdf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Brynjolfsson E., Hitt L., Yang S. (2002) Intangible Assets: Computers and Organizational Capital. </w:t>
      </w:r>
      <w:r w:rsidRPr="0066499A">
        <w:rPr>
          <w:color w:val="000000" w:themeColor="text1"/>
          <w:sz w:val="24"/>
          <w:szCs w:val="24"/>
        </w:rPr>
        <w:t xml:space="preserve">Режим доступа: </w:t>
      </w:r>
      <w:r w:rsidRPr="0066499A">
        <w:rPr>
          <w:sz w:val="24"/>
          <w:szCs w:val="24"/>
        </w:rPr>
        <w:t xml:space="preserve"> http://ebusinessmit.edu /research/papers/138_Eri k_Intangible_Assets.pdf</w:t>
      </w:r>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Brynjolfsson E., Mcafee A. The Second Machine Age (2014) </w:t>
      </w:r>
      <w:r w:rsidRPr="0066499A">
        <w:rPr>
          <w:color w:val="000000" w:themeColor="text1"/>
          <w:sz w:val="24"/>
          <w:szCs w:val="24"/>
        </w:rPr>
        <w:t xml:space="preserve">Режим доступа: </w:t>
      </w:r>
      <w:hyperlink r:id="rId11" w:history="1">
        <w:r w:rsidRPr="0066499A">
          <w:rPr>
            <w:rStyle w:val="a8"/>
            <w:rFonts w:eastAsia="Calibri"/>
            <w:sz w:val="24"/>
            <w:szCs w:val="24"/>
          </w:rPr>
          <w:t>https://tanguduavinash.files.wordpress.com/2014/02/the-second-machine-age-erik-brynjolfsson2.pdf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Prashant Palviaa, Naveed Baqir, Hamid Nemati (2018) ICT for socio-economic development: A citizens’ perspective. </w:t>
      </w:r>
      <w:r w:rsidRPr="0066499A">
        <w:rPr>
          <w:color w:val="000000" w:themeColor="text1"/>
          <w:sz w:val="24"/>
          <w:szCs w:val="24"/>
        </w:rPr>
        <w:t xml:space="preserve">Режим доступа: </w:t>
      </w:r>
      <w:hyperlink r:id="rId12" w:anchor="bbib0040" w:history="1">
        <w:r w:rsidRPr="0066499A">
          <w:rPr>
            <w:rStyle w:val="a8"/>
            <w:rFonts w:eastAsia="Calibri"/>
            <w:sz w:val="24"/>
            <w:szCs w:val="24"/>
          </w:rPr>
          <w:t>https://www.sciencedirect.com/science/article/pii/S037872061730410X#bbib0040</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Thapa D.,  Sæbø Ø. (2014) </w:t>
      </w:r>
      <w:r w:rsidRPr="0066499A">
        <w:rPr>
          <w:bCs/>
          <w:sz w:val="24"/>
          <w:szCs w:val="24"/>
        </w:rPr>
        <w:t xml:space="preserve">Exploring the link between ICT and development in the context of developing countries: a literature review. </w:t>
      </w:r>
      <w:r w:rsidRPr="0066499A">
        <w:rPr>
          <w:color w:val="000000" w:themeColor="text1"/>
          <w:sz w:val="24"/>
          <w:szCs w:val="24"/>
        </w:rPr>
        <w:t xml:space="preserve">Режим доступа: </w:t>
      </w:r>
      <w:hyperlink r:id="rId13" w:history="1">
        <w:r w:rsidRPr="0066499A">
          <w:rPr>
            <w:rStyle w:val="a8"/>
            <w:rFonts w:eastAsia="Calibri"/>
            <w:sz w:val="24"/>
            <w:szCs w:val="24"/>
          </w:rPr>
          <w: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 Walsham G. (2013) Development informatics in a changing world: Reflections from ICTD2010/2012. </w:t>
      </w:r>
      <w:r w:rsidRPr="0066499A">
        <w:rPr>
          <w:color w:val="000000" w:themeColor="text1"/>
          <w:sz w:val="24"/>
          <w:szCs w:val="24"/>
        </w:rPr>
        <w:t xml:space="preserve">Режим доступа: </w:t>
      </w:r>
      <w:hyperlink r:id="rId14" w:history="1">
        <w:r w:rsidRPr="0066499A">
          <w:rPr>
            <w:rStyle w:val="a8"/>
            <w:rFonts w:eastAsia="Calibri"/>
            <w:sz w:val="24"/>
            <w:szCs w:val="24"/>
          </w:rPr>
          <w:t>http://www.itidjournal.org/index.php/itid/article/download/1030/425</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Hardy A. (1980) </w:t>
      </w:r>
      <w:r w:rsidRPr="0066499A">
        <w:rPr>
          <w:bCs/>
          <w:sz w:val="24"/>
          <w:szCs w:val="24"/>
        </w:rPr>
        <w:t xml:space="preserve">The role of the telephone in economic development. </w:t>
      </w:r>
      <w:r w:rsidRPr="0066499A">
        <w:rPr>
          <w:color w:val="000000" w:themeColor="text1"/>
          <w:sz w:val="24"/>
          <w:szCs w:val="24"/>
        </w:rPr>
        <w:t xml:space="preserve">Режим доступа: </w:t>
      </w:r>
      <w:hyperlink r:id="rId15" w:history="1">
        <w:r w:rsidRPr="0066499A">
          <w:rPr>
            <w:rStyle w:val="a8"/>
            <w:rFonts w:eastAsia="Calibri"/>
            <w:sz w:val="24"/>
            <w:szCs w:val="24"/>
          </w:rPr>
          <w:t>https://www.sciencedirect.com/science/article/abs/pii/0308596180900440</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 Chaudhuri A. (2012) </w:t>
      </w:r>
      <w:r w:rsidRPr="0066499A">
        <w:rPr>
          <w:bCs/>
          <w:sz w:val="24"/>
          <w:szCs w:val="24"/>
        </w:rPr>
        <w:t xml:space="preserve">ICT for development: solutions seeking problems &amp; quest. </w:t>
      </w:r>
      <w:r w:rsidRPr="0066499A">
        <w:rPr>
          <w:color w:val="000000" w:themeColor="text1"/>
          <w:sz w:val="24"/>
          <w:szCs w:val="24"/>
        </w:rPr>
        <w:t xml:space="preserve">Режим доступа: </w:t>
      </w:r>
      <w:hyperlink r:id="rId16" w:history="1">
        <w:r w:rsidRPr="0066499A">
          <w:rPr>
            <w:rStyle w:val="a8"/>
            <w:rFonts w:eastAsia="Calibri"/>
            <w:sz w:val="24"/>
            <w:szCs w:val="24"/>
          </w:rPr>
          <w:t>https://link.springer.com/content/pdf/10.1057%2Fjit.2012.19.pdf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Hailin Liao, Bin Wang, Baibing Li, Tom Weyman-Jones. (2016) ICT as a general-purpose technology: The productivity of ICT in the United States revisited. </w:t>
      </w:r>
      <w:r w:rsidRPr="0066499A">
        <w:rPr>
          <w:color w:val="000000" w:themeColor="text1"/>
          <w:sz w:val="24"/>
          <w:szCs w:val="24"/>
        </w:rPr>
        <w:t xml:space="preserve">Режим доступа: </w:t>
      </w:r>
      <w:hyperlink r:id="rId17" w:history="1">
        <w:r w:rsidRPr="0066499A">
          <w:rPr>
            <w:rStyle w:val="a8"/>
            <w:rFonts w:eastAsia="Calibri"/>
            <w:sz w:val="24"/>
            <w:szCs w:val="24"/>
          </w:rPr>
          <w:t>https://www.sciencedirect.com/science/article/pii/S0167624516300348</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 T.D.Stanley, Chris Doucouliagos, Piers Steel (2015) Does ICT generate economic growth? A meta-regression analysis. </w:t>
      </w:r>
      <w:r w:rsidRPr="0066499A">
        <w:rPr>
          <w:color w:val="000000" w:themeColor="text1"/>
          <w:sz w:val="24"/>
          <w:szCs w:val="24"/>
        </w:rPr>
        <w:t xml:space="preserve">Режим доступа: </w:t>
      </w:r>
      <w:r w:rsidRPr="0066499A">
        <w:rPr>
          <w:sz w:val="24"/>
          <w:szCs w:val="24"/>
        </w:rPr>
        <w:t xml:space="preserve"> </w:t>
      </w:r>
      <w:hyperlink r:id="rId18" w:history="1">
        <w:r w:rsidRPr="0066499A">
          <w:rPr>
            <w:rStyle w:val="a8"/>
            <w:rFonts w:eastAsia="Calibri"/>
            <w:sz w:val="24"/>
            <w:szCs w:val="24"/>
          </w:rPr>
          <w:t>http://pandora.nla.gov.au/pan/81264/20160208-0802/www.deakin.edu.au/__data/assets/pdf_file/0008/408761/2015_9.pdf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The Global Information Technology Report (2015) </w:t>
      </w:r>
      <w:r w:rsidRPr="0066499A">
        <w:rPr>
          <w:color w:val="000000" w:themeColor="text1"/>
          <w:sz w:val="24"/>
          <w:szCs w:val="24"/>
        </w:rPr>
        <w:t xml:space="preserve">Режим доступа: </w:t>
      </w:r>
      <w:hyperlink r:id="rId19" w:history="1">
        <w:r w:rsidRPr="0066499A">
          <w:rPr>
            <w:rStyle w:val="a8"/>
            <w:rFonts w:eastAsia="Calibri"/>
            <w:sz w:val="24"/>
            <w:szCs w:val="24"/>
          </w:rPr>
          <w:t>http://www3.weforum.org/docs/WEF_Global_IT_Report_2015.pdf</w:t>
        </w:r>
      </w:hyperlink>
      <w:r w:rsidRPr="0066499A">
        <w:rPr>
          <w:sz w:val="24"/>
          <w:szCs w:val="24"/>
        </w:rPr>
        <w:t xml:space="preserve"> </w:t>
      </w:r>
    </w:p>
    <w:p w:rsidR="005A5369" w:rsidRPr="0066499A" w:rsidRDefault="005A5369" w:rsidP="005A5369">
      <w:pPr>
        <w:pStyle w:val="ab"/>
        <w:widowControl w:val="0"/>
        <w:numPr>
          <w:ilvl w:val="0"/>
          <w:numId w:val="2"/>
        </w:numPr>
        <w:suppressAutoHyphens/>
        <w:ind w:left="0" w:firstLine="709"/>
        <w:jc w:val="both"/>
        <w:rPr>
          <w:sz w:val="24"/>
          <w:szCs w:val="24"/>
          <w:lang w:val="ru-RU"/>
        </w:rPr>
      </w:pPr>
      <w:r w:rsidRPr="0066499A">
        <w:rPr>
          <w:sz w:val="24"/>
          <w:szCs w:val="24"/>
        </w:rPr>
        <w:t xml:space="preserve">Paweł Kaczmarczyk (2017) Econometric Modelling and Forecasting of the Polish ICT Sector Development with Regard to Macroeconomic Indicators. </w:t>
      </w:r>
      <w:r w:rsidRPr="0066499A">
        <w:rPr>
          <w:color w:val="000000" w:themeColor="text1"/>
          <w:sz w:val="24"/>
          <w:szCs w:val="24"/>
        </w:rPr>
        <w:t xml:space="preserve">Режим доступа: </w:t>
      </w:r>
      <w:r w:rsidRPr="0066499A">
        <w:rPr>
          <w:sz w:val="24"/>
          <w:szCs w:val="24"/>
          <w:lang w:val="ru-RU"/>
        </w:rPr>
        <w:t xml:space="preserve"> </w:t>
      </w:r>
      <w:hyperlink r:id="rId20" w:history="1">
        <w:r w:rsidRPr="0066499A">
          <w:rPr>
            <w:rStyle w:val="a8"/>
            <w:rFonts w:eastAsia="Calibri"/>
            <w:sz w:val="24"/>
            <w:szCs w:val="24"/>
          </w:rPr>
          <w:t>http</w:t>
        </w:r>
        <w:r w:rsidRPr="0066499A">
          <w:rPr>
            <w:rStyle w:val="a8"/>
            <w:rFonts w:eastAsia="Calibri"/>
            <w:sz w:val="24"/>
            <w:szCs w:val="24"/>
            <w:lang w:val="ru-RU"/>
          </w:rPr>
          <w:t>://</w:t>
        </w:r>
        <w:r w:rsidRPr="0066499A">
          <w:rPr>
            <w:rStyle w:val="a8"/>
            <w:rFonts w:eastAsia="Calibri"/>
            <w:sz w:val="24"/>
            <w:szCs w:val="24"/>
          </w:rPr>
          <w:t>rocznikikae</w:t>
        </w:r>
        <w:r w:rsidRPr="0066499A">
          <w:rPr>
            <w:rStyle w:val="a8"/>
            <w:rFonts w:eastAsia="Calibri"/>
            <w:sz w:val="24"/>
            <w:szCs w:val="24"/>
            <w:lang w:val="ru-RU"/>
          </w:rPr>
          <w:t>.</w:t>
        </w:r>
        <w:r w:rsidRPr="0066499A">
          <w:rPr>
            <w:rStyle w:val="a8"/>
            <w:rFonts w:eastAsia="Calibri"/>
            <w:sz w:val="24"/>
            <w:szCs w:val="24"/>
          </w:rPr>
          <w:t>sgh</w:t>
        </w:r>
        <w:r w:rsidRPr="0066499A">
          <w:rPr>
            <w:rStyle w:val="a8"/>
            <w:rFonts w:eastAsia="Calibri"/>
            <w:sz w:val="24"/>
            <w:szCs w:val="24"/>
            <w:lang w:val="ru-RU"/>
          </w:rPr>
          <w:t>.</w:t>
        </w:r>
        <w:r w:rsidRPr="0066499A">
          <w:rPr>
            <w:rStyle w:val="a8"/>
            <w:rFonts w:eastAsia="Calibri"/>
            <w:sz w:val="24"/>
            <w:szCs w:val="24"/>
          </w:rPr>
          <w:t>waw</w:t>
        </w:r>
        <w:r w:rsidRPr="0066499A">
          <w:rPr>
            <w:rStyle w:val="a8"/>
            <w:rFonts w:eastAsia="Calibri"/>
            <w:sz w:val="24"/>
            <w:szCs w:val="24"/>
            <w:lang w:val="ru-RU"/>
          </w:rPr>
          <w:t>.</w:t>
        </w:r>
        <w:r w:rsidRPr="0066499A">
          <w:rPr>
            <w:rStyle w:val="a8"/>
            <w:rFonts w:eastAsia="Calibri"/>
            <w:sz w:val="24"/>
            <w:szCs w:val="24"/>
          </w:rPr>
          <w:t>pl</w:t>
        </w:r>
        <w:r w:rsidRPr="0066499A">
          <w:rPr>
            <w:rStyle w:val="a8"/>
            <w:rFonts w:eastAsia="Calibri"/>
            <w:sz w:val="24"/>
            <w:szCs w:val="24"/>
            <w:lang w:val="ru-RU"/>
          </w:rPr>
          <w:t>/</w:t>
        </w:r>
        <w:r w:rsidRPr="0066499A">
          <w:rPr>
            <w:rStyle w:val="a8"/>
            <w:rFonts w:eastAsia="Calibri"/>
            <w:sz w:val="24"/>
            <w:szCs w:val="24"/>
          </w:rPr>
          <w:t>p</w:t>
        </w:r>
        <w:r w:rsidRPr="0066499A">
          <w:rPr>
            <w:rStyle w:val="a8"/>
            <w:rFonts w:eastAsia="Calibri"/>
            <w:sz w:val="24"/>
            <w:szCs w:val="24"/>
            <w:lang w:val="ru-RU"/>
          </w:rPr>
          <w:t>/</w:t>
        </w:r>
        <w:r w:rsidRPr="0066499A">
          <w:rPr>
            <w:rStyle w:val="a8"/>
            <w:rFonts w:eastAsia="Calibri"/>
            <w:sz w:val="24"/>
            <w:szCs w:val="24"/>
          </w:rPr>
          <w:t>roczniki</w:t>
        </w:r>
        <w:r w:rsidRPr="0066499A">
          <w:rPr>
            <w:rStyle w:val="a8"/>
            <w:rFonts w:eastAsia="Calibri"/>
            <w:sz w:val="24"/>
            <w:szCs w:val="24"/>
            <w:lang w:val="ru-RU"/>
          </w:rPr>
          <w:t>_</w:t>
        </w:r>
        <w:r w:rsidRPr="0066499A">
          <w:rPr>
            <w:rStyle w:val="a8"/>
            <w:rFonts w:eastAsia="Calibri"/>
            <w:sz w:val="24"/>
            <w:szCs w:val="24"/>
          </w:rPr>
          <w:t>kae</w:t>
        </w:r>
        <w:r w:rsidRPr="0066499A">
          <w:rPr>
            <w:rStyle w:val="a8"/>
            <w:rFonts w:eastAsia="Calibri"/>
            <w:sz w:val="24"/>
            <w:szCs w:val="24"/>
            <w:lang w:val="ru-RU"/>
          </w:rPr>
          <w:t>_</w:t>
        </w:r>
        <w:r w:rsidRPr="0066499A">
          <w:rPr>
            <w:rStyle w:val="a8"/>
            <w:rFonts w:eastAsia="Calibri"/>
            <w:sz w:val="24"/>
            <w:szCs w:val="24"/>
          </w:rPr>
          <w:t>z</w:t>
        </w:r>
        <w:r w:rsidRPr="0066499A">
          <w:rPr>
            <w:rStyle w:val="a8"/>
            <w:rFonts w:eastAsia="Calibri"/>
            <w:sz w:val="24"/>
            <w:szCs w:val="24"/>
            <w:lang w:val="ru-RU"/>
          </w:rPr>
          <w:t>45_19.</w:t>
        </w:r>
        <w:r w:rsidRPr="0066499A">
          <w:rPr>
            <w:rStyle w:val="a8"/>
            <w:rFonts w:eastAsia="Calibri"/>
            <w:sz w:val="24"/>
            <w:szCs w:val="24"/>
          </w:rPr>
          <w:t>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Hui-Kuang Tiffany Yu (2015) A quantile regression model to forecast ict development. </w:t>
      </w:r>
      <w:r w:rsidRPr="0066499A">
        <w:rPr>
          <w:color w:val="000000" w:themeColor="text1"/>
          <w:sz w:val="24"/>
          <w:szCs w:val="24"/>
        </w:rPr>
        <w:t xml:space="preserve">Режим доступа: </w:t>
      </w:r>
      <w:hyperlink r:id="rId21" w:history="1">
        <w:r w:rsidRPr="0066499A">
          <w:rPr>
            <w:rStyle w:val="a8"/>
            <w:rFonts w:eastAsia="Calibri"/>
            <w:sz w:val="24"/>
            <w:szCs w:val="24"/>
          </w:rPr>
          <w:t>http://www.ismeip.org/IJIMIP/contents/imip1561/4.pdf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lastRenderedPageBreak/>
        <w:t xml:space="preserve">Forecasting the Future Demand for High-Level ICT Skills in Ireland, 2017-2022. </w:t>
      </w:r>
      <w:r w:rsidRPr="0066499A">
        <w:rPr>
          <w:color w:val="000000" w:themeColor="text1"/>
          <w:sz w:val="24"/>
          <w:szCs w:val="24"/>
        </w:rPr>
        <w:t xml:space="preserve">Режим доступа: </w:t>
      </w:r>
      <w:hyperlink r:id="rId22" w:history="1">
        <w:r w:rsidRPr="0066499A">
          <w:rPr>
            <w:rStyle w:val="a8"/>
            <w:rFonts w:eastAsia="Calibri"/>
            <w:sz w:val="24"/>
            <w:szCs w:val="24"/>
          </w:rPr>
          <w:t>https://dbei.gov.ie/en/Publications/Publication-files/Forecasting-Future-Demand-High-Level-ICT-Skills-Ireland-2017-2022.pdf</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 xml:space="preserve">Мониторинг развития информационного общества в Российской Федерации </w:t>
      </w:r>
      <w:r w:rsidRPr="0066499A">
        <w:rPr>
          <w:color w:val="000000" w:themeColor="text1"/>
          <w:sz w:val="24"/>
          <w:szCs w:val="24"/>
        </w:rPr>
        <w:t xml:space="preserve">– Режим доступа: </w:t>
      </w:r>
      <w:hyperlink r:id="rId23" w:history="1">
        <w:r w:rsidRPr="0066499A">
          <w:rPr>
            <w:rStyle w:val="a8"/>
            <w:rFonts w:eastAsia="Calibri"/>
            <w:iCs/>
            <w:sz w:val="24"/>
            <w:szCs w:val="24"/>
          </w:rPr>
          <w:t>http://www.gks.ru/wps/wcm/connect/rosstat_main/rosstat/ru/statistics/science_and_innovations/it_technology/</w:t>
        </w:r>
      </w:hyperlink>
    </w:p>
    <w:p w:rsidR="005A5369" w:rsidRPr="0066499A" w:rsidRDefault="005A5369" w:rsidP="005A5369">
      <w:pPr>
        <w:pStyle w:val="ab"/>
        <w:widowControl w:val="0"/>
        <w:numPr>
          <w:ilvl w:val="0"/>
          <w:numId w:val="2"/>
        </w:numPr>
        <w:suppressAutoHyphens/>
        <w:ind w:left="0" w:firstLine="709"/>
        <w:jc w:val="both"/>
        <w:rPr>
          <w:sz w:val="24"/>
          <w:szCs w:val="24"/>
        </w:rPr>
      </w:pPr>
      <w:r w:rsidRPr="0066499A">
        <w:rPr>
          <w:sz w:val="24"/>
          <w:szCs w:val="24"/>
        </w:rPr>
        <w:t>Регионы</w:t>
      </w:r>
      <w:r w:rsidRPr="0066499A">
        <w:rPr>
          <w:b/>
          <w:sz w:val="24"/>
          <w:szCs w:val="24"/>
        </w:rPr>
        <w:t xml:space="preserve"> </w:t>
      </w:r>
      <w:r w:rsidRPr="0066499A">
        <w:rPr>
          <w:sz w:val="24"/>
          <w:szCs w:val="24"/>
        </w:rPr>
        <w:t xml:space="preserve">России. Социально-экономические показатели. </w:t>
      </w:r>
      <w:r w:rsidRPr="0066499A">
        <w:rPr>
          <w:color w:val="000000" w:themeColor="text1"/>
          <w:sz w:val="24"/>
          <w:szCs w:val="24"/>
        </w:rPr>
        <w:t xml:space="preserve">– Режим доступа: </w:t>
      </w:r>
      <w:hyperlink r:id="rId24" w:history="1">
        <w:r w:rsidRPr="0066499A">
          <w:rPr>
            <w:rStyle w:val="a8"/>
            <w:rFonts w:eastAsia="Calibri"/>
            <w:sz w:val="24"/>
            <w:szCs w:val="24"/>
          </w:rPr>
          <w:t>http://www.gks.ru/wps/wcm/connect/rosstat_main/rosstat/ru/statistics/publications/catalog/doc_1138623506156</w:t>
        </w:r>
      </w:hyperlink>
      <w:r w:rsidRPr="0066499A">
        <w:rPr>
          <w:sz w:val="24"/>
          <w:szCs w:val="24"/>
        </w:rPr>
        <w:t xml:space="preserve"> </w:t>
      </w:r>
    </w:p>
    <w:p w:rsidR="005A5369" w:rsidRPr="0066499A" w:rsidRDefault="005A5369" w:rsidP="005A5369">
      <w:pPr>
        <w:suppressAutoHyphens/>
        <w:ind w:firstLine="709"/>
        <w:jc w:val="both"/>
        <w:rPr>
          <w:b/>
          <w:sz w:val="24"/>
          <w:szCs w:val="24"/>
        </w:rPr>
      </w:pPr>
    </w:p>
    <w:p w:rsidR="005A5369" w:rsidRPr="0066499A" w:rsidRDefault="005A5369" w:rsidP="005A5369">
      <w:pPr>
        <w:suppressAutoHyphens/>
        <w:ind w:firstLine="709"/>
        <w:jc w:val="both"/>
        <w:rPr>
          <w:sz w:val="24"/>
          <w:szCs w:val="24"/>
          <w:shd w:val="clear" w:color="auto" w:fill="FFFFFF"/>
        </w:rPr>
      </w:pPr>
      <w:r w:rsidRPr="0066499A">
        <w:rPr>
          <w:sz w:val="24"/>
          <w:szCs w:val="24"/>
        </w:rPr>
        <w:t xml:space="preserve">Куратова Любовь Александровна (Россия, Сыктывкар) – к.э.н., старший научный сотрудник лаборатории проблем территориального развития Институт социально-экономических и энергетических проблем Севера Коми научного центра Уральского отделения Российской академии наук Федерального государственного бюджетного учреждения науки Федерального исследовательского центра «Коми научный центр Уральского отделения Российской академии наук» (Республика Коми, г. Сыктывкар, ул. Коммунистическая, 26, 167982, </w:t>
      </w:r>
      <w:r w:rsidRPr="0066499A">
        <w:rPr>
          <w:sz w:val="24"/>
          <w:szCs w:val="24"/>
          <w:shd w:val="clear" w:color="auto" w:fill="FFFFFF"/>
        </w:rPr>
        <w:t>8(8212)</w:t>
      </w:r>
      <w:r w:rsidRPr="0066499A">
        <w:rPr>
          <w:sz w:val="24"/>
          <w:szCs w:val="24"/>
          <w:shd w:val="clear" w:color="auto" w:fill="FFFFFF"/>
          <w:lang w:val="en-US"/>
        </w:rPr>
        <w:t> </w:t>
      </w:r>
      <w:r w:rsidRPr="0066499A">
        <w:rPr>
          <w:sz w:val="24"/>
          <w:szCs w:val="24"/>
          <w:shd w:val="clear" w:color="auto" w:fill="FFFFFF"/>
        </w:rPr>
        <w:t>44-06-64)</w:t>
      </w:r>
    </w:p>
    <w:p w:rsidR="005A5369" w:rsidRDefault="005A5369" w:rsidP="005A5369">
      <w:pPr>
        <w:suppressAutoHyphens/>
        <w:ind w:firstLine="709"/>
        <w:jc w:val="both"/>
        <w:rPr>
          <w:b/>
          <w:sz w:val="24"/>
          <w:szCs w:val="24"/>
        </w:rPr>
      </w:pPr>
    </w:p>
    <w:p w:rsidR="005A5369" w:rsidRPr="0066499A" w:rsidRDefault="005A5369" w:rsidP="005A5369">
      <w:pPr>
        <w:suppressAutoHyphens/>
        <w:ind w:firstLine="709"/>
        <w:jc w:val="right"/>
        <w:rPr>
          <w:b/>
          <w:sz w:val="24"/>
          <w:szCs w:val="24"/>
          <w:lang w:val="en-US"/>
        </w:rPr>
      </w:pPr>
      <w:r w:rsidRPr="0066499A">
        <w:rPr>
          <w:b/>
          <w:sz w:val="24"/>
          <w:szCs w:val="24"/>
          <w:lang w:val="en-US"/>
        </w:rPr>
        <w:t>Kuratova L.A.</w:t>
      </w:r>
    </w:p>
    <w:p w:rsidR="005A5369" w:rsidRDefault="005A5369" w:rsidP="005A5369">
      <w:pPr>
        <w:pStyle w:val="a6"/>
        <w:widowControl w:val="0"/>
        <w:ind w:firstLine="709"/>
        <w:jc w:val="center"/>
        <w:rPr>
          <w:b/>
          <w:sz w:val="24"/>
          <w:szCs w:val="24"/>
        </w:rPr>
      </w:pPr>
    </w:p>
    <w:p w:rsidR="005A5369" w:rsidRPr="0066499A" w:rsidRDefault="005A5369" w:rsidP="005A5369">
      <w:pPr>
        <w:pStyle w:val="a6"/>
        <w:widowControl w:val="0"/>
        <w:ind w:firstLine="709"/>
        <w:jc w:val="center"/>
        <w:rPr>
          <w:b/>
          <w:sz w:val="24"/>
          <w:szCs w:val="24"/>
          <w:lang w:val="en-US"/>
        </w:rPr>
      </w:pPr>
      <w:r w:rsidRPr="0066499A">
        <w:rPr>
          <w:b/>
          <w:sz w:val="24"/>
          <w:szCs w:val="24"/>
          <w:lang w:val="en-US"/>
        </w:rPr>
        <w:t>FORECASTING THE DEVELOPMENT OF THE INFORMATION INFRASTRUCTURE</w:t>
      </w:r>
    </w:p>
    <w:p w:rsidR="005A5369" w:rsidRDefault="005A5369" w:rsidP="005A5369">
      <w:pPr>
        <w:suppressAutoHyphens/>
        <w:ind w:firstLine="709"/>
        <w:jc w:val="both"/>
        <w:rPr>
          <w:b/>
          <w:i/>
          <w:sz w:val="24"/>
          <w:szCs w:val="24"/>
        </w:rPr>
      </w:pPr>
    </w:p>
    <w:p w:rsidR="005A5369" w:rsidRPr="0066499A" w:rsidRDefault="005A5369" w:rsidP="005A5369">
      <w:pPr>
        <w:suppressAutoHyphens/>
        <w:ind w:firstLine="709"/>
        <w:jc w:val="both"/>
        <w:rPr>
          <w:b/>
          <w:i/>
          <w:sz w:val="24"/>
          <w:szCs w:val="24"/>
          <w:lang w:val="en-US"/>
        </w:rPr>
      </w:pPr>
      <w:r w:rsidRPr="0066499A">
        <w:rPr>
          <w:b/>
          <w:i/>
          <w:sz w:val="24"/>
          <w:szCs w:val="24"/>
          <w:lang w:val="en-US"/>
        </w:rPr>
        <w:t xml:space="preserve">Abstract: </w:t>
      </w:r>
      <w:r w:rsidRPr="0066499A">
        <w:rPr>
          <w:rFonts w:eastAsia="Times New Roman"/>
          <w:i/>
          <w:sz w:val="24"/>
          <w:szCs w:val="24"/>
          <w:lang w:val="en-US" w:eastAsia="ru-RU"/>
        </w:rPr>
        <w:t>The need to predict the development of information infrastructure arises for several reasons. First of all, due to the diversity of the Russia’s regions in terms of informatization, which has been repeatedly noted in studies, the need to apply special management methods and the development of each of the groups of regions. This article highlights the socio-economic indicators that affect the specifics of the development of various sub-sectors of the information infrastructure of Russia, including the example of one of its northern regions - the Komi Republic.</w:t>
      </w:r>
    </w:p>
    <w:p w:rsidR="005A5369" w:rsidRDefault="005A5369" w:rsidP="005A5369">
      <w:pPr>
        <w:suppressAutoHyphens/>
        <w:ind w:firstLine="709"/>
        <w:jc w:val="both"/>
        <w:rPr>
          <w:b/>
          <w:i/>
          <w:sz w:val="24"/>
          <w:szCs w:val="24"/>
        </w:rPr>
      </w:pPr>
    </w:p>
    <w:p w:rsidR="005A5369" w:rsidRPr="0066499A" w:rsidRDefault="005A5369" w:rsidP="005A5369">
      <w:pPr>
        <w:suppressAutoHyphens/>
        <w:ind w:firstLine="709"/>
        <w:jc w:val="both"/>
        <w:rPr>
          <w:b/>
          <w:i/>
          <w:sz w:val="24"/>
          <w:szCs w:val="24"/>
          <w:lang w:val="en-US"/>
        </w:rPr>
      </w:pPr>
      <w:r w:rsidRPr="0066499A">
        <w:rPr>
          <w:b/>
          <w:i/>
          <w:sz w:val="24"/>
          <w:szCs w:val="24"/>
          <w:lang w:val="en-US"/>
        </w:rPr>
        <w:t>Key words:</w:t>
      </w:r>
      <w:r w:rsidRPr="0066499A">
        <w:rPr>
          <w:rStyle w:val="s0"/>
          <w:i/>
          <w:color w:val="auto"/>
          <w:sz w:val="24"/>
          <w:szCs w:val="24"/>
          <w:lang w:val="en-US"/>
        </w:rPr>
        <w:t xml:space="preserve"> </w:t>
      </w:r>
      <w:r w:rsidRPr="0066499A">
        <w:rPr>
          <w:i/>
          <w:sz w:val="24"/>
          <w:szCs w:val="24"/>
          <w:lang w:val="en-US"/>
        </w:rPr>
        <w:t>Information and communication technologies, correlation and regression analysis, forecasting, «digital» inequality</w:t>
      </w:r>
    </w:p>
    <w:p w:rsidR="005A5369" w:rsidRPr="0066499A" w:rsidRDefault="005A5369" w:rsidP="005A5369">
      <w:pPr>
        <w:suppressAutoHyphens/>
        <w:ind w:firstLine="709"/>
        <w:jc w:val="both"/>
        <w:rPr>
          <w:rStyle w:val="s0"/>
          <w:i/>
          <w:color w:val="auto"/>
          <w:sz w:val="24"/>
          <w:szCs w:val="24"/>
          <w:lang w:val="en-US"/>
        </w:rPr>
      </w:pPr>
    </w:p>
    <w:p w:rsidR="005A5369" w:rsidRPr="0066499A" w:rsidRDefault="005A5369" w:rsidP="005A5369">
      <w:pPr>
        <w:pStyle w:val="HTML"/>
        <w:widowControl w:val="0"/>
        <w:shd w:val="clear" w:color="auto" w:fill="F8F9FA"/>
        <w:suppressAutoHyphens/>
        <w:ind w:firstLine="709"/>
        <w:jc w:val="both"/>
        <w:rPr>
          <w:rFonts w:ascii="Times New Roman" w:eastAsia="Times New Roman" w:hAnsi="Times New Roman" w:cs="Times New Roman"/>
          <w:color w:val="222222"/>
          <w:sz w:val="24"/>
          <w:szCs w:val="24"/>
          <w:lang w:val="en-US"/>
        </w:rPr>
      </w:pPr>
      <w:r w:rsidRPr="0066499A">
        <w:rPr>
          <w:rFonts w:ascii="Times New Roman" w:hAnsi="Times New Roman" w:cs="Times New Roman"/>
          <w:sz w:val="24"/>
          <w:szCs w:val="24"/>
          <w:lang w:val="en-US"/>
        </w:rPr>
        <w:t xml:space="preserve">Kuratova Lyubov Aleksandrovna (Russia, Sykryvkar) – PhD, Senior researcher of laboratory of territorial development problems, </w:t>
      </w:r>
      <w:r w:rsidRPr="0066499A">
        <w:rPr>
          <w:rStyle w:val="apple-style-span"/>
          <w:rFonts w:ascii="Times New Roman" w:eastAsiaTheme="majorEastAsia" w:hAnsi="Times New Roman" w:cs="Times New Roman"/>
          <w:sz w:val="24"/>
          <w:szCs w:val="24"/>
          <w:shd w:val="clear" w:color="auto" w:fill="FFFFFF"/>
          <w:lang w:val="en-US"/>
        </w:rPr>
        <w:t>Institute of socio-economic and</w:t>
      </w:r>
      <w:r w:rsidRPr="0066499A">
        <w:rPr>
          <w:rStyle w:val="apple-converted-space"/>
          <w:rFonts w:ascii="Times New Roman" w:hAnsi="Times New Roman" w:cs="Times New Roman"/>
          <w:sz w:val="24"/>
          <w:szCs w:val="24"/>
          <w:shd w:val="clear" w:color="auto" w:fill="FFFFFF"/>
          <w:lang w:val="en-US"/>
        </w:rPr>
        <w:t> energy p</w:t>
      </w:r>
      <w:r w:rsidRPr="0066499A">
        <w:rPr>
          <w:rStyle w:val="apple-style-span"/>
          <w:rFonts w:ascii="Times New Roman" w:eastAsiaTheme="majorEastAsia" w:hAnsi="Times New Roman" w:cs="Times New Roman"/>
          <w:sz w:val="24"/>
          <w:szCs w:val="24"/>
          <w:shd w:val="clear" w:color="auto" w:fill="FFFFFF"/>
          <w:lang w:val="en-US"/>
        </w:rPr>
        <w:t>roblems</w:t>
      </w:r>
      <w:r w:rsidRPr="0066499A">
        <w:rPr>
          <w:rFonts w:ascii="Times New Roman" w:eastAsia="Times New Roman" w:hAnsi="Times New Roman" w:cs="Times New Roman"/>
          <w:color w:val="222222"/>
          <w:sz w:val="24"/>
          <w:szCs w:val="24"/>
          <w:lang/>
        </w:rPr>
        <w:t xml:space="preserve"> of the Komi Scientific Center of the Ural Branch of the Russian Academy of Sciences of the Federal State Budgetary Institution of Science of the Federal Research Center </w:t>
      </w:r>
      <w:r w:rsidRPr="0066499A">
        <w:rPr>
          <w:rFonts w:ascii="Times New Roman" w:eastAsia="Times New Roman" w:hAnsi="Times New Roman" w:cs="Times New Roman"/>
          <w:color w:val="222222"/>
          <w:sz w:val="24"/>
          <w:szCs w:val="24"/>
          <w:lang w:val="en-US"/>
        </w:rPr>
        <w:t>«</w:t>
      </w:r>
      <w:r w:rsidRPr="0066499A">
        <w:rPr>
          <w:rFonts w:ascii="Times New Roman" w:eastAsia="Times New Roman" w:hAnsi="Times New Roman" w:cs="Times New Roman"/>
          <w:color w:val="222222"/>
          <w:sz w:val="24"/>
          <w:szCs w:val="24"/>
          <w:lang/>
        </w:rPr>
        <w:t>Komi Scientific Center of the Ural Branch of the Russian Academy of Sciences</w:t>
      </w:r>
      <w:r w:rsidRPr="0066499A">
        <w:rPr>
          <w:rFonts w:ascii="Times New Roman" w:eastAsia="Times New Roman" w:hAnsi="Times New Roman" w:cs="Times New Roman"/>
          <w:color w:val="222222"/>
          <w:sz w:val="24"/>
          <w:szCs w:val="24"/>
          <w:lang w:val="en-US"/>
        </w:rPr>
        <w:t>»</w:t>
      </w:r>
      <w:r w:rsidRPr="0066499A">
        <w:rPr>
          <w:rStyle w:val="apple-style-span"/>
          <w:rFonts w:ascii="Times New Roman" w:eastAsiaTheme="majorEastAsia" w:hAnsi="Times New Roman" w:cs="Times New Roman"/>
          <w:sz w:val="24"/>
          <w:szCs w:val="24"/>
          <w:shd w:val="clear" w:color="auto" w:fill="FFFFFF"/>
          <w:lang w:val="en-US"/>
        </w:rPr>
        <w:t xml:space="preserve"> (</w:t>
      </w:r>
      <w:r w:rsidRPr="0066499A">
        <w:rPr>
          <w:rFonts w:ascii="Times New Roman" w:hAnsi="Times New Roman" w:cs="Times New Roman"/>
          <w:sz w:val="24"/>
          <w:szCs w:val="24"/>
          <w:lang w:val="en-US"/>
        </w:rPr>
        <w:t xml:space="preserve">26, Kommunisticheskaya st., Syktyvkar, the Komi Republic, Russian Federation, 167982, </w:t>
      </w:r>
      <w:r w:rsidRPr="0066499A">
        <w:rPr>
          <w:rFonts w:ascii="Times New Roman" w:hAnsi="Times New Roman" w:cs="Times New Roman"/>
          <w:sz w:val="24"/>
          <w:szCs w:val="24"/>
          <w:shd w:val="clear" w:color="auto" w:fill="FFFFFF"/>
          <w:lang w:val="en-US"/>
        </w:rPr>
        <w:t>8(8212) 44-06-64)</w:t>
      </w:r>
    </w:p>
    <w:p w:rsidR="005A5369" w:rsidRDefault="005A5369" w:rsidP="005A5369">
      <w:pPr>
        <w:pStyle w:val="a7"/>
        <w:widowControl w:val="0"/>
        <w:suppressAutoHyphens/>
        <w:spacing w:after="0" w:line="240" w:lineRule="auto"/>
        <w:ind w:left="0" w:firstLine="709"/>
        <w:contextualSpacing w:val="0"/>
        <w:jc w:val="both"/>
        <w:rPr>
          <w:rFonts w:ascii="Times New Roman" w:hAnsi="Times New Roman"/>
          <w:b/>
          <w:sz w:val="24"/>
          <w:szCs w:val="24"/>
        </w:rPr>
      </w:pPr>
    </w:p>
    <w:p w:rsidR="005A5369" w:rsidRPr="0066499A" w:rsidRDefault="005A5369" w:rsidP="005A5369">
      <w:pPr>
        <w:pStyle w:val="a7"/>
        <w:widowControl w:val="0"/>
        <w:suppressAutoHyphens/>
        <w:spacing w:after="0" w:line="240" w:lineRule="auto"/>
        <w:ind w:left="0" w:firstLine="709"/>
        <w:contextualSpacing w:val="0"/>
        <w:jc w:val="center"/>
        <w:rPr>
          <w:rFonts w:ascii="Times New Roman" w:hAnsi="Times New Roman" w:cs="Times New Roman"/>
          <w:b/>
          <w:i/>
          <w:sz w:val="24"/>
          <w:szCs w:val="24"/>
          <w:lang w:val="en-US"/>
        </w:rPr>
      </w:pPr>
      <w:r w:rsidRPr="0066499A">
        <w:rPr>
          <w:rFonts w:ascii="Times New Roman" w:hAnsi="Times New Roman" w:cs="Times New Roman"/>
          <w:b/>
          <w:sz w:val="24"/>
          <w:szCs w:val="24"/>
          <w:lang w:val="en-US"/>
        </w:rPr>
        <w:t>REFERENCES</w:t>
      </w:r>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bCs/>
          <w:sz w:val="24"/>
          <w:szCs w:val="24"/>
        </w:rPr>
        <w:t>Ole Hanseth. From systems and tools to networks and infrastructures - from design to cultivation. Towards a theory of ICT solutions and its design methodology implications</w:t>
      </w:r>
      <w:r w:rsidRPr="0066499A">
        <w:rPr>
          <w:sz w:val="24"/>
          <w:szCs w:val="24"/>
        </w:rPr>
        <w:t xml:space="preserve">. Available at: URL: </w:t>
      </w:r>
      <w:r w:rsidRPr="0066499A">
        <w:rPr>
          <w:bCs/>
          <w:sz w:val="24"/>
          <w:szCs w:val="24"/>
        </w:rPr>
        <w:t>http://heim.ifi.uio.no/~oleha/Publications/ib_ISR_3rd_resubm2.html</w:t>
      </w:r>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John P. Pironti. Key elements of a threat and vulnerability management program. Available at:  </w:t>
      </w:r>
      <w:hyperlink r:id="rId25" w:history="1">
        <w:r w:rsidRPr="0066499A">
          <w:rPr>
            <w:rStyle w:val="a8"/>
            <w:rFonts w:eastAsia="Calibri"/>
            <w:sz w:val="24"/>
            <w:szCs w:val="24"/>
          </w:rPr>
          <w:t>http://iparchitects.com/wp-content/uploads/2016/07/Key-Elements-of-a-Threat-and-Vulnerability-Management-Program-ISACA-Member-Journal-May-2006.pdf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John P. Pironti. Securing information infrastructure: expert advice on evaluating the new risks and structuring your defenses. Available at: http://iparchitects.com/wp-content/uploads/2016/07/Securing-Information-Infrastructure.pdf</w:t>
      </w:r>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Solow R.M. Technical Change and the Aggregate Production Function. Available at: </w:t>
      </w:r>
      <w:hyperlink r:id="rId26" w:history="1">
        <w:r w:rsidRPr="0066499A">
          <w:rPr>
            <w:rStyle w:val="a8"/>
            <w:rFonts w:eastAsia="Calibri"/>
            <w:sz w:val="24"/>
            <w:szCs w:val="24"/>
          </w:rPr>
          <w:t>http://faculty.georgetown.edu/mh5/class/econ489/Solow-Growth-Accounting.pdf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Solow R.M. We'd Better Watch Out. Available at: </w:t>
      </w:r>
      <w:hyperlink r:id="rId27" w:history="1">
        <w:r w:rsidRPr="0066499A">
          <w:rPr>
            <w:rStyle w:val="a8"/>
            <w:rFonts w:eastAsia="Calibri"/>
            <w:sz w:val="24"/>
            <w:szCs w:val="24"/>
          </w:rPr>
          <w:t>http://www.standupeconomist.com/pdf/misc/solow-computer-productivity.pdf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Brynjolfsson E., Hitt L., Yang S. (2002) Intangible Assets: Computers and Organizational Capital. Available at: http://ebusinessmit.edu /research/papers/138_Eri k_Intangible_Assets.pdf</w:t>
      </w:r>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Brynjolfsson E., Mcafee A. The Second Machine Age (2014) Available at: </w:t>
      </w:r>
      <w:hyperlink r:id="rId28" w:history="1">
        <w:r w:rsidRPr="0066499A">
          <w:rPr>
            <w:rStyle w:val="a8"/>
            <w:rFonts w:eastAsia="Calibri"/>
            <w:sz w:val="24"/>
            <w:szCs w:val="24"/>
          </w:rPr>
          <w:t>https://tanguduavinash.files.wordpress.com/2014/02/the-second-machine-age-erik-brynjolfsson2.pdf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Prashant Palviaa, Naveed Baqir, Hamid Nemati (2018) ICT for socio-economic development: A citizens’ perspective. Available at: </w:t>
      </w:r>
      <w:hyperlink r:id="rId29" w:anchor="bbib0040" w:history="1">
        <w:r w:rsidRPr="0066499A">
          <w:rPr>
            <w:rStyle w:val="a8"/>
            <w:rFonts w:eastAsia="Calibri"/>
            <w:sz w:val="24"/>
            <w:szCs w:val="24"/>
          </w:rPr>
          <w:t>https://www.sciencedirect.com/science/article/pii/S037872061730410X#bbib0040</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Thapa D.,  Sæbø Ø. (2014) </w:t>
      </w:r>
      <w:r w:rsidRPr="0066499A">
        <w:rPr>
          <w:bCs/>
          <w:sz w:val="24"/>
          <w:szCs w:val="24"/>
        </w:rPr>
        <w:t xml:space="preserve">Exploring the link between ICT and development in the context of developing countries: a literature review. </w:t>
      </w:r>
      <w:r w:rsidRPr="0066499A">
        <w:rPr>
          <w:sz w:val="24"/>
          <w:szCs w:val="24"/>
        </w:rPr>
        <w:t xml:space="preserve">Available at: </w:t>
      </w:r>
      <w:hyperlink r:id="rId30" w:history="1">
        <w:r w:rsidRPr="0066499A">
          <w:rPr>
            <w:rStyle w:val="a8"/>
            <w:rFonts w:eastAsia="Calibri"/>
            <w:sz w:val="24"/>
            <w:szCs w:val="24"/>
          </w:rPr>
          <w: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 Walsham G. (2013) Development informatics in a changing world: Reflections from ICTD2010/2012. Available at:  </w:t>
      </w:r>
      <w:hyperlink r:id="rId31" w:history="1">
        <w:r w:rsidRPr="0066499A">
          <w:rPr>
            <w:rStyle w:val="a8"/>
            <w:rFonts w:eastAsia="Calibri"/>
            <w:sz w:val="24"/>
            <w:szCs w:val="24"/>
          </w:rPr>
          <w:t>http://www.itidjournal.org/index.php/itid/article/download/1030/425</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Hardy A. (1980) </w:t>
      </w:r>
      <w:r w:rsidRPr="0066499A">
        <w:rPr>
          <w:bCs/>
          <w:sz w:val="24"/>
          <w:szCs w:val="24"/>
        </w:rPr>
        <w:t xml:space="preserve">The role of the telephone in economic development. </w:t>
      </w:r>
      <w:r w:rsidRPr="0066499A">
        <w:rPr>
          <w:sz w:val="24"/>
          <w:szCs w:val="24"/>
        </w:rPr>
        <w:t xml:space="preserve">Available at: </w:t>
      </w:r>
      <w:hyperlink r:id="rId32" w:history="1">
        <w:r w:rsidRPr="0066499A">
          <w:rPr>
            <w:rStyle w:val="a8"/>
            <w:rFonts w:eastAsia="Calibri"/>
            <w:sz w:val="24"/>
            <w:szCs w:val="24"/>
          </w:rPr>
          <w:t>https://www.sciencedirect.com/science/article/abs/pii/0308596180900440</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 Chaudhuri A. (2012) </w:t>
      </w:r>
      <w:r w:rsidRPr="0066499A">
        <w:rPr>
          <w:bCs/>
          <w:sz w:val="24"/>
          <w:szCs w:val="24"/>
        </w:rPr>
        <w:t xml:space="preserve">ICT for development: solutions seeking problems &amp; quest. </w:t>
      </w:r>
      <w:r w:rsidRPr="0066499A">
        <w:rPr>
          <w:sz w:val="24"/>
          <w:szCs w:val="24"/>
        </w:rPr>
        <w:t xml:space="preserve">Available at: </w:t>
      </w:r>
      <w:hyperlink r:id="rId33" w:history="1">
        <w:r w:rsidRPr="0066499A">
          <w:rPr>
            <w:rStyle w:val="a8"/>
            <w:rFonts w:eastAsia="Calibri"/>
            <w:sz w:val="24"/>
            <w:szCs w:val="24"/>
          </w:rPr>
          <w:t>https://link.springer.com/content/pdf/10.1057%2Fjit.2012.19.pdf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Hailin Liao, Bin Wang, Baibing Li, Tom Weyman-Jones. (2016) ICT as a general-purpose technology: The productivity of ICT in the United States revisited. Available at: </w:t>
      </w:r>
      <w:hyperlink r:id="rId34" w:history="1">
        <w:r w:rsidRPr="0066499A">
          <w:rPr>
            <w:rStyle w:val="a8"/>
            <w:rFonts w:eastAsia="Calibri"/>
            <w:sz w:val="24"/>
            <w:szCs w:val="24"/>
          </w:rPr>
          <w:t>https://www.sciencedirect.com/science/article/pii/S0167624516300348</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 T.D.Stanley, Chris Doucouliagos, Piers Steel (2015) Does ICT generate economic growth? A meta-regression analysis. Available at: </w:t>
      </w:r>
      <w:hyperlink r:id="rId35" w:history="1">
        <w:r w:rsidRPr="0066499A">
          <w:rPr>
            <w:rStyle w:val="a8"/>
            <w:rFonts w:eastAsia="Calibri"/>
            <w:sz w:val="24"/>
            <w:szCs w:val="24"/>
          </w:rPr>
          <w:t>http://pandora.nla.gov.au/pan/81264/20160208-0802/www.deakin.edu.au/__data/assets/pdf_file/0008/408761/2015_9.pdf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The Global Information Technology Report (2015) Available at: </w:t>
      </w:r>
      <w:hyperlink r:id="rId36" w:history="1">
        <w:r w:rsidRPr="0066499A">
          <w:rPr>
            <w:rStyle w:val="a8"/>
            <w:rFonts w:eastAsia="Calibri"/>
            <w:sz w:val="24"/>
            <w:szCs w:val="24"/>
          </w:rPr>
          <w:t>http://www3.weforum.org/docs/WEF_Global_IT_Report_2015.pdf</w:t>
        </w:r>
      </w:hyperlink>
      <w:r w:rsidRPr="0066499A">
        <w:rPr>
          <w:sz w:val="24"/>
          <w:szCs w:val="24"/>
        </w:rPr>
        <w:t xml:space="preserve"> </w:t>
      </w:r>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Paweł Kaczmarczyk (2017) Econometric Modelling and Forecasting of the Polish ICT Sector Development with Regard to Macroeconomic Indicators. Available at: </w:t>
      </w:r>
      <w:hyperlink r:id="rId37" w:history="1">
        <w:r w:rsidRPr="0066499A">
          <w:rPr>
            <w:rStyle w:val="a8"/>
            <w:rFonts w:eastAsia="Calibri"/>
            <w:sz w:val="24"/>
            <w:szCs w:val="24"/>
          </w:rPr>
          <w:t>http://rocznikikae.sgh.waw.pl/p/roczniki_kae_z45_19.pdf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Hui-Kuang Tiffany Yu (2015) A quantile regression model to forecast ict development. Available at:  </w:t>
      </w:r>
      <w:hyperlink r:id="rId38" w:history="1">
        <w:r w:rsidRPr="0066499A">
          <w:rPr>
            <w:rStyle w:val="a8"/>
            <w:rFonts w:eastAsia="Calibri"/>
            <w:sz w:val="24"/>
            <w:szCs w:val="24"/>
          </w:rPr>
          <w:t>http://www.ismeip.org/IJIMIP/contents/imip1561/4.pdf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sz w:val="24"/>
          <w:szCs w:val="24"/>
        </w:rPr>
        <w:t xml:space="preserve">Forecasting the Future Demand for High-Level ICT Skills in Ireland, 2017-2022. Available at: </w:t>
      </w:r>
      <w:hyperlink r:id="rId39" w:history="1">
        <w:r w:rsidRPr="0066499A">
          <w:rPr>
            <w:rStyle w:val="a8"/>
            <w:rFonts w:eastAsia="Calibri"/>
            <w:sz w:val="24"/>
            <w:szCs w:val="24"/>
          </w:rPr>
          <w:t>https://dbei.gov.ie/en/Publications/Publication-files/Forecasting-Future-Demand-High-Level-ICT-Skills-Ireland-2017-2022.pdf</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rStyle w:val="tlid-translation"/>
          <w:sz w:val="24"/>
          <w:szCs w:val="24"/>
        </w:rPr>
        <w:t>Monitoring of the development of the information society in the Russian Federation</w:t>
      </w:r>
      <w:r w:rsidRPr="0066499A">
        <w:rPr>
          <w:sz w:val="24"/>
          <w:szCs w:val="24"/>
        </w:rPr>
        <w:t xml:space="preserve">. Available at: </w:t>
      </w:r>
      <w:r w:rsidRPr="0066499A">
        <w:rPr>
          <w:rStyle w:val="tlid-translation"/>
          <w:sz w:val="24"/>
          <w:szCs w:val="24"/>
        </w:rPr>
        <w:t xml:space="preserve"> </w:t>
      </w:r>
      <w:hyperlink r:id="rId40" w:history="1">
        <w:r w:rsidRPr="0066499A">
          <w:rPr>
            <w:rStyle w:val="a8"/>
            <w:rFonts w:eastAsia="Calibri"/>
            <w:iCs/>
            <w:sz w:val="24"/>
            <w:szCs w:val="24"/>
          </w:rPr>
          <w:t>http://www.gks.ru/wps/wcm/connect/rosstat_main/rosstat/ru/statistics/science_and_innovations/it_technology/</w:t>
        </w:r>
      </w:hyperlink>
    </w:p>
    <w:p w:rsidR="005A5369" w:rsidRPr="0066499A" w:rsidRDefault="005A5369" w:rsidP="005A5369">
      <w:pPr>
        <w:pStyle w:val="ab"/>
        <w:widowControl w:val="0"/>
        <w:numPr>
          <w:ilvl w:val="0"/>
          <w:numId w:val="3"/>
        </w:numPr>
        <w:suppressAutoHyphens/>
        <w:ind w:left="0" w:firstLine="709"/>
        <w:jc w:val="both"/>
        <w:rPr>
          <w:sz w:val="24"/>
          <w:szCs w:val="24"/>
        </w:rPr>
      </w:pPr>
      <w:r w:rsidRPr="0066499A">
        <w:rPr>
          <w:rStyle w:val="tlid-translation"/>
          <w:sz w:val="24"/>
          <w:szCs w:val="24"/>
        </w:rPr>
        <w:t>Russia’s regions. Socio-economic indicators</w:t>
      </w:r>
      <w:r w:rsidRPr="0066499A">
        <w:rPr>
          <w:sz w:val="24"/>
          <w:szCs w:val="24"/>
        </w:rPr>
        <w:t xml:space="preserve">. Available at: </w:t>
      </w:r>
      <w:r w:rsidRPr="0066499A">
        <w:rPr>
          <w:rStyle w:val="tlid-translation"/>
          <w:sz w:val="24"/>
          <w:szCs w:val="24"/>
        </w:rPr>
        <w:t xml:space="preserve">  </w:t>
      </w:r>
      <w:hyperlink r:id="rId41" w:history="1">
        <w:r w:rsidRPr="0066499A">
          <w:rPr>
            <w:rStyle w:val="a8"/>
            <w:rFonts w:eastAsia="Calibri"/>
            <w:sz w:val="24"/>
            <w:szCs w:val="24"/>
          </w:rPr>
          <w:t>http://www.gks.ru/wps/wcm/connect/rosstat_main/rosstat/ru/statistics/publications/catalog/doc_1138623506156</w:t>
        </w:r>
      </w:hyperlink>
      <w:r w:rsidRPr="0066499A">
        <w:rPr>
          <w:sz w:val="24"/>
          <w:szCs w:val="24"/>
        </w:rPr>
        <w:t xml:space="preserve"> </w:t>
      </w:r>
    </w:p>
    <w:p w:rsidR="005A5369" w:rsidRPr="0066499A" w:rsidRDefault="005A5369" w:rsidP="005A5369">
      <w:pPr>
        <w:suppressAutoHyphens/>
        <w:ind w:firstLine="709"/>
        <w:jc w:val="both"/>
        <w:rPr>
          <w:sz w:val="24"/>
          <w:szCs w:val="24"/>
          <w:lang w:val="en-US"/>
        </w:rPr>
      </w:pPr>
    </w:p>
    <w:p w:rsidR="00C42538" w:rsidRPr="005A5369" w:rsidRDefault="00C42538" w:rsidP="005A5369">
      <w:pPr>
        <w:rPr>
          <w:szCs w:val="28"/>
          <w:lang w:val="en-US"/>
        </w:rPr>
      </w:pPr>
    </w:p>
    <w:sectPr w:rsidR="00C42538" w:rsidRPr="005A5369" w:rsidSect="00C5078B">
      <w:footerReference w:type="even" r:id="rId42"/>
      <w:footerReference w:type="default" r:id="rId43"/>
      <w:pgSz w:w="11906" w:h="16838" w:code="9"/>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394A" w:rsidRDefault="0026394A" w:rsidP="00C9092E">
      <w:r>
        <w:separator/>
      </w:r>
    </w:p>
  </w:endnote>
  <w:endnote w:type="continuationSeparator" w:id="0">
    <w:p w:rsidR="0026394A" w:rsidRDefault="0026394A" w:rsidP="00C909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78B" w:rsidRDefault="0026394A" w:rsidP="00C5078B">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29</w:t>
    </w:r>
    <w:r>
      <w:rPr>
        <w:rStyle w:val="af0"/>
      </w:rPr>
      <w:fldChar w:fldCharType="end"/>
    </w:r>
  </w:p>
  <w:p w:rsidR="00C5078B" w:rsidRDefault="0026394A">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078B" w:rsidRDefault="0026394A" w:rsidP="00C5078B">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5A5369">
      <w:rPr>
        <w:rStyle w:val="af0"/>
        <w:noProof/>
      </w:rPr>
      <w:t>7</w:t>
    </w:r>
    <w:r>
      <w:rPr>
        <w:rStyle w:val="af0"/>
      </w:rPr>
      <w:fldChar w:fldCharType="end"/>
    </w:r>
  </w:p>
  <w:p w:rsidR="00C5078B" w:rsidRDefault="0026394A">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394A" w:rsidRDefault="0026394A" w:rsidP="00C9092E">
      <w:r>
        <w:separator/>
      </w:r>
    </w:p>
  </w:footnote>
  <w:footnote w:type="continuationSeparator" w:id="0">
    <w:p w:rsidR="0026394A" w:rsidRDefault="0026394A" w:rsidP="00C9092E">
      <w:r>
        <w:continuationSeparator/>
      </w:r>
    </w:p>
  </w:footnote>
  <w:footnote w:id="1">
    <w:p w:rsidR="005A5369" w:rsidRPr="00C5078B" w:rsidRDefault="005A5369" w:rsidP="005A5369">
      <w:pPr>
        <w:pStyle w:val="ab"/>
        <w:jc w:val="both"/>
      </w:pPr>
      <w:r w:rsidRPr="002672B3">
        <w:rPr>
          <w:rStyle w:val="ad"/>
        </w:rPr>
        <w:footnoteRef/>
      </w:r>
      <w:r w:rsidRPr="00C5078B">
        <w:t xml:space="preserve"> </w:t>
      </w:r>
      <w:r w:rsidRPr="00C5078B">
        <w:rPr>
          <w:bCs/>
          <w:color w:val="000000"/>
        </w:rPr>
        <w:t xml:space="preserve">Ole Hanseth. From systems and tools to networks and infrastructures - from design to cultivation. Towards a theory of ICT solutions and its design methodology implications </w:t>
      </w:r>
      <w:r w:rsidRPr="00C5078B">
        <w:t>[</w:t>
      </w:r>
      <w:r w:rsidRPr="002672B3">
        <w:t>Электронный</w:t>
      </w:r>
      <w:r w:rsidRPr="00C5078B">
        <w:t xml:space="preserve"> </w:t>
      </w:r>
      <w:r w:rsidRPr="002672B3">
        <w:t>ресурс</w:t>
      </w:r>
      <w:r w:rsidRPr="00C5078B">
        <w:t>] // URL:</w:t>
      </w:r>
      <w:bookmarkStart w:id="0" w:name="pgfId=14065"/>
      <w:bookmarkEnd w:id="0"/>
      <w:r w:rsidRPr="00C5078B">
        <w:t xml:space="preserve"> </w:t>
      </w:r>
      <w:r w:rsidRPr="00C5078B">
        <w:rPr>
          <w:bCs/>
          <w:color w:val="000000"/>
        </w:rPr>
        <w:t>http://heim.ifi.uio.no/~oleha/Publications/ib_ISR_3rd_resubm2.html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EE2B69"/>
    <w:multiLevelType w:val="hybridMultilevel"/>
    <w:tmpl w:val="02F4C8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C7F4331"/>
    <w:multiLevelType w:val="hybridMultilevel"/>
    <w:tmpl w:val="02F4C8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F966284"/>
    <w:multiLevelType w:val="hybridMultilevel"/>
    <w:tmpl w:val="9B383434"/>
    <w:lvl w:ilvl="0" w:tplc="190432AE">
      <w:start w:val="1"/>
      <w:numFmt w:val="decimal"/>
      <w:lvlText w:val="%1."/>
      <w:lvlJc w:val="left"/>
      <w:pPr>
        <w:ind w:left="928" w:hanging="360"/>
      </w:pPr>
      <w:rPr>
        <w:rFonts w:ascii="Times New Roman" w:eastAsia="Calibri" w:hAnsi="Times New Roman" w:cs="Times New Roman"/>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characterSpacingControl w:val="doNotCompress"/>
  <w:footnotePr>
    <w:footnote w:id="-1"/>
    <w:footnote w:id="0"/>
  </w:footnotePr>
  <w:endnotePr>
    <w:endnote w:id="-1"/>
    <w:endnote w:id="0"/>
  </w:endnotePr>
  <w:compat/>
  <w:rsids>
    <w:rsidRoot w:val="00DA7623"/>
    <w:rsid w:val="00025820"/>
    <w:rsid w:val="00026BE1"/>
    <w:rsid w:val="00064B33"/>
    <w:rsid w:val="000C0BCE"/>
    <w:rsid w:val="000C2348"/>
    <w:rsid w:val="00151BE9"/>
    <w:rsid w:val="0017189D"/>
    <w:rsid w:val="0018067C"/>
    <w:rsid w:val="00181EEF"/>
    <w:rsid w:val="001954C9"/>
    <w:rsid w:val="00196E03"/>
    <w:rsid w:val="001C124A"/>
    <w:rsid w:val="001C60A6"/>
    <w:rsid w:val="00212A51"/>
    <w:rsid w:val="00217840"/>
    <w:rsid w:val="00246793"/>
    <w:rsid w:val="0026394A"/>
    <w:rsid w:val="00264548"/>
    <w:rsid w:val="002672B3"/>
    <w:rsid w:val="002B462F"/>
    <w:rsid w:val="002D15BE"/>
    <w:rsid w:val="002D6817"/>
    <w:rsid w:val="002E123E"/>
    <w:rsid w:val="002E674F"/>
    <w:rsid w:val="00334181"/>
    <w:rsid w:val="003354B5"/>
    <w:rsid w:val="00374937"/>
    <w:rsid w:val="00380F9F"/>
    <w:rsid w:val="004054ED"/>
    <w:rsid w:val="004940C9"/>
    <w:rsid w:val="00516ED0"/>
    <w:rsid w:val="00531B50"/>
    <w:rsid w:val="005746E4"/>
    <w:rsid w:val="005A5369"/>
    <w:rsid w:val="006547FA"/>
    <w:rsid w:val="006831E3"/>
    <w:rsid w:val="006871BE"/>
    <w:rsid w:val="006B305E"/>
    <w:rsid w:val="006F573C"/>
    <w:rsid w:val="00794103"/>
    <w:rsid w:val="007F357B"/>
    <w:rsid w:val="008327D1"/>
    <w:rsid w:val="00872464"/>
    <w:rsid w:val="00873C15"/>
    <w:rsid w:val="0089148A"/>
    <w:rsid w:val="008E053C"/>
    <w:rsid w:val="00986131"/>
    <w:rsid w:val="009B7314"/>
    <w:rsid w:val="00A12DB1"/>
    <w:rsid w:val="00A17463"/>
    <w:rsid w:val="00A87101"/>
    <w:rsid w:val="00A9244E"/>
    <w:rsid w:val="00B507A9"/>
    <w:rsid w:val="00B82D2E"/>
    <w:rsid w:val="00B862D8"/>
    <w:rsid w:val="00B86607"/>
    <w:rsid w:val="00BB13CD"/>
    <w:rsid w:val="00BB5546"/>
    <w:rsid w:val="00C40B1F"/>
    <w:rsid w:val="00C41A23"/>
    <w:rsid w:val="00C42538"/>
    <w:rsid w:val="00C56DE8"/>
    <w:rsid w:val="00C9092E"/>
    <w:rsid w:val="00CC1646"/>
    <w:rsid w:val="00CC4465"/>
    <w:rsid w:val="00CF36A1"/>
    <w:rsid w:val="00D14C6C"/>
    <w:rsid w:val="00D1771B"/>
    <w:rsid w:val="00DA7623"/>
    <w:rsid w:val="00DF2D44"/>
    <w:rsid w:val="00E049D3"/>
    <w:rsid w:val="00E40099"/>
    <w:rsid w:val="00E5450C"/>
    <w:rsid w:val="00E70E32"/>
    <w:rsid w:val="00E74FCC"/>
    <w:rsid w:val="00EA5892"/>
    <w:rsid w:val="00ED12CE"/>
    <w:rsid w:val="00F7518F"/>
    <w:rsid w:val="00F9764A"/>
    <w:rsid w:val="00FB7C41"/>
    <w:rsid w:val="00FB7E15"/>
    <w:rsid w:val="00FF06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before="120"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B1F"/>
    <w:pPr>
      <w:widowControl w:val="0"/>
      <w:autoSpaceDE w:val="0"/>
      <w:autoSpaceDN w:val="0"/>
      <w:adjustRightInd w:val="0"/>
      <w:spacing w:before="0" w:after="0"/>
      <w:jc w:val="left"/>
    </w:pPr>
    <w:rPr>
      <w:rFonts w:ascii="Times New Roman" w:eastAsia="MS Mincho" w:hAnsi="Times New Roman" w:cs="Times New Roman"/>
      <w:sz w:val="20"/>
      <w:szCs w:val="20"/>
      <w:lang w:eastAsia="ja-JP"/>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A7623"/>
    <w:pPr>
      <w:widowControl/>
      <w:autoSpaceDE/>
      <w:autoSpaceDN/>
      <w:adjustRightInd/>
      <w:spacing w:before="100" w:beforeAutospacing="1" w:after="100" w:afterAutospacing="1"/>
    </w:pPr>
    <w:rPr>
      <w:rFonts w:eastAsia="Times New Roman"/>
      <w:sz w:val="24"/>
      <w:szCs w:val="24"/>
      <w:lang w:eastAsia="ru-RU"/>
    </w:rPr>
  </w:style>
  <w:style w:type="character" w:customStyle="1" w:styleId="apple-converted-space">
    <w:name w:val="apple-converted-space"/>
    <w:basedOn w:val="a0"/>
    <w:rsid w:val="00DA7623"/>
  </w:style>
  <w:style w:type="paragraph" w:styleId="a4">
    <w:name w:val="Balloon Text"/>
    <w:basedOn w:val="a"/>
    <w:link w:val="a5"/>
    <w:uiPriority w:val="99"/>
    <w:semiHidden/>
    <w:unhideWhenUsed/>
    <w:rsid w:val="00DA7623"/>
    <w:pPr>
      <w:widowControl/>
      <w:autoSpaceDE/>
      <w:autoSpaceDN/>
      <w:adjustRightInd/>
    </w:pPr>
    <w:rPr>
      <w:rFonts w:ascii="Tahoma" w:eastAsiaTheme="minorHAnsi" w:hAnsi="Tahoma" w:cs="Tahoma"/>
      <w:sz w:val="16"/>
      <w:szCs w:val="16"/>
      <w:lang w:eastAsia="en-US"/>
    </w:rPr>
  </w:style>
  <w:style w:type="character" w:customStyle="1" w:styleId="a5">
    <w:name w:val="Текст выноски Знак"/>
    <w:basedOn w:val="a0"/>
    <w:link w:val="a4"/>
    <w:uiPriority w:val="99"/>
    <w:semiHidden/>
    <w:rsid w:val="00DA7623"/>
    <w:rPr>
      <w:rFonts w:ascii="Tahoma" w:hAnsi="Tahoma" w:cs="Tahoma"/>
      <w:sz w:val="16"/>
      <w:szCs w:val="16"/>
    </w:rPr>
  </w:style>
  <w:style w:type="paragraph" w:customStyle="1" w:styleId="a6">
    <w:name w:val="Îáû÷íûé"/>
    <w:rsid w:val="00DA7623"/>
    <w:pPr>
      <w:suppressAutoHyphens/>
      <w:autoSpaceDE w:val="0"/>
      <w:spacing w:before="0" w:after="0"/>
      <w:jc w:val="left"/>
    </w:pPr>
    <w:rPr>
      <w:rFonts w:ascii="Times New Roman" w:eastAsia="Times New Roman" w:hAnsi="Times New Roman" w:cs="Times New Roman"/>
      <w:sz w:val="20"/>
      <w:szCs w:val="20"/>
      <w:lang w:eastAsia="zh-CN"/>
    </w:rPr>
  </w:style>
  <w:style w:type="paragraph" w:styleId="a7">
    <w:name w:val="List Paragraph"/>
    <w:basedOn w:val="a"/>
    <w:qFormat/>
    <w:rsid w:val="004054ED"/>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character" w:styleId="a8">
    <w:name w:val="Hyperlink"/>
    <w:basedOn w:val="a0"/>
    <w:uiPriority w:val="99"/>
    <w:unhideWhenUsed/>
    <w:rsid w:val="00CC1646"/>
    <w:rPr>
      <w:color w:val="0000FF" w:themeColor="hyperlink"/>
      <w:u w:val="single"/>
    </w:rPr>
  </w:style>
  <w:style w:type="character" w:customStyle="1" w:styleId="s0">
    <w:name w:val="s0"/>
    <w:rsid w:val="00CF36A1"/>
    <w:rPr>
      <w:rFonts w:ascii="Times New Roman" w:hAnsi="Times New Roman" w:cs="Times New Roman" w:hint="default"/>
      <w:b w:val="0"/>
      <w:bCs w:val="0"/>
      <w:i w:val="0"/>
      <w:iCs w:val="0"/>
      <w:strike w:val="0"/>
      <w:dstrike w:val="0"/>
      <w:color w:val="000000"/>
      <w:sz w:val="16"/>
      <w:szCs w:val="16"/>
      <w:u w:val="none"/>
      <w:effect w:val="none"/>
    </w:rPr>
  </w:style>
  <w:style w:type="character" w:customStyle="1" w:styleId="apple-style-span">
    <w:name w:val="apple-style-span"/>
    <w:basedOn w:val="a0"/>
    <w:rsid w:val="00C40B1F"/>
  </w:style>
  <w:style w:type="paragraph" w:styleId="a9">
    <w:name w:val="Body Text Indent"/>
    <w:aliases w:val="Основной текст 1,Нумерованный список !!,Надин стиль"/>
    <w:basedOn w:val="a"/>
    <w:link w:val="aa"/>
    <w:rsid w:val="00C40B1F"/>
    <w:pPr>
      <w:widowControl/>
      <w:autoSpaceDE/>
      <w:autoSpaceDN/>
      <w:adjustRightInd/>
      <w:ind w:firstLine="720"/>
      <w:jc w:val="both"/>
    </w:pPr>
    <w:rPr>
      <w:rFonts w:eastAsia="Times New Roman"/>
      <w:sz w:val="28"/>
      <w:lang w:eastAsia="ru-RU"/>
    </w:rPr>
  </w:style>
  <w:style w:type="character" w:customStyle="1" w:styleId="aa">
    <w:name w:val="Основной текст с отступом Знак"/>
    <w:aliases w:val="Основной текст 1 Знак,Нумерованный список !! Знак,Надин стиль Знак"/>
    <w:basedOn w:val="a0"/>
    <w:link w:val="a9"/>
    <w:rsid w:val="00C40B1F"/>
    <w:rPr>
      <w:rFonts w:ascii="Times New Roman" w:eastAsia="Times New Roman" w:hAnsi="Times New Roman" w:cs="Times New Roman"/>
      <w:sz w:val="28"/>
      <w:szCs w:val="20"/>
      <w:lang w:eastAsia="ru-RU"/>
    </w:rPr>
  </w:style>
  <w:style w:type="character" w:customStyle="1" w:styleId="go">
    <w:name w:val="go"/>
    <w:basedOn w:val="a0"/>
    <w:rsid w:val="00C40B1F"/>
  </w:style>
  <w:style w:type="paragraph" w:styleId="ab">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Table_Footnote_last,Table_Footnote_last Знак"/>
    <w:basedOn w:val="a"/>
    <w:link w:val="ac"/>
    <w:rsid w:val="00C9092E"/>
    <w:pPr>
      <w:widowControl/>
      <w:autoSpaceDE/>
      <w:autoSpaceDN/>
      <w:adjustRightInd/>
    </w:pPr>
    <w:rPr>
      <w:rFonts w:eastAsia="Times New Roman"/>
      <w:sz w:val="18"/>
      <w:szCs w:val="18"/>
      <w:lang w:val="en-US" w:eastAsia="en-US"/>
    </w:rPr>
  </w:style>
  <w:style w:type="character" w:customStyle="1" w:styleId="ac">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b"/>
    <w:rsid w:val="00C9092E"/>
    <w:rPr>
      <w:rFonts w:ascii="Times New Roman" w:eastAsia="Times New Roman" w:hAnsi="Times New Roman" w:cs="Times New Roman"/>
      <w:sz w:val="18"/>
      <w:szCs w:val="18"/>
      <w:lang w:val="en-US"/>
    </w:rPr>
  </w:style>
  <w:style w:type="character" w:styleId="ad">
    <w:name w:val="footnote reference"/>
    <w:uiPriority w:val="99"/>
    <w:semiHidden/>
    <w:rsid w:val="00C9092E"/>
    <w:rPr>
      <w:vertAlign w:val="superscript"/>
    </w:rPr>
  </w:style>
  <w:style w:type="character" w:customStyle="1" w:styleId="tlid-translation">
    <w:name w:val="tlid-translation"/>
    <w:basedOn w:val="a0"/>
    <w:rsid w:val="006831E3"/>
  </w:style>
  <w:style w:type="paragraph" w:styleId="ae">
    <w:name w:val="footer"/>
    <w:basedOn w:val="a"/>
    <w:link w:val="af"/>
    <w:rsid w:val="005A5369"/>
    <w:pPr>
      <w:widowControl/>
      <w:tabs>
        <w:tab w:val="center" w:pos="4677"/>
        <w:tab w:val="right" w:pos="9355"/>
      </w:tabs>
      <w:autoSpaceDE/>
      <w:autoSpaceDN/>
      <w:adjustRightInd/>
    </w:pPr>
    <w:rPr>
      <w:rFonts w:eastAsia="Times New Roman"/>
      <w:sz w:val="24"/>
      <w:szCs w:val="24"/>
      <w:lang w:eastAsia="ru-RU"/>
    </w:rPr>
  </w:style>
  <w:style w:type="character" w:customStyle="1" w:styleId="af">
    <w:name w:val="Нижний колонтитул Знак"/>
    <w:basedOn w:val="a0"/>
    <w:link w:val="ae"/>
    <w:rsid w:val="005A5369"/>
    <w:rPr>
      <w:rFonts w:ascii="Times New Roman" w:eastAsia="Times New Roman" w:hAnsi="Times New Roman" w:cs="Times New Roman"/>
      <w:sz w:val="24"/>
      <w:szCs w:val="24"/>
      <w:lang w:eastAsia="ru-RU"/>
    </w:rPr>
  </w:style>
  <w:style w:type="character" w:styleId="af0">
    <w:name w:val="page number"/>
    <w:basedOn w:val="a0"/>
    <w:rsid w:val="005A5369"/>
  </w:style>
  <w:style w:type="paragraph" w:styleId="HTML">
    <w:name w:val="HTML Preformatted"/>
    <w:basedOn w:val="a"/>
    <w:link w:val="HTML0"/>
    <w:uiPriority w:val="99"/>
    <w:rsid w:val="005A536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eastAsia="ru-RU"/>
    </w:rPr>
  </w:style>
  <w:style w:type="character" w:customStyle="1" w:styleId="HTML0">
    <w:name w:val="Стандартный HTML Знак"/>
    <w:basedOn w:val="a0"/>
    <w:link w:val="HTML"/>
    <w:uiPriority w:val="99"/>
    <w:rsid w:val="005A5369"/>
    <w:rPr>
      <w:rFonts w:ascii="Courier New" w:eastAsia="Calibri"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parchitects.com/wp-content/uploads/2016/07/Key-Elements-of-a-Threat-and-Vulnerability-Management-Program-ISACA-Member-Journal-May-2006.pdf" TargetMode="External"/><Relationship Id="rId13" Type="http://schemas.openxmlformats.org/officeDocument/2006/relationships/hyperlink" Targe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 TargetMode="External"/><Relationship Id="rId18" Type="http://schemas.openxmlformats.org/officeDocument/2006/relationships/hyperlink" Target="http://pandora.nla.gov.au/pan/81264/20160208-0802/www.deakin.edu.au/__data/assets/pdf_file/0008/408761/2015_9.pdf" TargetMode="External"/><Relationship Id="rId26" Type="http://schemas.openxmlformats.org/officeDocument/2006/relationships/hyperlink" Target="http://faculty.georgetown.edu/mh5/class/econ489/Solow-Growth-Accounting.pdf" TargetMode="External"/><Relationship Id="rId39" Type="http://schemas.openxmlformats.org/officeDocument/2006/relationships/hyperlink" Target="https://dbei.gov.ie/en/Publications/Publication-files/Forecasting-Future-Demand-High-Level-ICT-Skills-Ireland-2017-2022.pdf" TargetMode="External"/><Relationship Id="rId3" Type="http://schemas.openxmlformats.org/officeDocument/2006/relationships/styles" Target="styles.xml"/><Relationship Id="rId21" Type="http://schemas.openxmlformats.org/officeDocument/2006/relationships/hyperlink" Target="http://www.ismeip.org/IJIMIP/contents/imip1561/4.pdf" TargetMode="External"/><Relationship Id="rId34" Type="http://schemas.openxmlformats.org/officeDocument/2006/relationships/hyperlink" Target="https://www.sciencedirect.com/science/article/pii/S0167624516300348"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sciencedirect.com/science/article/pii/S037872061730410X" TargetMode="External"/><Relationship Id="rId17" Type="http://schemas.openxmlformats.org/officeDocument/2006/relationships/hyperlink" Target="https://www.sciencedirect.com/science/article/pii/S0167624516300348" TargetMode="External"/><Relationship Id="rId25" Type="http://schemas.openxmlformats.org/officeDocument/2006/relationships/hyperlink" Target="http://iparchitects.com/wp-content/uploads/2016/07/Key-Elements-of-a-Threat-and-Vulnerability-Management-Program-ISACA-Member-Journal-May-2006.pdf" TargetMode="External"/><Relationship Id="rId33" Type="http://schemas.openxmlformats.org/officeDocument/2006/relationships/hyperlink" Target="https://link.springer.com/content/pdf/10.1057%2Fjit.2012.19.pdf" TargetMode="External"/><Relationship Id="rId38" Type="http://schemas.openxmlformats.org/officeDocument/2006/relationships/hyperlink" Target="http://www.ismeip.org/IJIMIP/contents/imip1561/4.pdf" TargetMode="External"/><Relationship Id="rId2" Type="http://schemas.openxmlformats.org/officeDocument/2006/relationships/numbering" Target="numbering.xml"/><Relationship Id="rId16" Type="http://schemas.openxmlformats.org/officeDocument/2006/relationships/hyperlink" Target="https://link.springer.com/content/pdf/10.1057%2Fjit.2012.19.pdf" TargetMode="External"/><Relationship Id="rId20" Type="http://schemas.openxmlformats.org/officeDocument/2006/relationships/hyperlink" Target="http://rocznikikae.sgh.waw.pl/p/roczniki_kae_z45_19.pdf" TargetMode="External"/><Relationship Id="rId29" Type="http://schemas.openxmlformats.org/officeDocument/2006/relationships/hyperlink" Target="https://www.sciencedirect.com/science/article/pii/S037872061730410X" TargetMode="External"/><Relationship Id="rId41" Type="http://schemas.openxmlformats.org/officeDocument/2006/relationships/hyperlink" Target="http://www.gks.ru/wps/wcm/connect/rosstat_main/rosstat/ru/statistics/publications/catalog/doc_113862350615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nguduavinash.files.wordpress.com/2014/02/the-second-machine-age-erik-brynjolfsson2.pdf" TargetMode="External"/><Relationship Id="rId24" Type="http://schemas.openxmlformats.org/officeDocument/2006/relationships/hyperlink" Target="http://www.gks.ru/wps/wcm/connect/rosstat_main/rosstat/ru/statistics/publications/catalog/doc_1138623506156" TargetMode="External"/><Relationship Id="rId32" Type="http://schemas.openxmlformats.org/officeDocument/2006/relationships/hyperlink" Target="https://www.sciencedirect.com/science/article/abs/pii/0308596180900440" TargetMode="External"/><Relationship Id="rId37" Type="http://schemas.openxmlformats.org/officeDocument/2006/relationships/hyperlink" Target="http://rocznikikae.sgh.waw.pl/p/roczniki_kae_z45_19.pdf" TargetMode="External"/><Relationship Id="rId40" Type="http://schemas.openxmlformats.org/officeDocument/2006/relationships/hyperlink" Target="http://www.gks.ru/wps/wcm/connect/rosstat_main/rosstat/ru/statistics/science_and_innovations/it_technology/"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ciencedirect.com/science/article/abs/pii/0308596180900440" TargetMode="External"/><Relationship Id="rId23" Type="http://schemas.openxmlformats.org/officeDocument/2006/relationships/hyperlink" Target="http://www.gks.ru/wps/wcm/connect/rosstat_main/rosstat/ru/statistics/science_and_innovations/it_technology/" TargetMode="External"/><Relationship Id="rId28" Type="http://schemas.openxmlformats.org/officeDocument/2006/relationships/hyperlink" Target="https://tanguduavinash.files.wordpress.com/2014/02/the-second-machine-age-erik-brynjolfsson2.pdf" TargetMode="External"/><Relationship Id="rId36" Type="http://schemas.openxmlformats.org/officeDocument/2006/relationships/hyperlink" Target="http://www3.weforum.org/docs/WEF_Global_IT_Report_2015.pdf" TargetMode="External"/><Relationship Id="rId10" Type="http://schemas.openxmlformats.org/officeDocument/2006/relationships/hyperlink" Target="http://www.standupeconomist.com/pdf/misc/solow-computer-productivity.pdf" TargetMode="External"/><Relationship Id="rId19" Type="http://schemas.openxmlformats.org/officeDocument/2006/relationships/hyperlink" Target="http://www3.weforum.org/docs/WEF_Global_IT_Report_2015.pdf" TargetMode="External"/><Relationship Id="rId31" Type="http://schemas.openxmlformats.org/officeDocument/2006/relationships/hyperlink" Target="http://www.itidjournal.org/index.php/itid/article/download/1030/425"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faculty.georgetown.edu/mh5/class/econ489/Solow-Growth-Accounting.pdf" TargetMode="External"/><Relationship Id="rId14" Type="http://schemas.openxmlformats.org/officeDocument/2006/relationships/hyperlink" Target="http://www.itidjournal.org/index.php/itid/article/download/1030/425" TargetMode="External"/><Relationship Id="rId22" Type="http://schemas.openxmlformats.org/officeDocument/2006/relationships/hyperlink" Target="https://dbei.gov.ie/en/Publications/Publication-files/Forecasting-Future-Demand-High-Level-ICT-Skills-Ireland-2017-2022.pdf" TargetMode="External"/><Relationship Id="rId27" Type="http://schemas.openxmlformats.org/officeDocument/2006/relationships/hyperlink" Target="http://www.standupeconomist.com/pdf/misc/solow-computer-productivity.pdf" TargetMode="External"/><Relationship Id="rId30" Type="http://schemas.openxmlformats.org/officeDocument/2006/relationships/hyperlink" Targe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 TargetMode="External"/><Relationship Id="rId35" Type="http://schemas.openxmlformats.org/officeDocument/2006/relationships/hyperlink" Target="http://pandora.nla.gov.au/pan/81264/20160208-0802/www.deakin.edu.au/__data/assets/pdf_file/0008/408761/2015_9.pdf" TargetMode="External"/><Relationship Id="rId43"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8925C-D54B-4AB6-AE32-2BE9A5FD0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4324</Words>
  <Characters>24650</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28917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Куратова</dc:creator>
  <cp:lastModifiedBy>Валерий</cp:lastModifiedBy>
  <cp:revision>3</cp:revision>
  <dcterms:created xsi:type="dcterms:W3CDTF">2020-06-07T21:41:00Z</dcterms:created>
  <dcterms:modified xsi:type="dcterms:W3CDTF">2020-06-07T21:41:00Z</dcterms:modified>
</cp:coreProperties>
</file>