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E29" w:rsidRPr="00C15285" w:rsidRDefault="00F95E29" w:rsidP="00C15285">
      <w:pPr>
        <w:jc w:val="left"/>
        <w:rPr>
          <w:rFonts w:ascii="Times New Roman" w:hAnsi="Times New Roman" w:cs="Times New Roman"/>
          <w:b/>
          <w:sz w:val="24"/>
          <w:szCs w:val="24"/>
        </w:rPr>
      </w:pPr>
      <w:r w:rsidRPr="00C15285">
        <w:rPr>
          <w:rFonts w:ascii="Times New Roman" w:hAnsi="Times New Roman" w:cs="Times New Roman"/>
          <w:b/>
          <w:sz w:val="24"/>
          <w:szCs w:val="24"/>
        </w:rPr>
        <w:t xml:space="preserve">УДК </w:t>
      </w:r>
      <w:r w:rsidR="00625669" w:rsidRPr="00C15285">
        <w:rPr>
          <w:rFonts w:ascii="Times New Roman" w:hAnsi="Times New Roman" w:cs="Times New Roman"/>
          <w:b/>
          <w:color w:val="000000"/>
          <w:sz w:val="24"/>
          <w:szCs w:val="24"/>
        </w:rPr>
        <w:t>336.13</w:t>
      </w:r>
      <w:r w:rsidR="00001281">
        <w:rPr>
          <w:rFonts w:ascii="Times New Roman" w:hAnsi="Times New Roman" w:cs="Times New Roman"/>
          <w:b/>
          <w:color w:val="000000"/>
          <w:sz w:val="24"/>
          <w:szCs w:val="24"/>
        </w:rPr>
        <w:t>/ББК 65.05</w:t>
      </w:r>
    </w:p>
    <w:p w:rsidR="00F95E29" w:rsidRPr="00C15285" w:rsidRDefault="00F95E29" w:rsidP="00C15285">
      <w:pPr>
        <w:jc w:val="center"/>
        <w:rPr>
          <w:rFonts w:ascii="Times New Roman" w:hAnsi="Times New Roman" w:cs="Times New Roman"/>
          <w:b/>
          <w:sz w:val="24"/>
          <w:szCs w:val="24"/>
        </w:rPr>
      </w:pPr>
    </w:p>
    <w:p w:rsidR="00F95E29" w:rsidRPr="00C15285" w:rsidRDefault="00F95E29" w:rsidP="00C15285">
      <w:pPr>
        <w:rPr>
          <w:rFonts w:ascii="Times New Roman" w:hAnsi="Times New Roman" w:cs="Times New Roman"/>
          <w:b/>
          <w:sz w:val="24"/>
          <w:szCs w:val="24"/>
        </w:rPr>
      </w:pPr>
      <w:r w:rsidRPr="00C15285">
        <w:rPr>
          <w:rFonts w:ascii="Times New Roman" w:hAnsi="Times New Roman" w:cs="Times New Roman"/>
          <w:b/>
          <w:sz w:val="24"/>
          <w:szCs w:val="24"/>
        </w:rPr>
        <w:t>К</w:t>
      </w:r>
      <w:r w:rsidR="00DA7F4E">
        <w:rPr>
          <w:rFonts w:ascii="Times New Roman" w:hAnsi="Times New Roman" w:cs="Times New Roman"/>
          <w:b/>
          <w:sz w:val="24"/>
          <w:szCs w:val="24"/>
        </w:rPr>
        <w:t>олечков</w:t>
      </w:r>
      <w:r w:rsidRPr="00C15285">
        <w:rPr>
          <w:rFonts w:ascii="Times New Roman" w:hAnsi="Times New Roman" w:cs="Times New Roman"/>
          <w:b/>
          <w:sz w:val="24"/>
          <w:szCs w:val="24"/>
        </w:rPr>
        <w:t xml:space="preserve"> Д.В.</w:t>
      </w:r>
    </w:p>
    <w:p w:rsidR="00F95E29" w:rsidRPr="00C15285" w:rsidRDefault="00F95E29" w:rsidP="00C15285">
      <w:pPr>
        <w:jc w:val="center"/>
        <w:rPr>
          <w:rFonts w:ascii="Times New Roman" w:hAnsi="Times New Roman" w:cs="Times New Roman"/>
          <w:b/>
          <w:sz w:val="24"/>
          <w:szCs w:val="24"/>
        </w:rPr>
      </w:pPr>
    </w:p>
    <w:p w:rsidR="00C15285" w:rsidRDefault="00C15285" w:rsidP="00C15285">
      <w:pPr>
        <w:jc w:val="center"/>
        <w:rPr>
          <w:rFonts w:ascii="Times New Roman" w:hAnsi="Times New Roman" w:cs="Times New Roman"/>
          <w:b/>
          <w:sz w:val="24"/>
          <w:szCs w:val="24"/>
        </w:rPr>
      </w:pPr>
      <w:r>
        <w:rPr>
          <w:rFonts w:ascii="Times New Roman" w:hAnsi="Times New Roman" w:cs="Times New Roman"/>
          <w:b/>
          <w:sz w:val="24"/>
          <w:szCs w:val="24"/>
        </w:rPr>
        <w:t xml:space="preserve">СОВЕРШЕНСТВОВАНИЕ ПЕНСИОННОЙ СИСТЕМЫ КАК ФАКТОР </w:t>
      </w:r>
      <w:r w:rsidR="0079035B">
        <w:rPr>
          <w:rFonts w:ascii="Times New Roman" w:hAnsi="Times New Roman" w:cs="Times New Roman"/>
          <w:b/>
          <w:sz w:val="24"/>
          <w:szCs w:val="24"/>
        </w:rPr>
        <w:br/>
      </w:r>
      <w:r>
        <w:rPr>
          <w:rFonts w:ascii="Times New Roman" w:hAnsi="Times New Roman" w:cs="Times New Roman"/>
          <w:b/>
          <w:sz w:val="24"/>
          <w:szCs w:val="24"/>
        </w:rPr>
        <w:t xml:space="preserve">ПОВЫШЕНИЯ КАЧЕСТВА И УРОВНЯ ЖИЗНИ </w:t>
      </w:r>
    </w:p>
    <w:p w:rsidR="006739B4" w:rsidRDefault="006739B4" w:rsidP="00C15285">
      <w:pPr>
        <w:jc w:val="center"/>
        <w:rPr>
          <w:rFonts w:ascii="Times New Roman" w:eastAsia="Calibri" w:hAnsi="Times New Roman" w:cs="Times New Roman"/>
          <w:color w:val="000000"/>
          <w:sz w:val="24"/>
          <w:szCs w:val="24"/>
        </w:rPr>
      </w:pPr>
    </w:p>
    <w:p w:rsidR="002A58EB" w:rsidRPr="00C15285" w:rsidRDefault="00BE1177" w:rsidP="00C15285">
      <w:pPr>
        <w:pStyle w:val="a3"/>
        <w:spacing w:before="0" w:beforeAutospacing="0" w:after="0" w:afterAutospacing="0"/>
        <w:ind w:firstLine="709"/>
        <w:jc w:val="both"/>
      </w:pPr>
      <w:r w:rsidRPr="00C15285">
        <w:rPr>
          <w:b/>
        </w:rPr>
        <w:t>Аннотация.</w:t>
      </w:r>
      <w:r w:rsidRPr="00C15285">
        <w:t xml:space="preserve"> </w:t>
      </w:r>
      <w:r w:rsidR="0001300C" w:rsidRPr="00001281">
        <w:rPr>
          <w:i/>
        </w:rPr>
        <w:t xml:space="preserve">В статье </w:t>
      </w:r>
      <w:r w:rsidR="00DA7F4E" w:rsidRPr="00001281">
        <w:rPr>
          <w:i/>
        </w:rPr>
        <w:t xml:space="preserve">проанализированы финансовые ресурсы </w:t>
      </w:r>
      <w:r w:rsidR="00001281" w:rsidRPr="00001281">
        <w:rPr>
          <w:i/>
        </w:rPr>
        <w:t>П</w:t>
      </w:r>
      <w:r w:rsidR="00DA7F4E" w:rsidRPr="00001281">
        <w:rPr>
          <w:i/>
        </w:rPr>
        <w:t>енсионн</w:t>
      </w:r>
      <w:r w:rsidR="00001281" w:rsidRPr="00001281">
        <w:rPr>
          <w:i/>
        </w:rPr>
        <w:t>ого</w:t>
      </w:r>
      <w:r w:rsidR="00DA7F4E" w:rsidRPr="00001281">
        <w:rPr>
          <w:i/>
        </w:rPr>
        <w:t xml:space="preserve"> фонд</w:t>
      </w:r>
      <w:r w:rsidR="00001281" w:rsidRPr="00001281">
        <w:rPr>
          <w:i/>
        </w:rPr>
        <w:t>а</w:t>
      </w:r>
      <w:r w:rsidR="00DA7F4E" w:rsidRPr="00001281">
        <w:rPr>
          <w:i/>
        </w:rPr>
        <w:t xml:space="preserve"> Республики Коми за 2010-2016 гг. по официальным данным Росстата.  Определены  несоо</w:t>
      </w:r>
      <w:r w:rsidR="00DA7F4E" w:rsidRPr="00001281">
        <w:rPr>
          <w:i/>
        </w:rPr>
        <w:t>т</w:t>
      </w:r>
      <w:r w:rsidR="00DA7F4E" w:rsidRPr="00001281">
        <w:rPr>
          <w:i/>
        </w:rPr>
        <w:t>ветствия,  специфика  и  проблематика  формирования  доходов  и  расходов бюджет</w:t>
      </w:r>
      <w:r w:rsidR="004B13B3">
        <w:rPr>
          <w:i/>
        </w:rPr>
        <w:t>а</w:t>
      </w:r>
      <w:r w:rsidR="00DA7F4E" w:rsidRPr="00001281">
        <w:rPr>
          <w:i/>
        </w:rPr>
        <w:t xml:space="preserve"> да</w:t>
      </w:r>
      <w:r w:rsidR="00DA7F4E" w:rsidRPr="00001281">
        <w:rPr>
          <w:i/>
        </w:rPr>
        <w:t>н</w:t>
      </w:r>
      <w:r w:rsidR="00DA7F4E" w:rsidRPr="00001281">
        <w:rPr>
          <w:i/>
        </w:rPr>
        <w:t>н</w:t>
      </w:r>
      <w:r w:rsidR="004B13B3">
        <w:rPr>
          <w:i/>
        </w:rPr>
        <w:t>ого</w:t>
      </w:r>
      <w:r w:rsidR="00DA7F4E" w:rsidRPr="00001281">
        <w:rPr>
          <w:i/>
        </w:rPr>
        <w:t xml:space="preserve"> </w:t>
      </w:r>
      <w:r w:rsidR="004B13B3">
        <w:rPr>
          <w:i/>
        </w:rPr>
        <w:t>Ф</w:t>
      </w:r>
      <w:r w:rsidR="00DA7F4E" w:rsidRPr="00001281">
        <w:rPr>
          <w:i/>
        </w:rPr>
        <w:t>онд</w:t>
      </w:r>
      <w:r w:rsidR="004B13B3">
        <w:rPr>
          <w:i/>
        </w:rPr>
        <w:t>а</w:t>
      </w:r>
      <w:r w:rsidR="00DA7F4E" w:rsidRPr="00001281">
        <w:rPr>
          <w:i/>
        </w:rPr>
        <w:t>.</w:t>
      </w:r>
      <w:r w:rsidR="002A58EB" w:rsidRPr="00001281">
        <w:rPr>
          <w:i/>
        </w:rPr>
        <w:t xml:space="preserve"> </w:t>
      </w:r>
      <w:r w:rsidR="0001300C" w:rsidRPr="00001281">
        <w:rPr>
          <w:i/>
        </w:rPr>
        <w:t xml:space="preserve">Рассмотрены основные этапы реформирования пенсионной системы. </w:t>
      </w:r>
      <w:r w:rsidR="00425A7A" w:rsidRPr="00001281">
        <w:rPr>
          <w:i/>
        </w:rPr>
        <w:t>Обозн</w:t>
      </w:r>
      <w:r w:rsidR="00425A7A" w:rsidRPr="00001281">
        <w:rPr>
          <w:i/>
        </w:rPr>
        <w:t>а</w:t>
      </w:r>
      <w:r w:rsidR="00425A7A" w:rsidRPr="00001281">
        <w:rPr>
          <w:i/>
        </w:rPr>
        <w:t xml:space="preserve">чены </w:t>
      </w:r>
      <w:r w:rsidR="002A58EB" w:rsidRPr="00001281">
        <w:rPr>
          <w:i/>
        </w:rPr>
        <w:t>основные проблемы перспективного развития системы пенсионного обеспечения.</w:t>
      </w:r>
      <w:r w:rsidR="002A58EB" w:rsidRPr="00C15285">
        <w:t xml:space="preserve"> </w:t>
      </w:r>
    </w:p>
    <w:p w:rsidR="00625842" w:rsidRPr="00C15285" w:rsidRDefault="00625842" w:rsidP="00C15285">
      <w:pPr>
        <w:pStyle w:val="a3"/>
        <w:spacing w:before="0" w:beforeAutospacing="0" w:after="0" w:afterAutospacing="0"/>
        <w:ind w:firstLine="709"/>
        <w:jc w:val="both"/>
      </w:pPr>
      <w:r w:rsidRPr="00C15285">
        <w:rPr>
          <w:b/>
        </w:rPr>
        <w:t xml:space="preserve">Ключевые слова. </w:t>
      </w:r>
      <w:r w:rsidRPr="00001281">
        <w:rPr>
          <w:i/>
        </w:rPr>
        <w:t>Пенсионный фонд. Доходы. Расходы. Дефицит бюджета. Ме</w:t>
      </w:r>
      <w:r w:rsidRPr="00001281">
        <w:rPr>
          <w:i/>
        </w:rPr>
        <w:t>ж</w:t>
      </w:r>
      <w:r w:rsidRPr="00001281">
        <w:rPr>
          <w:i/>
        </w:rPr>
        <w:t>бюджетные трансферты. Ст</w:t>
      </w:r>
      <w:r w:rsidR="00317712" w:rsidRPr="00001281">
        <w:rPr>
          <w:i/>
        </w:rPr>
        <w:t>р</w:t>
      </w:r>
      <w:r w:rsidRPr="00001281">
        <w:rPr>
          <w:i/>
        </w:rPr>
        <w:t>аховые взносы. Страховая и накопительная часть пенсии.</w:t>
      </w:r>
      <w:r w:rsidR="00425A7A" w:rsidRPr="00001281">
        <w:rPr>
          <w:i/>
        </w:rPr>
        <w:t xml:space="preserve"> Коэффициент замещения пенсий.</w:t>
      </w:r>
    </w:p>
    <w:p w:rsidR="0079035B" w:rsidRDefault="0079035B" w:rsidP="00C15285">
      <w:pPr>
        <w:pStyle w:val="a3"/>
        <w:spacing w:before="0" w:beforeAutospacing="0" w:after="0" w:afterAutospacing="0"/>
        <w:ind w:firstLine="709"/>
        <w:jc w:val="both"/>
      </w:pPr>
    </w:p>
    <w:p w:rsidR="0079035B" w:rsidRDefault="0079035B" w:rsidP="0079035B">
      <w:pPr>
        <w:pStyle w:val="a3"/>
        <w:spacing w:before="0" w:beforeAutospacing="0" w:after="0" w:afterAutospacing="0"/>
        <w:ind w:firstLine="709"/>
        <w:jc w:val="both"/>
      </w:pPr>
      <w:r>
        <w:t>В</w:t>
      </w:r>
      <w:r w:rsidRPr="00C15285">
        <w:t xml:space="preserve"> финансовой системе страны </w:t>
      </w:r>
      <w:r>
        <w:t>п</w:t>
      </w:r>
      <w:r w:rsidR="00425A7A" w:rsidRPr="00C15285">
        <w:t>енсионное обеспечение</w:t>
      </w:r>
      <w:r w:rsidR="00425A7A" w:rsidRPr="00C15285">
        <w:rPr>
          <w:b/>
        </w:rPr>
        <w:t xml:space="preserve"> </w:t>
      </w:r>
      <w:r w:rsidR="0060425D" w:rsidRPr="0060425D">
        <w:t xml:space="preserve">играет </w:t>
      </w:r>
      <w:r w:rsidR="0060425D">
        <w:t>важную роль</w:t>
      </w:r>
      <w:r w:rsidR="00425A7A" w:rsidRPr="00C15285">
        <w:t xml:space="preserve">. </w:t>
      </w:r>
      <w:r w:rsidR="0060425D">
        <w:t>В п</w:t>
      </w:r>
      <w:r w:rsidR="0060425D">
        <w:t>о</w:t>
      </w:r>
      <w:r w:rsidR="0060425D">
        <w:t>следнем обращении Президента России к Федеральному собранию одним из главных орие</w:t>
      </w:r>
      <w:r w:rsidR="0060425D">
        <w:t>н</w:t>
      </w:r>
      <w:r w:rsidR="0060425D">
        <w:t xml:space="preserve">тиров социально-экономического развития страны послужили поставленные задачи </w:t>
      </w:r>
      <w:r w:rsidR="00425A7A" w:rsidRPr="00C15285">
        <w:t>по п</w:t>
      </w:r>
      <w:r w:rsidR="00425A7A" w:rsidRPr="00C15285">
        <w:t>о</w:t>
      </w:r>
      <w:r w:rsidR="00425A7A" w:rsidRPr="00C15285">
        <w:t>вышению уровня и качества жизни населения, в том</w:t>
      </w:r>
      <w:r>
        <w:t xml:space="preserve"> числе</w:t>
      </w:r>
      <w:r w:rsidR="00425A7A" w:rsidRPr="00C15285">
        <w:t xml:space="preserve"> </w:t>
      </w:r>
      <w:r w:rsidR="00A63E58" w:rsidRPr="00C15285">
        <w:t>роста размера пенсий и увелич</w:t>
      </w:r>
      <w:r w:rsidR="00A63E58" w:rsidRPr="00C15285">
        <w:t>е</w:t>
      </w:r>
      <w:r w:rsidR="00A63E58" w:rsidRPr="00C15285">
        <w:t>ния</w:t>
      </w:r>
      <w:r w:rsidR="0060425D">
        <w:t xml:space="preserve"> средней</w:t>
      </w:r>
      <w:r w:rsidR="00A63E58" w:rsidRPr="00C15285">
        <w:t xml:space="preserve"> продолжительности жизни</w:t>
      </w:r>
      <w:r w:rsidR="0060425D">
        <w:t>, что</w:t>
      </w:r>
      <w:r w:rsidR="00A63E58" w:rsidRPr="00C15285">
        <w:t xml:space="preserve"> невозможно без </w:t>
      </w:r>
      <w:r w:rsidR="0060425D">
        <w:t>совершенствования</w:t>
      </w:r>
      <w:r w:rsidR="00A63E58" w:rsidRPr="00C15285">
        <w:t xml:space="preserve"> пенсионной системы. </w:t>
      </w:r>
    </w:p>
    <w:p w:rsidR="00761CFE" w:rsidRPr="00C15285" w:rsidRDefault="00761CFE" w:rsidP="00C15285">
      <w:pPr>
        <w:pStyle w:val="a3"/>
        <w:spacing w:before="0" w:beforeAutospacing="0" w:after="0" w:afterAutospacing="0"/>
        <w:ind w:firstLine="709"/>
        <w:jc w:val="both"/>
      </w:pPr>
      <w:r w:rsidRPr="00C15285">
        <w:t>Пенсионное обеспечение населения в различных формах на протяжении многих веков играло важную роль в разных странах, но системный  характер  оно  начало  приобретать лишь в конце XIX – начале XX в. С тех пор и по сегодняшний день в большинстве стран м</w:t>
      </w:r>
      <w:r w:rsidRPr="00C15285">
        <w:t>и</w:t>
      </w:r>
      <w:r w:rsidRPr="00C15285">
        <w:t>ра продолжается непрерывный процесс эволюции пенсионных систем. За это время сформ</w:t>
      </w:r>
      <w:r w:rsidRPr="00C15285">
        <w:t>и</w:t>
      </w:r>
      <w:r w:rsidRPr="00C15285">
        <w:t>ровалась общепринятая классификация с делением двух основных типов пенсионных си</w:t>
      </w:r>
      <w:r w:rsidRPr="00C15285">
        <w:t>с</w:t>
      </w:r>
      <w:r w:rsidRPr="00C15285">
        <w:t>тем: распределительная (пенсионные отчисления идут на текущие пенсионные выплаты) и накопительная (пенсионные отчисления формируются на индивидуальных счетах и инвест</w:t>
      </w:r>
      <w:r w:rsidRPr="00C15285">
        <w:t>и</w:t>
      </w:r>
      <w:r w:rsidRPr="00C15285">
        <w:t xml:space="preserve">руются в различные активы на финансовом рынке, а инвестиционный доход увеличивает итоговую пенсию) </w:t>
      </w:r>
      <w:r w:rsidR="00653B96" w:rsidRPr="00C15285">
        <w:t>[</w:t>
      </w:r>
      <w:r w:rsidR="00303C9F">
        <w:t>7</w:t>
      </w:r>
      <w:r w:rsidR="00653B96" w:rsidRPr="00C15285">
        <w:t>, с. 259].</w:t>
      </w:r>
    </w:p>
    <w:p w:rsidR="00761CFE" w:rsidRPr="00C15285" w:rsidRDefault="00761CFE" w:rsidP="00C15285">
      <w:pPr>
        <w:pStyle w:val="a3"/>
        <w:spacing w:before="0" w:beforeAutospacing="0" w:after="0" w:afterAutospacing="0"/>
        <w:ind w:firstLine="709"/>
        <w:jc w:val="both"/>
      </w:pPr>
      <w:r w:rsidRPr="00C15285">
        <w:t>В чистом виде накопительная и распределительная модели редко присутствуют в м</w:t>
      </w:r>
      <w:r w:rsidRPr="00C15285">
        <w:t>и</w:t>
      </w:r>
      <w:r w:rsidRPr="00C15285">
        <w:t>ровой практике, равно как и модель, в которой одновременно присутствовали бы и обяз</w:t>
      </w:r>
      <w:r w:rsidRPr="00C15285">
        <w:t>а</w:t>
      </w:r>
      <w:r w:rsidRPr="00C15285">
        <w:t>тельная, и добровольная накопительная части. Среди стран ОЭСР такая комбинация сущес</w:t>
      </w:r>
      <w:r w:rsidRPr="00C15285">
        <w:t>т</w:t>
      </w:r>
      <w:r w:rsidRPr="00C15285">
        <w:t xml:space="preserve">вует только в Норвегии. В этой стране управлением пенсионными средствами занимается пенсионный фонд, подчинённый Министерству финансов </w:t>
      </w:r>
      <w:r w:rsidR="00653B96" w:rsidRPr="00C15285">
        <w:t>[</w:t>
      </w:r>
      <w:r w:rsidR="00F20E27" w:rsidRPr="00C15285">
        <w:t>1</w:t>
      </w:r>
      <w:r w:rsidR="00653B96" w:rsidRPr="00C15285">
        <w:t>, с. 283].</w:t>
      </w:r>
    </w:p>
    <w:p w:rsidR="00232E62" w:rsidRPr="00C15285" w:rsidRDefault="00761CFE" w:rsidP="00C15285">
      <w:pPr>
        <w:pStyle w:val="a3"/>
        <w:spacing w:before="0" w:beforeAutospacing="0" w:after="0" w:afterAutospacing="0"/>
        <w:ind w:firstLine="709"/>
        <w:jc w:val="both"/>
      </w:pPr>
      <w:r w:rsidRPr="00C15285">
        <w:t xml:space="preserve"> </w:t>
      </w:r>
      <w:r w:rsidR="00232E62" w:rsidRPr="00C15285">
        <w:t xml:space="preserve">Основной принцип организации государственных пенсионных фондов </w:t>
      </w:r>
      <w:r w:rsidR="00524204" w:rsidRPr="00C15285">
        <w:t>–</w:t>
      </w:r>
      <w:r w:rsidR="00232E62" w:rsidRPr="00C15285">
        <w:t xml:space="preserve"> солида</w:t>
      </w:r>
      <w:r w:rsidR="00232E62" w:rsidRPr="00C15285">
        <w:t>р</w:t>
      </w:r>
      <w:r w:rsidR="00232E62" w:rsidRPr="00C15285">
        <w:t>ность поколений.</w:t>
      </w:r>
      <w:r w:rsidR="00524204" w:rsidRPr="00C15285">
        <w:t xml:space="preserve"> </w:t>
      </w:r>
      <w:r w:rsidR="00232E62" w:rsidRPr="00C15285">
        <w:t>Важное принципиальное отличие негосударственной пенсионной системы от государственной состоит в том, что здесь не применяется принцип солидарности покол</w:t>
      </w:r>
      <w:r w:rsidR="00232E62" w:rsidRPr="00C15285">
        <w:t>е</w:t>
      </w:r>
      <w:r w:rsidR="00232E62" w:rsidRPr="00C15285">
        <w:t>ний, а действует принцип долгосрочного индивидуального накопления пенсий.</w:t>
      </w:r>
    </w:p>
    <w:p w:rsidR="00232E62" w:rsidRPr="00C15285" w:rsidRDefault="00232E62" w:rsidP="00C15285">
      <w:pPr>
        <w:pStyle w:val="a3"/>
        <w:shd w:val="clear" w:color="auto" w:fill="FFFFFF"/>
        <w:spacing w:before="0" w:beforeAutospacing="0" w:after="0" w:afterAutospacing="0"/>
        <w:ind w:firstLine="709"/>
        <w:jc w:val="both"/>
        <w:rPr>
          <w:b/>
        </w:rPr>
      </w:pPr>
      <w:r w:rsidRPr="00C15285">
        <w:t>Принцип</w:t>
      </w:r>
      <w:r w:rsidRPr="00C15285">
        <w:rPr>
          <w:rStyle w:val="apple-converted-space"/>
        </w:rPr>
        <w:t> </w:t>
      </w:r>
      <w:r w:rsidRPr="00C15285">
        <w:rPr>
          <w:rStyle w:val="a7"/>
          <w:b w:val="0"/>
        </w:rPr>
        <w:t>солидарности доходов</w:t>
      </w:r>
      <w:r w:rsidRPr="00C15285">
        <w:rPr>
          <w:rStyle w:val="apple-converted-space"/>
        </w:rPr>
        <w:t> </w:t>
      </w:r>
      <w:r w:rsidRPr="00C15285">
        <w:t>означает</w:t>
      </w:r>
      <w:r w:rsidRPr="00C15285">
        <w:rPr>
          <w:rStyle w:val="apple-converted-space"/>
        </w:rPr>
        <w:t> </w:t>
      </w:r>
      <w:r w:rsidRPr="00C15285">
        <w:rPr>
          <w:rStyle w:val="a7"/>
          <w:b w:val="0"/>
        </w:rPr>
        <w:t>распределительный характер</w:t>
      </w:r>
      <w:r w:rsidRPr="00C15285">
        <w:rPr>
          <w:rStyle w:val="apple-converted-space"/>
        </w:rPr>
        <w:t> </w:t>
      </w:r>
      <w:r w:rsidRPr="00C15285">
        <w:t>выплаты пе</w:t>
      </w:r>
      <w:r w:rsidRPr="00C15285">
        <w:t>н</w:t>
      </w:r>
      <w:r w:rsidRPr="00C15285">
        <w:t>сий.</w:t>
      </w:r>
      <w:r w:rsidRPr="00C15285">
        <w:rPr>
          <w:rStyle w:val="apple-converted-space"/>
        </w:rPr>
        <w:t> </w:t>
      </w:r>
      <w:r w:rsidRPr="00C15285">
        <w:rPr>
          <w:rStyle w:val="a7"/>
          <w:b w:val="0"/>
        </w:rPr>
        <w:t>Накопительный принцип</w:t>
      </w:r>
      <w:r w:rsidRPr="00C15285">
        <w:rPr>
          <w:rStyle w:val="apple-converted-space"/>
        </w:rPr>
        <w:t> </w:t>
      </w:r>
      <w:r w:rsidRPr="00C15285">
        <w:t>означает, что получающий пенсию должен сам накопить ее. При наступлении пенсионного возраста участник негосударственного ПФ может сам начать получать ее сразу или по частям (по своему усмотрению). В фондах с установленными в</w:t>
      </w:r>
      <w:r w:rsidRPr="00C15285">
        <w:t>ы</w:t>
      </w:r>
      <w:r w:rsidRPr="00C15285">
        <w:t>платами в момент заключения договора</w:t>
      </w:r>
      <w:r w:rsidRPr="00C15285">
        <w:rPr>
          <w:rStyle w:val="apple-converted-space"/>
        </w:rPr>
        <w:t> </w:t>
      </w:r>
      <w:r w:rsidRPr="00C15285">
        <w:rPr>
          <w:rStyle w:val="a7"/>
          <w:b w:val="0"/>
        </w:rPr>
        <w:t>фиксируется размер будущей пенсии</w:t>
      </w:r>
      <w:r w:rsidRPr="00C15285">
        <w:rPr>
          <w:b/>
        </w:rPr>
        <w:t>.</w:t>
      </w:r>
    </w:p>
    <w:p w:rsidR="00AF6DE9" w:rsidRPr="00F20E27" w:rsidRDefault="00AF6DE9" w:rsidP="00C15285">
      <w:pPr>
        <w:ind w:left="0" w:firstLine="709"/>
        <w:jc w:val="both"/>
        <w:rPr>
          <w:rFonts w:ascii="Times New Roman" w:hAnsi="Times New Roman" w:cs="Times New Roman"/>
          <w:sz w:val="28"/>
          <w:szCs w:val="28"/>
        </w:rPr>
      </w:pPr>
      <w:r w:rsidRPr="00C15285">
        <w:rPr>
          <w:rFonts w:ascii="Times New Roman" w:hAnsi="Times New Roman" w:cs="Times New Roman"/>
          <w:sz w:val="24"/>
          <w:szCs w:val="24"/>
        </w:rPr>
        <w:t xml:space="preserve">Для </w:t>
      </w:r>
      <w:r w:rsidR="0060425D">
        <w:rPr>
          <w:rFonts w:ascii="Times New Roman" w:hAnsi="Times New Roman" w:cs="Times New Roman"/>
          <w:sz w:val="24"/>
          <w:szCs w:val="24"/>
        </w:rPr>
        <w:t>понимания текущих</w:t>
      </w:r>
      <w:r w:rsidRPr="00C15285">
        <w:rPr>
          <w:rFonts w:ascii="Times New Roman" w:hAnsi="Times New Roman" w:cs="Times New Roman"/>
          <w:sz w:val="24"/>
          <w:szCs w:val="24"/>
        </w:rPr>
        <w:t xml:space="preserve"> проблем пенсионной системы страны </w:t>
      </w:r>
      <w:r w:rsidR="0060425D">
        <w:rPr>
          <w:rFonts w:ascii="Times New Roman" w:hAnsi="Times New Roman" w:cs="Times New Roman"/>
          <w:sz w:val="24"/>
          <w:szCs w:val="24"/>
        </w:rPr>
        <w:t xml:space="preserve">необходим </w:t>
      </w:r>
      <w:r w:rsidRPr="00C15285">
        <w:rPr>
          <w:rFonts w:ascii="Times New Roman" w:hAnsi="Times New Roman" w:cs="Times New Roman"/>
          <w:sz w:val="24"/>
          <w:szCs w:val="24"/>
        </w:rPr>
        <w:t>анализ д</w:t>
      </w:r>
      <w:r w:rsidRPr="00C15285">
        <w:rPr>
          <w:rFonts w:ascii="Times New Roman" w:hAnsi="Times New Roman" w:cs="Times New Roman"/>
          <w:sz w:val="24"/>
          <w:szCs w:val="24"/>
        </w:rPr>
        <w:t>и</w:t>
      </w:r>
      <w:r w:rsidRPr="00C15285">
        <w:rPr>
          <w:rFonts w:ascii="Times New Roman" w:hAnsi="Times New Roman" w:cs="Times New Roman"/>
          <w:sz w:val="24"/>
          <w:szCs w:val="24"/>
        </w:rPr>
        <w:t xml:space="preserve">намики и балансовых взаимосвязей основных показателей. </w:t>
      </w:r>
      <w:r w:rsidR="00964CC7" w:rsidRPr="00C15285">
        <w:rPr>
          <w:rFonts w:ascii="Times New Roman" w:hAnsi="Times New Roman" w:cs="Times New Roman"/>
          <w:sz w:val="24"/>
          <w:szCs w:val="24"/>
        </w:rPr>
        <w:t xml:space="preserve">За период 2010-2016 гг. </w:t>
      </w:r>
      <w:r w:rsidRPr="00C15285">
        <w:rPr>
          <w:rFonts w:ascii="Times New Roman" w:hAnsi="Times New Roman" w:cs="Times New Roman"/>
          <w:sz w:val="24"/>
          <w:szCs w:val="24"/>
        </w:rPr>
        <w:t xml:space="preserve">общий тренд </w:t>
      </w:r>
      <w:r w:rsidR="00964CC7" w:rsidRPr="00C15285">
        <w:rPr>
          <w:rFonts w:ascii="Times New Roman" w:hAnsi="Times New Roman" w:cs="Times New Roman"/>
          <w:sz w:val="24"/>
          <w:szCs w:val="24"/>
        </w:rPr>
        <w:t>изменени</w:t>
      </w:r>
      <w:r w:rsidRPr="00C15285">
        <w:rPr>
          <w:rFonts w:ascii="Times New Roman" w:hAnsi="Times New Roman" w:cs="Times New Roman"/>
          <w:sz w:val="24"/>
          <w:szCs w:val="24"/>
        </w:rPr>
        <w:t>я</w:t>
      </w:r>
      <w:r w:rsidR="00964CC7" w:rsidRPr="00C15285">
        <w:rPr>
          <w:rFonts w:ascii="Times New Roman" w:hAnsi="Times New Roman" w:cs="Times New Roman"/>
          <w:sz w:val="24"/>
          <w:szCs w:val="24"/>
        </w:rPr>
        <w:t xml:space="preserve"> доходной и расходной части бюджета Пенсионного фонда Республики К</w:t>
      </w:r>
      <w:r w:rsidR="00964CC7" w:rsidRPr="00C15285">
        <w:rPr>
          <w:rFonts w:ascii="Times New Roman" w:hAnsi="Times New Roman" w:cs="Times New Roman"/>
          <w:sz w:val="24"/>
          <w:szCs w:val="24"/>
        </w:rPr>
        <w:t>о</w:t>
      </w:r>
      <w:r w:rsidR="00964CC7" w:rsidRPr="00C15285">
        <w:rPr>
          <w:rFonts w:ascii="Times New Roman" w:hAnsi="Times New Roman" w:cs="Times New Roman"/>
          <w:sz w:val="24"/>
          <w:szCs w:val="24"/>
        </w:rPr>
        <w:t xml:space="preserve">ми имел </w:t>
      </w:r>
      <w:r w:rsidR="0060425D">
        <w:rPr>
          <w:rFonts w:ascii="Times New Roman" w:hAnsi="Times New Roman" w:cs="Times New Roman"/>
          <w:sz w:val="24"/>
          <w:szCs w:val="24"/>
        </w:rPr>
        <w:t xml:space="preserve">разнонаправленную </w:t>
      </w:r>
      <w:r w:rsidR="00964CC7" w:rsidRPr="00C15285">
        <w:rPr>
          <w:rFonts w:ascii="Times New Roman" w:hAnsi="Times New Roman" w:cs="Times New Roman"/>
          <w:sz w:val="24"/>
          <w:szCs w:val="24"/>
        </w:rPr>
        <w:t xml:space="preserve"> динамику</w:t>
      </w:r>
      <w:r w:rsidRPr="00C15285">
        <w:rPr>
          <w:rFonts w:ascii="Times New Roman" w:hAnsi="Times New Roman" w:cs="Times New Roman"/>
          <w:sz w:val="24"/>
          <w:szCs w:val="24"/>
        </w:rPr>
        <w:t xml:space="preserve"> (рис. </w:t>
      </w:r>
      <w:r w:rsidR="00DF2F2E" w:rsidRPr="00C15285">
        <w:rPr>
          <w:rFonts w:ascii="Times New Roman" w:hAnsi="Times New Roman" w:cs="Times New Roman"/>
          <w:sz w:val="24"/>
          <w:szCs w:val="24"/>
        </w:rPr>
        <w:t>1</w:t>
      </w:r>
      <w:r w:rsidRPr="00C15285">
        <w:rPr>
          <w:rFonts w:ascii="Times New Roman" w:hAnsi="Times New Roman" w:cs="Times New Roman"/>
          <w:sz w:val="24"/>
          <w:szCs w:val="24"/>
        </w:rPr>
        <w:t>)</w:t>
      </w:r>
      <w:r w:rsidR="00964CC7" w:rsidRPr="00C15285">
        <w:rPr>
          <w:rFonts w:ascii="Times New Roman" w:hAnsi="Times New Roman" w:cs="Times New Roman"/>
          <w:sz w:val="24"/>
          <w:szCs w:val="24"/>
        </w:rPr>
        <w:t>.</w:t>
      </w:r>
      <w:r w:rsidR="00964CC7" w:rsidRPr="00F20E27">
        <w:rPr>
          <w:rFonts w:ascii="Times New Roman" w:hAnsi="Times New Roman" w:cs="Times New Roman"/>
          <w:sz w:val="28"/>
          <w:szCs w:val="28"/>
        </w:rPr>
        <w:t xml:space="preserve"> </w:t>
      </w:r>
    </w:p>
    <w:p w:rsidR="00AF6DE9" w:rsidRDefault="00AF6DE9" w:rsidP="00AF6DE9">
      <w:pPr>
        <w:ind w:left="0" w:firstLine="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ru-RU"/>
        </w:rPr>
        <w:lastRenderedPageBreak/>
        <w:drawing>
          <wp:inline distT="0" distB="0" distL="0" distR="0">
            <wp:extent cx="5490108" cy="2204658"/>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F6DE9" w:rsidRDefault="00AF6DE9" w:rsidP="00AF6DE9">
      <w:pPr>
        <w:ind w:left="0" w:firstLine="709"/>
        <w:jc w:val="both"/>
        <w:rPr>
          <w:rFonts w:ascii="Times New Roman" w:hAnsi="Times New Roman" w:cs="Times New Roman"/>
          <w:color w:val="000000"/>
          <w:sz w:val="28"/>
          <w:szCs w:val="28"/>
        </w:rPr>
      </w:pPr>
    </w:p>
    <w:p w:rsidR="00AF6DE9" w:rsidRPr="004F7974" w:rsidRDefault="00AF6DE9" w:rsidP="00625669">
      <w:pPr>
        <w:ind w:left="0" w:firstLine="0"/>
        <w:jc w:val="center"/>
        <w:rPr>
          <w:rFonts w:ascii="Times New Roman" w:hAnsi="Times New Roman" w:cs="Times New Roman"/>
          <w:color w:val="000000"/>
          <w:sz w:val="24"/>
          <w:szCs w:val="24"/>
        </w:rPr>
      </w:pPr>
      <w:r w:rsidRPr="004F7974">
        <w:rPr>
          <w:rFonts w:ascii="Times New Roman" w:hAnsi="Times New Roman" w:cs="Times New Roman"/>
          <w:color w:val="000000"/>
          <w:sz w:val="24"/>
          <w:szCs w:val="24"/>
        </w:rPr>
        <w:t xml:space="preserve">Рис. </w:t>
      </w:r>
      <w:r w:rsidR="00DF2F2E" w:rsidRPr="004F7974">
        <w:rPr>
          <w:rFonts w:ascii="Times New Roman" w:hAnsi="Times New Roman" w:cs="Times New Roman"/>
          <w:color w:val="000000"/>
          <w:sz w:val="24"/>
          <w:szCs w:val="24"/>
        </w:rPr>
        <w:t>1</w:t>
      </w:r>
      <w:r w:rsidRPr="004F7974">
        <w:rPr>
          <w:rFonts w:ascii="Times New Roman" w:hAnsi="Times New Roman" w:cs="Times New Roman"/>
          <w:color w:val="000000"/>
          <w:sz w:val="24"/>
          <w:szCs w:val="24"/>
        </w:rPr>
        <w:t xml:space="preserve"> Динамика </w:t>
      </w:r>
      <w:r w:rsidR="00ED45DF" w:rsidRPr="004F7974">
        <w:rPr>
          <w:rFonts w:ascii="Times New Roman" w:hAnsi="Times New Roman" w:cs="Times New Roman"/>
          <w:color w:val="000000"/>
          <w:sz w:val="24"/>
          <w:szCs w:val="24"/>
        </w:rPr>
        <w:t>финансовых показателей</w:t>
      </w:r>
      <w:r w:rsidRPr="004F7974">
        <w:rPr>
          <w:rFonts w:ascii="Times New Roman" w:hAnsi="Times New Roman" w:cs="Times New Roman"/>
          <w:color w:val="000000"/>
          <w:sz w:val="24"/>
          <w:szCs w:val="24"/>
        </w:rPr>
        <w:t xml:space="preserve"> </w:t>
      </w:r>
      <w:r w:rsidRPr="004F7974">
        <w:rPr>
          <w:rFonts w:ascii="Times New Roman" w:hAnsi="Times New Roman" w:cs="Times New Roman"/>
          <w:color w:val="000000"/>
          <w:sz w:val="24"/>
          <w:szCs w:val="24"/>
        </w:rPr>
        <w:br/>
        <w:t xml:space="preserve">Пенсионного фонда Республики Коми за 2010-2016 гг. </w:t>
      </w:r>
      <w:r w:rsidRPr="004F7974">
        <w:rPr>
          <w:rFonts w:ascii="Times New Roman" w:hAnsi="Times New Roman" w:cs="Times New Roman"/>
          <w:color w:val="000000"/>
          <w:sz w:val="24"/>
          <w:szCs w:val="24"/>
        </w:rPr>
        <w:br/>
      </w:r>
      <w:r w:rsidR="00625669" w:rsidRPr="004F7974">
        <w:rPr>
          <w:rFonts w:ascii="Times New Roman" w:hAnsi="Times New Roman" w:cs="Times New Roman"/>
          <w:i/>
          <w:color w:val="000000"/>
          <w:sz w:val="24"/>
          <w:szCs w:val="24"/>
        </w:rPr>
        <w:t xml:space="preserve">Источник: </w:t>
      </w:r>
      <w:r w:rsidR="00625669" w:rsidRPr="004F7974">
        <w:rPr>
          <w:rFonts w:ascii="Times New Roman" w:hAnsi="Times New Roman" w:cs="Times New Roman"/>
          <w:color w:val="000000"/>
          <w:sz w:val="24"/>
          <w:szCs w:val="24"/>
        </w:rPr>
        <w:t>рас</w:t>
      </w:r>
      <w:r w:rsidR="00ED45DF" w:rsidRPr="004F7974">
        <w:rPr>
          <w:rFonts w:ascii="Times New Roman" w:hAnsi="Times New Roman" w:cs="Times New Roman"/>
          <w:color w:val="000000"/>
          <w:sz w:val="24"/>
          <w:szCs w:val="24"/>
        </w:rPr>
        <w:t>с</w:t>
      </w:r>
      <w:r w:rsidR="00625669" w:rsidRPr="004F7974">
        <w:rPr>
          <w:rFonts w:ascii="Times New Roman" w:hAnsi="Times New Roman" w:cs="Times New Roman"/>
          <w:color w:val="000000"/>
          <w:sz w:val="24"/>
          <w:szCs w:val="24"/>
        </w:rPr>
        <w:t xml:space="preserve">читано автором на основе </w:t>
      </w:r>
      <w:r w:rsidR="00653B96" w:rsidRPr="004F7974">
        <w:rPr>
          <w:rFonts w:ascii="Times New Roman" w:hAnsi="Times New Roman" w:cs="Times New Roman"/>
          <w:color w:val="000000"/>
          <w:sz w:val="24"/>
          <w:szCs w:val="24"/>
        </w:rPr>
        <w:t>[</w:t>
      </w:r>
      <w:r w:rsidR="00F20E27" w:rsidRPr="004F7974">
        <w:rPr>
          <w:rFonts w:ascii="Times New Roman" w:hAnsi="Times New Roman" w:cs="Times New Roman"/>
          <w:color w:val="000000"/>
          <w:sz w:val="24"/>
          <w:szCs w:val="24"/>
        </w:rPr>
        <w:t>5</w:t>
      </w:r>
      <w:r w:rsidR="00653B96" w:rsidRPr="004F7974">
        <w:rPr>
          <w:rFonts w:ascii="Times New Roman" w:hAnsi="Times New Roman" w:cs="Times New Roman"/>
          <w:color w:val="000000"/>
          <w:sz w:val="24"/>
          <w:szCs w:val="24"/>
        </w:rPr>
        <w:t>].</w:t>
      </w:r>
    </w:p>
    <w:p w:rsidR="00AF6DE9" w:rsidRDefault="00AF6DE9" w:rsidP="00AF6DE9">
      <w:pPr>
        <w:spacing w:line="360" w:lineRule="auto"/>
        <w:ind w:left="0" w:firstLine="709"/>
        <w:jc w:val="both"/>
        <w:rPr>
          <w:rFonts w:ascii="Times New Roman" w:hAnsi="Times New Roman" w:cs="Times New Roman"/>
          <w:color w:val="000000"/>
          <w:sz w:val="28"/>
          <w:szCs w:val="28"/>
        </w:rPr>
      </w:pPr>
    </w:p>
    <w:p w:rsidR="00AF6DE9" w:rsidRPr="00C15285" w:rsidRDefault="006C05D1" w:rsidP="00C15285">
      <w:pPr>
        <w:pStyle w:val="a3"/>
        <w:shd w:val="clear" w:color="auto" w:fill="FFFFFF"/>
        <w:spacing w:before="0" w:beforeAutospacing="0" w:after="0" w:afterAutospacing="0"/>
        <w:ind w:firstLine="709"/>
        <w:jc w:val="both"/>
      </w:pPr>
      <w:r w:rsidRPr="00C15285">
        <w:t>В</w:t>
      </w:r>
      <w:r w:rsidR="00AF6DE9" w:rsidRPr="00C15285">
        <w:t xml:space="preserve"> реальном измерении</w:t>
      </w:r>
      <w:r w:rsidRPr="00C15285">
        <w:t xml:space="preserve"> (проиндексированные на уровень инфляции)</w:t>
      </w:r>
      <w:r w:rsidR="00AF6DE9" w:rsidRPr="00C15285">
        <w:t xml:space="preserve"> начиная с 2012 г. доходы Пенсионного фонда Республики Коми имели устойчивую отрицательную динамику</w:t>
      </w:r>
      <w:r w:rsidRPr="00C15285">
        <w:t xml:space="preserve"> и в 2016 г. относительно 2010 г. снизились на 19,5%</w:t>
      </w:r>
      <w:r w:rsidR="00AF6DE9" w:rsidRPr="00C15285">
        <w:t>. Между тем расходы на протяжении и</w:t>
      </w:r>
      <w:r w:rsidR="00AF6DE9" w:rsidRPr="00C15285">
        <w:t>с</w:t>
      </w:r>
      <w:r w:rsidR="00AF6DE9" w:rsidRPr="00C15285">
        <w:t>следуемого периода, за исключением 2014 г., увеличивались</w:t>
      </w:r>
      <w:r w:rsidRPr="00C15285">
        <w:t xml:space="preserve"> </w:t>
      </w:r>
      <w:r w:rsidRPr="00C15285">
        <w:softHyphen/>
        <w:t>– за исследуемый период на 2,2%</w:t>
      </w:r>
      <w:r w:rsidR="00AF6DE9" w:rsidRPr="00C15285">
        <w:t xml:space="preserve">. </w:t>
      </w:r>
      <w:r w:rsidR="00001281">
        <w:t>Данный</w:t>
      </w:r>
      <w:r w:rsidR="00AF6DE9" w:rsidRPr="00C15285">
        <w:t xml:space="preserve"> факт говорит о явных балансовых диспропорциях в Фонде региона. </w:t>
      </w:r>
    </w:p>
    <w:p w:rsidR="0048156D" w:rsidRPr="00C15285" w:rsidRDefault="0048156D" w:rsidP="00C15285">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Важнейшим условием во взаимоотношениях Пенсионного фонда и государственного бюджета являлся полный отказ от бюджетных дотаций. Развитие собственных источников финансирования должно было достигаться улучшением сбора страховых взносов на указа</w:t>
      </w:r>
      <w:r w:rsidRPr="00C15285">
        <w:rPr>
          <w:rFonts w:ascii="Times New Roman" w:hAnsi="Times New Roman" w:cs="Times New Roman"/>
          <w:sz w:val="24"/>
          <w:szCs w:val="24"/>
        </w:rPr>
        <w:t>н</w:t>
      </w:r>
      <w:r w:rsidRPr="00C15285">
        <w:rPr>
          <w:rFonts w:ascii="Times New Roman" w:hAnsi="Times New Roman" w:cs="Times New Roman"/>
          <w:sz w:val="24"/>
          <w:szCs w:val="24"/>
        </w:rPr>
        <w:t xml:space="preserve">ные цели. Однако на практике ситуация оказалась совершенно иной. </w:t>
      </w:r>
    </w:p>
    <w:p w:rsidR="0095024C" w:rsidRPr="000E31A7" w:rsidRDefault="0095024C" w:rsidP="00C15285">
      <w:pPr>
        <w:pStyle w:val="a3"/>
        <w:shd w:val="clear" w:color="auto" w:fill="FFFFFF"/>
        <w:spacing w:before="0" w:beforeAutospacing="0" w:after="0" w:afterAutospacing="0"/>
        <w:ind w:firstLine="709"/>
        <w:jc w:val="both"/>
        <w:rPr>
          <w:b/>
          <w:color w:val="000000"/>
          <w:sz w:val="28"/>
          <w:szCs w:val="28"/>
        </w:rPr>
      </w:pPr>
      <w:r w:rsidRPr="00C15285">
        <w:t>Особенностью финансирования Пенсионного фонда Республики Коми является то, что отчислений работодателей не хватает для выплат текущих пенсий пенсионерам региона. Значительная доля на покрытие дефицита бюджета приходится на трансферты из Федерал</w:t>
      </w:r>
      <w:r w:rsidRPr="00C15285">
        <w:t>ь</w:t>
      </w:r>
      <w:r w:rsidRPr="00C15285">
        <w:t>ного бюджета России</w:t>
      </w:r>
      <w:r w:rsidR="00F230DA" w:rsidRPr="00C15285">
        <w:t>, величина которых росла практически каждый год и в 2016 г. достигла 51,3%</w:t>
      </w:r>
      <w:r w:rsidRPr="00C15285">
        <w:t>.</w:t>
      </w:r>
      <w:r>
        <w:rPr>
          <w:color w:val="000000"/>
          <w:sz w:val="28"/>
          <w:szCs w:val="28"/>
        </w:rPr>
        <w:t xml:space="preserve"> </w:t>
      </w:r>
    </w:p>
    <w:p w:rsidR="00F230DA" w:rsidRPr="00C15285" w:rsidRDefault="008F4819" w:rsidP="00C15285">
      <w:pPr>
        <w:ind w:left="0" w:firstLine="709"/>
        <w:jc w:val="both"/>
        <w:rPr>
          <w:rFonts w:ascii="Times New Roman" w:hAnsi="Times New Roman" w:cs="Times New Roman"/>
          <w:sz w:val="24"/>
          <w:szCs w:val="24"/>
        </w:rPr>
      </w:pPr>
      <w:r>
        <w:rPr>
          <w:rFonts w:ascii="Times New Roman" w:hAnsi="Times New Roman" w:cs="Times New Roman"/>
          <w:sz w:val="24"/>
          <w:szCs w:val="24"/>
        </w:rPr>
        <w:t>З</w:t>
      </w:r>
      <w:r w:rsidR="00B7408F" w:rsidRPr="00C15285">
        <w:rPr>
          <w:rFonts w:ascii="Times New Roman" w:hAnsi="Times New Roman" w:cs="Times New Roman"/>
          <w:sz w:val="24"/>
          <w:szCs w:val="24"/>
        </w:rPr>
        <w:t>а исследуемый период</w:t>
      </w:r>
      <w:r w:rsidR="00F230DA" w:rsidRPr="00C15285">
        <w:rPr>
          <w:rFonts w:ascii="Times New Roman" w:hAnsi="Times New Roman" w:cs="Times New Roman"/>
          <w:sz w:val="24"/>
          <w:szCs w:val="24"/>
        </w:rPr>
        <w:t xml:space="preserve"> дефицит бюджета</w:t>
      </w:r>
      <w:r>
        <w:rPr>
          <w:rFonts w:ascii="Times New Roman" w:hAnsi="Times New Roman" w:cs="Times New Roman"/>
          <w:sz w:val="24"/>
          <w:szCs w:val="24"/>
        </w:rPr>
        <w:t xml:space="preserve"> (без дотаций из федерального бюджета)</w:t>
      </w:r>
      <w:r w:rsidR="00B7408F" w:rsidRPr="00C15285">
        <w:rPr>
          <w:rFonts w:ascii="Times New Roman" w:hAnsi="Times New Roman" w:cs="Times New Roman"/>
          <w:sz w:val="24"/>
          <w:szCs w:val="24"/>
        </w:rPr>
        <w:t xml:space="preserve"> Пенсионного фонда Республики Коми в 2016 г. достиг 32,7 млрд руб. или 6% к ВРП</w:t>
      </w:r>
      <w:r>
        <w:rPr>
          <w:rFonts w:ascii="Times New Roman" w:hAnsi="Times New Roman" w:cs="Times New Roman"/>
          <w:sz w:val="24"/>
          <w:szCs w:val="24"/>
        </w:rPr>
        <w:t>, дости</w:t>
      </w:r>
      <w:r>
        <w:rPr>
          <w:rFonts w:ascii="Times New Roman" w:hAnsi="Times New Roman" w:cs="Times New Roman"/>
          <w:sz w:val="24"/>
          <w:szCs w:val="24"/>
        </w:rPr>
        <w:t>г</w:t>
      </w:r>
      <w:r>
        <w:rPr>
          <w:rFonts w:ascii="Times New Roman" w:hAnsi="Times New Roman" w:cs="Times New Roman"/>
          <w:sz w:val="24"/>
          <w:szCs w:val="24"/>
        </w:rPr>
        <w:t>нув максимального значения</w:t>
      </w:r>
      <w:r w:rsidR="00B7408F" w:rsidRPr="00C15285">
        <w:rPr>
          <w:rFonts w:ascii="Times New Roman" w:hAnsi="Times New Roman" w:cs="Times New Roman"/>
          <w:sz w:val="24"/>
          <w:szCs w:val="24"/>
        </w:rPr>
        <w:t>.</w:t>
      </w:r>
    </w:p>
    <w:p w:rsidR="007C3625" w:rsidRPr="00C15285" w:rsidRDefault="007C3625" w:rsidP="00C15285">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В  соответствии  с  международными  стандартами  достойный  уровень  материальн</w:t>
      </w:r>
      <w:r w:rsidRPr="00C15285">
        <w:rPr>
          <w:rFonts w:ascii="Times New Roman" w:hAnsi="Times New Roman" w:cs="Times New Roman"/>
          <w:sz w:val="24"/>
          <w:szCs w:val="24"/>
        </w:rPr>
        <w:t>о</w:t>
      </w:r>
      <w:r w:rsidRPr="00C15285">
        <w:rPr>
          <w:rFonts w:ascii="Times New Roman" w:hAnsi="Times New Roman" w:cs="Times New Roman"/>
          <w:sz w:val="24"/>
          <w:szCs w:val="24"/>
        </w:rPr>
        <w:t>го  обеспечения пенсионера характеризуется коэффициентом замещения утраченного зар</w:t>
      </w:r>
      <w:r w:rsidRPr="00C15285">
        <w:rPr>
          <w:rFonts w:ascii="Times New Roman" w:hAnsi="Times New Roman" w:cs="Times New Roman"/>
          <w:sz w:val="24"/>
          <w:szCs w:val="24"/>
        </w:rPr>
        <w:t>а</w:t>
      </w:r>
      <w:r w:rsidRPr="00C15285">
        <w:rPr>
          <w:rFonts w:ascii="Times New Roman" w:hAnsi="Times New Roman" w:cs="Times New Roman"/>
          <w:sz w:val="24"/>
          <w:szCs w:val="24"/>
        </w:rPr>
        <w:t>ботка</w:t>
      </w:r>
      <w:r w:rsidR="002849B6" w:rsidRPr="00C15285">
        <w:rPr>
          <w:rFonts w:ascii="Times New Roman" w:hAnsi="Times New Roman" w:cs="Times New Roman"/>
          <w:sz w:val="24"/>
          <w:szCs w:val="24"/>
        </w:rPr>
        <w:t xml:space="preserve"> (соотношение средней пенсии к средней зарплате)</w:t>
      </w:r>
      <w:r w:rsidRPr="00C15285">
        <w:rPr>
          <w:rFonts w:ascii="Times New Roman" w:hAnsi="Times New Roman" w:cs="Times New Roman"/>
          <w:sz w:val="24"/>
          <w:szCs w:val="24"/>
        </w:rPr>
        <w:t xml:space="preserve"> не менее 40 % </w:t>
      </w:r>
      <w:r w:rsidR="00653B96" w:rsidRPr="00C15285">
        <w:rPr>
          <w:rFonts w:ascii="Times New Roman" w:hAnsi="Times New Roman" w:cs="Times New Roman"/>
          <w:sz w:val="24"/>
          <w:szCs w:val="24"/>
        </w:rPr>
        <w:t>[</w:t>
      </w:r>
      <w:r w:rsidR="00F20E27" w:rsidRPr="00C15285">
        <w:rPr>
          <w:rFonts w:ascii="Times New Roman" w:hAnsi="Times New Roman" w:cs="Times New Roman"/>
          <w:sz w:val="24"/>
          <w:szCs w:val="24"/>
        </w:rPr>
        <w:t>6</w:t>
      </w:r>
      <w:r w:rsidR="00653B96" w:rsidRPr="00C15285">
        <w:rPr>
          <w:rFonts w:ascii="Times New Roman" w:hAnsi="Times New Roman" w:cs="Times New Roman"/>
          <w:sz w:val="24"/>
          <w:szCs w:val="24"/>
        </w:rPr>
        <w:t>, с. </w:t>
      </w:r>
      <w:r w:rsidR="009049EB" w:rsidRPr="00C15285">
        <w:rPr>
          <w:rFonts w:ascii="Times New Roman" w:hAnsi="Times New Roman" w:cs="Times New Roman"/>
          <w:sz w:val="24"/>
          <w:szCs w:val="24"/>
        </w:rPr>
        <w:t>173</w:t>
      </w:r>
      <w:r w:rsidR="00653B96" w:rsidRPr="00C15285">
        <w:rPr>
          <w:rFonts w:ascii="Times New Roman" w:hAnsi="Times New Roman" w:cs="Times New Roman"/>
          <w:sz w:val="24"/>
          <w:szCs w:val="24"/>
        </w:rPr>
        <w:t>]</w:t>
      </w:r>
      <w:r w:rsidR="00985F59" w:rsidRPr="00C15285">
        <w:rPr>
          <w:rFonts w:ascii="Times New Roman" w:hAnsi="Times New Roman" w:cs="Times New Roman"/>
          <w:sz w:val="24"/>
          <w:szCs w:val="24"/>
        </w:rPr>
        <w:t>.</w:t>
      </w:r>
      <w:r w:rsidRPr="00C15285">
        <w:rPr>
          <w:rFonts w:ascii="Times New Roman" w:hAnsi="Times New Roman" w:cs="Times New Roman"/>
          <w:sz w:val="24"/>
          <w:szCs w:val="24"/>
        </w:rPr>
        <w:t xml:space="preserve"> По  р</w:t>
      </w:r>
      <w:r w:rsidRPr="00C15285">
        <w:rPr>
          <w:rFonts w:ascii="Times New Roman" w:hAnsi="Times New Roman" w:cs="Times New Roman"/>
          <w:sz w:val="24"/>
          <w:szCs w:val="24"/>
        </w:rPr>
        <w:t>е</w:t>
      </w:r>
      <w:r w:rsidRPr="00C15285">
        <w:rPr>
          <w:rFonts w:ascii="Times New Roman" w:hAnsi="Times New Roman" w:cs="Times New Roman"/>
          <w:sz w:val="24"/>
          <w:szCs w:val="24"/>
        </w:rPr>
        <w:t xml:space="preserve">зультатам  анализа  динамики  </w:t>
      </w:r>
      <w:r w:rsidR="008F4819">
        <w:rPr>
          <w:rFonts w:ascii="Times New Roman" w:hAnsi="Times New Roman" w:cs="Times New Roman"/>
          <w:sz w:val="24"/>
          <w:szCs w:val="24"/>
        </w:rPr>
        <w:t xml:space="preserve">данного </w:t>
      </w:r>
      <w:r w:rsidRPr="00C15285">
        <w:rPr>
          <w:rFonts w:ascii="Times New Roman" w:hAnsi="Times New Roman" w:cs="Times New Roman"/>
          <w:sz w:val="24"/>
          <w:szCs w:val="24"/>
        </w:rPr>
        <w:t xml:space="preserve">показателя,  отставание  </w:t>
      </w:r>
      <w:r w:rsidR="008F4819">
        <w:rPr>
          <w:rFonts w:ascii="Times New Roman" w:hAnsi="Times New Roman" w:cs="Times New Roman"/>
          <w:sz w:val="24"/>
          <w:szCs w:val="24"/>
        </w:rPr>
        <w:t>Республики Коми</w:t>
      </w:r>
      <w:r w:rsidRPr="00C15285">
        <w:rPr>
          <w:rFonts w:ascii="Times New Roman" w:hAnsi="Times New Roman" w:cs="Times New Roman"/>
          <w:sz w:val="24"/>
          <w:szCs w:val="24"/>
        </w:rPr>
        <w:t xml:space="preserve">  не выгл</w:t>
      </w:r>
      <w:r w:rsidRPr="00C15285">
        <w:rPr>
          <w:rFonts w:ascii="Times New Roman" w:hAnsi="Times New Roman" w:cs="Times New Roman"/>
          <w:sz w:val="24"/>
          <w:szCs w:val="24"/>
        </w:rPr>
        <w:t>я</w:t>
      </w:r>
      <w:r w:rsidRPr="00C15285">
        <w:rPr>
          <w:rFonts w:ascii="Times New Roman" w:hAnsi="Times New Roman" w:cs="Times New Roman"/>
          <w:sz w:val="24"/>
          <w:szCs w:val="24"/>
        </w:rPr>
        <w:t>дит столь критичным</w:t>
      </w:r>
      <w:r w:rsidR="008F4819">
        <w:rPr>
          <w:rFonts w:ascii="Times New Roman" w:hAnsi="Times New Roman" w:cs="Times New Roman"/>
          <w:sz w:val="24"/>
          <w:szCs w:val="24"/>
        </w:rPr>
        <w:t xml:space="preserve"> (рис. 2)</w:t>
      </w:r>
      <w:r w:rsidRPr="00C15285">
        <w:rPr>
          <w:rFonts w:ascii="Times New Roman" w:hAnsi="Times New Roman" w:cs="Times New Roman"/>
          <w:sz w:val="24"/>
          <w:szCs w:val="24"/>
        </w:rPr>
        <w:t xml:space="preserve">. </w:t>
      </w:r>
      <w:r w:rsidR="008F4819">
        <w:rPr>
          <w:rFonts w:ascii="Times New Roman" w:hAnsi="Times New Roman" w:cs="Times New Roman"/>
          <w:sz w:val="24"/>
          <w:szCs w:val="24"/>
        </w:rPr>
        <w:t>Рост коэффициента замещения</w:t>
      </w:r>
      <w:r w:rsidRPr="00C15285">
        <w:rPr>
          <w:rFonts w:ascii="Times New Roman" w:hAnsi="Times New Roman" w:cs="Times New Roman"/>
          <w:sz w:val="24"/>
          <w:szCs w:val="24"/>
        </w:rPr>
        <w:t xml:space="preserve"> в 2</w:t>
      </w:r>
      <w:r w:rsidR="00985F59" w:rsidRPr="00C15285">
        <w:rPr>
          <w:rFonts w:ascii="Times New Roman" w:hAnsi="Times New Roman" w:cs="Times New Roman"/>
          <w:sz w:val="24"/>
          <w:szCs w:val="24"/>
        </w:rPr>
        <w:t>015 </w:t>
      </w:r>
      <w:r w:rsidRPr="00C15285">
        <w:rPr>
          <w:rFonts w:ascii="Times New Roman" w:hAnsi="Times New Roman" w:cs="Times New Roman"/>
          <w:sz w:val="24"/>
          <w:szCs w:val="24"/>
        </w:rPr>
        <w:t>г. был обусловлен ма</w:t>
      </w:r>
      <w:r w:rsidRPr="00C15285">
        <w:rPr>
          <w:rFonts w:ascii="Times New Roman" w:hAnsi="Times New Roman" w:cs="Times New Roman"/>
          <w:sz w:val="24"/>
          <w:szCs w:val="24"/>
        </w:rPr>
        <w:t>к</w:t>
      </w:r>
      <w:r w:rsidRPr="00C15285">
        <w:rPr>
          <w:rFonts w:ascii="Times New Roman" w:hAnsi="Times New Roman" w:cs="Times New Roman"/>
          <w:sz w:val="24"/>
          <w:szCs w:val="24"/>
        </w:rPr>
        <w:t xml:space="preserve">роэкономическими причинами,  происходящими  в  стране  под  влиянием последствий  </w:t>
      </w:r>
      <w:r w:rsidR="00985F59" w:rsidRPr="00C15285">
        <w:rPr>
          <w:rFonts w:ascii="Times New Roman" w:hAnsi="Times New Roman" w:cs="Times New Roman"/>
          <w:sz w:val="24"/>
          <w:szCs w:val="24"/>
        </w:rPr>
        <w:t>эк</w:t>
      </w:r>
      <w:r w:rsidR="00985F59" w:rsidRPr="00C15285">
        <w:rPr>
          <w:rFonts w:ascii="Times New Roman" w:hAnsi="Times New Roman" w:cs="Times New Roman"/>
          <w:sz w:val="24"/>
          <w:szCs w:val="24"/>
        </w:rPr>
        <w:t>о</w:t>
      </w:r>
      <w:r w:rsidR="00985F59" w:rsidRPr="00C15285">
        <w:rPr>
          <w:rFonts w:ascii="Times New Roman" w:hAnsi="Times New Roman" w:cs="Times New Roman"/>
          <w:sz w:val="24"/>
          <w:szCs w:val="24"/>
        </w:rPr>
        <w:t>номического</w:t>
      </w:r>
      <w:r w:rsidRPr="00C15285">
        <w:rPr>
          <w:rFonts w:ascii="Times New Roman" w:hAnsi="Times New Roman" w:cs="Times New Roman"/>
          <w:sz w:val="24"/>
          <w:szCs w:val="24"/>
        </w:rPr>
        <w:t xml:space="preserve">  кризиса  (снижением темпов роста заработной платы), а также проведением  валоризации  и  установлением  социальных доплат  до  уровня  прожиточного  минимума  пенсионера.  К  тому  же,  по  прогнозам  актуариев,  солидарный коэффициент замещения для пенсии по старости снизится в 2030 г. до 26,7 %  </w:t>
      </w:r>
      <w:r w:rsidR="00653B96" w:rsidRPr="00C15285">
        <w:rPr>
          <w:rFonts w:ascii="Times New Roman" w:hAnsi="Times New Roman" w:cs="Times New Roman"/>
          <w:sz w:val="24"/>
          <w:szCs w:val="24"/>
        </w:rPr>
        <w:t>[</w:t>
      </w:r>
      <w:r w:rsidR="00303C9F">
        <w:rPr>
          <w:rFonts w:ascii="Times New Roman" w:hAnsi="Times New Roman" w:cs="Times New Roman"/>
          <w:sz w:val="24"/>
          <w:szCs w:val="24"/>
        </w:rPr>
        <w:t>9</w:t>
      </w:r>
      <w:r w:rsidR="00653B96" w:rsidRPr="00C15285">
        <w:rPr>
          <w:rFonts w:ascii="Times New Roman" w:hAnsi="Times New Roman" w:cs="Times New Roman"/>
          <w:sz w:val="24"/>
          <w:szCs w:val="24"/>
        </w:rPr>
        <w:t>, с. </w:t>
      </w:r>
      <w:r w:rsidR="00C51365" w:rsidRPr="00C15285">
        <w:rPr>
          <w:rFonts w:ascii="Times New Roman" w:hAnsi="Times New Roman" w:cs="Times New Roman"/>
          <w:sz w:val="24"/>
          <w:szCs w:val="24"/>
        </w:rPr>
        <w:t>15</w:t>
      </w:r>
      <w:r w:rsidR="00653B96" w:rsidRPr="00C15285">
        <w:rPr>
          <w:rFonts w:ascii="Times New Roman" w:hAnsi="Times New Roman" w:cs="Times New Roman"/>
          <w:sz w:val="24"/>
          <w:szCs w:val="24"/>
        </w:rPr>
        <w:t>]</w:t>
      </w:r>
      <w:r w:rsidR="00C51365" w:rsidRPr="00C15285">
        <w:rPr>
          <w:rFonts w:ascii="Times New Roman" w:hAnsi="Times New Roman" w:cs="Times New Roman"/>
          <w:sz w:val="24"/>
          <w:szCs w:val="24"/>
        </w:rPr>
        <w:t>.</w:t>
      </w:r>
    </w:p>
    <w:p w:rsidR="004B13B3" w:rsidRDefault="004B13B3" w:rsidP="004B13B3">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Однако, невозможно сопоставить современные условия функционирования  росси</w:t>
      </w:r>
      <w:r w:rsidRPr="00C15285">
        <w:rPr>
          <w:rFonts w:ascii="Times New Roman" w:hAnsi="Times New Roman" w:cs="Times New Roman"/>
          <w:sz w:val="24"/>
          <w:szCs w:val="24"/>
        </w:rPr>
        <w:t>й</w:t>
      </w:r>
      <w:r w:rsidRPr="00C15285">
        <w:rPr>
          <w:rFonts w:ascii="Times New Roman" w:hAnsi="Times New Roman" w:cs="Times New Roman"/>
          <w:sz w:val="24"/>
          <w:szCs w:val="24"/>
        </w:rPr>
        <w:t>ской  пенсионной  системы и  систем  ряда  развитых  европейских  государств. Преждевр</w:t>
      </w:r>
      <w:r w:rsidRPr="00C15285">
        <w:rPr>
          <w:rFonts w:ascii="Times New Roman" w:hAnsi="Times New Roman" w:cs="Times New Roman"/>
          <w:sz w:val="24"/>
          <w:szCs w:val="24"/>
        </w:rPr>
        <w:t>е</w:t>
      </w:r>
      <w:r w:rsidRPr="00C15285">
        <w:rPr>
          <w:rFonts w:ascii="Times New Roman" w:hAnsi="Times New Roman" w:cs="Times New Roman"/>
          <w:sz w:val="24"/>
          <w:szCs w:val="24"/>
        </w:rPr>
        <w:t>менно  заботиться  об  обеспечении  коэффициента  замещения,  соответствующего  межд</w:t>
      </w:r>
      <w:r w:rsidRPr="00C15285">
        <w:rPr>
          <w:rFonts w:ascii="Times New Roman" w:hAnsi="Times New Roman" w:cs="Times New Roman"/>
          <w:sz w:val="24"/>
          <w:szCs w:val="24"/>
        </w:rPr>
        <w:t>у</w:t>
      </w:r>
      <w:r w:rsidRPr="00C15285">
        <w:rPr>
          <w:rFonts w:ascii="Times New Roman" w:hAnsi="Times New Roman" w:cs="Times New Roman"/>
          <w:sz w:val="24"/>
          <w:szCs w:val="24"/>
        </w:rPr>
        <w:t>народным требованиям, пока уровень заработной платы в стране не идет ни в какое сравн</w:t>
      </w:r>
      <w:r w:rsidRPr="00C15285">
        <w:rPr>
          <w:rFonts w:ascii="Times New Roman" w:hAnsi="Times New Roman" w:cs="Times New Roman"/>
          <w:sz w:val="24"/>
          <w:szCs w:val="24"/>
        </w:rPr>
        <w:t>е</w:t>
      </w:r>
      <w:r w:rsidRPr="00C15285">
        <w:rPr>
          <w:rFonts w:ascii="Times New Roman" w:hAnsi="Times New Roman" w:cs="Times New Roman"/>
          <w:sz w:val="24"/>
          <w:szCs w:val="24"/>
        </w:rPr>
        <w:t>ние с уровнем заработных плат большинства европейских граждан [3, с. 16].</w:t>
      </w:r>
    </w:p>
    <w:p w:rsidR="009C29B1" w:rsidRDefault="009C29B1" w:rsidP="000E31A7">
      <w:pPr>
        <w:ind w:left="0" w:firstLine="709"/>
        <w:jc w:val="both"/>
        <w:rPr>
          <w:rFonts w:ascii="Times New Roman" w:hAnsi="Times New Roman" w:cs="Times New Roman"/>
          <w:color w:val="000000"/>
          <w:sz w:val="28"/>
          <w:szCs w:val="28"/>
        </w:rPr>
      </w:pPr>
    </w:p>
    <w:p w:rsidR="00771D23" w:rsidRDefault="00771D23" w:rsidP="00771D23">
      <w:pPr>
        <w:ind w:left="0" w:firstLine="0"/>
        <w:jc w:val="both"/>
        <w:rPr>
          <w:rFonts w:ascii="Times New Roman" w:hAnsi="Times New Roman" w:cs="Times New Roman"/>
          <w:color w:val="000000"/>
          <w:sz w:val="28"/>
          <w:szCs w:val="28"/>
        </w:rPr>
      </w:pPr>
      <w:r w:rsidRPr="00771D23">
        <w:rPr>
          <w:rFonts w:ascii="Times New Roman" w:hAnsi="Times New Roman" w:cs="Times New Roman"/>
          <w:noProof/>
          <w:color w:val="000000"/>
          <w:sz w:val="28"/>
          <w:szCs w:val="28"/>
          <w:lang w:eastAsia="ru-RU"/>
        </w:rPr>
        <w:lastRenderedPageBreak/>
        <w:drawing>
          <wp:inline distT="0" distB="0" distL="0" distR="0">
            <wp:extent cx="6321706" cy="1656608"/>
            <wp:effectExtent l="0" t="0" r="0" b="0"/>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C29B1" w:rsidRPr="00C15285" w:rsidRDefault="00C939A0" w:rsidP="00C15285">
      <w:pPr>
        <w:ind w:left="0" w:firstLine="709"/>
        <w:jc w:val="center"/>
        <w:rPr>
          <w:rFonts w:ascii="Times New Roman" w:hAnsi="Times New Roman" w:cs="Times New Roman"/>
          <w:color w:val="000000"/>
          <w:sz w:val="24"/>
          <w:szCs w:val="24"/>
        </w:rPr>
      </w:pPr>
      <w:r w:rsidRPr="00C15285">
        <w:rPr>
          <w:rFonts w:ascii="Times New Roman" w:hAnsi="Times New Roman" w:cs="Times New Roman"/>
          <w:color w:val="000000"/>
          <w:sz w:val="24"/>
          <w:szCs w:val="24"/>
        </w:rPr>
        <w:t xml:space="preserve">Рис. </w:t>
      </w:r>
      <w:r w:rsidR="008F4819">
        <w:rPr>
          <w:rFonts w:ascii="Times New Roman" w:hAnsi="Times New Roman" w:cs="Times New Roman"/>
          <w:color w:val="000000"/>
          <w:sz w:val="24"/>
          <w:szCs w:val="24"/>
        </w:rPr>
        <w:t>2</w:t>
      </w:r>
      <w:r w:rsidRPr="00C15285">
        <w:rPr>
          <w:rFonts w:ascii="Times New Roman" w:hAnsi="Times New Roman" w:cs="Times New Roman"/>
          <w:color w:val="000000"/>
          <w:sz w:val="24"/>
          <w:szCs w:val="24"/>
        </w:rPr>
        <w:t xml:space="preserve"> Основные индикаторы благополучия пенсионной системы</w:t>
      </w:r>
      <w:r w:rsidR="004F7974">
        <w:rPr>
          <w:rFonts w:ascii="Times New Roman" w:hAnsi="Times New Roman" w:cs="Times New Roman"/>
          <w:color w:val="000000"/>
          <w:sz w:val="24"/>
          <w:szCs w:val="24"/>
        </w:rPr>
        <w:t xml:space="preserve"> Республики Коми</w:t>
      </w:r>
      <w:r w:rsidRPr="00C15285">
        <w:rPr>
          <w:rFonts w:ascii="Times New Roman" w:hAnsi="Times New Roman" w:cs="Times New Roman"/>
          <w:color w:val="000000"/>
          <w:sz w:val="24"/>
          <w:szCs w:val="24"/>
        </w:rPr>
        <w:t>.</w:t>
      </w:r>
    </w:p>
    <w:p w:rsidR="00C939A0" w:rsidRPr="00C15285" w:rsidRDefault="00625669" w:rsidP="00C15285">
      <w:pPr>
        <w:ind w:left="0" w:firstLine="709"/>
        <w:jc w:val="center"/>
        <w:rPr>
          <w:rFonts w:ascii="Times New Roman" w:hAnsi="Times New Roman" w:cs="Times New Roman"/>
          <w:color w:val="000000"/>
          <w:sz w:val="24"/>
          <w:szCs w:val="24"/>
        </w:rPr>
      </w:pPr>
      <w:r w:rsidRPr="00C15285">
        <w:rPr>
          <w:rFonts w:ascii="Times New Roman" w:hAnsi="Times New Roman" w:cs="Times New Roman"/>
          <w:i/>
          <w:color w:val="000000"/>
          <w:sz w:val="24"/>
          <w:szCs w:val="24"/>
        </w:rPr>
        <w:t xml:space="preserve">Источник: </w:t>
      </w:r>
      <w:r w:rsidRPr="00C15285">
        <w:rPr>
          <w:rFonts w:ascii="Times New Roman" w:hAnsi="Times New Roman" w:cs="Times New Roman"/>
          <w:color w:val="000000"/>
          <w:sz w:val="24"/>
          <w:szCs w:val="24"/>
        </w:rPr>
        <w:t>рас</w:t>
      </w:r>
      <w:r w:rsidR="004F7974">
        <w:rPr>
          <w:rFonts w:ascii="Times New Roman" w:hAnsi="Times New Roman" w:cs="Times New Roman"/>
          <w:color w:val="000000"/>
          <w:sz w:val="24"/>
          <w:szCs w:val="24"/>
        </w:rPr>
        <w:t>с</w:t>
      </w:r>
      <w:r w:rsidRPr="00C15285">
        <w:rPr>
          <w:rFonts w:ascii="Times New Roman" w:hAnsi="Times New Roman" w:cs="Times New Roman"/>
          <w:color w:val="000000"/>
          <w:sz w:val="24"/>
          <w:szCs w:val="24"/>
        </w:rPr>
        <w:t>читано автором на основе [5].</w:t>
      </w:r>
    </w:p>
    <w:p w:rsidR="00625669" w:rsidRPr="00C15285" w:rsidRDefault="00625669" w:rsidP="00C15285">
      <w:pPr>
        <w:ind w:left="0" w:firstLine="709"/>
        <w:jc w:val="center"/>
        <w:rPr>
          <w:rFonts w:ascii="Times New Roman" w:hAnsi="Times New Roman" w:cs="Times New Roman"/>
          <w:color w:val="000000"/>
          <w:sz w:val="24"/>
          <w:szCs w:val="24"/>
        </w:rPr>
      </w:pPr>
    </w:p>
    <w:p w:rsidR="008F4819" w:rsidRPr="00C15285" w:rsidRDefault="00164B01" w:rsidP="00C15285">
      <w:pPr>
        <w:ind w:left="0" w:firstLine="709"/>
        <w:jc w:val="both"/>
        <w:rPr>
          <w:rFonts w:ascii="Times New Roman" w:hAnsi="Times New Roman" w:cs="Times New Roman"/>
          <w:i/>
          <w:sz w:val="24"/>
          <w:szCs w:val="24"/>
        </w:rPr>
      </w:pPr>
      <w:r>
        <w:rPr>
          <w:rFonts w:ascii="Times New Roman" w:hAnsi="Times New Roman" w:cs="Times New Roman"/>
          <w:sz w:val="24"/>
          <w:szCs w:val="24"/>
        </w:rPr>
        <w:t>В таблице 1 приводится коэффициент замещения пенсий, генерируемый в рамках пенсионных систем в различных странах по состоянию на 2013 г.</w:t>
      </w:r>
    </w:p>
    <w:p w:rsidR="0033632F" w:rsidRDefault="0033632F" w:rsidP="00C15285">
      <w:pPr>
        <w:ind w:left="0" w:firstLine="709"/>
        <w:jc w:val="both"/>
        <w:rPr>
          <w:rFonts w:ascii="Times New Roman" w:hAnsi="Times New Roman" w:cs="Times New Roman"/>
          <w:sz w:val="24"/>
          <w:szCs w:val="24"/>
        </w:rPr>
      </w:pPr>
    </w:p>
    <w:tbl>
      <w:tblPr>
        <w:tblStyle w:val="a6"/>
        <w:tblW w:w="0" w:type="auto"/>
        <w:tblLook w:val="04A0"/>
      </w:tblPr>
      <w:tblGrid>
        <w:gridCol w:w="2235"/>
        <w:gridCol w:w="2126"/>
        <w:gridCol w:w="2126"/>
        <w:gridCol w:w="2552"/>
        <w:gridCol w:w="815"/>
      </w:tblGrid>
      <w:tr w:rsidR="00311638" w:rsidTr="00311638">
        <w:tc>
          <w:tcPr>
            <w:tcW w:w="2235" w:type="dxa"/>
          </w:tcPr>
          <w:p w:rsidR="00311638" w:rsidRPr="00311638" w:rsidRDefault="00311638" w:rsidP="00C15285">
            <w:pPr>
              <w:ind w:left="0" w:firstLine="0"/>
              <w:jc w:val="both"/>
              <w:rPr>
                <w:rFonts w:ascii="Times New Roman" w:hAnsi="Times New Roman" w:cs="Times New Roman"/>
              </w:rPr>
            </w:pPr>
          </w:p>
        </w:tc>
        <w:tc>
          <w:tcPr>
            <w:tcW w:w="2126" w:type="dxa"/>
          </w:tcPr>
          <w:p w:rsidR="00311638" w:rsidRPr="00311638" w:rsidRDefault="00311638" w:rsidP="00311638">
            <w:pPr>
              <w:ind w:left="0" w:firstLine="0"/>
              <w:jc w:val="center"/>
              <w:rPr>
                <w:rFonts w:ascii="Times New Roman" w:hAnsi="Times New Roman" w:cs="Times New Roman"/>
              </w:rPr>
            </w:pPr>
            <w:r w:rsidRPr="00311638">
              <w:rPr>
                <w:rFonts w:ascii="Times New Roman" w:hAnsi="Times New Roman" w:cs="Times New Roman"/>
              </w:rPr>
              <w:t>Государственные распределительные системы</w:t>
            </w:r>
          </w:p>
        </w:tc>
        <w:tc>
          <w:tcPr>
            <w:tcW w:w="2126" w:type="dxa"/>
          </w:tcPr>
          <w:p w:rsidR="00311638" w:rsidRPr="00311638" w:rsidRDefault="00311638" w:rsidP="00311638">
            <w:pPr>
              <w:ind w:left="0" w:firstLine="0"/>
              <w:jc w:val="center"/>
              <w:rPr>
                <w:rFonts w:ascii="Times New Roman" w:hAnsi="Times New Roman" w:cs="Times New Roman"/>
              </w:rPr>
            </w:pPr>
            <w:r w:rsidRPr="00311638">
              <w:rPr>
                <w:rFonts w:ascii="Times New Roman" w:hAnsi="Times New Roman" w:cs="Times New Roman"/>
              </w:rPr>
              <w:t xml:space="preserve">Обязательные </w:t>
            </w:r>
            <w:r>
              <w:rPr>
                <w:rFonts w:ascii="Times New Roman" w:hAnsi="Times New Roman" w:cs="Times New Roman"/>
              </w:rPr>
              <w:br/>
            </w:r>
            <w:r w:rsidRPr="00311638">
              <w:rPr>
                <w:rFonts w:ascii="Times New Roman" w:hAnsi="Times New Roman" w:cs="Times New Roman"/>
              </w:rPr>
              <w:t xml:space="preserve">накопительные </w:t>
            </w:r>
            <w:r>
              <w:rPr>
                <w:rFonts w:ascii="Times New Roman" w:hAnsi="Times New Roman" w:cs="Times New Roman"/>
              </w:rPr>
              <w:br/>
            </w:r>
            <w:r w:rsidRPr="00311638">
              <w:rPr>
                <w:rFonts w:ascii="Times New Roman" w:hAnsi="Times New Roman" w:cs="Times New Roman"/>
              </w:rPr>
              <w:t>системы</w:t>
            </w:r>
          </w:p>
        </w:tc>
        <w:tc>
          <w:tcPr>
            <w:tcW w:w="2552" w:type="dxa"/>
          </w:tcPr>
          <w:p w:rsidR="00311638" w:rsidRPr="00311638" w:rsidRDefault="00311638" w:rsidP="00311638">
            <w:pPr>
              <w:ind w:left="0" w:firstLine="0"/>
              <w:jc w:val="center"/>
              <w:rPr>
                <w:rFonts w:ascii="Times New Roman" w:hAnsi="Times New Roman" w:cs="Times New Roman"/>
              </w:rPr>
            </w:pPr>
            <w:r w:rsidRPr="00311638">
              <w:rPr>
                <w:rFonts w:ascii="Times New Roman" w:hAnsi="Times New Roman" w:cs="Times New Roman"/>
              </w:rPr>
              <w:t xml:space="preserve">Добровольные </w:t>
            </w:r>
            <w:r>
              <w:rPr>
                <w:rFonts w:ascii="Times New Roman" w:hAnsi="Times New Roman" w:cs="Times New Roman"/>
              </w:rPr>
              <w:br/>
            </w:r>
            <w:r w:rsidRPr="00311638">
              <w:rPr>
                <w:rFonts w:ascii="Times New Roman" w:hAnsi="Times New Roman" w:cs="Times New Roman"/>
              </w:rPr>
              <w:t>накопительные системы</w:t>
            </w:r>
          </w:p>
        </w:tc>
        <w:tc>
          <w:tcPr>
            <w:tcW w:w="815" w:type="dxa"/>
          </w:tcPr>
          <w:p w:rsidR="00311638" w:rsidRPr="00311638" w:rsidRDefault="00311638" w:rsidP="00311638">
            <w:pPr>
              <w:ind w:left="0" w:firstLine="0"/>
              <w:jc w:val="left"/>
              <w:rPr>
                <w:rFonts w:ascii="Times New Roman" w:hAnsi="Times New Roman" w:cs="Times New Roman"/>
              </w:rPr>
            </w:pPr>
            <w:r w:rsidRPr="00311638">
              <w:rPr>
                <w:rFonts w:ascii="Times New Roman" w:hAnsi="Times New Roman" w:cs="Times New Roman"/>
              </w:rPr>
              <w:t>Итого</w:t>
            </w:r>
          </w:p>
        </w:tc>
      </w:tr>
      <w:tr w:rsidR="00311638" w:rsidTr="00311638">
        <w:tc>
          <w:tcPr>
            <w:tcW w:w="2235" w:type="dxa"/>
          </w:tcPr>
          <w:p w:rsidR="00311638" w:rsidRPr="00311638" w:rsidRDefault="00311638" w:rsidP="00033729">
            <w:pPr>
              <w:ind w:left="0" w:firstLine="0"/>
              <w:jc w:val="both"/>
              <w:rPr>
                <w:rFonts w:ascii="Times New Roman" w:hAnsi="Times New Roman" w:cs="Times New Roman"/>
              </w:rPr>
            </w:pPr>
            <w:r w:rsidRPr="00311638">
              <w:rPr>
                <w:rFonts w:ascii="Times New Roman" w:hAnsi="Times New Roman" w:cs="Times New Roman"/>
              </w:rPr>
              <w:t>Россия</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33</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2</w:t>
            </w: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35</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Бельгия</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41</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15,1</w:t>
            </w: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56,1</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Канада</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39,2</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33,9</w:t>
            </w: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73,1</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Чили</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4,8</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37,2</w:t>
            </w: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42</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Чехия</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43,5</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39,2</w:t>
            </w: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82,7</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Германия</w:t>
            </w:r>
          </w:p>
        </w:tc>
        <w:tc>
          <w:tcPr>
            <w:tcW w:w="2126"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42</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16</w:t>
            </w:r>
          </w:p>
        </w:tc>
        <w:tc>
          <w:tcPr>
            <w:tcW w:w="815" w:type="dxa"/>
          </w:tcPr>
          <w:p w:rsidR="00311638" w:rsidRPr="00311638" w:rsidRDefault="00311638" w:rsidP="00311638">
            <w:pPr>
              <w:ind w:left="0" w:firstLine="0"/>
              <w:jc w:val="center"/>
              <w:rPr>
                <w:rFonts w:ascii="Times New Roman" w:hAnsi="Times New Roman" w:cs="Times New Roman"/>
              </w:rPr>
            </w:pPr>
            <w:r>
              <w:rPr>
                <w:rFonts w:ascii="Times New Roman" w:hAnsi="Times New Roman" w:cs="Times New Roman"/>
              </w:rPr>
              <w:t>58</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Ирландия</w:t>
            </w:r>
          </w:p>
        </w:tc>
        <w:tc>
          <w:tcPr>
            <w:tcW w:w="2126"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36,7</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43</w:t>
            </w:r>
          </w:p>
        </w:tc>
        <w:tc>
          <w:tcPr>
            <w:tcW w:w="815"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79,7</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Новая Зеландия</w:t>
            </w:r>
          </w:p>
        </w:tc>
        <w:tc>
          <w:tcPr>
            <w:tcW w:w="2126"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40,6</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14,1</w:t>
            </w:r>
          </w:p>
        </w:tc>
        <w:tc>
          <w:tcPr>
            <w:tcW w:w="815"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54,7</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Норвегия</w:t>
            </w:r>
          </w:p>
        </w:tc>
        <w:tc>
          <w:tcPr>
            <w:tcW w:w="2126"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45,7</w:t>
            </w:r>
          </w:p>
        </w:tc>
        <w:tc>
          <w:tcPr>
            <w:tcW w:w="2126"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6,8</w:t>
            </w:r>
          </w:p>
        </w:tc>
        <w:tc>
          <w:tcPr>
            <w:tcW w:w="2552"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11,3</w:t>
            </w:r>
          </w:p>
        </w:tc>
        <w:tc>
          <w:tcPr>
            <w:tcW w:w="815" w:type="dxa"/>
          </w:tcPr>
          <w:p w:rsidR="00311638" w:rsidRPr="00311638" w:rsidRDefault="00034366" w:rsidP="00311638">
            <w:pPr>
              <w:ind w:left="0" w:firstLine="0"/>
              <w:jc w:val="center"/>
              <w:rPr>
                <w:rFonts w:ascii="Times New Roman" w:hAnsi="Times New Roman" w:cs="Times New Roman"/>
              </w:rPr>
            </w:pPr>
            <w:r>
              <w:rPr>
                <w:rFonts w:ascii="Times New Roman" w:hAnsi="Times New Roman" w:cs="Times New Roman"/>
              </w:rPr>
              <w:t>63,8</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Испания</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73,9</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73,9</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Швеция</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33,9</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21,7</w:t>
            </w: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55,6</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Швейцария</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32</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23,1</w:t>
            </w: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55,1</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Великобритания</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32,6</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34,5</w:t>
            </w: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67,1</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США</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38,3</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37,8</w:t>
            </w: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76,1</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Саудовская Аравия</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100</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100</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ЮАР</w:t>
            </w:r>
          </w:p>
        </w:tc>
        <w:tc>
          <w:tcPr>
            <w:tcW w:w="2126" w:type="dxa"/>
          </w:tcPr>
          <w:p w:rsidR="00311638" w:rsidRPr="00311638" w:rsidRDefault="00311638" w:rsidP="00311638">
            <w:pPr>
              <w:ind w:left="0" w:firstLine="0"/>
              <w:jc w:val="center"/>
              <w:rPr>
                <w:rFonts w:ascii="Times New Roman" w:hAnsi="Times New Roman" w:cs="Times New Roman"/>
              </w:rPr>
            </w:pP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54,5</w:t>
            </w: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54,5</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ЕС</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47</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57,6</w:t>
            </w:r>
          </w:p>
        </w:tc>
      </w:tr>
      <w:tr w:rsidR="00311638" w:rsidTr="00311638">
        <w:tc>
          <w:tcPr>
            <w:tcW w:w="2235" w:type="dxa"/>
          </w:tcPr>
          <w:p w:rsidR="00311638" w:rsidRPr="00311638" w:rsidRDefault="00311638" w:rsidP="00C15285">
            <w:pPr>
              <w:ind w:left="0" w:firstLine="0"/>
              <w:jc w:val="both"/>
              <w:rPr>
                <w:rFonts w:ascii="Times New Roman" w:hAnsi="Times New Roman" w:cs="Times New Roman"/>
              </w:rPr>
            </w:pPr>
            <w:r w:rsidRPr="00311638">
              <w:rPr>
                <w:rFonts w:ascii="Times New Roman" w:hAnsi="Times New Roman" w:cs="Times New Roman"/>
              </w:rPr>
              <w:t>ОЭСР</w:t>
            </w:r>
          </w:p>
        </w:tc>
        <w:tc>
          <w:tcPr>
            <w:tcW w:w="2126"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40,6</w:t>
            </w:r>
          </w:p>
        </w:tc>
        <w:tc>
          <w:tcPr>
            <w:tcW w:w="2126" w:type="dxa"/>
          </w:tcPr>
          <w:p w:rsidR="00311638" w:rsidRPr="00311638" w:rsidRDefault="00311638" w:rsidP="00311638">
            <w:pPr>
              <w:ind w:left="0" w:firstLine="0"/>
              <w:jc w:val="center"/>
              <w:rPr>
                <w:rFonts w:ascii="Times New Roman" w:hAnsi="Times New Roman" w:cs="Times New Roman"/>
              </w:rPr>
            </w:pPr>
          </w:p>
        </w:tc>
        <w:tc>
          <w:tcPr>
            <w:tcW w:w="2552" w:type="dxa"/>
          </w:tcPr>
          <w:p w:rsidR="00311638" w:rsidRPr="00311638" w:rsidRDefault="00311638" w:rsidP="00311638">
            <w:pPr>
              <w:ind w:left="0" w:firstLine="0"/>
              <w:jc w:val="center"/>
              <w:rPr>
                <w:rFonts w:ascii="Times New Roman" w:hAnsi="Times New Roman" w:cs="Times New Roman"/>
              </w:rPr>
            </w:pPr>
          </w:p>
        </w:tc>
        <w:tc>
          <w:tcPr>
            <w:tcW w:w="815" w:type="dxa"/>
          </w:tcPr>
          <w:p w:rsidR="00311638" w:rsidRPr="00311638" w:rsidRDefault="00816DBF" w:rsidP="00311638">
            <w:pPr>
              <w:ind w:left="0" w:firstLine="0"/>
              <w:jc w:val="center"/>
              <w:rPr>
                <w:rFonts w:ascii="Times New Roman" w:hAnsi="Times New Roman" w:cs="Times New Roman"/>
              </w:rPr>
            </w:pPr>
            <w:r>
              <w:rPr>
                <w:rFonts w:ascii="Times New Roman" w:hAnsi="Times New Roman" w:cs="Times New Roman"/>
              </w:rPr>
              <w:t>67,9</w:t>
            </w:r>
          </w:p>
        </w:tc>
      </w:tr>
    </w:tbl>
    <w:p w:rsidR="00655701" w:rsidRPr="00C15285" w:rsidRDefault="0079035B" w:rsidP="00C15285">
      <w:pPr>
        <w:ind w:left="0" w:firstLine="709"/>
        <w:jc w:val="both"/>
        <w:rPr>
          <w:rFonts w:ascii="Times New Roman" w:hAnsi="Times New Roman" w:cs="Times New Roman"/>
          <w:sz w:val="24"/>
          <w:szCs w:val="24"/>
        </w:rPr>
      </w:pPr>
      <w:r>
        <w:rPr>
          <w:rFonts w:ascii="Times New Roman" w:hAnsi="Times New Roman" w:cs="Times New Roman"/>
          <w:sz w:val="24"/>
          <w:szCs w:val="24"/>
        </w:rPr>
        <w:t>Источник</w:t>
      </w:r>
      <w:r w:rsidR="00655701" w:rsidRPr="00C15285">
        <w:rPr>
          <w:rFonts w:ascii="Times New Roman" w:hAnsi="Times New Roman" w:cs="Times New Roman"/>
          <w:sz w:val="24"/>
          <w:szCs w:val="24"/>
        </w:rPr>
        <w:t xml:space="preserve"> </w:t>
      </w:r>
      <w:r w:rsidR="00653B96" w:rsidRPr="00C15285">
        <w:rPr>
          <w:rFonts w:ascii="Times New Roman" w:hAnsi="Times New Roman" w:cs="Times New Roman"/>
          <w:sz w:val="24"/>
          <w:szCs w:val="24"/>
        </w:rPr>
        <w:t>[</w:t>
      </w:r>
      <w:r w:rsidR="00F20E27" w:rsidRPr="00C15285">
        <w:rPr>
          <w:rFonts w:ascii="Times New Roman" w:hAnsi="Times New Roman" w:cs="Times New Roman"/>
          <w:sz w:val="24"/>
          <w:szCs w:val="24"/>
        </w:rPr>
        <w:t>2</w:t>
      </w:r>
      <w:r w:rsidR="00653B96" w:rsidRPr="00C15285">
        <w:rPr>
          <w:rFonts w:ascii="Times New Roman" w:hAnsi="Times New Roman" w:cs="Times New Roman"/>
          <w:sz w:val="24"/>
          <w:szCs w:val="24"/>
        </w:rPr>
        <w:t>]</w:t>
      </w:r>
      <w:r w:rsidR="00DB14D7" w:rsidRPr="00C15285">
        <w:rPr>
          <w:rFonts w:ascii="Times New Roman" w:hAnsi="Times New Roman" w:cs="Times New Roman"/>
          <w:sz w:val="24"/>
          <w:szCs w:val="24"/>
        </w:rPr>
        <w:t>.</w:t>
      </w:r>
    </w:p>
    <w:p w:rsidR="0079035B" w:rsidRDefault="0079035B" w:rsidP="00C15285">
      <w:pPr>
        <w:ind w:left="0" w:firstLine="709"/>
        <w:jc w:val="both"/>
        <w:rPr>
          <w:rFonts w:ascii="Times New Roman" w:hAnsi="Times New Roman" w:cs="Times New Roman"/>
          <w:sz w:val="24"/>
          <w:szCs w:val="24"/>
        </w:rPr>
      </w:pPr>
    </w:p>
    <w:p w:rsidR="00164B01" w:rsidRDefault="00164B01" w:rsidP="00C15285">
      <w:pPr>
        <w:ind w:left="0" w:firstLine="709"/>
        <w:jc w:val="both"/>
        <w:rPr>
          <w:rFonts w:ascii="Times New Roman" w:hAnsi="Times New Roman" w:cs="Times New Roman"/>
          <w:sz w:val="24"/>
          <w:szCs w:val="24"/>
        </w:rPr>
      </w:pPr>
      <w:r>
        <w:rPr>
          <w:rFonts w:ascii="Times New Roman" w:hAnsi="Times New Roman" w:cs="Times New Roman"/>
          <w:sz w:val="24"/>
          <w:szCs w:val="24"/>
        </w:rPr>
        <w:t>В большинстве развитых стран  мира основой пенсионного обеспечения выступает распределительная часть. Однако, в некоторых странах распределительная часть существе</w:t>
      </w:r>
      <w:r>
        <w:rPr>
          <w:rFonts w:ascii="Times New Roman" w:hAnsi="Times New Roman" w:cs="Times New Roman"/>
          <w:sz w:val="24"/>
          <w:szCs w:val="24"/>
        </w:rPr>
        <w:t>н</w:t>
      </w:r>
      <w:r>
        <w:rPr>
          <w:rFonts w:ascii="Times New Roman" w:hAnsi="Times New Roman" w:cs="Times New Roman"/>
          <w:sz w:val="24"/>
          <w:szCs w:val="24"/>
        </w:rPr>
        <w:t>но поддерживается накопительной системой, как обязательной, так и добровольной.</w:t>
      </w:r>
    </w:p>
    <w:p w:rsidR="00164B01" w:rsidRPr="00C15285" w:rsidRDefault="00164B01" w:rsidP="00164B01">
      <w:pPr>
        <w:pStyle w:val="a3"/>
        <w:spacing w:before="0" w:beforeAutospacing="0" w:after="0" w:afterAutospacing="0"/>
        <w:ind w:firstLine="709"/>
        <w:jc w:val="both"/>
      </w:pPr>
      <w:r w:rsidRPr="00C15285">
        <w:t>Распределительно-накопительная модель пенсионной системы РФ просуществовала с 2002 по 2014 гг. В структуре доходов Пенсионного фонда Республики Коми до 2014 г. взн</w:t>
      </w:r>
      <w:r w:rsidRPr="00C15285">
        <w:t>о</w:t>
      </w:r>
      <w:r w:rsidRPr="00C15285">
        <w:t>сы на накопительную часть пенсии занимали</w:t>
      </w:r>
      <w:r>
        <w:t> 1</w:t>
      </w:r>
      <w:r w:rsidRPr="00C15285">
        <w:t>0-12%. В связи с введением Правительством РФ моратория на накопительную часть пенсии в пользу страховой, с 2014 г. их выплата пр</w:t>
      </w:r>
      <w:r w:rsidRPr="00C15285">
        <w:t>е</w:t>
      </w:r>
      <w:r w:rsidRPr="00C15285">
        <w:t>кратилась, а до этого момента её удельный вес находился в пределах 7-7,5%</w:t>
      </w:r>
      <w:r>
        <w:t xml:space="preserve"> от общей вел</w:t>
      </w:r>
      <w:r>
        <w:t>и</w:t>
      </w:r>
      <w:r>
        <w:t>чины расходов.</w:t>
      </w:r>
    </w:p>
    <w:p w:rsidR="00164B01" w:rsidRPr="00C15285" w:rsidRDefault="00164B01" w:rsidP="00164B01">
      <w:pPr>
        <w:shd w:val="clear" w:color="auto" w:fill="FFFFFF"/>
        <w:ind w:left="0" w:firstLine="709"/>
        <w:jc w:val="both"/>
        <w:rPr>
          <w:rFonts w:ascii="Times New Roman" w:eastAsia="Times New Roman" w:hAnsi="Times New Roman" w:cs="Times New Roman"/>
          <w:sz w:val="24"/>
          <w:szCs w:val="24"/>
          <w:lang w:eastAsia="ru-RU"/>
        </w:rPr>
      </w:pPr>
      <w:r w:rsidRPr="00C15285">
        <w:rPr>
          <w:rFonts w:ascii="Times New Roman" w:hAnsi="Times New Roman" w:cs="Times New Roman"/>
          <w:sz w:val="24"/>
          <w:szCs w:val="24"/>
        </w:rPr>
        <w:t>Причиной моратория явилось ухудшение за последние годы внешнеэкономической ситуации и кризис внутренней экономики. Государством были обозначены ориентиры на о</w:t>
      </w:r>
      <w:r w:rsidRPr="00C15285">
        <w:rPr>
          <w:rFonts w:ascii="Times New Roman" w:hAnsi="Times New Roman" w:cs="Times New Roman"/>
          <w:sz w:val="24"/>
          <w:szCs w:val="24"/>
        </w:rPr>
        <w:t>п</w:t>
      </w:r>
      <w:r w:rsidRPr="00C15285">
        <w:rPr>
          <w:rFonts w:ascii="Times New Roman" w:hAnsi="Times New Roman" w:cs="Times New Roman"/>
          <w:sz w:val="24"/>
          <w:szCs w:val="24"/>
        </w:rPr>
        <w:t>тимизацию расходов, повышение сбалансированности и прозрачности пенсионной системы.</w:t>
      </w:r>
    </w:p>
    <w:p w:rsidR="00DF2F2E" w:rsidRPr="00C15285" w:rsidRDefault="00393FFA" w:rsidP="00C15285">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Следующим в</w:t>
      </w:r>
      <w:r w:rsidR="00DF2F2E" w:rsidRPr="00C15285">
        <w:rPr>
          <w:rFonts w:ascii="Times New Roman" w:hAnsi="Times New Roman" w:cs="Times New Roman"/>
          <w:sz w:val="24"/>
          <w:szCs w:val="24"/>
        </w:rPr>
        <w:t>ажным показателем  уровня  материального обеспечения пенсионера является соотношение среднего  размера  пенсий  по  стране  к  установленному прожито</w:t>
      </w:r>
      <w:r w:rsidR="00DF2F2E" w:rsidRPr="00C15285">
        <w:rPr>
          <w:rFonts w:ascii="Times New Roman" w:hAnsi="Times New Roman" w:cs="Times New Roman"/>
          <w:sz w:val="24"/>
          <w:szCs w:val="24"/>
        </w:rPr>
        <w:t>ч</w:t>
      </w:r>
      <w:r w:rsidR="00DF2F2E" w:rsidRPr="00C15285">
        <w:rPr>
          <w:rFonts w:ascii="Times New Roman" w:hAnsi="Times New Roman" w:cs="Times New Roman"/>
          <w:sz w:val="24"/>
          <w:szCs w:val="24"/>
        </w:rPr>
        <w:lastRenderedPageBreak/>
        <w:t>ному  минимуму  пенсионера.  Прогнозы  актуариев,  составленные  до  проведения  рефо</w:t>
      </w:r>
      <w:r w:rsidR="00DF2F2E" w:rsidRPr="00C15285">
        <w:rPr>
          <w:rFonts w:ascii="Times New Roman" w:hAnsi="Times New Roman" w:cs="Times New Roman"/>
          <w:sz w:val="24"/>
          <w:szCs w:val="24"/>
        </w:rPr>
        <w:t>р</w:t>
      </w:r>
      <w:r w:rsidR="00DF2F2E" w:rsidRPr="00C15285">
        <w:rPr>
          <w:rFonts w:ascii="Times New Roman" w:hAnsi="Times New Roman" w:cs="Times New Roman"/>
          <w:sz w:val="24"/>
          <w:szCs w:val="24"/>
        </w:rPr>
        <w:t xml:space="preserve">мы,  не внушают оптимизма и в отношении этого показателя. </w:t>
      </w:r>
    </w:p>
    <w:p w:rsidR="002849B6" w:rsidRPr="00C15285" w:rsidRDefault="00DF2F2E" w:rsidP="00C15285">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По мнению некоторых специалистов одной из основных целей развития пенсионной  системы  является  обеспечение  среднего размера трудовой пенсии по старости не менее 2,5</w:t>
      </w:r>
      <w:r w:rsidR="00625669" w:rsidRPr="00C15285">
        <w:rPr>
          <w:rFonts w:ascii="Times New Roman" w:hAnsi="Times New Roman" w:cs="Times New Roman"/>
          <w:sz w:val="24"/>
          <w:szCs w:val="24"/>
        </w:rPr>
        <w:t>-</w:t>
      </w:r>
      <w:r w:rsidRPr="00C15285">
        <w:rPr>
          <w:rFonts w:ascii="Times New Roman" w:hAnsi="Times New Roman" w:cs="Times New Roman"/>
          <w:sz w:val="24"/>
          <w:szCs w:val="24"/>
        </w:rPr>
        <w:t>3 прожиточных  минимумов  пенсионера</w:t>
      </w:r>
      <w:r w:rsidR="0079035B">
        <w:rPr>
          <w:rFonts w:ascii="Times New Roman" w:hAnsi="Times New Roman" w:cs="Times New Roman"/>
          <w:sz w:val="24"/>
          <w:szCs w:val="24"/>
        </w:rPr>
        <w:t> </w:t>
      </w:r>
      <w:r w:rsidR="00653B96" w:rsidRPr="00C15285">
        <w:rPr>
          <w:rFonts w:ascii="Times New Roman" w:hAnsi="Times New Roman" w:cs="Times New Roman"/>
          <w:sz w:val="24"/>
          <w:szCs w:val="24"/>
        </w:rPr>
        <w:t>[</w:t>
      </w:r>
      <w:r w:rsidR="00F20E27" w:rsidRPr="00C15285">
        <w:rPr>
          <w:rFonts w:ascii="Times New Roman" w:hAnsi="Times New Roman" w:cs="Times New Roman"/>
          <w:sz w:val="24"/>
          <w:szCs w:val="24"/>
        </w:rPr>
        <w:t>1</w:t>
      </w:r>
      <w:r w:rsidR="00303C9F">
        <w:rPr>
          <w:rFonts w:ascii="Times New Roman" w:hAnsi="Times New Roman" w:cs="Times New Roman"/>
          <w:sz w:val="24"/>
          <w:szCs w:val="24"/>
        </w:rPr>
        <w:t>1</w:t>
      </w:r>
      <w:r w:rsidR="00653B96" w:rsidRPr="00C15285">
        <w:rPr>
          <w:rFonts w:ascii="Times New Roman" w:hAnsi="Times New Roman" w:cs="Times New Roman"/>
          <w:sz w:val="24"/>
          <w:szCs w:val="24"/>
        </w:rPr>
        <w:t xml:space="preserve"> с. 2</w:t>
      </w:r>
      <w:r w:rsidR="00DB14D7" w:rsidRPr="00C15285">
        <w:rPr>
          <w:rFonts w:ascii="Times New Roman" w:hAnsi="Times New Roman" w:cs="Times New Roman"/>
          <w:sz w:val="24"/>
          <w:szCs w:val="24"/>
        </w:rPr>
        <w:t>72</w:t>
      </w:r>
      <w:r w:rsidR="00653B96" w:rsidRPr="00C15285">
        <w:rPr>
          <w:rFonts w:ascii="Times New Roman" w:hAnsi="Times New Roman" w:cs="Times New Roman"/>
          <w:sz w:val="24"/>
          <w:szCs w:val="24"/>
        </w:rPr>
        <w:t>]</w:t>
      </w:r>
      <w:r w:rsidR="00DB14D7" w:rsidRPr="00C15285">
        <w:rPr>
          <w:rFonts w:ascii="Times New Roman" w:hAnsi="Times New Roman" w:cs="Times New Roman"/>
          <w:sz w:val="24"/>
          <w:szCs w:val="24"/>
        </w:rPr>
        <w:t>.</w:t>
      </w:r>
    </w:p>
    <w:p w:rsidR="00711CFF" w:rsidRDefault="002B5758" w:rsidP="00C15285">
      <w:pPr>
        <w:pStyle w:val="a3"/>
        <w:shd w:val="clear" w:color="auto" w:fill="FFFFFF"/>
        <w:spacing w:before="0" w:beforeAutospacing="0" w:after="0" w:afterAutospacing="0"/>
        <w:ind w:firstLine="709"/>
        <w:jc w:val="both"/>
      </w:pPr>
      <w:r w:rsidRPr="00C15285">
        <w:t xml:space="preserve"> </w:t>
      </w:r>
      <w:r w:rsidR="00393FFA" w:rsidRPr="00C15285">
        <w:t>Показатель отношения пенсий к прожиточному минимуму за</w:t>
      </w:r>
      <w:r w:rsidR="0079035B">
        <w:t xml:space="preserve"> </w:t>
      </w:r>
      <w:r w:rsidR="00393FFA" w:rsidRPr="00C15285">
        <w:t>2010-2016 гг.</w:t>
      </w:r>
      <w:r w:rsidR="002E251D">
        <w:t xml:space="preserve"> в Респу</w:t>
      </w:r>
      <w:r w:rsidR="002E251D">
        <w:t>б</w:t>
      </w:r>
      <w:r w:rsidR="002E251D">
        <w:t>лике Коми</w:t>
      </w:r>
      <w:r w:rsidR="00393FFA" w:rsidRPr="00C15285">
        <w:t xml:space="preserve"> имел ра</w:t>
      </w:r>
      <w:r w:rsidR="002E251D">
        <w:t>з</w:t>
      </w:r>
      <w:r w:rsidR="00393FFA" w:rsidRPr="00C15285">
        <w:t xml:space="preserve">нонаправленную динамику, где </w:t>
      </w:r>
      <w:r w:rsidR="002E251D">
        <w:t xml:space="preserve"> в 2012 г. </w:t>
      </w:r>
      <w:r w:rsidR="00393FFA" w:rsidRPr="00C15285">
        <w:t>данный индикатор имел макс</w:t>
      </w:r>
      <w:r w:rsidR="00393FFA" w:rsidRPr="00C15285">
        <w:t>и</w:t>
      </w:r>
      <w:r w:rsidR="00393FFA" w:rsidRPr="00C15285">
        <w:t xml:space="preserve">мальное значение (см. рис. </w:t>
      </w:r>
      <w:r w:rsidR="002E251D">
        <w:t>2</w:t>
      </w:r>
      <w:r w:rsidR="00393FFA" w:rsidRPr="00C15285">
        <w:t xml:space="preserve">). Далее этот показатель периодически менялся и в 2016 г. по </w:t>
      </w:r>
      <w:r w:rsidR="002E251D">
        <w:t>р</w:t>
      </w:r>
      <w:r w:rsidR="002E251D">
        <w:t>е</w:t>
      </w:r>
      <w:r w:rsidR="002E251D">
        <w:t>гиону</w:t>
      </w:r>
      <w:r w:rsidR="00001281">
        <w:t xml:space="preserve"> составил</w:t>
      </w:r>
      <w:r w:rsidR="00393FFA" w:rsidRPr="00C15285">
        <w:t xml:space="preserve"> 1,7 раза. </w:t>
      </w:r>
    </w:p>
    <w:p w:rsidR="0079035B" w:rsidRPr="00C15285" w:rsidRDefault="0079035B" w:rsidP="0079035B">
      <w:pPr>
        <w:shd w:val="clear" w:color="auto" w:fill="FFFFFF"/>
        <w:ind w:left="0" w:firstLine="709"/>
        <w:jc w:val="both"/>
        <w:rPr>
          <w:rFonts w:ascii="Times New Roman" w:eastAsia="Times New Roman" w:hAnsi="Times New Roman" w:cs="Times New Roman"/>
          <w:sz w:val="24"/>
          <w:szCs w:val="24"/>
          <w:lang w:eastAsia="ru-RU"/>
        </w:rPr>
      </w:pPr>
      <w:r w:rsidRPr="00C15285">
        <w:rPr>
          <w:rFonts w:ascii="Times New Roman" w:eastAsia="Times New Roman" w:hAnsi="Times New Roman" w:cs="Times New Roman"/>
          <w:sz w:val="24"/>
          <w:szCs w:val="24"/>
          <w:lang w:eastAsia="ru-RU"/>
        </w:rPr>
        <w:t xml:space="preserve">Для выявления особенностей реформирования пенсионной системы в России </w:t>
      </w:r>
      <w:r w:rsidR="002E251D">
        <w:rPr>
          <w:rFonts w:ascii="Times New Roman" w:eastAsia="Times New Roman" w:hAnsi="Times New Roman" w:cs="Times New Roman"/>
          <w:sz w:val="24"/>
          <w:szCs w:val="24"/>
          <w:lang w:eastAsia="ru-RU"/>
        </w:rPr>
        <w:t>необх</w:t>
      </w:r>
      <w:r w:rsidR="002E251D">
        <w:rPr>
          <w:rFonts w:ascii="Times New Roman" w:eastAsia="Times New Roman" w:hAnsi="Times New Roman" w:cs="Times New Roman"/>
          <w:sz w:val="24"/>
          <w:szCs w:val="24"/>
          <w:lang w:eastAsia="ru-RU"/>
        </w:rPr>
        <w:t>о</w:t>
      </w:r>
      <w:r w:rsidR="002E251D">
        <w:rPr>
          <w:rFonts w:ascii="Times New Roman" w:eastAsia="Times New Roman" w:hAnsi="Times New Roman" w:cs="Times New Roman"/>
          <w:sz w:val="24"/>
          <w:szCs w:val="24"/>
          <w:lang w:eastAsia="ru-RU"/>
        </w:rPr>
        <w:t xml:space="preserve">дим краткий </w:t>
      </w:r>
      <w:r w:rsidRPr="00C15285">
        <w:rPr>
          <w:rFonts w:ascii="Times New Roman" w:eastAsia="Times New Roman" w:hAnsi="Times New Roman" w:cs="Times New Roman"/>
          <w:sz w:val="24"/>
          <w:szCs w:val="24"/>
          <w:lang w:eastAsia="ru-RU"/>
        </w:rPr>
        <w:t>анализ основны</w:t>
      </w:r>
      <w:r w:rsidR="002E251D">
        <w:rPr>
          <w:rFonts w:ascii="Times New Roman" w:eastAsia="Times New Roman" w:hAnsi="Times New Roman" w:cs="Times New Roman"/>
          <w:sz w:val="24"/>
          <w:szCs w:val="24"/>
          <w:lang w:eastAsia="ru-RU"/>
        </w:rPr>
        <w:t>х</w:t>
      </w:r>
      <w:r w:rsidRPr="00C15285">
        <w:rPr>
          <w:rFonts w:ascii="Times New Roman" w:eastAsia="Times New Roman" w:hAnsi="Times New Roman" w:cs="Times New Roman"/>
          <w:sz w:val="24"/>
          <w:szCs w:val="24"/>
          <w:lang w:eastAsia="ru-RU"/>
        </w:rPr>
        <w:t xml:space="preserve"> этап</w:t>
      </w:r>
      <w:r w:rsidR="002E251D">
        <w:rPr>
          <w:rFonts w:ascii="Times New Roman" w:eastAsia="Times New Roman" w:hAnsi="Times New Roman" w:cs="Times New Roman"/>
          <w:sz w:val="24"/>
          <w:szCs w:val="24"/>
          <w:lang w:eastAsia="ru-RU"/>
        </w:rPr>
        <w:t>ов</w:t>
      </w:r>
      <w:r w:rsidRPr="00C15285">
        <w:rPr>
          <w:rFonts w:ascii="Times New Roman" w:eastAsia="Times New Roman" w:hAnsi="Times New Roman" w:cs="Times New Roman"/>
          <w:sz w:val="24"/>
          <w:szCs w:val="24"/>
          <w:lang w:eastAsia="ru-RU"/>
        </w:rPr>
        <w:t xml:space="preserve"> изменений. </w:t>
      </w:r>
      <w:r w:rsidR="002E251D">
        <w:rPr>
          <w:rFonts w:ascii="Times New Roman" w:eastAsia="Times New Roman" w:hAnsi="Times New Roman" w:cs="Times New Roman"/>
          <w:sz w:val="24"/>
          <w:szCs w:val="24"/>
          <w:lang w:eastAsia="ru-RU"/>
        </w:rPr>
        <w:t>Реформирование пенсионной системы Ро</w:t>
      </w:r>
      <w:r w:rsidR="002E251D">
        <w:rPr>
          <w:rFonts w:ascii="Times New Roman" w:eastAsia="Times New Roman" w:hAnsi="Times New Roman" w:cs="Times New Roman"/>
          <w:sz w:val="24"/>
          <w:szCs w:val="24"/>
          <w:lang w:eastAsia="ru-RU"/>
        </w:rPr>
        <w:t>с</w:t>
      </w:r>
      <w:r w:rsidR="002E251D">
        <w:rPr>
          <w:rFonts w:ascii="Times New Roman" w:eastAsia="Times New Roman" w:hAnsi="Times New Roman" w:cs="Times New Roman"/>
          <w:sz w:val="24"/>
          <w:szCs w:val="24"/>
          <w:lang w:eastAsia="ru-RU"/>
        </w:rPr>
        <w:t xml:space="preserve">сии происходит практически с момента её образования и по текущий момент. </w:t>
      </w:r>
      <w:r w:rsidRPr="00C15285">
        <w:rPr>
          <w:rFonts w:ascii="Times New Roman" w:eastAsia="Times New Roman" w:hAnsi="Times New Roman" w:cs="Times New Roman"/>
          <w:sz w:val="24"/>
          <w:szCs w:val="24"/>
          <w:lang w:eastAsia="ru-RU"/>
        </w:rPr>
        <w:t xml:space="preserve">С увеличением продолжительности  жизни  пенсионеров, большинство  стран  столкнулись  с  дефицитом  пенсионной  системы,  построенной исключительно  на  принципах  перераспределения  средств  между  поколениями (солидарный принцип) </w:t>
      </w:r>
      <w:r w:rsidRPr="00C15285">
        <w:rPr>
          <w:rFonts w:ascii="Times New Roman" w:hAnsi="Times New Roman" w:cs="Times New Roman"/>
          <w:sz w:val="24"/>
          <w:szCs w:val="24"/>
        </w:rPr>
        <w:t>[4]</w:t>
      </w:r>
      <w:r w:rsidRPr="00C15285">
        <w:rPr>
          <w:rFonts w:ascii="Times New Roman" w:eastAsia="Times New Roman" w:hAnsi="Times New Roman" w:cs="Times New Roman"/>
          <w:sz w:val="24"/>
          <w:szCs w:val="24"/>
          <w:lang w:eastAsia="ru-RU"/>
        </w:rPr>
        <w:t>. Представители  Всемирного  банка  в  рамках  реформирования  национальных пенсионных  систем  предлагали  введение  об</w:t>
      </w:r>
      <w:r w:rsidRPr="00C15285">
        <w:rPr>
          <w:rFonts w:ascii="Times New Roman" w:eastAsia="Times New Roman" w:hAnsi="Times New Roman" w:cs="Times New Roman"/>
          <w:sz w:val="24"/>
          <w:szCs w:val="24"/>
          <w:lang w:eastAsia="ru-RU"/>
        </w:rPr>
        <w:t>я</w:t>
      </w:r>
      <w:r w:rsidRPr="00C15285">
        <w:rPr>
          <w:rFonts w:ascii="Times New Roman" w:eastAsia="Times New Roman" w:hAnsi="Times New Roman" w:cs="Times New Roman"/>
          <w:sz w:val="24"/>
          <w:szCs w:val="24"/>
          <w:lang w:eastAsia="ru-RU"/>
        </w:rPr>
        <w:t>зательного  накопительного  элемента – накопительных  пенсий.  В  течение  ряда  лет  пре</w:t>
      </w:r>
      <w:r w:rsidRPr="00C15285">
        <w:rPr>
          <w:rFonts w:ascii="Times New Roman" w:eastAsia="Times New Roman" w:hAnsi="Times New Roman" w:cs="Times New Roman"/>
          <w:sz w:val="24"/>
          <w:szCs w:val="24"/>
          <w:lang w:eastAsia="ru-RU"/>
        </w:rPr>
        <w:t>д</w:t>
      </w:r>
      <w:r w:rsidRPr="00C15285">
        <w:rPr>
          <w:rFonts w:ascii="Times New Roman" w:eastAsia="Times New Roman" w:hAnsi="Times New Roman" w:cs="Times New Roman"/>
          <w:sz w:val="24"/>
          <w:szCs w:val="24"/>
          <w:lang w:eastAsia="ru-RU"/>
        </w:rPr>
        <w:t>ставители  Всемирного  банка, Международной  организации  труда  и  Международной  о</w:t>
      </w:r>
      <w:r w:rsidRPr="00C15285">
        <w:rPr>
          <w:rFonts w:ascii="Times New Roman" w:eastAsia="Times New Roman" w:hAnsi="Times New Roman" w:cs="Times New Roman"/>
          <w:sz w:val="24"/>
          <w:szCs w:val="24"/>
          <w:lang w:eastAsia="ru-RU"/>
        </w:rPr>
        <w:t>р</w:t>
      </w:r>
      <w:r w:rsidRPr="00C15285">
        <w:rPr>
          <w:rFonts w:ascii="Times New Roman" w:eastAsia="Times New Roman" w:hAnsi="Times New Roman" w:cs="Times New Roman"/>
          <w:sz w:val="24"/>
          <w:szCs w:val="24"/>
          <w:lang w:eastAsia="ru-RU"/>
        </w:rPr>
        <w:t>ганизации  социального обеспечения спорили о соотношении накопительных и перераспр</w:t>
      </w:r>
      <w:r w:rsidRPr="00C15285">
        <w:rPr>
          <w:rFonts w:ascii="Times New Roman" w:eastAsia="Times New Roman" w:hAnsi="Times New Roman" w:cs="Times New Roman"/>
          <w:sz w:val="24"/>
          <w:szCs w:val="24"/>
          <w:lang w:eastAsia="ru-RU"/>
        </w:rPr>
        <w:t>е</w:t>
      </w:r>
      <w:r w:rsidRPr="00C15285">
        <w:rPr>
          <w:rFonts w:ascii="Times New Roman" w:eastAsia="Times New Roman" w:hAnsi="Times New Roman" w:cs="Times New Roman"/>
          <w:sz w:val="24"/>
          <w:szCs w:val="24"/>
          <w:lang w:eastAsia="ru-RU"/>
        </w:rPr>
        <w:t xml:space="preserve">делительных элементов в  системе  пенсионного  обеспечения.  </w:t>
      </w:r>
    </w:p>
    <w:p w:rsidR="0079035B" w:rsidRPr="00C15285" w:rsidRDefault="002E251D" w:rsidP="0079035B">
      <w:pPr>
        <w:shd w:val="clear" w:color="auto" w:fill="FFFFFF"/>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Основным</w:t>
      </w:r>
      <w:r w:rsidR="0079035B" w:rsidRPr="00C15285">
        <w:rPr>
          <w:rFonts w:ascii="Times New Roman" w:eastAsia="Times New Roman" w:hAnsi="Times New Roman" w:cs="Times New Roman"/>
          <w:sz w:val="24"/>
          <w:szCs w:val="24"/>
          <w:lang w:eastAsia="ru-RU"/>
        </w:rPr>
        <w:t xml:space="preserve"> условием для существования накопительного элемента в пенсионной си</w:t>
      </w:r>
      <w:r w:rsidR="0079035B" w:rsidRPr="00C15285">
        <w:rPr>
          <w:rFonts w:ascii="Times New Roman" w:eastAsia="Times New Roman" w:hAnsi="Times New Roman" w:cs="Times New Roman"/>
          <w:sz w:val="24"/>
          <w:szCs w:val="24"/>
          <w:lang w:eastAsia="ru-RU"/>
        </w:rPr>
        <w:t>с</w:t>
      </w:r>
      <w:r w:rsidR="0079035B" w:rsidRPr="00C15285">
        <w:rPr>
          <w:rFonts w:ascii="Times New Roman" w:eastAsia="Times New Roman" w:hAnsi="Times New Roman" w:cs="Times New Roman"/>
          <w:sz w:val="24"/>
          <w:szCs w:val="24"/>
          <w:lang w:eastAsia="ru-RU"/>
        </w:rPr>
        <w:t>теме является устойчивость экономического развития и наличия стабильного финансового рынка, чего в России, к сожалению, пока не наблюдается.</w:t>
      </w:r>
    </w:p>
    <w:p w:rsidR="0079035B" w:rsidRPr="00C15285" w:rsidRDefault="002E251D" w:rsidP="0079035B">
      <w:pPr>
        <w:shd w:val="clear" w:color="auto" w:fill="FFFFFF"/>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Главной</w:t>
      </w:r>
      <w:r w:rsidR="0079035B" w:rsidRPr="00C15285">
        <w:rPr>
          <w:rFonts w:ascii="Times New Roman" w:eastAsia="Times New Roman" w:hAnsi="Times New Roman" w:cs="Times New Roman"/>
          <w:sz w:val="24"/>
          <w:szCs w:val="24"/>
          <w:lang w:eastAsia="ru-RU"/>
        </w:rPr>
        <w:t xml:space="preserve"> угрозой существования накопительной пенсии является цикличность разв</w:t>
      </w:r>
      <w:r w:rsidR="0079035B" w:rsidRPr="00C15285">
        <w:rPr>
          <w:rFonts w:ascii="Times New Roman" w:eastAsia="Times New Roman" w:hAnsi="Times New Roman" w:cs="Times New Roman"/>
          <w:sz w:val="24"/>
          <w:szCs w:val="24"/>
          <w:lang w:eastAsia="ru-RU"/>
        </w:rPr>
        <w:t>и</w:t>
      </w:r>
      <w:r w:rsidR="0079035B" w:rsidRPr="00C15285">
        <w:rPr>
          <w:rFonts w:ascii="Times New Roman" w:eastAsia="Times New Roman" w:hAnsi="Times New Roman" w:cs="Times New Roman"/>
          <w:sz w:val="24"/>
          <w:szCs w:val="24"/>
          <w:lang w:eastAsia="ru-RU"/>
        </w:rPr>
        <w:t>тия экономики, когда накопления будут обесцениваться за счет переоценки рыночной сто</w:t>
      </w:r>
      <w:r w:rsidR="0079035B" w:rsidRPr="00C15285">
        <w:rPr>
          <w:rFonts w:ascii="Times New Roman" w:eastAsia="Times New Roman" w:hAnsi="Times New Roman" w:cs="Times New Roman"/>
          <w:sz w:val="24"/>
          <w:szCs w:val="24"/>
          <w:lang w:eastAsia="ru-RU"/>
        </w:rPr>
        <w:t>и</w:t>
      </w:r>
      <w:r w:rsidR="0079035B" w:rsidRPr="00C15285">
        <w:rPr>
          <w:rFonts w:ascii="Times New Roman" w:eastAsia="Times New Roman" w:hAnsi="Times New Roman" w:cs="Times New Roman"/>
          <w:sz w:val="24"/>
          <w:szCs w:val="24"/>
          <w:lang w:eastAsia="ru-RU"/>
        </w:rPr>
        <w:t>мости ценных бумаг. Участники накопительной  пенсионной  системы  будут  беззащитны  перед  «рыночным  риском»  и инфляцией. Солидарная  же  пенсионная  система  финанс</w:t>
      </w:r>
      <w:r w:rsidR="0079035B" w:rsidRPr="00C15285">
        <w:rPr>
          <w:rFonts w:ascii="Times New Roman" w:eastAsia="Times New Roman" w:hAnsi="Times New Roman" w:cs="Times New Roman"/>
          <w:sz w:val="24"/>
          <w:szCs w:val="24"/>
          <w:lang w:eastAsia="ru-RU"/>
        </w:rPr>
        <w:t>и</w:t>
      </w:r>
      <w:r w:rsidR="0079035B" w:rsidRPr="00C15285">
        <w:rPr>
          <w:rFonts w:ascii="Times New Roman" w:eastAsia="Times New Roman" w:hAnsi="Times New Roman" w:cs="Times New Roman"/>
          <w:sz w:val="24"/>
          <w:szCs w:val="24"/>
          <w:lang w:eastAsia="ru-RU"/>
        </w:rPr>
        <w:t>руется  за  счет  отчислений  (налогов, страховых взносов) трудоспособного населения. В у</w:t>
      </w:r>
      <w:r w:rsidR="0079035B" w:rsidRPr="00C15285">
        <w:rPr>
          <w:rFonts w:ascii="Times New Roman" w:eastAsia="Times New Roman" w:hAnsi="Times New Roman" w:cs="Times New Roman"/>
          <w:sz w:val="24"/>
          <w:szCs w:val="24"/>
          <w:lang w:eastAsia="ru-RU"/>
        </w:rPr>
        <w:t>с</w:t>
      </w:r>
      <w:r w:rsidR="0079035B" w:rsidRPr="00C15285">
        <w:rPr>
          <w:rFonts w:ascii="Times New Roman" w:eastAsia="Times New Roman" w:hAnsi="Times New Roman" w:cs="Times New Roman"/>
          <w:sz w:val="24"/>
          <w:szCs w:val="24"/>
          <w:lang w:eastAsia="ru-RU"/>
        </w:rPr>
        <w:t>ловиях инфляции и роста экономики повышается  номинальный  размер  заработной  платы  и,  соответственно,  совокупные отчисления  в  пенсионную  систему.  Индексация  пенсий  осуществляется  за  счет увеличения совокупных отчислений работающего населения.</w:t>
      </w:r>
    </w:p>
    <w:p w:rsidR="0079035B" w:rsidRPr="00303C9F" w:rsidRDefault="002E251D" w:rsidP="0079035B">
      <w:pPr>
        <w:ind w:left="0" w:firstLine="709"/>
        <w:jc w:val="both"/>
        <w:rPr>
          <w:rFonts w:ascii="Times New Roman" w:hAnsi="Times New Roman" w:cs="Times New Roman"/>
          <w:sz w:val="24"/>
          <w:szCs w:val="24"/>
        </w:rPr>
      </w:pPr>
      <w:r w:rsidRPr="00303C9F">
        <w:rPr>
          <w:rFonts w:ascii="Times New Roman" w:hAnsi="Times New Roman" w:cs="Times New Roman"/>
          <w:sz w:val="24"/>
          <w:szCs w:val="24"/>
        </w:rPr>
        <w:t>Базовым</w:t>
      </w:r>
      <w:r w:rsidR="0079035B" w:rsidRPr="00303C9F">
        <w:rPr>
          <w:rFonts w:ascii="Times New Roman" w:hAnsi="Times New Roman" w:cs="Times New Roman"/>
          <w:sz w:val="24"/>
          <w:szCs w:val="24"/>
        </w:rPr>
        <w:t xml:space="preserve"> элементом в пенсионной системе являются отчисления работодателей на страховые взносы. В Республике Коми доля страховых взносов для финансирования пенсий увеличилась с 67,3% в 2010 г. до 99,8% в 2016 г. </w:t>
      </w:r>
    </w:p>
    <w:p w:rsidR="0079035B" w:rsidRPr="00C15285" w:rsidRDefault="0079035B" w:rsidP="0079035B">
      <w:pPr>
        <w:ind w:left="0" w:firstLine="709"/>
        <w:jc w:val="both"/>
        <w:rPr>
          <w:rFonts w:ascii="Times New Roman" w:eastAsia="Times New Roman" w:hAnsi="Times New Roman" w:cs="Times New Roman"/>
          <w:sz w:val="24"/>
          <w:szCs w:val="24"/>
          <w:lang w:eastAsia="ru-RU"/>
        </w:rPr>
      </w:pPr>
      <w:r w:rsidRPr="00303C9F">
        <w:rPr>
          <w:rFonts w:ascii="Times New Roman" w:hAnsi="Times New Roman" w:cs="Times New Roman"/>
          <w:sz w:val="24"/>
          <w:szCs w:val="24"/>
        </w:rPr>
        <w:t>Ставки по этому виду налога в современной России в зависимости от экономической ситуации периодически меняются. Так, с</w:t>
      </w:r>
      <w:r w:rsidRPr="00303C9F">
        <w:rPr>
          <w:rFonts w:ascii="Times New Roman" w:eastAsia="Times New Roman" w:hAnsi="Times New Roman" w:cs="Times New Roman"/>
          <w:sz w:val="24"/>
          <w:szCs w:val="24"/>
          <w:lang w:eastAsia="ru-RU"/>
        </w:rPr>
        <w:t xml:space="preserve"> 1 января 2001 г. в Российской Федерации был вв</w:t>
      </w:r>
      <w:r w:rsidRPr="00303C9F">
        <w:rPr>
          <w:rFonts w:ascii="Times New Roman" w:eastAsia="Times New Roman" w:hAnsi="Times New Roman" w:cs="Times New Roman"/>
          <w:sz w:val="24"/>
          <w:szCs w:val="24"/>
          <w:lang w:eastAsia="ru-RU"/>
        </w:rPr>
        <w:t>е</w:t>
      </w:r>
      <w:r w:rsidRPr="00303C9F">
        <w:rPr>
          <w:rFonts w:ascii="Times New Roman" w:eastAsia="Times New Roman" w:hAnsi="Times New Roman" w:cs="Times New Roman"/>
          <w:sz w:val="24"/>
          <w:szCs w:val="24"/>
          <w:lang w:eastAsia="ru-RU"/>
        </w:rPr>
        <w:t>ден единый социальный налог, зачисляемый в государственные внебюджетные</w:t>
      </w:r>
      <w:r w:rsidRPr="00C15285">
        <w:rPr>
          <w:rFonts w:ascii="Times New Roman" w:eastAsia="Times New Roman" w:hAnsi="Times New Roman" w:cs="Times New Roman"/>
          <w:sz w:val="24"/>
          <w:szCs w:val="24"/>
          <w:lang w:eastAsia="ru-RU"/>
        </w:rPr>
        <w:t xml:space="preserve"> фонды (Пе</w:t>
      </w:r>
      <w:r w:rsidRPr="00C15285">
        <w:rPr>
          <w:rFonts w:ascii="Times New Roman" w:eastAsia="Times New Roman" w:hAnsi="Times New Roman" w:cs="Times New Roman"/>
          <w:sz w:val="24"/>
          <w:szCs w:val="24"/>
          <w:lang w:eastAsia="ru-RU"/>
        </w:rPr>
        <w:t>н</w:t>
      </w:r>
      <w:r w:rsidRPr="00C15285">
        <w:rPr>
          <w:rFonts w:ascii="Times New Roman" w:eastAsia="Times New Roman" w:hAnsi="Times New Roman" w:cs="Times New Roman"/>
          <w:sz w:val="24"/>
          <w:szCs w:val="24"/>
          <w:lang w:eastAsia="ru-RU"/>
        </w:rPr>
        <w:t>сионный фонд РФ, Фонд социального страхования РФ, Фонды обязательного медицинского страхования РФ).</w:t>
      </w:r>
    </w:p>
    <w:p w:rsidR="0079035B" w:rsidRPr="00C15285" w:rsidRDefault="0079035B" w:rsidP="0079035B">
      <w:pPr>
        <w:shd w:val="clear" w:color="auto" w:fill="FFFFFF"/>
        <w:ind w:left="0" w:firstLine="709"/>
        <w:jc w:val="both"/>
        <w:rPr>
          <w:rFonts w:ascii="Times New Roman" w:hAnsi="Times New Roman" w:cs="Times New Roman"/>
          <w:sz w:val="24"/>
          <w:szCs w:val="24"/>
        </w:rPr>
      </w:pPr>
      <w:r w:rsidRPr="00C15285">
        <w:rPr>
          <w:rFonts w:ascii="Times New Roman" w:hAnsi="Times New Roman" w:cs="Times New Roman"/>
          <w:sz w:val="24"/>
          <w:szCs w:val="24"/>
        </w:rPr>
        <w:t>Действовавшая  до  1 января  2010 г. шкала предусматривала максимальную налог</w:t>
      </w:r>
      <w:r w:rsidRPr="00C15285">
        <w:rPr>
          <w:rFonts w:ascii="Times New Roman" w:hAnsi="Times New Roman" w:cs="Times New Roman"/>
          <w:sz w:val="24"/>
          <w:szCs w:val="24"/>
        </w:rPr>
        <w:t>о</w:t>
      </w:r>
      <w:r w:rsidRPr="00C15285">
        <w:rPr>
          <w:rFonts w:ascii="Times New Roman" w:hAnsi="Times New Roman" w:cs="Times New Roman"/>
          <w:sz w:val="24"/>
          <w:szCs w:val="24"/>
        </w:rPr>
        <w:t xml:space="preserve">вую ставку (26%) в тех случаях, когда налоговая база на каждое физическое лицо составляла до 280000 руб. в год. Однако во  многих  компаниях  с ростом  номинальных  зарплат  порог  этот  стал  преодолимым. </w:t>
      </w:r>
    </w:p>
    <w:p w:rsidR="0079035B" w:rsidRPr="00C15285" w:rsidRDefault="0079035B" w:rsidP="0079035B">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Согласно закона N212-ФЗ  совокупная величина страховых тарифов составила 34% и применялась с 1 января 2011 г. (в 2010 г. – 26%) [</w:t>
      </w:r>
      <w:r w:rsidR="00303C9F">
        <w:rPr>
          <w:rFonts w:ascii="Times New Roman" w:hAnsi="Times New Roman" w:cs="Times New Roman"/>
          <w:sz w:val="24"/>
          <w:szCs w:val="24"/>
        </w:rPr>
        <w:t>8</w:t>
      </w:r>
      <w:r w:rsidRPr="00C15285">
        <w:rPr>
          <w:rFonts w:ascii="Times New Roman" w:hAnsi="Times New Roman" w:cs="Times New Roman"/>
          <w:sz w:val="24"/>
          <w:szCs w:val="24"/>
        </w:rPr>
        <w:t>].</w:t>
      </w:r>
    </w:p>
    <w:p w:rsidR="0079035B" w:rsidRPr="00C15285" w:rsidRDefault="0079035B" w:rsidP="0079035B">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Структура тарифов выглядела следующим образом: Пенсионный фонд РФ (ПФРФ) – 26%; Фонд социального страхования (ФСС) – 2,9%; Федеральный фонд обязательного мед</w:t>
      </w:r>
      <w:r w:rsidRPr="00C15285">
        <w:rPr>
          <w:rFonts w:ascii="Times New Roman" w:hAnsi="Times New Roman" w:cs="Times New Roman"/>
          <w:sz w:val="24"/>
          <w:szCs w:val="24"/>
        </w:rPr>
        <w:t>и</w:t>
      </w:r>
      <w:r w:rsidRPr="00C15285">
        <w:rPr>
          <w:rFonts w:ascii="Times New Roman" w:hAnsi="Times New Roman" w:cs="Times New Roman"/>
          <w:sz w:val="24"/>
          <w:szCs w:val="24"/>
        </w:rPr>
        <w:t>цинского страхования (ФФОМС) – 2,1%;  Территориальный фонд обязательного медици</w:t>
      </w:r>
      <w:r w:rsidRPr="00C15285">
        <w:rPr>
          <w:rFonts w:ascii="Times New Roman" w:hAnsi="Times New Roman" w:cs="Times New Roman"/>
          <w:sz w:val="24"/>
          <w:szCs w:val="24"/>
        </w:rPr>
        <w:t>н</w:t>
      </w:r>
      <w:r w:rsidRPr="00C15285">
        <w:rPr>
          <w:rFonts w:ascii="Times New Roman" w:hAnsi="Times New Roman" w:cs="Times New Roman"/>
          <w:sz w:val="24"/>
          <w:szCs w:val="24"/>
        </w:rPr>
        <w:t xml:space="preserve">ского страхования (ТФОМС) – 3%. </w:t>
      </w:r>
    </w:p>
    <w:p w:rsidR="0079035B" w:rsidRPr="00C15285" w:rsidRDefault="0079035B" w:rsidP="0079035B">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 xml:space="preserve">Позже  в  2012  году  страховые  взносы  были  снижены  на  4%  и  распределились следующим образом: ФСС – 2,9%; Пенсионный – 16% и 6%; ФФОМС – 5,1%. </w:t>
      </w:r>
    </w:p>
    <w:p w:rsidR="0079035B" w:rsidRPr="00C15285" w:rsidRDefault="0079035B" w:rsidP="0079035B">
      <w:pPr>
        <w:pStyle w:val="ac"/>
        <w:ind w:left="0" w:firstLine="709"/>
        <w:jc w:val="both"/>
        <w:rPr>
          <w:rFonts w:ascii="Times New Roman" w:hAnsi="Times New Roman" w:cs="Times New Roman"/>
          <w:i/>
          <w:sz w:val="24"/>
          <w:szCs w:val="24"/>
        </w:rPr>
      </w:pPr>
      <w:r w:rsidRPr="00C15285">
        <w:rPr>
          <w:rFonts w:ascii="Times New Roman" w:hAnsi="Times New Roman" w:cs="Times New Roman"/>
          <w:sz w:val="24"/>
          <w:szCs w:val="24"/>
        </w:rPr>
        <w:lastRenderedPageBreak/>
        <w:t>С 1 января 2015 года в России введён новый порядок формирования пенсионных прав  граждан  и  начисления  пенсии  в  системе  обязательного  пенсионного  страхования. Уст</w:t>
      </w:r>
      <w:r w:rsidRPr="00C15285">
        <w:rPr>
          <w:rFonts w:ascii="Times New Roman" w:hAnsi="Times New Roman" w:cs="Times New Roman"/>
          <w:sz w:val="24"/>
          <w:szCs w:val="24"/>
        </w:rPr>
        <w:t>а</w:t>
      </w:r>
      <w:r w:rsidRPr="00C15285">
        <w:rPr>
          <w:rFonts w:ascii="Times New Roman" w:hAnsi="Times New Roman" w:cs="Times New Roman"/>
          <w:sz w:val="24"/>
          <w:szCs w:val="24"/>
        </w:rPr>
        <w:t>новлено,  что  права  на  страховую  пенсию  будут  учитываться  в  пенсионных коэффиц</w:t>
      </w:r>
      <w:r w:rsidRPr="00C15285">
        <w:rPr>
          <w:rFonts w:ascii="Times New Roman" w:hAnsi="Times New Roman" w:cs="Times New Roman"/>
          <w:sz w:val="24"/>
          <w:szCs w:val="24"/>
        </w:rPr>
        <w:t>и</w:t>
      </w:r>
      <w:r w:rsidRPr="00C15285">
        <w:rPr>
          <w:rFonts w:ascii="Times New Roman" w:hAnsi="Times New Roman" w:cs="Times New Roman"/>
          <w:sz w:val="24"/>
          <w:szCs w:val="24"/>
        </w:rPr>
        <w:t>ентах  (баллах),  исходя  из  уровня  заработной  платы  (уплаченных  с  нее страховых взн</w:t>
      </w:r>
      <w:r w:rsidRPr="00C15285">
        <w:rPr>
          <w:rFonts w:ascii="Times New Roman" w:hAnsi="Times New Roman" w:cs="Times New Roman"/>
          <w:sz w:val="24"/>
          <w:szCs w:val="24"/>
        </w:rPr>
        <w:t>о</w:t>
      </w:r>
      <w:r w:rsidRPr="00C15285">
        <w:rPr>
          <w:rFonts w:ascii="Times New Roman" w:hAnsi="Times New Roman" w:cs="Times New Roman"/>
          <w:sz w:val="24"/>
          <w:szCs w:val="24"/>
        </w:rPr>
        <w:t>сов), стажа и возраста выхода на пенсию [1</w:t>
      </w:r>
      <w:r w:rsidR="00303C9F">
        <w:rPr>
          <w:rFonts w:ascii="Times New Roman" w:hAnsi="Times New Roman" w:cs="Times New Roman"/>
          <w:sz w:val="24"/>
          <w:szCs w:val="24"/>
        </w:rPr>
        <w:t>0</w:t>
      </w:r>
      <w:r w:rsidRPr="00C15285">
        <w:rPr>
          <w:rFonts w:ascii="Times New Roman" w:hAnsi="Times New Roman" w:cs="Times New Roman"/>
          <w:sz w:val="24"/>
          <w:szCs w:val="24"/>
        </w:rPr>
        <w:t>, с. 159].</w:t>
      </w:r>
    </w:p>
    <w:p w:rsidR="0079035B" w:rsidRPr="00C15285" w:rsidRDefault="0079035B" w:rsidP="0079035B">
      <w:pPr>
        <w:ind w:left="0" w:firstLine="709"/>
        <w:jc w:val="both"/>
        <w:rPr>
          <w:rFonts w:ascii="Times New Roman" w:hAnsi="Times New Roman" w:cs="Times New Roman"/>
          <w:sz w:val="24"/>
          <w:szCs w:val="24"/>
        </w:rPr>
      </w:pPr>
      <w:r w:rsidRPr="00C15285">
        <w:rPr>
          <w:rFonts w:ascii="Times New Roman" w:hAnsi="Times New Roman" w:cs="Times New Roman"/>
          <w:sz w:val="24"/>
          <w:szCs w:val="24"/>
        </w:rPr>
        <w:t>Однако, как показывает</w:t>
      </w:r>
      <w:r w:rsidR="002E251D">
        <w:rPr>
          <w:rFonts w:ascii="Times New Roman" w:hAnsi="Times New Roman" w:cs="Times New Roman"/>
          <w:sz w:val="24"/>
          <w:szCs w:val="24"/>
        </w:rPr>
        <w:t xml:space="preserve"> выше проведённый </w:t>
      </w:r>
      <w:r w:rsidRPr="00C15285">
        <w:rPr>
          <w:rFonts w:ascii="Times New Roman" w:hAnsi="Times New Roman" w:cs="Times New Roman"/>
          <w:sz w:val="24"/>
          <w:szCs w:val="24"/>
        </w:rPr>
        <w:t xml:space="preserve"> анализ</w:t>
      </w:r>
      <w:r w:rsidR="002E251D">
        <w:rPr>
          <w:rFonts w:ascii="Times New Roman" w:hAnsi="Times New Roman" w:cs="Times New Roman"/>
          <w:sz w:val="24"/>
          <w:szCs w:val="24"/>
        </w:rPr>
        <w:t>,</w:t>
      </w:r>
      <w:r w:rsidRPr="00C15285">
        <w:rPr>
          <w:rFonts w:ascii="Times New Roman" w:hAnsi="Times New Roman" w:cs="Times New Roman"/>
          <w:sz w:val="24"/>
          <w:szCs w:val="24"/>
        </w:rPr>
        <w:t xml:space="preserve"> реформирование пенсионной системы государства существенных улучшений не принесло. </w:t>
      </w:r>
    </w:p>
    <w:p w:rsidR="00F25EB7" w:rsidRPr="00C15285" w:rsidRDefault="00033729" w:rsidP="00C15285">
      <w:pPr>
        <w:pStyle w:val="a3"/>
        <w:shd w:val="clear" w:color="auto" w:fill="FFFFFF"/>
        <w:spacing w:before="0" w:beforeAutospacing="0" w:after="0" w:afterAutospacing="0"/>
        <w:ind w:firstLine="709"/>
        <w:jc w:val="both"/>
      </w:pPr>
      <w:r>
        <w:t>С</w:t>
      </w:r>
      <w:r w:rsidR="00711CFF" w:rsidRPr="00C15285">
        <w:t xml:space="preserve"> учётом обозначенных ориентиров государства на повышение уровня и качества жизни населения, в том числе и засчёт существенного повышения размера пенсий, необх</w:t>
      </w:r>
      <w:r w:rsidR="00711CFF" w:rsidRPr="00C15285">
        <w:t>о</w:t>
      </w:r>
      <w:r w:rsidR="00711CFF" w:rsidRPr="00C15285">
        <w:t>дима кардинальн</w:t>
      </w:r>
      <w:r>
        <w:t>ое совершенствование</w:t>
      </w:r>
      <w:r w:rsidR="00711CFF" w:rsidRPr="00C15285">
        <w:t xml:space="preserve"> пенсионной системы России.</w:t>
      </w:r>
    </w:p>
    <w:p w:rsidR="00FE3627" w:rsidRDefault="00033729" w:rsidP="00C15285">
      <w:pPr>
        <w:pStyle w:val="a3"/>
        <w:shd w:val="clear" w:color="auto" w:fill="FFFFFF"/>
        <w:spacing w:before="0" w:beforeAutospacing="0" w:after="0" w:afterAutospacing="0"/>
        <w:ind w:firstLine="709"/>
        <w:jc w:val="both"/>
      </w:pPr>
      <w:r>
        <w:t>Д</w:t>
      </w:r>
      <w:r w:rsidR="00FE3627" w:rsidRPr="00C15285">
        <w:t xml:space="preserve">ля решения задач по </w:t>
      </w:r>
      <w:r>
        <w:t>совершенствованию</w:t>
      </w:r>
      <w:r w:rsidR="00FE3627" w:rsidRPr="00C15285">
        <w:t xml:space="preserve"> пенсионной системы </w:t>
      </w:r>
      <w:r w:rsidR="00D2340C" w:rsidRPr="00C15285">
        <w:t xml:space="preserve">основными </w:t>
      </w:r>
      <w:r>
        <w:t>напра</w:t>
      </w:r>
      <w:r>
        <w:t>в</w:t>
      </w:r>
      <w:r>
        <w:t>лениями</w:t>
      </w:r>
      <w:r w:rsidR="00D2340C" w:rsidRPr="00C15285">
        <w:t xml:space="preserve"> реализации пенсионной реформы должны стать:</w:t>
      </w:r>
      <w:r w:rsidR="00FE3627" w:rsidRPr="00C15285">
        <w:t xml:space="preserve"> </w:t>
      </w:r>
    </w:p>
    <w:p w:rsidR="00033729" w:rsidRPr="00C15285" w:rsidRDefault="00033729" w:rsidP="00033729">
      <w:pPr>
        <w:pStyle w:val="a3"/>
        <w:shd w:val="clear" w:color="auto" w:fill="FFFFFF"/>
        <w:spacing w:before="0" w:beforeAutospacing="0" w:after="0" w:afterAutospacing="0"/>
        <w:ind w:firstLine="709"/>
        <w:jc w:val="both"/>
      </w:pPr>
      <w:r w:rsidRPr="00C15285">
        <w:t>– совершенствование бюджетно-налоговой политики;</w:t>
      </w:r>
    </w:p>
    <w:p w:rsidR="00304FAA" w:rsidRDefault="006122F7" w:rsidP="00C15285">
      <w:pPr>
        <w:pStyle w:val="a3"/>
        <w:shd w:val="clear" w:color="auto" w:fill="FFFFFF"/>
        <w:spacing w:before="0" w:beforeAutospacing="0" w:after="0" w:afterAutospacing="0"/>
        <w:ind w:firstLine="709"/>
        <w:jc w:val="both"/>
      </w:pPr>
      <w:r w:rsidRPr="00C15285">
        <w:t xml:space="preserve">– </w:t>
      </w:r>
      <w:r w:rsidR="00033729">
        <w:t xml:space="preserve">продолжение </w:t>
      </w:r>
      <w:r w:rsidRPr="00C15285">
        <w:t>разви</w:t>
      </w:r>
      <w:r w:rsidR="00033729">
        <w:t>тия</w:t>
      </w:r>
      <w:r w:rsidRPr="00C15285">
        <w:t xml:space="preserve"> систем</w:t>
      </w:r>
      <w:r w:rsidR="00033729">
        <w:t>ы</w:t>
      </w:r>
      <w:r w:rsidRPr="00C15285">
        <w:t xml:space="preserve"> пенсионного обеспечения смешанного типа, делая упор на распределительную и обязательную накопительную часть с постепенным внедрен</w:t>
      </w:r>
      <w:r w:rsidRPr="00C15285">
        <w:t>и</w:t>
      </w:r>
      <w:r w:rsidRPr="00C15285">
        <w:t>ем и развитием добровольно-накопительного элемента</w:t>
      </w:r>
      <w:r w:rsidR="00304FAA" w:rsidRPr="00C15285">
        <w:t>;</w:t>
      </w:r>
    </w:p>
    <w:p w:rsidR="00033729" w:rsidRPr="00C15285" w:rsidRDefault="00033729" w:rsidP="00033729">
      <w:pPr>
        <w:pStyle w:val="a3"/>
        <w:shd w:val="clear" w:color="auto" w:fill="FFFFFF"/>
        <w:spacing w:before="0" w:beforeAutospacing="0" w:after="0" w:afterAutospacing="0"/>
        <w:ind w:firstLine="709"/>
        <w:jc w:val="both"/>
      </w:pPr>
      <w:r w:rsidRPr="00C15285">
        <w:t>– регулирование и мониторинг работы самих пенсионных фондов с целью снижения рисков;</w:t>
      </w:r>
    </w:p>
    <w:p w:rsidR="00304FAA" w:rsidRPr="00C15285" w:rsidRDefault="00304FAA" w:rsidP="00C15285">
      <w:pPr>
        <w:pStyle w:val="a3"/>
        <w:shd w:val="clear" w:color="auto" w:fill="FFFFFF"/>
        <w:spacing w:before="0" w:beforeAutospacing="0" w:after="0" w:afterAutospacing="0"/>
        <w:ind w:firstLine="709"/>
        <w:jc w:val="both"/>
      </w:pPr>
      <w:r w:rsidRPr="00C15285">
        <w:t>– формирование и контроль государственных и муниципальных заемных инструме</w:t>
      </w:r>
      <w:r w:rsidRPr="00C15285">
        <w:t>н</w:t>
      </w:r>
      <w:r w:rsidRPr="00C15285">
        <w:t>тов финансовых рынков для достижения сбалансированности федерального и региональных пенсионных бюджетов;</w:t>
      </w:r>
    </w:p>
    <w:p w:rsidR="00033729" w:rsidRPr="00C15285" w:rsidRDefault="00033729" w:rsidP="00033729">
      <w:pPr>
        <w:pStyle w:val="a3"/>
        <w:shd w:val="clear" w:color="auto" w:fill="FFFFFF"/>
        <w:spacing w:before="0" w:beforeAutospacing="0" w:after="0" w:afterAutospacing="0"/>
        <w:ind w:firstLine="709"/>
        <w:jc w:val="both"/>
      </w:pPr>
      <w:r w:rsidRPr="00C15285">
        <w:t>– усиление работы по повышению финансовой грамотности населения;</w:t>
      </w:r>
    </w:p>
    <w:p w:rsidR="00304FAA" w:rsidRPr="00C15285" w:rsidRDefault="00304FAA" w:rsidP="00C15285">
      <w:pPr>
        <w:pStyle w:val="a3"/>
        <w:shd w:val="clear" w:color="auto" w:fill="FFFFFF"/>
        <w:spacing w:before="0" w:beforeAutospacing="0" w:after="0" w:afterAutospacing="0"/>
        <w:ind w:firstLine="709"/>
        <w:jc w:val="both"/>
      </w:pPr>
      <w:r w:rsidRPr="00C15285">
        <w:t>– развитие корпоративного пенсионного обеспечения</w:t>
      </w:r>
      <w:r w:rsidR="00474151" w:rsidRPr="00C15285">
        <w:t>;</w:t>
      </w:r>
    </w:p>
    <w:p w:rsidR="00D2340C" w:rsidRDefault="00D2340C" w:rsidP="00C15285">
      <w:pPr>
        <w:pStyle w:val="a3"/>
        <w:shd w:val="clear" w:color="auto" w:fill="FFFFFF"/>
        <w:spacing w:before="0" w:beforeAutospacing="0" w:after="0" w:afterAutospacing="0"/>
        <w:ind w:firstLine="709"/>
        <w:jc w:val="both"/>
      </w:pPr>
      <w:r w:rsidRPr="00C15285">
        <w:t>– реформирование института досрочных пенсий;</w:t>
      </w:r>
    </w:p>
    <w:p w:rsidR="00033729" w:rsidRPr="00C15285" w:rsidRDefault="00033729" w:rsidP="00033729">
      <w:pPr>
        <w:pStyle w:val="a3"/>
        <w:shd w:val="clear" w:color="auto" w:fill="FFFFFF"/>
        <w:spacing w:before="0" w:beforeAutospacing="0" w:after="0" w:afterAutospacing="0"/>
        <w:ind w:firstLine="709"/>
        <w:jc w:val="both"/>
      </w:pPr>
      <w:r w:rsidRPr="00C15285">
        <w:t>– искоренение нелегальных доходов, особенно заработной платы;</w:t>
      </w:r>
    </w:p>
    <w:p w:rsidR="00304FAA" w:rsidRPr="00C15285" w:rsidRDefault="00D2340C" w:rsidP="00C15285">
      <w:pPr>
        <w:pStyle w:val="a3"/>
        <w:shd w:val="clear" w:color="auto" w:fill="FFFFFF"/>
        <w:spacing w:before="0" w:beforeAutospacing="0" w:after="0" w:afterAutospacing="0"/>
        <w:ind w:firstLine="709"/>
        <w:jc w:val="both"/>
      </w:pPr>
      <w:r w:rsidRPr="00C15285">
        <w:t>– совершенствование системы управления</w:t>
      </w:r>
      <w:r w:rsidR="002A58EB" w:rsidRPr="00C15285">
        <w:t xml:space="preserve"> </w:t>
      </w:r>
      <w:r w:rsidRPr="00C15285">
        <w:t>обяза</w:t>
      </w:r>
      <w:r w:rsidR="00587E7B">
        <w:t>тельным пенсионным страхованием.</w:t>
      </w:r>
    </w:p>
    <w:p w:rsidR="00033729" w:rsidRPr="00C15285" w:rsidRDefault="00033729" w:rsidP="00C15285">
      <w:pPr>
        <w:shd w:val="clear" w:color="auto" w:fill="FFFFFF"/>
        <w:ind w:left="0" w:firstLine="709"/>
        <w:jc w:val="both"/>
        <w:rPr>
          <w:rFonts w:ascii="Times New Roman" w:hAnsi="Times New Roman" w:cs="Times New Roman"/>
          <w:color w:val="FF0000"/>
          <w:sz w:val="24"/>
          <w:szCs w:val="24"/>
        </w:rPr>
      </w:pPr>
    </w:p>
    <w:p w:rsidR="00960E37" w:rsidRDefault="00757503" w:rsidP="00C15285">
      <w:pPr>
        <w:pStyle w:val="a3"/>
        <w:spacing w:before="0" w:beforeAutospacing="0" w:after="0" w:afterAutospacing="0"/>
        <w:ind w:left="272" w:right="272" w:firstLine="272"/>
        <w:jc w:val="center"/>
        <w:rPr>
          <w:b/>
          <w:color w:val="000000"/>
          <w:shd w:val="clear" w:color="auto" w:fill="FFFFFF"/>
        </w:rPr>
      </w:pPr>
      <w:r w:rsidRPr="00C15285">
        <w:rPr>
          <w:b/>
          <w:color w:val="000000"/>
          <w:shd w:val="clear" w:color="auto" w:fill="FFFFFF"/>
        </w:rPr>
        <w:t>Литература</w:t>
      </w:r>
    </w:p>
    <w:p w:rsidR="00E44533" w:rsidRPr="00C15285" w:rsidRDefault="00E44533" w:rsidP="00C15285">
      <w:pPr>
        <w:pStyle w:val="a3"/>
        <w:spacing w:before="0" w:beforeAutospacing="0" w:after="0" w:afterAutospacing="0"/>
        <w:ind w:left="272" w:right="272" w:firstLine="272"/>
        <w:jc w:val="center"/>
        <w:rPr>
          <w:b/>
          <w:color w:val="000000"/>
          <w:shd w:val="clear" w:color="auto" w:fill="FFFFFF"/>
        </w:rPr>
      </w:pPr>
    </w:p>
    <w:p w:rsidR="00276CAB" w:rsidRPr="00C15285" w:rsidRDefault="00276CAB" w:rsidP="00C15285">
      <w:pPr>
        <w:pStyle w:val="a3"/>
        <w:numPr>
          <w:ilvl w:val="0"/>
          <w:numId w:val="6"/>
        </w:numPr>
        <w:tabs>
          <w:tab w:val="left" w:pos="993"/>
        </w:tabs>
        <w:spacing w:before="0" w:beforeAutospacing="0" w:after="0" w:afterAutospacing="0"/>
        <w:ind w:left="0" w:firstLine="709"/>
        <w:jc w:val="both"/>
        <w:rPr>
          <w:lang w:val="en-US"/>
        </w:rPr>
      </w:pPr>
      <w:r w:rsidRPr="00C15285">
        <w:rPr>
          <w:lang w:val="en-US"/>
        </w:rPr>
        <w:t>Rozanov A. Public pension fund management: best practice and international experience</w:t>
      </w:r>
      <w:r w:rsidR="00625669" w:rsidRPr="00C15285">
        <w:rPr>
          <w:lang w:val="en-US"/>
        </w:rPr>
        <w:t xml:space="preserve"> / A. Rozanov </w:t>
      </w:r>
      <w:r w:rsidRPr="00C15285">
        <w:rPr>
          <w:lang w:val="en-US"/>
        </w:rPr>
        <w:t xml:space="preserve">// Asian Economic Policy Review. </w:t>
      </w:r>
      <w:r w:rsidR="00625669" w:rsidRPr="00C15285">
        <w:rPr>
          <w:lang w:val="en-US"/>
        </w:rPr>
        <w:t xml:space="preserve"> </w:t>
      </w:r>
      <w:r w:rsidR="00625669" w:rsidRPr="00C15285">
        <w:t xml:space="preserve">– </w:t>
      </w:r>
      <w:r w:rsidRPr="00C15285">
        <w:rPr>
          <w:lang w:val="en-US"/>
        </w:rPr>
        <w:t xml:space="preserve">2015. </w:t>
      </w:r>
      <w:r w:rsidR="00625669" w:rsidRPr="00C15285">
        <w:t xml:space="preserve">– </w:t>
      </w:r>
      <w:r w:rsidRPr="00C15285">
        <w:rPr>
          <w:lang w:val="en-US"/>
        </w:rPr>
        <w:t xml:space="preserve">№ 10. </w:t>
      </w:r>
      <w:r w:rsidR="00625669" w:rsidRPr="00C15285">
        <w:t xml:space="preserve">– </w:t>
      </w:r>
      <w:r w:rsidR="00625669" w:rsidRPr="00C15285">
        <w:br/>
      </w:r>
      <w:r w:rsidRPr="00C15285">
        <w:rPr>
          <w:lang w:val="en-US"/>
        </w:rPr>
        <w:t xml:space="preserve">P. 275–295.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rPr>
          <w:lang w:val="en-US"/>
        </w:rPr>
      </w:pPr>
      <w:r w:rsidRPr="00C15285">
        <w:rPr>
          <w:lang w:val="en-US"/>
        </w:rPr>
        <w:t>Stalebrink J. Public pension funds and assumed rates of return: an empirical examination of public sector defined benefit pension plans</w:t>
      </w:r>
      <w:r w:rsidR="00625669" w:rsidRPr="00C15285">
        <w:rPr>
          <w:lang w:val="en-US"/>
        </w:rPr>
        <w:t xml:space="preserve"> / J. Stalebrink </w:t>
      </w:r>
      <w:r w:rsidRPr="00C15285">
        <w:rPr>
          <w:lang w:val="en-US"/>
        </w:rPr>
        <w:t>// American review of public admini</w:t>
      </w:r>
      <w:r w:rsidRPr="00C15285">
        <w:rPr>
          <w:lang w:val="en-US"/>
        </w:rPr>
        <w:t>s</w:t>
      </w:r>
      <w:r w:rsidRPr="00C15285">
        <w:rPr>
          <w:lang w:val="en-US"/>
        </w:rPr>
        <w:t>tration.</w:t>
      </w:r>
      <w:r w:rsidR="00625669" w:rsidRPr="00C15285">
        <w:rPr>
          <w:lang w:val="en-US"/>
        </w:rPr>
        <w:t xml:space="preserve"> –</w:t>
      </w:r>
      <w:r w:rsidRPr="00C15285">
        <w:rPr>
          <w:lang w:val="en-US"/>
        </w:rPr>
        <w:t xml:space="preserve"> 2014.</w:t>
      </w:r>
      <w:r w:rsidR="00625669" w:rsidRPr="00C15285">
        <w:rPr>
          <w:lang w:val="en-US"/>
        </w:rPr>
        <w:t xml:space="preserve"> –</w:t>
      </w:r>
      <w:r w:rsidRPr="00C15285">
        <w:rPr>
          <w:lang w:val="en-US"/>
        </w:rPr>
        <w:t xml:space="preserve"> № 1(44).</w:t>
      </w:r>
    </w:p>
    <w:p w:rsidR="00276CAB" w:rsidRPr="00C15285" w:rsidRDefault="00276CAB" w:rsidP="00C15285">
      <w:pPr>
        <w:pStyle w:val="a3"/>
        <w:numPr>
          <w:ilvl w:val="0"/>
          <w:numId w:val="6"/>
        </w:numPr>
        <w:tabs>
          <w:tab w:val="left" w:pos="993"/>
        </w:tabs>
        <w:spacing w:before="0" w:beforeAutospacing="0" w:after="0" w:afterAutospacing="0"/>
        <w:ind w:left="0" w:firstLine="709"/>
        <w:jc w:val="both"/>
        <w:rPr>
          <w:lang w:val="en-US"/>
        </w:rPr>
      </w:pPr>
      <w:r w:rsidRPr="00C15285">
        <w:t>Барбашова С.А. Реформирование пенсионной системы РФ на современном этапе</w:t>
      </w:r>
      <w:r w:rsidR="00625669" w:rsidRPr="00C15285">
        <w:t xml:space="preserve"> / С.А. Барбашова, И.С. Соколова, Е.М. Щербаков </w:t>
      </w:r>
      <w:r w:rsidRPr="00C15285">
        <w:t xml:space="preserve">// Вестник НГИЭИ. </w:t>
      </w:r>
      <w:r w:rsidR="00625669" w:rsidRPr="00C15285">
        <w:t xml:space="preserve"> – </w:t>
      </w:r>
      <w:r w:rsidRPr="00C15285">
        <w:rPr>
          <w:lang w:val="en-US"/>
        </w:rPr>
        <w:t>2016.</w:t>
      </w:r>
      <w:r w:rsidR="00625669" w:rsidRPr="00C15285">
        <w:t xml:space="preserve"> –</w:t>
      </w:r>
      <w:r w:rsidRPr="00C15285">
        <w:rPr>
          <w:lang w:val="en-US"/>
        </w:rPr>
        <w:t xml:space="preserve"> №7 (62).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pPr>
      <w:r w:rsidRPr="00C15285">
        <w:t xml:space="preserve">Доклад  Всемирного  банка  «Предупреждение  всемирного  кризиса старения».  </w:t>
      </w:r>
      <w:r w:rsidRPr="00C15285">
        <w:rPr>
          <w:shd w:val="clear" w:color="auto" w:fill="FFFFFF"/>
        </w:rPr>
        <w:t>[Электронный  ресурс].  URL:</w:t>
      </w:r>
      <w:r w:rsidRPr="00C15285">
        <w:t xml:space="preserve"> </w:t>
      </w:r>
      <w:hyperlink r:id="rId10" w:history="1">
        <w:r w:rsidRPr="00C15285">
          <w:rPr>
            <w:rStyle w:val="a8"/>
            <w:color w:val="auto"/>
            <w:u w:val="none"/>
          </w:rPr>
          <w:t>http://ru.wikipedia.org/</w:t>
        </w:r>
      </w:hyperlink>
      <w:r w:rsidRPr="00C15285">
        <w:t xml:space="preserve">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rPr>
          <w:shd w:val="clear" w:color="auto" w:fill="FFFFFF"/>
        </w:rPr>
      </w:pPr>
      <w:r w:rsidRPr="00C15285">
        <w:rPr>
          <w:shd w:val="clear" w:color="auto" w:fill="FFFFFF"/>
        </w:rPr>
        <w:t xml:space="preserve">Единая  межведомственная  информационно-статистическая  система  Росстата [Электронный  ресурс].  URL: </w:t>
      </w:r>
      <w:hyperlink r:id="rId11" w:history="1">
        <w:r w:rsidRPr="00C15285">
          <w:rPr>
            <w:rStyle w:val="a8"/>
            <w:color w:val="auto"/>
            <w:u w:val="none"/>
            <w:shd w:val="clear" w:color="auto" w:fill="FFFFFF"/>
          </w:rPr>
          <w:t>https://www.fedstat.ru</w:t>
        </w:r>
      </w:hyperlink>
      <w:r w:rsidRPr="00C15285">
        <w:rPr>
          <w:shd w:val="clear" w:color="auto" w:fill="FFFFFF"/>
        </w:rPr>
        <w:t xml:space="preserve">.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pPr>
      <w:r w:rsidRPr="00C15285">
        <w:t>Мосейко В.В. Пенсия в условиях современной социально ориентированной рыно</w:t>
      </w:r>
      <w:r w:rsidRPr="00C15285">
        <w:t>ч</w:t>
      </w:r>
      <w:r w:rsidRPr="00C15285">
        <w:t>ной экономики</w:t>
      </w:r>
      <w:r w:rsidR="00D52410" w:rsidRPr="00C15285">
        <w:t xml:space="preserve"> / В.В. Мосейко </w:t>
      </w:r>
      <w:r w:rsidRPr="00C15285">
        <w:t>// Вестн. Том. гос. ун-та.</w:t>
      </w:r>
      <w:r w:rsidR="00D52410" w:rsidRPr="00C15285">
        <w:t xml:space="preserve"> –</w:t>
      </w:r>
      <w:r w:rsidRPr="00C15285">
        <w:t xml:space="preserve"> 2009.</w:t>
      </w:r>
      <w:r w:rsidR="00D52410" w:rsidRPr="00C15285">
        <w:t xml:space="preserve"> –</w:t>
      </w:r>
      <w:r w:rsidRPr="00C15285">
        <w:t xml:space="preserve"> № 318.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pPr>
      <w:r w:rsidRPr="00C15285">
        <w:t>Пудовкин А.В. Мировой опыт использования добровольных и обязательных нак</w:t>
      </w:r>
      <w:r w:rsidRPr="00C15285">
        <w:t>о</w:t>
      </w:r>
      <w:r w:rsidRPr="00C15285">
        <w:t>пительных пенсионных систем: уроки для России</w:t>
      </w:r>
      <w:r w:rsidR="00D52410" w:rsidRPr="00C15285">
        <w:t xml:space="preserve"> / А.В. Пудовкин </w:t>
      </w:r>
      <w:r w:rsidRPr="00C15285">
        <w:t>// Вестник МГИМО.</w:t>
      </w:r>
      <w:r w:rsidR="00D52410" w:rsidRPr="00C15285">
        <w:t xml:space="preserve"> –</w:t>
      </w:r>
      <w:r w:rsidRPr="00C15285">
        <w:t xml:space="preserve"> 2016.</w:t>
      </w:r>
      <w:r w:rsidR="00D52410" w:rsidRPr="00C15285">
        <w:t xml:space="preserve"> –</w:t>
      </w:r>
      <w:r w:rsidRPr="00C15285">
        <w:t xml:space="preserve"> №3 (48).</w:t>
      </w:r>
    </w:p>
    <w:p w:rsidR="00276CAB" w:rsidRPr="00C15285" w:rsidRDefault="00276CAB" w:rsidP="00C15285">
      <w:pPr>
        <w:pStyle w:val="a3"/>
        <w:numPr>
          <w:ilvl w:val="0"/>
          <w:numId w:val="6"/>
        </w:numPr>
        <w:tabs>
          <w:tab w:val="left" w:pos="993"/>
        </w:tabs>
        <w:spacing w:before="0" w:beforeAutospacing="0" w:after="0" w:afterAutospacing="0"/>
        <w:ind w:left="0" w:firstLine="709"/>
        <w:jc w:val="both"/>
      </w:pPr>
      <w:r w:rsidRPr="00C15285">
        <w:t xml:space="preserve">Федеральный закон от 24.07.2009 N 212-ФЗ (ред. от 03.07.2016) </w:t>
      </w:r>
      <w:r w:rsidRPr="00C15285">
        <w:br/>
        <w:t>"</w:t>
      </w:r>
      <w:r w:rsidRPr="00C15285">
        <w:rPr>
          <w:bCs/>
        </w:rPr>
        <w:t>О страховых взносах в Пенсионный фонд Российской Федерации, Фонд социального стр</w:t>
      </w:r>
      <w:r w:rsidRPr="00C15285">
        <w:rPr>
          <w:bCs/>
        </w:rPr>
        <w:t>а</w:t>
      </w:r>
      <w:r w:rsidRPr="00C15285">
        <w:rPr>
          <w:bCs/>
        </w:rPr>
        <w:t>хования Российской Федерации, Федеральный Фонд обязательного медицинского страхов</w:t>
      </w:r>
      <w:r w:rsidRPr="00C15285">
        <w:rPr>
          <w:bCs/>
        </w:rPr>
        <w:t>а</w:t>
      </w:r>
      <w:r w:rsidRPr="00C15285">
        <w:rPr>
          <w:bCs/>
        </w:rPr>
        <w:t>ния</w:t>
      </w:r>
      <w:r w:rsidRPr="00C15285">
        <w:t xml:space="preserve">". </w:t>
      </w:r>
      <w:r w:rsidRPr="00C15285">
        <w:rPr>
          <w:shd w:val="clear" w:color="auto" w:fill="FFFFFF"/>
        </w:rPr>
        <w:t>[Электронный  ресурс].  URL:</w:t>
      </w:r>
      <w:r w:rsidRPr="00C15285">
        <w:t xml:space="preserve">  </w:t>
      </w:r>
      <w:hyperlink r:id="rId12" w:history="1">
        <w:r w:rsidRPr="00C15285">
          <w:rPr>
            <w:rStyle w:val="a8"/>
            <w:color w:val="auto"/>
            <w:u w:val="none"/>
          </w:rPr>
          <w:t>http://www.consultant.ru/document/</w:t>
        </w:r>
      </w:hyperlink>
    </w:p>
    <w:p w:rsidR="00276CAB" w:rsidRPr="00C15285" w:rsidRDefault="00276CAB" w:rsidP="00C15285">
      <w:pPr>
        <w:pStyle w:val="a3"/>
        <w:numPr>
          <w:ilvl w:val="0"/>
          <w:numId w:val="6"/>
        </w:numPr>
        <w:tabs>
          <w:tab w:val="left" w:pos="993"/>
        </w:tabs>
        <w:spacing w:before="0" w:beforeAutospacing="0" w:after="0" w:afterAutospacing="0"/>
        <w:ind w:left="0" w:firstLine="709"/>
        <w:jc w:val="both"/>
      </w:pPr>
      <w:r w:rsidRPr="00C15285">
        <w:lastRenderedPageBreak/>
        <w:t>Федотов Д.Ю. Прогноз развития негосударственных пенсионных фондов России в 2013–2040 гг. В  условиях  реализации  пенсионной  реформы</w:t>
      </w:r>
      <w:r w:rsidR="00D52410" w:rsidRPr="00C15285">
        <w:t> / Д.Ю. Федотов</w:t>
      </w:r>
      <w:r w:rsidRPr="00C15285">
        <w:t xml:space="preserve">  //  Известия ИГЭА.</w:t>
      </w:r>
      <w:r w:rsidR="00D52410" w:rsidRPr="00C15285">
        <w:t xml:space="preserve"> –</w:t>
      </w:r>
      <w:r w:rsidRPr="00C15285">
        <w:t xml:space="preserve"> 2013.</w:t>
      </w:r>
      <w:r w:rsidR="00D52410" w:rsidRPr="00C15285">
        <w:t xml:space="preserve"> –</w:t>
      </w:r>
      <w:r w:rsidRPr="00C15285">
        <w:t xml:space="preserve"> № 5. </w:t>
      </w:r>
    </w:p>
    <w:p w:rsidR="00276CAB" w:rsidRPr="00C15285" w:rsidRDefault="00276CAB" w:rsidP="00C15285">
      <w:pPr>
        <w:pStyle w:val="a3"/>
        <w:numPr>
          <w:ilvl w:val="0"/>
          <w:numId w:val="6"/>
        </w:numPr>
        <w:tabs>
          <w:tab w:val="left" w:pos="993"/>
        </w:tabs>
        <w:spacing w:before="0" w:beforeAutospacing="0" w:after="0" w:afterAutospacing="0"/>
        <w:ind w:left="0" w:firstLine="709"/>
        <w:jc w:val="both"/>
        <w:rPr>
          <w:shd w:val="clear" w:color="auto" w:fill="F5F5F5"/>
        </w:rPr>
      </w:pPr>
      <w:r w:rsidRPr="00C15285">
        <w:rPr>
          <w:rStyle w:val="af5"/>
          <w:bCs/>
          <w:i w:val="0"/>
          <w:iCs w:val="0"/>
          <w:shd w:val="clear" w:color="auto" w:fill="FFFFFF"/>
        </w:rPr>
        <w:t>Харитонова Ю.Н</w:t>
      </w:r>
      <w:r w:rsidRPr="00C15285">
        <w:rPr>
          <w:i/>
          <w:shd w:val="clear" w:color="auto" w:fill="FFFFFF"/>
        </w:rPr>
        <w:t>. </w:t>
      </w:r>
      <w:r w:rsidRPr="00C15285">
        <w:rPr>
          <w:rStyle w:val="af5"/>
          <w:bCs/>
          <w:i w:val="0"/>
          <w:iCs w:val="0"/>
          <w:shd w:val="clear" w:color="auto" w:fill="FFFFFF"/>
        </w:rPr>
        <w:t>Реформирование пенсионной системы РФ</w:t>
      </w:r>
      <w:r w:rsidR="00D52410" w:rsidRPr="00C15285">
        <w:rPr>
          <w:rStyle w:val="af5"/>
          <w:bCs/>
          <w:i w:val="0"/>
          <w:iCs w:val="0"/>
          <w:shd w:val="clear" w:color="auto" w:fill="FFFFFF"/>
        </w:rPr>
        <w:t> / Ю.Н</w:t>
      </w:r>
      <w:r w:rsidR="00D52410" w:rsidRPr="00C15285">
        <w:rPr>
          <w:i/>
          <w:shd w:val="clear" w:color="auto" w:fill="FFFFFF"/>
        </w:rPr>
        <w:t>. </w:t>
      </w:r>
      <w:r w:rsidR="00D52410" w:rsidRPr="00C15285">
        <w:rPr>
          <w:rStyle w:val="af5"/>
          <w:bCs/>
          <w:i w:val="0"/>
          <w:iCs w:val="0"/>
          <w:shd w:val="clear" w:color="auto" w:fill="FFFFFF"/>
        </w:rPr>
        <w:t>Харитонова</w:t>
      </w:r>
      <w:r w:rsidRPr="00C15285">
        <w:rPr>
          <w:i/>
          <w:shd w:val="clear" w:color="auto" w:fill="FFFFFF"/>
        </w:rPr>
        <w:t> //</w:t>
      </w:r>
      <w:r w:rsidRPr="00C15285">
        <w:rPr>
          <w:shd w:val="clear" w:color="auto" w:fill="FFFFFF"/>
        </w:rPr>
        <w:t xml:space="preserve"> Экономика, социология и право. – 2015. – №1.</w:t>
      </w:r>
      <w:r w:rsidRPr="00C15285">
        <w:rPr>
          <w:shd w:val="clear" w:color="auto" w:fill="F5F5F5"/>
        </w:rPr>
        <w:t xml:space="preserve"> С. 158-161.</w:t>
      </w:r>
      <w:r w:rsidRPr="00C15285">
        <w:rPr>
          <w:color w:val="FF0000"/>
          <w:shd w:val="clear" w:color="auto" w:fill="F5F5F5"/>
        </w:rPr>
        <w:t xml:space="preserve"> </w:t>
      </w:r>
    </w:p>
    <w:p w:rsidR="00276CAB" w:rsidRDefault="00276CAB" w:rsidP="00C15285">
      <w:pPr>
        <w:pStyle w:val="a3"/>
        <w:numPr>
          <w:ilvl w:val="0"/>
          <w:numId w:val="6"/>
        </w:numPr>
        <w:tabs>
          <w:tab w:val="left" w:pos="993"/>
        </w:tabs>
        <w:spacing w:before="0" w:beforeAutospacing="0" w:after="0" w:afterAutospacing="0"/>
        <w:ind w:left="0" w:firstLine="709"/>
        <w:jc w:val="both"/>
      </w:pPr>
      <w:r w:rsidRPr="00C15285">
        <w:t>Хить Л.В. Комплексная оценка эффективности пенсионной системы как пр</w:t>
      </w:r>
      <w:r w:rsidRPr="00C15285">
        <w:t>и</w:t>
      </w:r>
      <w:r w:rsidRPr="00C15285">
        <w:t>оритетное направление  социально-экономической  политики  России</w:t>
      </w:r>
      <w:r w:rsidR="00D52410" w:rsidRPr="00C15285">
        <w:t xml:space="preserve"> / Л.В. Хить </w:t>
      </w:r>
      <w:r w:rsidRPr="00C15285">
        <w:t xml:space="preserve">// Теория  и  практика  общественного  развития. </w:t>
      </w:r>
      <w:r w:rsidR="00D52410" w:rsidRPr="00C15285">
        <w:t>–</w:t>
      </w:r>
      <w:r w:rsidRPr="00C15285">
        <w:t xml:space="preserve"> 2011.</w:t>
      </w:r>
      <w:r w:rsidR="00D52410" w:rsidRPr="00C15285">
        <w:t xml:space="preserve"> –</w:t>
      </w:r>
      <w:r w:rsidRPr="00C15285">
        <w:t xml:space="preserve"> № 2.</w:t>
      </w:r>
      <w:r w:rsidR="00D52410" w:rsidRPr="00C15285">
        <w:t xml:space="preserve"> –</w:t>
      </w:r>
      <w:r w:rsidRPr="00C15285">
        <w:t xml:space="preserve"> С. 271–275.</w:t>
      </w:r>
    </w:p>
    <w:p w:rsidR="00E41FA9" w:rsidRDefault="00E41FA9" w:rsidP="00E41FA9">
      <w:pPr>
        <w:pStyle w:val="a3"/>
        <w:tabs>
          <w:tab w:val="left" w:pos="993"/>
        </w:tabs>
        <w:spacing w:before="0" w:beforeAutospacing="0" w:after="0" w:afterAutospacing="0"/>
        <w:jc w:val="both"/>
      </w:pPr>
    </w:p>
    <w:p w:rsidR="00E41FA9" w:rsidRDefault="00E41FA9" w:rsidP="00E41FA9">
      <w:pPr>
        <w:pStyle w:val="a3"/>
        <w:tabs>
          <w:tab w:val="left" w:pos="993"/>
        </w:tabs>
        <w:spacing w:before="0" w:beforeAutospacing="0" w:after="0" w:afterAutospacing="0"/>
        <w:ind w:firstLine="709"/>
        <w:jc w:val="both"/>
      </w:pPr>
    </w:p>
    <w:p w:rsidR="00E41FA9" w:rsidRDefault="00E41FA9" w:rsidP="00E41FA9">
      <w:pPr>
        <w:pStyle w:val="a3"/>
        <w:tabs>
          <w:tab w:val="left" w:pos="993"/>
        </w:tabs>
        <w:spacing w:before="0" w:beforeAutospacing="0" w:after="0" w:afterAutospacing="0"/>
        <w:ind w:firstLine="709"/>
        <w:jc w:val="center"/>
      </w:pPr>
      <w:r w:rsidRPr="00E26DFD">
        <w:rPr>
          <w:b/>
          <w:bCs/>
          <w:color w:val="000000" w:themeColor="text1"/>
        </w:rPr>
        <w:t>Информация об автор</w:t>
      </w:r>
      <w:r>
        <w:rPr>
          <w:b/>
          <w:bCs/>
          <w:color w:val="000000" w:themeColor="text1"/>
        </w:rPr>
        <w:t>е</w:t>
      </w:r>
    </w:p>
    <w:p w:rsidR="00E41FA9" w:rsidRDefault="00E41FA9" w:rsidP="00E41FA9">
      <w:pPr>
        <w:pStyle w:val="a3"/>
        <w:tabs>
          <w:tab w:val="left" w:pos="993"/>
        </w:tabs>
        <w:spacing w:before="0" w:beforeAutospacing="0" w:after="0" w:afterAutospacing="0"/>
        <w:ind w:firstLine="709"/>
        <w:jc w:val="both"/>
      </w:pPr>
    </w:p>
    <w:p w:rsidR="00E41FA9" w:rsidRPr="00DF27DE" w:rsidRDefault="00E41FA9" w:rsidP="00E41FA9">
      <w:pPr>
        <w:ind w:left="0"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Колечков Дмитрий Васильевич</w:t>
      </w:r>
      <w:r w:rsidRPr="00E26DFD">
        <w:rPr>
          <w:rFonts w:ascii="Times New Roman" w:eastAsia="Calibri" w:hAnsi="Times New Roman" w:cs="Times New Roman"/>
          <w:sz w:val="24"/>
          <w:szCs w:val="24"/>
        </w:rPr>
        <w:t xml:space="preserve"> (Россия,</w:t>
      </w:r>
      <w:r>
        <w:rPr>
          <w:rFonts w:ascii="Times New Roman" w:eastAsia="Calibri" w:hAnsi="Times New Roman" w:cs="Times New Roman"/>
          <w:sz w:val="24"/>
          <w:szCs w:val="24"/>
        </w:rPr>
        <w:t xml:space="preserve"> Республика Коми, г. Сыктывкар) </w:t>
      </w:r>
      <w:r w:rsidRPr="00E26DFD">
        <w:rPr>
          <w:rFonts w:ascii="Times New Roman" w:eastAsia="Calibri" w:hAnsi="Times New Roman" w:cs="Times New Roman"/>
          <w:sz w:val="24"/>
          <w:szCs w:val="24"/>
        </w:rPr>
        <w:t xml:space="preserve">– кандидат экономических наук, </w:t>
      </w:r>
      <w:r>
        <w:rPr>
          <w:rFonts w:ascii="Times New Roman" w:eastAsia="Calibri" w:hAnsi="Times New Roman" w:cs="Times New Roman"/>
          <w:sz w:val="24"/>
          <w:szCs w:val="24"/>
        </w:rPr>
        <w:t>старший научный сотрудник</w:t>
      </w:r>
      <w:r w:rsidRPr="00E26DFD">
        <w:rPr>
          <w:rFonts w:ascii="Times New Roman" w:eastAsia="Calibri" w:hAnsi="Times New Roman" w:cs="Times New Roman"/>
          <w:sz w:val="24"/>
          <w:szCs w:val="24"/>
        </w:rPr>
        <w:t xml:space="preserve">, </w:t>
      </w:r>
      <w:r w:rsidRPr="00E41FA9">
        <w:rPr>
          <w:rStyle w:val="text"/>
          <w:rFonts w:ascii="Times New Roman" w:hAnsi="Times New Roman" w:cs="Times New Roman"/>
          <w:sz w:val="24"/>
          <w:szCs w:val="24"/>
          <w:shd w:val="clear" w:color="auto" w:fill="FFFFFF"/>
        </w:rPr>
        <w:t>Федеральное государственное бюджетное учреждение науки </w:t>
      </w:r>
      <w:r>
        <w:rPr>
          <w:rStyle w:val="text"/>
          <w:rFonts w:ascii="Times New Roman" w:hAnsi="Times New Roman" w:cs="Times New Roman"/>
          <w:sz w:val="24"/>
          <w:szCs w:val="24"/>
          <w:shd w:val="clear" w:color="auto" w:fill="FFFFFF"/>
        </w:rPr>
        <w:t>И</w:t>
      </w:r>
      <w:r w:rsidRPr="00E41FA9">
        <w:rPr>
          <w:rStyle w:val="text"/>
          <w:rFonts w:ascii="Times New Roman" w:hAnsi="Times New Roman" w:cs="Times New Roman"/>
          <w:bCs/>
          <w:sz w:val="24"/>
          <w:szCs w:val="24"/>
          <w:shd w:val="clear" w:color="auto" w:fill="FFFFFF"/>
        </w:rPr>
        <w:t xml:space="preserve">нститут социально-экономических и энергетических проблем </w:t>
      </w:r>
      <w:r>
        <w:rPr>
          <w:rStyle w:val="text"/>
          <w:rFonts w:ascii="Times New Roman" w:hAnsi="Times New Roman" w:cs="Times New Roman"/>
          <w:bCs/>
          <w:sz w:val="24"/>
          <w:szCs w:val="24"/>
          <w:shd w:val="clear" w:color="auto" w:fill="FFFFFF"/>
        </w:rPr>
        <w:t>С</w:t>
      </w:r>
      <w:r w:rsidRPr="00E41FA9">
        <w:rPr>
          <w:rStyle w:val="text"/>
          <w:rFonts w:ascii="Times New Roman" w:hAnsi="Times New Roman" w:cs="Times New Roman"/>
          <w:bCs/>
          <w:sz w:val="24"/>
          <w:szCs w:val="24"/>
          <w:shd w:val="clear" w:color="auto" w:fill="FFFFFF"/>
        </w:rPr>
        <w:t>евера</w:t>
      </w:r>
      <w:r>
        <w:rPr>
          <w:rStyle w:val="text"/>
          <w:rFonts w:ascii="Times New Roman" w:hAnsi="Times New Roman" w:cs="Times New Roman"/>
          <w:bCs/>
          <w:sz w:val="24"/>
          <w:szCs w:val="24"/>
          <w:shd w:val="clear" w:color="auto" w:fill="FFFFFF"/>
        </w:rPr>
        <w:t xml:space="preserve"> Коми НЦ УрО РАН (</w:t>
      </w:r>
      <w:r w:rsidRPr="00E41FA9">
        <w:rPr>
          <w:rFonts w:ascii="Times New Roman" w:hAnsi="Times New Roman" w:cs="Times New Roman"/>
          <w:sz w:val="24"/>
          <w:szCs w:val="24"/>
          <w:shd w:val="clear" w:color="auto" w:fill="FFFFFF"/>
        </w:rPr>
        <w:t>ул. Коммунистическая, д. 26,</w:t>
      </w:r>
      <w:r>
        <w:rPr>
          <w:rFonts w:ascii="Times New Roman" w:hAnsi="Times New Roman" w:cs="Times New Roman"/>
          <w:sz w:val="24"/>
          <w:szCs w:val="24"/>
          <w:shd w:val="clear" w:color="auto" w:fill="FFFFFF"/>
        </w:rPr>
        <w:t> </w:t>
      </w:r>
      <w:r w:rsidRPr="00E41FA9">
        <w:rPr>
          <w:rFonts w:ascii="Times New Roman" w:hAnsi="Times New Roman" w:cs="Times New Roman"/>
          <w:sz w:val="24"/>
          <w:szCs w:val="24"/>
          <w:shd w:val="clear" w:color="auto" w:fill="FFFFFF"/>
        </w:rPr>
        <w:t>г. Сыктывкар,</w:t>
      </w:r>
      <w:r>
        <w:rPr>
          <w:rFonts w:ascii="Times New Roman" w:hAnsi="Times New Roman" w:cs="Times New Roman"/>
          <w:sz w:val="24"/>
          <w:szCs w:val="24"/>
          <w:shd w:val="clear" w:color="auto" w:fill="FFFFFF"/>
        </w:rPr>
        <w:t> </w:t>
      </w:r>
      <w:r w:rsidRPr="00E41FA9">
        <w:rPr>
          <w:rFonts w:ascii="Times New Roman" w:hAnsi="Times New Roman" w:cs="Times New Roman"/>
          <w:sz w:val="24"/>
          <w:szCs w:val="24"/>
          <w:shd w:val="clear" w:color="auto" w:fill="FFFFFF"/>
        </w:rPr>
        <w:t>Республика Коми,</w:t>
      </w:r>
      <w:r w:rsidRPr="00E41FA9">
        <w:rPr>
          <w:rFonts w:ascii="Times New Roman" w:hAnsi="Times New Roman" w:cs="Times New Roman"/>
          <w:sz w:val="24"/>
          <w:szCs w:val="24"/>
        </w:rPr>
        <w:br/>
      </w:r>
      <w:r w:rsidRPr="00E41FA9">
        <w:rPr>
          <w:rFonts w:ascii="Times New Roman" w:hAnsi="Times New Roman" w:cs="Times New Roman"/>
          <w:sz w:val="24"/>
          <w:szCs w:val="24"/>
          <w:shd w:val="clear" w:color="auto" w:fill="FFFFFF"/>
        </w:rPr>
        <w:t>167982, Россия</w:t>
      </w:r>
      <w:r w:rsidRPr="00E41FA9">
        <w:rPr>
          <w:rFonts w:ascii="Times New Roman" w:eastAsia="Calibri" w:hAnsi="Times New Roman" w:cs="Times New Roman"/>
          <w:sz w:val="24"/>
          <w:szCs w:val="24"/>
        </w:rPr>
        <w:t>)</w:t>
      </w:r>
      <w:r w:rsidR="00DF27DE">
        <w:rPr>
          <w:rFonts w:ascii="Times New Roman" w:eastAsia="Calibri" w:hAnsi="Times New Roman" w:cs="Times New Roman"/>
          <w:sz w:val="24"/>
          <w:szCs w:val="24"/>
        </w:rPr>
        <w:t xml:space="preserve">, E-mail: </w:t>
      </w:r>
      <w:hyperlink r:id="rId13" w:history="1">
        <w:r w:rsidR="00DF27DE" w:rsidRPr="00FE2B1C">
          <w:rPr>
            <w:rStyle w:val="a8"/>
            <w:rFonts w:ascii="Times New Roman" w:eastAsia="Calibri" w:hAnsi="Times New Roman" w:cs="Times New Roman"/>
            <w:sz w:val="24"/>
            <w:szCs w:val="24"/>
          </w:rPr>
          <w:t>kdb1970@mail.ru</w:t>
        </w:r>
      </w:hyperlink>
      <w:r w:rsidR="00DF27DE" w:rsidRPr="00DF27DE">
        <w:rPr>
          <w:rFonts w:ascii="Times New Roman" w:eastAsia="Calibri" w:hAnsi="Times New Roman" w:cs="Times New Roman"/>
          <w:sz w:val="24"/>
          <w:szCs w:val="24"/>
        </w:rPr>
        <w:t>.</w:t>
      </w:r>
    </w:p>
    <w:p w:rsidR="00DF27DE" w:rsidRDefault="00DF27DE" w:rsidP="00E41FA9">
      <w:pPr>
        <w:ind w:left="0" w:firstLine="709"/>
        <w:jc w:val="both"/>
        <w:rPr>
          <w:rFonts w:ascii="Times New Roman" w:hAnsi="Times New Roman" w:cs="Times New Roman"/>
          <w:color w:val="FF0000"/>
          <w:sz w:val="24"/>
          <w:szCs w:val="24"/>
        </w:rPr>
      </w:pPr>
    </w:p>
    <w:p w:rsidR="00DF27DE" w:rsidRDefault="00DF27DE" w:rsidP="00E41FA9">
      <w:pPr>
        <w:ind w:left="0" w:firstLine="709"/>
        <w:jc w:val="both"/>
        <w:rPr>
          <w:rFonts w:ascii="Times New Roman" w:hAnsi="Times New Roman" w:cs="Times New Roman"/>
          <w:color w:val="FF0000"/>
          <w:sz w:val="24"/>
          <w:szCs w:val="24"/>
        </w:rPr>
      </w:pPr>
    </w:p>
    <w:p w:rsidR="00DF27DE" w:rsidRPr="00DF27DE" w:rsidRDefault="00DF27DE" w:rsidP="00DF27DE">
      <w:pPr>
        <w:ind w:left="0" w:firstLine="709"/>
        <w:jc w:val="both"/>
        <w:rPr>
          <w:rFonts w:ascii="Times New Roman" w:hAnsi="Times New Roman" w:cs="Times New Roman"/>
          <w:b/>
          <w:sz w:val="24"/>
          <w:szCs w:val="24"/>
        </w:rPr>
      </w:pPr>
      <w:r w:rsidRPr="00DF27DE">
        <w:rPr>
          <w:rFonts w:ascii="Times New Roman" w:hAnsi="Times New Roman" w:cs="Times New Roman"/>
          <w:b/>
          <w:sz w:val="24"/>
          <w:szCs w:val="24"/>
        </w:rPr>
        <w:t>UDC 336.13/BBK 65.05</w:t>
      </w:r>
    </w:p>
    <w:p w:rsidR="00DF27DE" w:rsidRPr="00DF27DE" w:rsidRDefault="00DF27DE" w:rsidP="00DF27DE">
      <w:pPr>
        <w:pStyle w:val="a3"/>
        <w:tabs>
          <w:tab w:val="left" w:pos="993"/>
        </w:tabs>
        <w:spacing w:before="0" w:beforeAutospacing="0" w:after="0" w:afterAutospacing="0"/>
        <w:ind w:firstLine="709"/>
        <w:jc w:val="right"/>
      </w:pPr>
      <w:r w:rsidRPr="00DF27DE">
        <w:rPr>
          <w:lang w:val="en-US"/>
        </w:rPr>
        <w:t>Kolechkov</w:t>
      </w:r>
      <w:r w:rsidRPr="00DF27DE">
        <w:t xml:space="preserve"> </w:t>
      </w:r>
      <w:r w:rsidRPr="00DF27DE">
        <w:rPr>
          <w:lang w:val="en-US"/>
        </w:rPr>
        <w:t>D</w:t>
      </w:r>
      <w:r w:rsidRPr="00DF27DE">
        <w:t>.</w:t>
      </w:r>
      <w:r w:rsidRPr="00DF27DE">
        <w:rPr>
          <w:lang w:val="en-US"/>
        </w:rPr>
        <w:t>V</w:t>
      </w:r>
      <w:r w:rsidRPr="00DF27DE">
        <w:t>.</w:t>
      </w:r>
    </w:p>
    <w:p w:rsidR="00DF27DE" w:rsidRPr="00DF27DE" w:rsidRDefault="00DF27DE" w:rsidP="00DF27DE">
      <w:pPr>
        <w:pStyle w:val="a3"/>
        <w:tabs>
          <w:tab w:val="left" w:pos="993"/>
        </w:tabs>
        <w:spacing w:before="0" w:beforeAutospacing="0" w:after="0" w:afterAutospacing="0"/>
        <w:ind w:firstLine="709"/>
        <w:jc w:val="both"/>
      </w:pPr>
    </w:p>
    <w:p w:rsidR="00DF27DE" w:rsidRPr="00DF27DE" w:rsidRDefault="00DF27DE" w:rsidP="00DF27DE">
      <w:pPr>
        <w:pStyle w:val="a3"/>
        <w:tabs>
          <w:tab w:val="left" w:pos="993"/>
        </w:tabs>
        <w:spacing w:before="0" w:beforeAutospacing="0" w:after="0" w:afterAutospacing="0"/>
        <w:ind w:firstLine="709"/>
        <w:jc w:val="center"/>
        <w:rPr>
          <w:lang w:val="en-US"/>
        </w:rPr>
      </w:pPr>
      <w:r w:rsidRPr="00DF27DE">
        <w:rPr>
          <w:lang w:val="en-US"/>
        </w:rPr>
        <w:t xml:space="preserve">IMPROVEMENT OF PENSION SYSTEM AS FACTOR </w:t>
      </w:r>
      <w:r w:rsidR="00E44533" w:rsidRPr="00E44533">
        <w:rPr>
          <w:shd w:val="clear" w:color="auto" w:fill="FFFFFF"/>
          <w:lang w:val="en-US"/>
        </w:rPr>
        <w:t>INCREASE</w:t>
      </w:r>
      <w:r w:rsidRPr="00DF27DE">
        <w:rPr>
          <w:lang w:val="en-US"/>
        </w:rPr>
        <w:t xml:space="preserve"> OF QUALITY AND STANDARD OF LIVING</w:t>
      </w:r>
    </w:p>
    <w:p w:rsidR="00DF27DE" w:rsidRPr="00DF27DE" w:rsidRDefault="00DF27DE" w:rsidP="00DF27DE">
      <w:pPr>
        <w:pStyle w:val="a3"/>
        <w:tabs>
          <w:tab w:val="left" w:pos="993"/>
        </w:tabs>
        <w:spacing w:before="0" w:beforeAutospacing="0" w:after="0" w:afterAutospacing="0"/>
        <w:ind w:firstLine="709"/>
        <w:jc w:val="both"/>
        <w:rPr>
          <w:lang w:val="en-US"/>
        </w:rPr>
      </w:pPr>
    </w:p>
    <w:p w:rsidR="00DF27DE" w:rsidRPr="00DF27DE" w:rsidRDefault="00DF27DE" w:rsidP="00DF27DE">
      <w:pPr>
        <w:pStyle w:val="a3"/>
        <w:tabs>
          <w:tab w:val="left" w:pos="993"/>
        </w:tabs>
        <w:spacing w:before="0" w:beforeAutospacing="0" w:after="0" w:afterAutospacing="0"/>
        <w:ind w:firstLine="709"/>
        <w:jc w:val="both"/>
        <w:rPr>
          <w:lang w:val="en-US"/>
        </w:rPr>
      </w:pPr>
      <w:r w:rsidRPr="00DF27DE">
        <w:rPr>
          <w:b/>
          <w:lang w:val="en-US"/>
        </w:rPr>
        <w:t>Summary.</w:t>
      </w:r>
      <w:r w:rsidRPr="00DF27DE">
        <w:rPr>
          <w:lang w:val="en-US"/>
        </w:rPr>
        <w:t xml:space="preserve"> In article financial resources of the Pension fund of the Komi Republic for 2010-2016 according to official figures of Rosstat are analysed. Discrepancies, specifics and a perspe</w:t>
      </w:r>
      <w:r w:rsidRPr="00DF27DE">
        <w:rPr>
          <w:lang w:val="en-US"/>
        </w:rPr>
        <w:t>c</w:t>
      </w:r>
      <w:r w:rsidRPr="00DF27DE">
        <w:rPr>
          <w:lang w:val="en-US"/>
        </w:rPr>
        <w:t xml:space="preserve">tive of formation of income and expenses of budgets of data of funds are defined. The main stages of reforming of pension system are considered. The main problems of perspective development of system of provision of pensions are designated. </w:t>
      </w:r>
    </w:p>
    <w:p w:rsidR="00E41FA9" w:rsidRPr="00C33893" w:rsidRDefault="00DF27DE" w:rsidP="00DF27DE">
      <w:pPr>
        <w:pStyle w:val="a3"/>
        <w:tabs>
          <w:tab w:val="left" w:pos="993"/>
        </w:tabs>
        <w:spacing w:before="0" w:beforeAutospacing="0" w:after="0" w:afterAutospacing="0"/>
        <w:ind w:firstLine="709"/>
        <w:jc w:val="both"/>
        <w:rPr>
          <w:lang w:val="en-US"/>
        </w:rPr>
      </w:pPr>
      <w:r w:rsidRPr="00DF27DE">
        <w:rPr>
          <w:b/>
          <w:lang w:val="en-US"/>
        </w:rPr>
        <w:t>Keywords.</w:t>
      </w:r>
      <w:r w:rsidRPr="00DF27DE">
        <w:rPr>
          <w:lang w:val="en-US"/>
        </w:rPr>
        <w:t xml:space="preserve"> Pension fund. Income. Expenses. Budget deficit. Inter-budgetary transfers. I</w:t>
      </w:r>
      <w:r w:rsidRPr="00DF27DE">
        <w:rPr>
          <w:lang w:val="en-US"/>
        </w:rPr>
        <w:t>n</w:t>
      </w:r>
      <w:r w:rsidRPr="00DF27DE">
        <w:rPr>
          <w:lang w:val="en-US"/>
        </w:rPr>
        <w:t xml:space="preserve">surance premiums. Insurance and investment part of the state pension. </w:t>
      </w:r>
      <w:r w:rsidRPr="00C33893">
        <w:rPr>
          <w:lang w:val="en-US"/>
        </w:rPr>
        <w:t>Coefficient of replacement of pensions.</w:t>
      </w:r>
    </w:p>
    <w:p w:rsidR="00E44533" w:rsidRPr="00C33893" w:rsidRDefault="00E44533" w:rsidP="00DF27DE">
      <w:pPr>
        <w:pStyle w:val="a3"/>
        <w:tabs>
          <w:tab w:val="left" w:pos="993"/>
        </w:tabs>
        <w:spacing w:before="0" w:beforeAutospacing="0" w:after="0" w:afterAutospacing="0"/>
        <w:ind w:firstLine="709"/>
        <w:jc w:val="both"/>
        <w:rPr>
          <w:lang w:val="en-US"/>
        </w:rPr>
      </w:pPr>
    </w:p>
    <w:p w:rsidR="00E44533" w:rsidRPr="00E44533" w:rsidRDefault="00E44533" w:rsidP="00E44533">
      <w:pPr>
        <w:pStyle w:val="a3"/>
        <w:tabs>
          <w:tab w:val="left" w:pos="993"/>
        </w:tabs>
        <w:ind w:firstLine="709"/>
        <w:jc w:val="center"/>
        <w:rPr>
          <w:lang w:val="en-US"/>
        </w:rPr>
      </w:pPr>
      <w:r w:rsidRPr="00E44533">
        <w:rPr>
          <w:b/>
          <w:lang w:val="en-US"/>
        </w:rPr>
        <w:t>Information on the author.</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Kolechkov Dmitr</w:t>
      </w:r>
      <w:r w:rsidR="00C33893">
        <w:rPr>
          <w:lang w:val="en-US"/>
        </w:rPr>
        <w:t>i</w:t>
      </w:r>
      <w:r w:rsidRPr="00E44533">
        <w:rPr>
          <w:lang w:val="en-US"/>
        </w:rPr>
        <w:t>y Vasilyevich (Russia, the Komi Republic, Syktyvkar) is Candidate of Economic Sciences, the senior research associate, Federal state budgetary institution of science I</w:t>
      </w:r>
      <w:r w:rsidRPr="00E44533">
        <w:rPr>
          <w:lang w:val="en-US"/>
        </w:rPr>
        <w:t>n</w:t>
      </w:r>
      <w:r w:rsidRPr="00E44533">
        <w:rPr>
          <w:lang w:val="en-US"/>
        </w:rPr>
        <w:t xml:space="preserve">stitute of social and economic and power problems of the North of Komi of NTs OURO RAHN (Kommunisticheskaya St., 26, Syktyvkar, the Komi Republic, 167982, Russia), E-mail: </w:t>
      </w:r>
      <w:hyperlink r:id="rId14" w:history="1">
        <w:r w:rsidRPr="00FE2B1C">
          <w:rPr>
            <w:rStyle w:val="a8"/>
            <w:lang w:val="en-US"/>
          </w:rPr>
          <w:t>kdb1970@mail.ru</w:t>
        </w:r>
      </w:hyperlink>
      <w:r w:rsidRPr="00E44533">
        <w:rPr>
          <w:lang w:val="en-US"/>
        </w:rPr>
        <w:t>.</w:t>
      </w:r>
    </w:p>
    <w:p w:rsidR="00E44533" w:rsidRPr="00C33893" w:rsidRDefault="00E44533" w:rsidP="00E44533">
      <w:pPr>
        <w:pStyle w:val="a3"/>
        <w:tabs>
          <w:tab w:val="left" w:pos="993"/>
        </w:tabs>
        <w:spacing w:before="0" w:beforeAutospacing="0" w:after="0" w:afterAutospacing="0"/>
        <w:ind w:firstLine="709"/>
        <w:jc w:val="both"/>
        <w:rPr>
          <w:lang w:val="en-US"/>
        </w:rPr>
      </w:pPr>
    </w:p>
    <w:p w:rsidR="00E44533" w:rsidRPr="00C33893" w:rsidRDefault="00E44533" w:rsidP="00E44533">
      <w:pPr>
        <w:pStyle w:val="a3"/>
        <w:tabs>
          <w:tab w:val="left" w:pos="993"/>
        </w:tabs>
        <w:spacing w:before="0" w:beforeAutospacing="0" w:after="0" w:afterAutospacing="0"/>
        <w:ind w:firstLine="709"/>
        <w:jc w:val="center"/>
        <w:rPr>
          <w:b/>
          <w:lang w:val="en-US"/>
        </w:rPr>
      </w:pPr>
      <w:r w:rsidRPr="00E44533">
        <w:rPr>
          <w:b/>
          <w:lang w:val="en-US"/>
        </w:rPr>
        <w:t>Literature</w:t>
      </w:r>
      <w:r w:rsidRPr="00C33893">
        <w:rPr>
          <w:b/>
          <w:lang w:val="en-US"/>
        </w:rPr>
        <w:t>.</w:t>
      </w:r>
    </w:p>
    <w:p w:rsidR="00E44533" w:rsidRPr="00C33893" w:rsidRDefault="00E44533" w:rsidP="00E44533">
      <w:pPr>
        <w:pStyle w:val="a3"/>
        <w:tabs>
          <w:tab w:val="left" w:pos="993"/>
        </w:tabs>
        <w:spacing w:before="0" w:beforeAutospacing="0" w:after="0" w:afterAutospacing="0"/>
        <w:ind w:firstLine="709"/>
        <w:jc w:val="center"/>
        <w:rPr>
          <w:lang w:val="en-US"/>
        </w:rPr>
      </w:pP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 xml:space="preserve">1. Rozanov A. Public pension fund management: best practice and international experience / A. Rozanov // Asian Economic Policy Review.  – 2015. – № 10. – P. 275–295.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2. Stalebrink J. Public pension funds and assumed rates of return: an empirical examination of public sector defined benefit pension plans / J. Stalebrink // American review of public adminis-tration. – 2014. – № 1(44).</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lastRenderedPageBreak/>
        <w:t xml:space="preserve">3. Barbashova S.A. Reforming of pension system of the Russian Federation at the present stage / S.A. Barbashova, I.S. Sokolova, E.M. Scherbakov//the Messenger of NGIEI. – 2016. – No. 7 (62).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4. Report of the World Bank "Prevention of the global crisis of aging". [Electronic r</w:t>
      </w:r>
      <w:r w:rsidRPr="00E44533">
        <w:rPr>
          <w:lang w:val="en-US"/>
        </w:rPr>
        <w:t>e</w:t>
      </w:r>
      <w:r w:rsidRPr="00E44533">
        <w:rPr>
          <w:lang w:val="en-US"/>
        </w:rPr>
        <w:t xml:space="preserve">source]. URL: http://ru.wikipedia.org/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5. Uniform interdepartmental information and statistical system of Rosstat [An electronic r</w:t>
      </w:r>
      <w:r w:rsidRPr="00E44533">
        <w:rPr>
          <w:lang w:val="en-US"/>
        </w:rPr>
        <w:t>e</w:t>
      </w:r>
      <w:r w:rsidRPr="00E44533">
        <w:rPr>
          <w:lang w:val="en-US"/>
        </w:rPr>
        <w:t xml:space="preserve">source]. URL: https://www.fedstat.ru.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 xml:space="preserve">6. Moseyko V.V. Pension in the conditions of modern socially oriented market economy / V.V. Moseyko//Vestn. Tom. state. un-that. – 2009. – No. 318.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7. Pudovkin A.V. International experience of use of voluntary and obligatory funded pension systems: lessons for Russia / A.V. Pudovkin//the Messenger of MGIMO. – 2016. – No. 3 (48).</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8. The federal law from 7/24/2009 N 212-FZ (an edition from 7/3/2016) "About insurance premiums in the Pension Fund of the Russian Federation, Fund of social insurance of the Russian Federation, Federal Fund of obligatory medical insurance". [Electronic resource]. URL: http://www.consultant.ru/document/</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9. Fedotov D. Yu. The forecast of development of the non-state Pension Funds of the Ru</w:t>
      </w:r>
      <w:r w:rsidRPr="00E44533">
        <w:rPr>
          <w:lang w:val="en-US"/>
        </w:rPr>
        <w:t>s</w:t>
      </w:r>
      <w:r w:rsidRPr="00E44533">
        <w:rPr>
          <w:lang w:val="en-US"/>
        </w:rPr>
        <w:t>sian Federation in 2013-2040. In the conditions of realization of pension reform / Yu. Fed</w:t>
      </w:r>
      <w:r w:rsidRPr="00E44533">
        <w:rPr>
          <w:lang w:val="en-US"/>
        </w:rPr>
        <w:t>o</w:t>
      </w:r>
      <w:r w:rsidRPr="00E44533">
        <w:rPr>
          <w:lang w:val="en-US"/>
        </w:rPr>
        <w:t xml:space="preserve">tov//IGEA News. – 2013. – No. 5. </w:t>
      </w:r>
    </w:p>
    <w:p w:rsidR="00E44533" w:rsidRPr="00C33893" w:rsidRDefault="00E44533" w:rsidP="00E44533">
      <w:pPr>
        <w:pStyle w:val="a3"/>
        <w:tabs>
          <w:tab w:val="left" w:pos="993"/>
        </w:tabs>
        <w:spacing w:before="0" w:beforeAutospacing="0" w:after="0" w:afterAutospacing="0"/>
        <w:ind w:firstLine="709"/>
        <w:jc w:val="both"/>
        <w:rPr>
          <w:lang w:val="en-US"/>
        </w:rPr>
      </w:pPr>
      <w:r w:rsidRPr="00E44533">
        <w:rPr>
          <w:lang w:val="en-US"/>
        </w:rPr>
        <w:t xml:space="preserve">10. Kharitonova Yu.N. Reforming of pension system of the Russian Federation / Yu.N. Kharitonova//Economy, sociology and right. – 2015. – No. 1. </w:t>
      </w:r>
      <w:r w:rsidRPr="00C33893">
        <w:rPr>
          <w:lang w:val="en-US"/>
        </w:rPr>
        <w:t xml:space="preserve">Page 158-161. </w:t>
      </w:r>
    </w:p>
    <w:p w:rsidR="00E44533" w:rsidRPr="00E44533" w:rsidRDefault="00E44533" w:rsidP="00E44533">
      <w:pPr>
        <w:pStyle w:val="a3"/>
        <w:tabs>
          <w:tab w:val="left" w:pos="993"/>
        </w:tabs>
        <w:spacing w:before="0" w:beforeAutospacing="0" w:after="0" w:afterAutospacing="0"/>
        <w:ind w:firstLine="709"/>
        <w:jc w:val="both"/>
        <w:rPr>
          <w:lang w:val="en-US"/>
        </w:rPr>
      </w:pPr>
      <w:r w:rsidRPr="00E44533">
        <w:rPr>
          <w:lang w:val="en-US"/>
        </w:rPr>
        <w:t>11. Hit L.V. Complex assessment of efficiency of pension system as priority direction of s</w:t>
      </w:r>
      <w:r w:rsidRPr="00E44533">
        <w:rPr>
          <w:lang w:val="en-US"/>
        </w:rPr>
        <w:t>o</w:t>
      </w:r>
      <w:r w:rsidRPr="00E44533">
        <w:rPr>
          <w:lang w:val="en-US"/>
        </w:rPr>
        <w:t>cial and economic policy of Russia/L. V. Hit//Theory and practice of social development. – 2011. – No. 2. – Page 271-275.</w:t>
      </w:r>
    </w:p>
    <w:sectPr w:rsidR="00E44533" w:rsidRPr="00E44533" w:rsidSect="00F858CB">
      <w:footerReference w:type="default" r:id="rId1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72D0" w:rsidRDefault="003872D0" w:rsidP="000E31A7">
      <w:r>
        <w:separator/>
      </w:r>
    </w:p>
  </w:endnote>
  <w:endnote w:type="continuationSeparator" w:id="1">
    <w:p w:rsidR="003872D0" w:rsidRDefault="003872D0" w:rsidP="000E31A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729" w:rsidRDefault="00033729">
    <w:pPr>
      <w:pStyle w:val="af2"/>
    </w:pPr>
  </w:p>
  <w:p w:rsidR="00033729" w:rsidRDefault="00033729">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72D0" w:rsidRDefault="003872D0" w:rsidP="000E31A7">
      <w:r>
        <w:separator/>
      </w:r>
    </w:p>
  </w:footnote>
  <w:footnote w:type="continuationSeparator" w:id="1">
    <w:p w:rsidR="003872D0" w:rsidRDefault="003872D0" w:rsidP="000E31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037EA"/>
    <w:multiLevelType w:val="hybridMultilevel"/>
    <w:tmpl w:val="B1F235A4"/>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
    <w:nsid w:val="084E4ADC"/>
    <w:multiLevelType w:val="hybridMultilevel"/>
    <w:tmpl w:val="3DA42A3C"/>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D4D6FDA"/>
    <w:multiLevelType w:val="hybridMultilevel"/>
    <w:tmpl w:val="14F2EA4A"/>
    <w:lvl w:ilvl="0" w:tplc="B3484B9E">
      <w:start w:val="1"/>
      <w:numFmt w:val="decimal"/>
      <w:lvlText w:val="%1."/>
      <w:lvlJc w:val="left"/>
      <w:pPr>
        <w:ind w:left="720" w:hanging="360"/>
      </w:pPr>
      <w:rPr>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EC1938"/>
    <w:multiLevelType w:val="multilevel"/>
    <w:tmpl w:val="6E38B9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8E80E4E"/>
    <w:multiLevelType w:val="multilevel"/>
    <w:tmpl w:val="B29A6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3BB1138"/>
    <w:multiLevelType w:val="multilevel"/>
    <w:tmpl w:val="8BF83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7390673"/>
    <w:multiLevelType w:val="multilevel"/>
    <w:tmpl w:val="44EA23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3"/>
  </w:num>
  <w:num w:numId="4">
    <w:abstractNumId w:val="6"/>
  </w:num>
  <w:num w:numId="5">
    <w:abstractNumId w:val="2"/>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defaultTabStop w:val="708"/>
  <w:autoHyphenation/>
  <w:hyphenationZone w:val="357"/>
  <w:characterSpacingControl w:val="doNotCompress"/>
  <w:footnotePr>
    <w:footnote w:id="0"/>
    <w:footnote w:id="1"/>
  </w:footnotePr>
  <w:endnotePr>
    <w:endnote w:id="0"/>
    <w:endnote w:id="1"/>
  </w:endnotePr>
  <w:compat/>
  <w:rsids>
    <w:rsidRoot w:val="00E41A71"/>
    <w:rsid w:val="000002E4"/>
    <w:rsid w:val="00001139"/>
    <w:rsid w:val="00001281"/>
    <w:rsid w:val="00001E62"/>
    <w:rsid w:val="00001F73"/>
    <w:rsid w:val="000033C6"/>
    <w:rsid w:val="00003E28"/>
    <w:rsid w:val="00004F0D"/>
    <w:rsid w:val="0000556B"/>
    <w:rsid w:val="00005D40"/>
    <w:rsid w:val="0000605E"/>
    <w:rsid w:val="00007D9E"/>
    <w:rsid w:val="000117A9"/>
    <w:rsid w:val="0001300C"/>
    <w:rsid w:val="00013FA9"/>
    <w:rsid w:val="00015F34"/>
    <w:rsid w:val="000160AB"/>
    <w:rsid w:val="000163CC"/>
    <w:rsid w:val="00017324"/>
    <w:rsid w:val="000204AA"/>
    <w:rsid w:val="00021F90"/>
    <w:rsid w:val="00022512"/>
    <w:rsid w:val="00023F75"/>
    <w:rsid w:val="00024A5C"/>
    <w:rsid w:val="00024F1F"/>
    <w:rsid w:val="00026D6B"/>
    <w:rsid w:val="0002767C"/>
    <w:rsid w:val="000277B8"/>
    <w:rsid w:val="00030284"/>
    <w:rsid w:val="000308F4"/>
    <w:rsid w:val="00031EE9"/>
    <w:rsid w:val="00033729"/>
    <w:rsid w:val="00033CE1"/>
    <w:rsid w:val="00034366"/>
    <w:rsid w:val="00035AAE"/>
    <w:rsid w:val="00035F52"/>
    <w:rsid w:val="000406AB"/>
    <w:rsid w:val="0004099F"/>
    <w:rsid w:val="00041436"/>
    <w:rsid w:val="0004162D"/>
    <w:rsid w:val="0004295D"/>
    <w:rsid w:val="0004297B"/>
    <w:rsid w:val="00042BA9"/>
    <w:rsid w:val="000430CE"/>
    <w:rsid w:val="00043122"/>
    <w:rsid w:val="000436AC"/>
    <w:rsid w:val="00046992"/>
    <w:rsid w:val="000479AA"/>
    <w:rsid w:val="00047B56"/>
    <w:rsid w:val="00051DBA"/>
    <w:rsid w:val="00053191"/>
    <w:rsid w:val="00053234"/>
    <w:rsid w:val="00054C43"/>
    <w:rsid w:val="000550F3"/>
    <w:rsid w:val="00055704"/>
    <w:rsid w:val="00055C1E"/>
    <w:rsid w:val="0005696C"/>
    <w:rsid w:val="000576FA"/>
    <w:rsid w:val="00060DC2"/>
    <w:rsid w:val="000613A8"/>
    <w:rsid w:val="00062C25"/>
    <w:rsid w:val="00065159"/>
    <w:rsid w:val="00065F24"/>
    <w:rsid w:val="00066341"/>
    <w:rsid w:val="00067599"/>
    <w:rsid w:val="00067A77"/>
    <w:rsid w:val="00067A84"/>
    <w:rsid w:val="00067E8B"/>
    <w:rsid w:val="0007041D"/>
    <w:rsid w:val="000707CA"/>
    <w:rsid w:val="0007179E"/>
    <w:rsid w:val="00073348"/>
    <w:rsid w:val="00074919"/>
    <w:rsid w:val="000750C1"/>
    <w:rsid w:val="00075A87"/>
    <w:rsid w:val="000763B6"/>
    <w:rsid w:val="00076AE7"/>
    <w:rsid w:val="0007793C"/>
    <w:rsid w:val="00077CDF"/>
    <w:rsid w:val="0008056C"/>
    <w:rsid w:val="0008139F"/>
    <w:rsid w:val="000837E3"/>
    <w:rsid w:val="00083ED2"/>
    <w:rsid w:val="00084ABF"/>
    <w:rsid w:val="00084C10"/>
    <w:rsid w:val="00084D05"/>
    <w:rsid w:val="00084F34"/>
    <w:rsid w:val="0008514F"/>
    <w:rsid w:val="00085294"/>
    <w:rsid w:val="0008579B"/>
    <w:rsid w:val="000869F1"/>
    <w:rsid w:val="00090813"/>
    <w:rsid w:val="00091038"/>
    <w:rsid w:val="00091829"/>
    <w:rsid w:val="00092B26"/>
    <w:rsid w:val="00093904"/>
    <w:rsid w:val="00093CCA"/>
    <w:rsid w:val="000956F6"/>
    <w:rsid w:val="00096A21"/>
    <w:rsid w:val="000971D7"/>
    <w:rsid w:val="000A070E"/>
    <w:rsid w:val="000A0AAB"/>
    <w:rsid w:val="000A2111"/>
    <w:rsid w:val="000A56B9"/>
    <w:rsid w:val="000A6189"/>
    <w:rsid w:val="000A7964"/>
    <w:rsid w:val="000B2D68"/>
    <w:rsid w:val="000B6065"/>
    <w:rsid w:val="000B63EA"/>
    <w:rsid w:val="000C1291"/>
    <w:rsid w:val="000C197D"/>
    <w:rsid w:val="000C1EE3"/>
    <w:rsid w:val="000C2481"/>
    <w:rsid w:val="000C5072"/>
    <w:rsid w:val="000C60D4"/>
    <w:rsid w:val="000C6D6E"/>
    <w:rsid w:val="000D103E"/>
    <w:rsid w:val="000D1314"/>
    <w:rsid w:val="000D157B"/>
    <w:rsid w:val="000D2F72"/>
    <w:rsid w:val="000D3195"/>
    <w:rsid w:val="000D5CDC"/>
    <w:rsid w:val="000D78F6"/>
    <w:rsid w:val="000E046A"/>
    <w:rsid w:val="000E0E23"/>
    <w:rsid w:val="000E24A9"/>
    <w:rsid w:val="000E2675"/>
    <w:rsid w:val="000E2CFA"/>
    <w:rsid w:val="000E2F6F"/>
    <w:rsid w:val="000E3022"/>
    <w:rsid w:val="000E31A7"/>
    <w:rsid w:val="000E4172"/>
    <w:rsid w:val="000E6BFD"/>
    <w:rsid w:val="000E7234"/>
    <w:rsid w:val="000E7981"/>
    <w:rsid w:val="000F01DA"/>
    <w:rsid w:val="000F09A3"/>
    <w:rsid w:val="000F0CCF"/>
    <w:rsid w:val="000F14B1"/>
    <w:rsid w:val="000F1B98"/>
    <w:rsid w:val="000F238C"/>
    <w:rsid w:val="000F43A1"/>
    <w:rsid w:val="000F49E7"/>
    <w:rsid w:val="000F4F0C"/>
    <w:rsid w:val="000F5040"/>
    <w:rsid w:val="000F52C0"/>
    <w:rsid w:val="000F6B93"/>
    <w:rsid w:val="001009B8"/>
    <w:rsid w:val="00100CCF"/>
    <w:rsid w:val="00101D94"/>
    <w:rsid w:val="00101E12"/>
    <w:rsid w:val="00102969"/>
    <w:rsid w:val="00104081"/>
    <w:rsid w:val="0010451E"/>
    <w:rsid w:val="001048C9"/>
    <w:rsid w:val="00104D9E"/>
    <w:rsid w:val="001058D3"/>
    <w:rsid w:val="00110F4D"/>
    <w:rsid w:val="00114A6E"/>
    <w:rsid w:val="0011666B"/>
    <w:rsid w:val="0011704A"/>
    <w:rsid w:val="001206F4"/>
    <w:rsid w:val="00121E16"/>
    <w:rsid w:val="00123C97"/>
    <w:rsid w:val="00124010"/>
    <w:rsid w:val="0012507C"/>
    <w:rsid w:val="00125A88"/>
    <w:rsid w:val="00127EE9"/>
    <w:rsid w:val="00127FFC"/>
    <w:rsid w:val="00130FE7"/>
    <w:rsid w:val="00132E63"/>
    <w:rsid w:val="00133445"/>
    <w:rsid w:val="00134B96"/>
    <w:rsid w:val="00135779"/>
    <w:rsid w:val="00136EC6"/>
    <w:rsid w:val="0014112F"/>
    <w:rsid w:val="001418ED"/>
    <w:rsid w:val="00141E44"/>
    <w:rsid w:val="00142376"/>
    <w:rsid w:val="00143F6A"/>
    <w:rsid w:val="00144815"/>
    <w:rsid w:val="00144C1E"/>
    <w:rsid w:val="00144C56"/>
    <w:rsid w:val="001479E1"/>
    <w:rsid w:val="001518AA"/>
    <w:rsid w:val="00151DA2"/>
    <w:rsid w:val="00153897"/>
    <w:rsid w:val="00153E99"/>
    <w:rsid w:val="00155CC5"/>
    <w:rsid w:val="00156926"/>
    <w:rsid w:val="001617CA"/>
    <w:rsid w:val="00163864"/>
    <w:rsid w:val="0016443D"/>
    <w:rsid w:val="00164B01"/>
    <w:rsid w:val="00165D17"/>
    <w:rsid w:val="001673F4"/>
    <w:rsid w:val="00167A54"/>
    <w:rsid w:val="00170DF7"/>
    <w:rsid w:val="00175EDC"/>
    <w:rsid w:val="00176990"/>
    <w:rsid w:val="00177A1C"/>
    <w:rsid w:val="00183636"/>
    <w:rsid w:val="00184482"/>
    <w:rsid w:val="00185A67"/>
    <w:rsid w:val="0018675A"/>
    <w:rsid w:val="00186C4E"/>
    <w:rsid w:val="0018715F"/>
    <w:rsid w:val="001874D5"/>
    <w:rsid w:val="00191116"/>
    <w:rsid w:val="001941AE"/>
    <w:rsid w:val="00194E3F"/>
    <w:rsid w:val="001963CD"/>
    <w:rsid w:val="00196446"/>
    <w:rsid w:val="00196AD8"/>
    <w:rsid w:val="00197A00"/>
    <w:rsid w:val="001A02B2"/>
    <w:rsid w:val="001A0E9B"/>
    <w:rsid w:val="001A26ED"/>
    <w:rsid w:val="001A55B7"/>
    <w:rsid w:val="001A625D"/>
    <w:rsid w:val="001A7F02"/>
    <w:rsid w:val="001B0BAC"/>
    <w:rsid w:val="001B2ECC"/>
    <w:rsid w:val="001B3B67"/>
    <w:rsid w:val="001B4429"/>
    <w:rsid w:val="001B47C6"/>
    <w:rsid w:val="001C29DC"/>
    <w:rsid w:val="001C3633"/>
    <w:rsid w:val="001C4828"/>
    <w:rsid w:val="001C6410"/>
    <w:rsid w:val="001C67F7"/>
    <w:rsid w:val="001C78AE"/>
    <w:rsid w:val="001D0DEE"/>
    <w:rsid w:val="001D440B"/>
    <w:rsid w:val="001D53DA"/>
    <w:rsid w:val="001D63A7"/>
    <w:rsid w:val="001D63B1"/>
    <w:rsid w:val="001D712B"/>
    <w:rsid w:val="001D767D"/>
    <w:rsid w:val="001E02D3"/>
    <w:rsid w:val="001E15D7"/>
    <w:rsid w:val="001E2906"/>
    <w:rsid w:val="001E341F"/>
    <w:rsid w:val="001E35EA"/>
    <w:rsid w:val="001E4507"/>
    <w:rsid w:val="001E5152"/>
    <w:rsid w:val="001E5C4C"/>
    <w:rsid w:val="001E5FFC"/>
    <w:rsid w:val="001F0F4D"/>
    <w:rsid w:val="001F1C1B"/>
    <w:rsid w:val="001F396B"/>
    <w:rsid w:val="001F3AA4"/>
    <w:rsid w:val="001F3FB5"/>
    <w:rsid w:val="001F4A60"/>
    <w:rsid w:val="001F68B0"/>
    <w:rsid w:val="001F6D98"/>
    <w:rsid w:val="001F7F17"/>
    <w:rsid w:val="00200920"/>
    <w:rsid w:val="00200C5E"/>
    <w:rsid w:val="0020134B"/>
    <w:rsid w:val="002016AC"/>
    <w:rsid w:val="00201C9F"/>
    <w:rsid w:val="00203AA5"/>
    <w:rsid w:val="00206D83"/>
    <w:rsid w:val="002072B8"/>
    <w:rsid w:val="00207F92"/>
    <w:rsid w:val="00210B3A"/>
    <w:rsid w:val="00210C4E"/>
    <w:rsid w:val="00211C0B"/>
    <w:rsid w:val="00211D0A"/>
    <w:rsid w:val="00212BFB"/>
    <w:rsid w:val="00214A56"/>
    <w:rsid w:val="00214BBC"/>
    <w:rsid w:val="00214E8B"/>
    <w:rsid w:val="002158B1"/>
    <w:rsid w:val="00215C7F"/>
    <w:rsid w:val="002164D5"/>
    <w:rsid w:val="00217B7D"/>
    <w:rsid w:val="00220081"/>
    <w:rsid w:val="00221F06"/>
    <w:rsid w:val="00222A60"/>
    <w:rsid w:val="00224009"/>
    <w:rsid w:val="00224284"/>
    <w:rsid w:val="002243EF"/>
    <w:rsid w:val="00224995"/>
    <w:rsid w:val="0022516A"/>
    <w:rsid w:val="00226647"/>
    <w:rsid w:val="00226EA3"/>
    <w:rsid w:val="00230ED9"/>
    <w:rsid w:val="002324E7"/>
    <w:rsid w:val="00232E62"/>
    <w:rsid w:val="0023438A"/>
    <w:rsid w:val="00234589"/>
    <w:rsid w:val="00234BAB"/>
    <w:rsid w:val="00235DFB"/>
    <w:rsid w:val="00240C19"/>
    <w:rsid w:val="00241670"/>
    <w:rsid w:val="00241C70"/>
    <w:rsid w:val="00242414"/>
    <w:rsid w:val="002427B1"/>
    <w:rsid w:val="00245EEA"/>
    <w:rsid w:val="0024653C"/>
    <w:rsid w:val="00246CEC"/>
    <w:rsid w:val="00246E32"/>
    <w:rsid w:val="002514E1"/>
    <w:rsid w:val="0025277B"/>
    <w:rsid w:val="00252F5C"/>
    <w:rsid w:val="002536A6"/>
    <w:rsid w:val="00253D0B"/>
    <w:rsid w:val="002540F7"/>
    <w:rsid w:val="00255182"/>
    <w:rsid w:val="0025535A"/>
    <w:rsid w:val="00257D13"/>
    <w:rsid w:val="00257E56"/>
    <w:rsid w:val="002605D8"/>
    <w:rsid w:val="00261C13"/>
    <w:rsid w:val="00262675"/>
    <w:rsid w:val="0026364F"/>
    <w:rsid w:val="00264C74"/>
    <w:rsid w:val="00265C5D"/>
    <w:rsid w:val="00267DB9"/>
    <w:rsid w:val="00270A8C"/>
    <w:rsid w:val="00270BC2"/>
    <w:rsid w:val="0027256D"/>
    <w:rsid w:val="00274293"/>
    <w:rsid w:val="00275019"/>
    <w:rsid w:val="00276CAB"/>
    <w:rsid w:val="002774D2"/>
    <w:rsid w:val="002813B7"/>
    <w:rsid w:val="00281D4E"/>
    <w:rsid w:val="00282517"/>
    <w:rsid w:val="00282E91"/>
    <w:rsid w:val="002849B6"/>
    <w:rsid w:val="00285270"/>
    <w:rsid w:val="0028547C"/>
    <w:rsid w:val="002858B9"/>
    <w:rsid w:val="00287D5D"/>
    <w:rsid w:val="00292013"/>
    <w:rsid w:val="0029254E"/>
    <w:rsid w:val="00292C65"/>
    <w:rsid w:val="00293712"/>
    <w:rsid w:val="00294386"/>
    <w:rsid w:val="00296A7A"/>
    <w:rsid w:val="00296CDE"/>
    <w:rsid w:val="00296FA0"/>
    <w:rsid w:val="002976BB"/>
    <w:rsid w:val="002A09FC"/>
    <w:rsid w:val="002A0C0F"/>
    <w:rsid w:val="002A2D8C"/>
    <w:rsid w:val="002A2F1C"/>
    <w:rsid w:val="002A58EB"/>
    <w:rsid w:val="002A60C1"/>
    <w:rsid w:val="002A655F"/>
    <w:rsid w:val="002A6BBE"/>
    <w:rsid w:val="002A709A"/>
    <w:rsid w:val="002A7577"/>
    <w:rsid w:val="002B052F"/>
    <w:rsid w:val="002B1F78"/>
    <w:rsid w:val="002B28FD"/>
    <w:rsid w:val="002B2CAB"/>
    <w:rsid w:val="002B3721"/>
    <w:rsid w:val="002B3FDC"/>
    <w:rsid w:val="002B40D1"/>
    <w:rsid w:val="002B5758"/>
    <w:rsid w:val="002B5DD9"/>
    <w:rsid w:val="002B6532"/>
    <w:rsid w:val="002B69D3"/>
    <w:rsid w:val="002B78C3"/>
    <w:rsid w:val="002B7D8D"/>
    <w:rsid w:val="002C01E0"/>
    <w:rsid w:val="002C13C1"/>
    <w:rsid w:val="002C43C5"/>
    <w:rsid w:val="002C57B9"/>
    <w:rsid w:val="002C7213"/>
    <w:rsid w:val="002D11F5"/>
    <w:rsid w:val="002D1AD8"/>
    <w:rsid w:val="002E08B5"/>
    <w:rsid w:val="002E1769"/>
    <w:rsid w:val="002E1D49"/>
    <w:rsid w:val="002E251D"/>
    <w:rsid w:val="002E3388"/>
    <w:rsid w:val="002E3EFB"/>
    <w:rsid w:val="002E4AB9"/>
    <w:rsid w:val="002E5D91"/>
    <w:rsid w:val="002E76FC"/>
    <w:rsid w:val="002E7E15"/>
    <w:rsid w:val="002F06BC"/>
    <w:rsid w:val="002F0DE6"/>
    <w:rsid w:val="002F3931"/>
    <w:rsid w:val="002F43A5"/>
    <w:rsid w:val="002F4EB3"/>
    <w:rsid w:val="002F6F11"/>
    <w:rsid w:val="003003CE"/>
    <w:rsid w:val="00300A1D"/>
    <w:rsid w:val="00300E19"/>
    <w:rsid w:val="00303366"/>
    <w:rsid w:val="00303C9F"/>
    <w:rsid w:val="003042B1"/>
    <w:rsid w:val="00304FAA"/>
    <w:rsid w:val="0030639E"/>
    <w:rsid w:val="003072FE"/>
    <w:rsid w:val="00310C9F"/>
    <w:rsid w:val="00311638"/>
    <w:rsid w:val="00311D69"/>
    <w:rsid w:val="003120D8"/>
    <w:rsid w:val="00315CCF"/>
    <w:rsid w:val="003162E9"/>
    <w:rsid w:val="003176D9"/>
    <w:rsid w:val="00317712"/>
    <w:rsid w:val="00322C00"/>
    <w:rsid w:val="00323AFE"/>
    <w:rsid w:val="00323FD8"/>
    <w:rsid w:val="00324F11"/>
    <w:rsid w:val="00325F49"/>
    <w:rsid w:val="00326562"/>
    <w:rsid w:val="00326AA1"/>
    <w:rsid w:val="00326FDD"/>
    <w:rsid w:val="00327493"/>
    <w:rsid w:val="00327E69"/>
    <w:rsid w:val="003324B6"/>
    <w:rsid w:val="003349C9"/>
    <w:rsid w:val="00334BEA"/>
    <w:rsid w:val="00334FEB"/>
    <w:rsid w:val="00335314"/>
    <w:rsid w:val="00335C5B"/>
    <w:rsid w:val="0033632F"/>
    <w:rsid w:val="003371C5"/>
    <w:rsid w:val="003406FC"/>
    <w:rsid w:val="003412B8"/>
    <w:rsid w:val="00341CF1"/>
    <w:rsid w:val="00341D22"/>
    <w:rsid w:val="003421F6"/>
    <w:rsid w:val="0034315F"/>
    <w:rsid w:val="0034344D"/>
    <w:rsid w:val="00343A27"/>
    <w:rsid w:val="00343CD8"/>
    <w:rsid w:val="00344EF1"/>
    <w:rsid w:val="003454AE"/>
    <w:rsid w:val="003476E4"/>
    <w:rsid w:val="00347F3A"/>
    <w:rsid w:val="00350FA1"/>
    <w:rsid w:val="00351F53"/>
    <w:rsid w:val="0035271B"/>
    <w:rsid w:val="0035655D"/>
    <w:rsid w:val="0035679A"/>
    <w:rsid w:val="00356EB5"/>
    <w:rsid w:val="00356FFA"/>
    <w:rsid w:val="00357C92"/>
    <w:rsid w:val="00360557"/>
    <w:rsid w:val="00363555"/>
    <w:rsid w:val="00363660"/>
    <w:rsid w:val="00364CE5"/>
    <w:rsid w:val="0036523A"/>
    <w:rsid w:val="0036633A"/>
    <w:rsid w:val="0036689A"/>
    <w:rsid w:val="003669C5"/>
    <w:rsid w:val="003705AB"/>
    <w:rsid w:val="00370C29"/>
    <w:rsid w:val="00371AA1"/>
    <w:rsid w:val="003725BB"/>
    <w:rsid w:val="00373236"/>
    <w:rsid w:val="00376D97"/>
    <w:rsid w:val="00376E9A"/>
    <w:rsid w:val="00376EBF"/>
    <w:rsid w:val="00377080"/>
    <w:rsid w:val="00383227"/>
    <w:rsid w:val="0038322D"/>
    <w:rsid w:val="003839EE"/>
    <w:rsid w:val="0038638A"/>
    <w:rsid w:val="00386948"/>
    <w:rsid w:val="003872D0"/>
    <w:rsid w:val="003879DB"/>
    <w:rsid w:val="0039068E"/>
    <w:rsid w:val="003909D6"/>
    <w:rsid w:val="00390C97"/>
    <w:rsid w:val="00390EC5"/>
    <w:rsid w:val="00391494"/>
    <w:rsid w:val="0039194C"/>
    <w:rsid w:val="00392140"/>
    <w:rsid w:val="00392E70"/>
    <w:rsid w:val="00393FFA"/>
    <w:rsid w:val="003947B1"/>
    <w:rsid w:val="00394A57"/>
    <w:rsid w:val="003954A7"/>
    <w:rsid w:val="00396442"/>
    <w:rsid w:val="003A08D1"/>
    <w:rsid w:val="003A1F6A"/>
    <w:rsid w:val="003A22E8"/>
    <w:rsid w:val="003A2642"/>
    <w:rsid w:val="003A2672"/>
    <w:rsid w:val="003A3790"/>
    <w:rsid w:val="003A52F4"/>
    <w:rsid w:val="003A605E"/>
    <w:rsid w:val="003A63F4"/>
    <w:rsid w:val="003A6805"/>
    <w:rsid w:val="003A77E7"/>
    <w:rsid w:val="003A7FA7"/>
    <w:rsid w:val="003B04AC"/>
    <w:rsid w:val="003B061F"/>
    <w:rsid w:val="003B18CE"/>
    <w:rsid w:val="003B24B4"/>
    <w:rsid w:val="003B2BF5"/>
    <w:rsid w:val="003B3E46"/>
    <w:rsid w:val="003B53C8"/>
    <w:rsid w:val="003B5527"/>
    <w:rsid w:val="003B56D8"/>
    <w:rsid w:val="003B5E14"/>
    <w:rsid w:val="003B61D8"/>
    <w:rsid w:val="003B7325"/>
    <w:rsid w:val="003B783B"/>
    <w:rsid w:val="003B78F5"/>
    <w:rsid w:val="003C340B"/>
    <w:rsid w:val="003C653B"/>
    <w:rsid w:val="003C662B"/>
    <w:rsid w:val="003C6B1E"/>
    <w:rsid w:val="003D0919"/>
    <w:rsid w:val="003D1FD8"/>
    <w:rsid w:val="003D459C"/>
    <w:rsid w:val="003D48DC"/>
    <w:rsid w:val="003D58AC"/>
    <w:rsid w:val="003D6269"/>
    <w:rsid w:val="003D6AE7"/>
    <w:rsid w:val="003D6E2F"/>
    <w:rsid w:val="003D7035"/>
    <w:rsid w:val="003D7B48"/>
    <w:rsid w:val="003D7CF4"/>
    <w:rsid w:val="003D7E13"/>
    <w:rsid w:val="003D7FE9"/>
    <w:rsid w:val="003E07DE"/>
    <w:rsid w:val="003E11E9"/>
    <w:rsid w:val="003E15A2"/>
    <w:rsid w:val="003E24B0"/>
    <w:rsid w:val="003E24D3"/>
    <w:rsid w:val="003E32AD"/>
    <w:rsid w:val="003E3455"/>
    <w:rsid w:val="003E4CE1"/>
    <w:rsid w:val="003E6088"/>
    <w:rsid w:val="003E7349"/>
    <w:rsid w:val="003F017F"/>
    <w:rsid w:val="003F0C8B"/>
    <w:rsid w:val="003F100E"/>
    <w:rsid w:val="003F16CC"/>
    <w:rsid w:val="003F1710"/>
    <w:rsid w:val="003F2C53"/>
    <w:rsid w:val="003F5766"/>
    <w:rsid w:val="003F5FE2"/>
    <w:rsid w:val="003F6246"/>
    <w:rsid w:val="003F6EA7"/>
    <w:rsid w:val="004006C6"/>
    <w:rsid w:val="00400B0F"/>
    <w:rsid w:val="0040186F"/>
    <w:rsid w:val="00402910"/>
    <w:rsid w:val="00402B05"/>
    <w:rsid w:val="00403424"/>
    <w:rsid w:val="0040388F"/>
    <w:rsid w:val="00404C85"/>
    <w:rsid w:val="00405850"/>
    <w:rsid w:val="004103AA"/>
    <w:rsid w:val="00410D15"/>
    <w:rsid w:val="00411A45"/>
    <w:rsid w:val="00411CA3"/>
    <w:rsid w:val="0041259C"/>
    <w:rsid w:val="00413EC8"/>
    <w:rsid w:val="00414662"/>
    <w:rsid w:val="00415F2E"/>
    <w:rsid w:val="00420E1C"/>
    <w:rsid w:val="004251B3"/>
    <w:rsid w:val="00425A7A"/>
    <w:rsid w:val="00426160"/>
    <w:rsid w:val="0043244A"/>
    <w:rsid w:val="004329C7"/>
    <w:rsid w:val="00432B21"/>
    <w:rsid w:val="00434C8F"/>
    <w:rsid w:val="0043672A"/>
    <w:rsid w:val="00436E8A"/>
    <w:rsid w:val="004416AA"/>
    <w:rsid w:val="00444309"/>
    <w:rsid w:val="00444DE0"/>
    <w:rsid w:val="0045304E"/>
    <w:rsid w:val="00453160"/>
    <w:rsid w:val="00461AD3"/>
    <w:rsid w:val="00462527"/>
    <w:rsid w:val="00463A7F"/>
    <w:rsid w:val="004669EE"/>
    <w:rsid w:val="00466B9B"/>
    <w:rsid w:val="004703D5"/>
    <w:rsid w:val="004729C8"/>
    <w:rsid w:val="00474151"/>
    <w:rsid w:val="00476286"/>
    <w:rsid w:val="004765F3"/>
    <w:rsid w:val="0047728B"/>
    <w:rsid w:val="00477479"/>
    <w:rsid w:val="004779A8"/>
    <w:rsid w:val="00480593"/>
    <w:rsid w:val="0048156D"/>
    <w:rsid w:val="00482391"/>
    <w:rsid w:val="004829E7"/>
    <w:rsid w:val="004832C1"/>
    <w:rsid w:val="00485530"/>
    <w:rsid w:val="00485774"/>
    <w:rsid w:val="00485AAF"/>
    <w:rsid w:val="00485D4C"/>
    <w:rsid w:val="00486042"/>
    <w:rsid w:val="00486300"/>
    <w:rsid w:val="00487F44"/>
    <w:rsid w:val="004916AC"/>
    <w:rsid w:val="00491B88"/>
    <w:rsid w:val="00495003"/>
    <w:rsid w:val="00496B1D"/>
    <w:rsid w:val="004A00A4"/>
    <w:rsid w:val="004A0C9A"/>
    <w:rsid w:val="004A1CD6"/>
    <w:rsid w:val="004A1F19"/>
    <w:rsid w:val="004A3758"/>
    <w:rsid w:val="004A407D"/>
    <w:rsid w:val="004A4265"/>
    <w:rsid w:val="004A4AFA"/>
    <w:rsid w:val="004A5D04"/>
    <w:rsid w:val="004A5E1C"/>
    <w:rsid w:val="004A62A5"/>
    <w:rsid w:val="004A77C2"/>
    <w:rsid w:val="004B13B3"/>
    <w:rsid w:val="004B140D"/>
    <w:rsid w:val="004B459A"/>
    <w:rsid w:val="004B4B43"/>
    <w:rsid w:val="004B5BE8"/>
    <w:rsid w:val="004B6AC6"/>
    <w:rsid w:val="004B6C59"/>
    <w:rsid w:val="004B6CDC"/>
    <w:rsid w:val="004B734B"/>
    <w:rsid w:val="004C096C"/>
    <w:rsid w:val="004C21B6"/>
    <w:rsid w:val="004C34E5"/>
    <w:rsid w:val="004C350E"/>
    <w:rsid w:val="004C391C"/>
    <w:rsid w:val="004C502B"/>
    <w:rsid w:val="004C645C"/>
    <w:rsid w:val="004C6D38"/>
    <w:rsid w:val="004C7741"/>
    <w:rsid w:val="004C7FF5"/>
    <w:rsid w:val="004D2406"/>
    <w:rsid w:val="004D25E3"/>
    <w:rsid w:val="004D2BE9"/>
    <w:rsid w:val="004D2CC0"/>
    <w:rsid w:val="004D3841"/>
    <w:rsid w:val="004D4FD9"/>
    <w:rsid w:val="004D5CFC"/>
    <w:rsid w:val="004D661D"/>
    <w:rsid w:val="004D71F3"/>
    <w:rsid w:val="004E0400"/>
    <w:rsid w:val="004E0CFE"/>
    <w:rsid w:val="004E0EC8"/>
    <w:rsid w:val="004E55FD"/>
    <w:rsid w:val="004E620F"/>
    <w:rsid w:val="004E78FC"/>
    <w:rsid w:val="004F04A1"/>
    <w:rsid w:val="004F1F43"/>
    <w:rsid w:val="004F1F5B"/>
    <w:rsid w:val="004F34D1"/>
    <w:rsid w:val="004F4F18"/>
    <w:rsid w:val="004F54A4"/>
    <w:rsid w:val="004F7974"/>
    <w:rsid w:val="00500A05"/>
    <w:rsid w:val="00501779"/>
    <w:rsid w:val="005021FA"/>
    <w:rsid w:val="0050273C"/>
    <w:rsid w:val="005037C4"/>
    <w:rsid w:val="00503DA1"/>
    <w:rsid w:val="00504F91"/>
    <w:rsid w:val="00505ACC"/>
    <w:rsid w:val="00505F8B"/>
    <w:rsid w:val="00506542"/>
    <w:rsid w:val="00506791"/>
    <w:rsid w:val="0050681A"/>
    <w:rsid w:val="00507486"/>
    <w:rsid w:val="00507598"/>
    <w:rsid w:val="00510972"/>
    <w:rsid w:val="00510EE9"/>
    <w:rsid w:val="00511E18"/>
    <w:rsid w:val="00512088"/>
    <w:rsid w:val="00513DE8"/>
    <w:rsid w:val="00514D46"/>
    <w:rsid w:val="00516119"/>
    <w:rsid w:val="00516358"/>
    <w:rsid w:val="00517FB7"/>
    <w:rsid w:val="0052028E"/>
    <w:rsid w:val="00522811"/>
    <w:rsid w:val="0052348A"/>
    <w:rsid w:val="00524026"/>
    <w:rsid w:val="0052408C"/>
    <w:rsid w:val="00524204"/>
    <w:rsid w:val="0052467E"/>
    <w:rsid w:val="00525557"/>
    <w:rsid w:val="005259B8"/>
    <w:rsid w:val="00526AE4"/>
    <w:rsid w:val="00526B1F"/>
    <w:rsid w:val="00526CE6"/>
    <w:rsid w:val="005271B8"/>
    <w:rsid w:val="00527620"/>
    <w:rsid w:val="0052798E"/>
    <w:rsid w:val="005302B0"/>
    <w:rsid w:val="00531F08"/>
    <w:rsid w:val="005326B9"/>
    <w:rsid w:val="00533CDE"/>
    <w:rsid w:val="00534192"/>
    <w:rsid w:val="00534D86"/>
    <w:rsid w:val="0053533A"/>
    <w:rsid w:val="0053611B"/>
    <w:rsid w:val="00537CC9"/>
    <w:rsid w:val="005414D9"/>
    <w:rsid w:val="0054169D"/>
    <w:rsid w:val="005429C8"/>
    <w:rsid w:val="00542C1A"/>
    <w:rsid w:val="00544995"/>
    <w:rsid w:val="005458B2"/>
    <w:rsid w:val="005460F0"/>
    <w:rsid w:val="005473D7"/>
    <w:rsid w:val="00550894"/>
    <w:rsid w:val="00551FF8"/>
    <w:rsid w:val="005529CE"/>
    <w:rsid w:val="00553760"/>
    <w:rsid w:val="00553BC8"/>
    <w:rsid w:val="005543C8"/>
    <w:rsid w:val="00554502"/>
    <w:rsid w:val="00555191"/>
    <w:rsid w:val="00556E4C"/>
    <w:rsid w:val="0056216C"/>
    <w:rsid w:val="00562F53"/>
    <w:rsid w:val="00564D3D"/>
    <w:rsid w:val="00565FEF"/>
    <w:rsid w:val="005670E8"/>
    <w:rsid w:val="0056710D"/>
    <w:rsid w:val="0057070A"/>
    <w:rsid w:val="005707F7"/>
    <w:rsid w:val="00571FB9"/>
    <w:rsid w:val="0057206F"/>
    <w:rsid w:val="0057284A"/>
    <w:rsid w:val="00574E37"/>
    <w:rsid w:val="00580322"/>
    <w:rsid w:val="005805E9"/>
    <w:rsid w:val="00580985"/>
    <w:rsid w:val="00580B86"/>
    <w:rsid w:val="00581A58"/>
    <w:rsid w:val="00581BED"/>
    <w:rsid w:val="00582047"/>
    <w:rsid w:val="005832C1"/>
    <w:rsid w:val="005832C5"/>
    <w:rsid w:val="00583574"/>
    <w:rsid w:val="00586024"/>
    <w:rsid w:val="005865C9"/>
    <w:rsid w:val="00586BFD"/>
    <w:rsid w:val="00587E18"/>
    <w:rsid w:val="00587E7B"/>
    <w:rsid w:val="0059026D"/>
    <w:rsid w:val="0059085A"/>
    <w:rsid w:val="00590B8F"/>
    <w:rsid w:val="0059102F"/>
    <w:rsid w:val="0059244D"/>
    <w:rsid w:val="00592EAE"/>
    <w:rsid w:val="005932A6"/>
    <w:rsid w:val="005942E0"/>
    <w:rsid w:val="005946C4"/>
    <w:rsid w:val="00594A10"/>
    <w:rsid w:val="00594C47"/>
    <w:rsid w:val="005953C6"/>
    <w:rsid w:val="00595B03"/>
    <w:rsid w:val="00596368"/>
    <w:rsid w:val="005974D3"/>
    <w:rsid w:val="00597FDE"/>
    <w:rsid w:val="005A4253"/>
    <w:rsid w:val="005A468C"/>
    <w:rsid w:val="005A4D20"/>
    <w:rsid w:val="005A60A8"/>
    <w:rsid w:val="005A792A"/>
    <w:rsid w:val="005A7A35"/>
    <w:rsid w:val="005B0B61"/>
    <w:rsid w:val="005B2454"/>
    <w:rsid w:val="005B27A8"/>
    <w:rsid w:val="005B29CD"/>
    <w:rsid w:val="005B3D99"/>
    <w:rsid w:val="005B42C1"/>
    <w:rsid w:val="005B4893"/>
    <w:rsid w:val="005B4DC8"/>
    <w:rsid w:val="005C0B9B"/>
    <w:rsid w:val="005C2651"/>
    <w:rsid w:val="005C2DE3"/>
    <w:rsid w:val="005C3266"/>
    <w:rsid w:val="005C6013"/>
    <w:rsid w:val="005C640C"/>
    <w:rsid w:val="005C70DB"/>
    <w:rsid w:val="005C7B4D"/>
    <w:rsid w:val="005C7B72"/>
    <w:rsid w:val="005D0417"/>
    <w:rsid w:val="005D0D0E"/>
    <w:rsid w:val="005D18A2"/>
    <w:rsid w:val="005D2C49"/>
    <w:rsid w:val="005D3CE3"/>
    <w:rsid w:val="005D46C4"/>
    <w:rsid w:val="005D488F"/>
    <w:rsid w:val="005D4BB1"/>
    <w:rsid w:val="005D562F"/>
    <w:rsid w:val="005D6707"/>
    <w:rsid w:val="005E00F4"/>
    <w:rsid w:val="005E067D"/>
    <w:rsid w:val="005E3235"/>
    <w:rsid w:val="005E3801"/>
    <w:rsid w:val="005E4043"/>
    <w:rsid w:val="005E5995"/>
    <w:rsid w:val="005E6095"/>
    <w:rsid w:val="005E65A7"/>
    <w:rsid w:val="005E69F3"/>
    <w:rsid w:val="005E6D22"/>
    <w:rsid w:val="005E7C13"/>
    <w:rsid w:val="005F0E4A"/>
    <w:rsid w:val="005F40C7"/>
    <w:rsid w:val="005F4CC3"/>
    <w:rsid w:val="005F79A2"/>
    <w:rsid w:val="005F7E7A"/>
    <w:rsid w:val="006014E0"/>
    <w:rsid w:val="00602780"/>
    <w:rsid w:val="00602F19"/>
    <w:rsid w:val="006039CA"/>
    <w:rsid w:val="0060425D"/>
    <w:rsid w:val="00604EB6"/>
    <w:rsid w:val="00605BAF"/>
    <w:rsid w:val="00605C11"/>
    <w:rsid w:val="00606AE8"/>
    <w:rsid w:val="00607189"/>
    <w:rsid w:val="006122F7"/>
    <w:rsid w:val="006122FC"/>
    <w:rsid w:val="0061232C"/>
    <w:rsid w:val="00612971"/>
    <w:rsid w:val="00613C47"/>
    <w:rsid w:val="00615A06"/>
    <w:rsid w:val="00615A8E"/>
    <w:rsid w:val="00615EE6"/>
    <w:rsid w:val="00616629"/>
    <w:rsid w:val="006171D2"/>
    <w:rsid w:val="0061757E"/>
    <w:rsid w:val="00620B34"/>
    <w:rsid w:val="0062142E"/>
    <w:rsid w:val="006219B6"/>
    <w:rsid w:val="00621EE1"/>
    <w:rsid w:val="00621F04"/>
    <w:rsid w:val="006222B5"/>
    <w:rsid w:val="00623A12"/>
    <w:rsid w:val="00623A7C"/>
    <w:rsid w:val="00624591"/>
    <w:rsid w:val="00625669"/>
    <w:rsid w:val="00625842"/>
    <w:rsid w:val="00625DD2"/>
    <w:rsid w:val="00630A8D"/>
    <w:rsid w:val="00630ED8"/>
    <w:rsid w:val="00632607"/>
    <w:rsid w:val="00632B7E"/>
    <w:rsid w:val="00633731"/>
    <w:rsid w:val="00635EDC"/>
    <w:rsid w:val="0063627B"/>
    <w:rsid w:val="0063676B"/>
    <w:rsid w:val="00636C71"/>
    <w:rsid w:val="006378D3"/>
    <w:rsid w:val="00640C29"/>
    <w:rsid w:val="006421CC"/>
    <w:rsid w:val="0064254D"/>
    <w:rsid w:val="00642A23"/>
    <w:rsid w:val="00642CF6"/>
    <w:rsid w:val="00643DF3"/>
    <w:rsid w:val="006450D1"/>
    <w:rsid w:val="006452FD"/>
    <w:rsid w:val="0064548C"/>
    <w:rsid w:val="00646592"/>
    <w:rsid w:val="006465A5"/>
    <w:rsid w:val="00646DC9"/>
    <w:rsid w:val="00647DEE"/>
    <w:rsid w:val="006504C2"/>
    <w:rsid w:val="00651277"/>
    <w:rsid w:val="00651651"/>
    <w:rsid w:val="00651BDB"/>
    <w:rsid w:val="00653B96"/>
    <w:rsid w:val="00653F49"/>
    <w:rsid w:val="006546ED"/>
    <w:rsid w:val="00655701"/>
    <w:rsid w:val="0066162D"/>
    <w:rsid w:val="00661EFC"/>
    <w:rsid w:val="00665BAF"/>
    <w:rsid w:val="00665BD5"/>
    <w:rsid w:val="00670885"/>
    <w:rsid w:val="00670D25"/>
    <w:rsid w:val="00671E72"/>
    <w:rsid w:val="00672C21"/>
    <w:rsid w:val="006739B4"/>
    <w:rsid w:val="006741C1"/>
    <w:rsid w:val="00675100"/>
    <w:rsid w:val="00675AB2"/>
    <w:rsid w:val="00675F74"/>
    <w:rsid w:val="00676119"/>
    <w:rsid w:val="00676D5B"/>
    <w:rsid w:val="00680327"/>
    <w:rsid w:val="0068093C"/>
    <w:rsid w:val="00680B65"/>
    <w:rsid w:val="00681ED7"/>
    <w:rsid w:val="00684134"/>
    <w:rsid w:val="0068592B"/>
    <w:rsid w:val="00685D44"/>
    <w:rsid w:val="0068693A"/>
    <w:rsid w:val="00686D09"/>
    <w:rsid w:val="00687E78"/>
    <w:rsid w:val="00690164"/>
    <w:rsid w:val="0069054D"/>
    <w:rsid w:val="00690D9C"/>
    <w:rsid w:val="00695664"/>
    <w:rsid w:val="00695678"/>
    <w:rsid w:val="00695768"/>
    <w:rsid w:val="00695C95"/>
    <w:rsid w:val="00696482"/>
    <w:rsid w:val="0069724D"/>
    <w:rsid w:val="00697597"/>
    <w:rsid w:val="006A02AF"/>
    <w:rsid w:val="006A2CF6"/>
    <w:rsid w:val="006A3C57"/>
    <w:rsid w:val="006A4503"/>
    <w:rsid w:val="006A4517"/>
    <w:rsid w:val="006A4AB6"/>
    <w:rsid w:val="006A6483"/>
    <w:rsid w:val="006A7FDA"/>
    <w:rsid w:val="006B1593"/>
    <w:rsid w:val="006B2FE6"/>
    <w:rsid w:val="006B3722"/>
    <w:rsid w:val="006B5513"/>
    <w:rsid w:val="006B582D"/>
    <w:rsid w:val="006B59C8"/>
    <w:rsid w:val="006B5F02"/>
    <w:rsid w:val="006B6067"/>
    <w:rsid w:val="006B7163"/>
    <w:rsid w:val="006B77AB"/>
    <w:rsid w:val="006C0102"/>
    <w:rsid w:val="006C05D1"/>
    <w:rsid w:val="006C1071"/>
    <w:rsid w:val="006C10F8"/>
    <w:rsid w:val="006C15CB"/>
    <w:rsid w:val="006C3D4E"/>
    <w:rsid w:val="006C4F36"/>
    <w:rsid w:val="006C570C"/>
    <w:rsid w:val="006C5766"/>
    <w:rsid w:val="006C664F"/>
    <w:rsid w:val="006C66F0"/>
    <w:rsid w:val="006C717F"/>
    <w:rsid w:val="006C71B0"/>
    <w:rsid w:val="006D16E2"/>
    <w:rsid w:val="006D22B5"/>
    <w:rsid w:val="006D3943"/>
    <w:rsid w:val="006D546A"/>
    <w:rsid w:val="006D6F94"/>
    <w:rsid w:val="006D7E9E"/>
    <w:rsid w:val="006E0266"/>
    <w:rsid w:val="006E1796"/>
    <w:rsid w:val="006E3A57"/>
    <w:rsid w:val="006E3B33"/>
    <w:rsid w:val="006E4428"/>
    <w:rsid w:val="006E529D"/>
    <w:rsid w:val="006E5BA8"/>
    <w:rsid w:val="006F09F9"/>
    <w:rsid w:val="006F13E7"/>
    <w:rsid w:val="006F24D8"/>
    <w:rsid w:val="006F26CE"/>
    <w:rsid w:val="006F36E6"/>
    <w:rsid w:val="006F46D3"/>
    <w:rsid w:val="006F6457"/>
    <w:rsid w:val="006F64EC"/>
    <w:rsid w:val="006F6C30"/>
    <w:rsid w:val="006F79EF"/>
    <w:rsid w:val="00700B6F"/>
    <w:rsid w:val="00702074"/>
    <w:rsid w:val="00703A31"/>
    <w:rsid w:val="00704C5C"/>
    <w:rsid w:val="007053C5"/>
    <w:rsid w:val="007062C2"/>
    <w:rsid w:val="0070671E"/>
    <w:rsid w:val="00706773"/>
    <w:rsid w:val="0070709C"/>
    <w:rsid w:val="0070714D"/>
    <w:rsid w:val="007075A8"/>
    <w:rsid w:val="0070777C"/>
    <w:rsid w:val="00711CFF"/>
    <w:rsid w:val="00712B45"/>
    <w:rsid w:val="00713EB7"/>
    <w:rsid w:val="007149C8"/>
    <w:rsid w:val="00714A99"/>
    <w:rsid w:val="00714C4C"/>
    <w:rsid w:val="00714EF2"/>
    <w:rsid w:val="00714FFB"/>
    <w:rsid w:val="007159E2"/>
    <w:rsid w:val="007165AB"/>
    <w:rsid w:val="00716E4C"/>
    <w:rsid w:val="00717D88"/>
    <w:rsid w:val="00717FCD"/>
    <w:rsid w:val="00720258"/>
    <w:rsid w:val="007209CA"/>
    <w:rsid w:val="00720A09"/>
    <w:rsid w:val="007217FC"/>
    <w:rsid w:val="00723A8D"/>
    <w:rsid w:val="00724889"/>
    <w:rsid w:val="00724A7B"/>
    <w:rsid w:val="00724B00"/>
    <w:rsid w:val="00725E2F"/>
    <w:rsid w:val="007269A1"/>
    <w:rsid w:val="00726F1E"/>
    <w:rsid w:val="007270F8"/>
    <w:rsid w:val="00727724"/>
    <w:rsid w:val="00727DCF"/>
    <w:rsid w:val="00727F79"/>
    <w:rsid w:val="00730579"/>
    <w:rsid w:val="00730787"/>
    <w:rsid w:val="00735112"/>
    <w:rsid w:val="00741346"/>
    <w:rsid w:val="00743BF7"/>
    <w:rsid w:val="0074596C"/>
    <w:rsid w:val="007461E3"/>
    <w:rsid w:val="00746902"/>
    <w:rsid w:val="00746E54"/>
    <w:rsid w:val="00746F06"/>
    <w:rsid w:val="0075499E"/>
    <w:rsid w:val="00754CBD"/>
    <w:rsid w:val="00755C9C"/>
    <w:rsid w:val="00755F3A"/>
    <w:rsid w:val="00756BB0"/>
    <w:rsid w:val="00757038"/>
    <w:rsid w:val="00757503"/>
    <w:rsid w:val="00760B5E"/>
    <w:rsid w:val="00760B63"/>
    <w:rsid w:val="00761CFE"/>
    <w:rsid w:val="00762D5B"/>
    <w:rsid w:val="00764F24"/>
    <w:rsid w:val="00765347"/>
    <w:rsid w:val="00767523"/>
    <w:rsid w:val="00771343"/>
    <w:rsid w:val="00771D23"/>
    <w:rsid w:val="00772109"/>
    <w:rsid w:val="007743DA"/>
    <w:rsid w:val="00774EE6"/>
    <w:rsid w:val="0077533A"/>
    <w:rsid w:val="007762BB"/>
    <w:rsid w:val="007766C5"/>
    <w:rsid w:val="00781411"/>
    <w:rsid w:val="00781487"/>
    <w:rsid w:val="00781F45"/>
    <w:rsid w:val="00782309"/>
    <w:rsid w:val="00782EFC"/>
    <w:rsid w:val="0078329A"/>
    <w:rsid w:val="0078334C"/>
    <w:rsid w:val="0078343E"/>
    <w:rsid w:val="00783E12"/>
    <w:rsid w:val="007842E0"/>
    <w:rsid w:val="007854D5"/>
    <w:rsid w:val="00786ACC"/>
    <w:rsid w:val="0079035B"/>
    <w:rsid w:val="00790B66"/>
    <w:rsid w:val="0079134D"/>
    <w:rsid w:val="0079147D"/>
    <w:rsid w:val="007925A0"/>
    <w:rsid w:val="007939A4"/>
    <w:rsid w:val="00794D49"/>
    <w:rsid w:val="007952BD"/>
    <w:rsid w:val="00795A75"/>
    <w:rsid w:val="00796363"/>
    <w:rsid w:val="00797626"/>
    <w:rsid w:val="00797A81"/>
    <w:rsid w:val="00797BA0"/>
    <w:rsid w:val="00797FEF"/>
    <w:rsid w:val="007A0339"/>
    <w:rsid w:val="007A05AB"/>
    <w:rsid w:val="007A0A5F"/>
    <w:rsid w:val="007A119E"/>
    <w:rsid w:val="007A1E19"/>
    <w:rsid w:val="007A2CF9"/>
    <w:rsid w:val="007A44C2"/>
    <w:rsid w:val="007A46C6"/>
    <w:rsid w:val="007A5344"/>
    <w:rsid w:val="007A5754"/>
    <w:rsid w:val="007A64B1"/>
    <w:rsid w:val="007A679C"/>
    <w:rsid w:val="007A6B8A"/>
    <w:rsid w:val="007B163D"/>
    <w:rsid w:val="007B2385"/>
    <w:rsid w:val="007B61F8"/>
    <w:rsid w:val="007B6C82"/>
    <w:rsid w:val="007B6ECC"/>
    <w:rsid w:val="007C05EC"/>
    <w:rsid w:val="007C3625"/>
    <w:rsid w:val="007C5046"/>
    <w:rsid w:val="007C6CEB"/>
    <w:rsid w:val="007C6D30"/>
    <w:rsid w:val="007C761E"/>
    <w:rsid w:val="007D09B4"/>
    <w:rsid w:val="007D1362"/>
    <w:rsid w:val="007D1480"/>
    <w:rsid w:val="007D19E6"/>
    <w:rsid w:val="007D5931"/>
    <w:rsid w:val="007D65A5"/>
    <w:rsid w:val="007D7CA7"/>
    <w:rsid w:val="007E04BA"/>
    <w:rsid w:val="007E078C"/>
    <w:rsid w:val="007E0F5A"/>
    <w:rsid w:val="007E183D"/>
    <w:rsid w:val="007E23B3"/>
    <w:rsid w:val="007E2833"/>
    <w:rsid w:val="007E42B3"/>
    <w:rsid w:val="007E60EC"/>
    <w:rsid w:val="007F13CD"/>
    <w:rsid w:val="007F32DE"/>
    <w:rsid w:val="007F3689"/>
    <w:rsid w:val="007F7305"/>
    <w:rsid w:val="007F79E1"/>
    <w:rsid w:val="007F7F44"/>
    <w:rsid w:val="00803914"/>
    <w:rsid w:val="0080425C"/>
    <w:rsid w:val="0080783E"/>
    <w:rsid w:val="00807C70"/>
    <w:rsid w:val="00810210"/>
    <w:rsid w:val="00811FF6"/>
    <w:rsid w:val="008124E7"/>
    <w:rsid w:val="0081339F"/>
    <w:rsid w:val="00813ED0"/>
    <w:rsid w:val="00814235"/>
    <w:rsid w:val="0081489C"/>
    <w:rsid w:val="00815592"/>
    <w:rsid w:val="008158B4"/>
    <w:rsid w:val="008163F6"/>
    <w:rsid w:val="00816DBF"/>
    <w:rsid w:val="00817915"/>
    <w:rsid w:val="00821D64"/>
    <w:rsid w:val="00822B41"/>
    <w:rsid w:val="00823AD4"/>
    <w:rsid w:val="00824AB7"/>
    <w:rsid w:val="00824DF7"/>
    <w:rsid w:val="00826ADA"/>
    <w:rsid w:val="00827848"/>
    <w:rsid w:val="00827EAA"/>
    <w:rsid w:val="00830CA5"/>
    <w:rsid w:val="008317D2"/>
    <w:rsid w:val="00835751"/>
    <w:rsid w:val="0083607F"/>
    <w:rsid w:val="008431A9"/>
    <w:rsid w:val="00843374"/>
    <w:rsid w:val="00843EA1"/>
    <w:rsid w:val="008449C4"/>
    <w:rsid w:val="00845997"/>
    <w:rsid w:val="00845DFD"/>
    <w:rsid w:val="008466C5"/>
    <w:rsid w:val="0084729A"/>
    <w:rsid w:val="008472C6"/>
    <w:rsid w:val="00850021"/>
    <w:rsid w:val="0085080C"/>
    <w:rsid w:val="00851336"/>
    <w:rsid w:val="00856998"/>
    <w:rsid w:val="00857664"/>
    <w:rsid w:val="0085796C"/>
    <w:rsid w:val="00861DA4"/>
    <w:rsid w:val="00864DD6"/>
    <w:rsid w:val="008659C6"/>
    <w:rsid w:val="00865D44"/>
    <w:rsid w:val="00865EE5"/>
    <w:rsid w:val="008719A5"/>
    <w:rsid w:val="00871C35"/>
    <w:rsid w:val="00872BB4"/>
    <w:rsid w:val="0087343D"/>
    <w:rsid w:val="00874337"/>
    <w:rsid w:val="00874BCF"/>
    <w:rsid w:val="00875248"/>
    <w:rsid w:val="008753DB"/>
    <w:rsid w:val="00877065"/>
    <w:rsid w:val="00880531"/>
    <w:rsid w:val="008809D9"/>
    <w:rsid w:val="00881085"/>
    <w:rsid w:val="00881EE4"/>
    <w:rsid w:val="008830F5"/>
    <w:rsid w:val="00883705"/>
    <w:rsid w:val="00884E11"/>
    <w:rsid w:val="00885A9C"/>
    <w:rsid w:val="008910F3"/>
    <w:rsid w:val="00891594"/>
    <w:rsid w:val="008924FD"/>
    <w:rsid w:val="00894706"/>
    <w:rsid w:val="00895113"/>
    <w:rsid w:val="008952F8"/>
    <w:rsid w:val="00896AB1"/>
    <w:rsid w:val="0089725E"/>
    <w:rsid w:val="00897404"/>
    <w:rsid w:val="008A04A3"/>
    <w:rsid w:val="008A091D"/>
    <w:rsid w:val="008A0CCD"/>
    <w:rsid w:val="008A106E"/>
    <w:rsid w:val="008A28F5"/>
    <w:rsid w:val="008A2ABB"/>
    <w:rsid w:val="008A3476"/>
    <w:rsid w:val="008A42AE"/>
    <w:rsid w:val="008A4F56"/>
    <w:rsid w:val="008A5F28"/>
    <w:rsid w:val="008A627F"/>
    <w:rsid w:val="008A6B65"/>
    <w:rsid w:val="008B0B20"/>
    <w:rsid w:val="008B0DFC"/>
    <w:rsid w:val="008B16CE"/>
    <w:rsid w:val="008B1ADD"/>
    <w:rsid w:val="008B22B0"/>
    <w:rsid w:val="008B3510"/>
    <w:rsid w:val="008B4832"/>
    <w:rsid w:val="008B4BF6"/>
    <w:rsid w:val="008B507B"/>
    <w:rsid w:val="008B6824"/>
    <w:rsid w:val="008C22C6"/>
    <w:rsid w:val="008C2DEF"/>
    <w:rsid w:val="008C3244"/>
    <w:rsid w:val="008C38F9"/>
    <w:rsid w:val="008C3CC7"/>
    <w:rsid w:val="008C41B4"/>
    <w:rsid w:val="008C6B90"/>
    <w:rsid w:val="008C6CCA"/>
    <w:rsid w:val="008C7B09"/>
    <w:rsid w:val="008D066F"/>
    <w:rsid w:val="008D0BBB"/>
    <w:rsid w:val="008D0F1B"/>
    <w:rsid w:val="008D1B06"/>
    <w:rsid w:val="008D281A"/>
    <w:rsid w:val="008D3EB2"/>
    <w:rsid w:val="008D3EFB"/>
    <w:rsid w:val="008D4A48"/>
    <w:rsid w:val="008D5307"/>
    <w:rsid w:val="008D6CBC"/>
    <w:rsid w:val="008D6F6D"/>
    <w:rsid w:val="008D6FB7"/>
    <w:rsid w:val="008E1069"/>
    <w:rsid w:val="008E132D"/>
    <w:rsid w:val="008E35B7"/>
    <w:rsid w:val="008E5377"/>
    <w:rsid w:val="008E553D"/>
    <w:rsid w:val="008E5DFE"/>
    <w:rsid w:val="008E6C00"/>
    <w:rsid w:val="008E7D50"/>
    <w:rsid w:val="008E7E02"/>
    <w:rsid w:val="008F08D9"/>
    <w:rsid w:val="008F10DE"/>
    <w:rsid w:val="008F18CE"/>
    <w:rsid w:val="008F293F"/>
    <w:rsid w:val="008F2C20"/>
    <w:rsid w:val="008F2C32"/>
    <w:rsid w:val="008F40A4"/>
    <w:rsid w:val="008F441D"/>
    <w:rsid w:val="008F4819"/>
    <w:rsid w:val="008F59FD"/>
    <w:rsid w:val="008F5FDC"/>
    <w:rsid w:val="00903EAB"/>
    <w:rsid w:val="009049EB"/>
    <w:rsid w:val="00905530"/>
    <w:rsid w:val="0090576A"/>
    <w:rsid w:val="00905921"/>
    <w:rsid w:val="00905BA8"/>
    <w:rsid w:val="009113D8"/>
    <w:rsid w:val="00912DA4"/>
    <w:rsid w:val="00914F7C"/>
    <w:rsid w:val="0091544E"/>
    <w:rsid w:val="0091646C"/>
    <w:rsid w:val="0091658E"/>
    <w:rsid w:val="00916DB4"/>
    <w:rsid w:val="00917C52"/>
    <w:rsid w:val="00917DDC"/>
    <w:rsid w:val="00920EBE"/>
    <w:rsid w:val="009217EF"/>
    <w:rsid w:val="0092184F"/>
    <w:rsid w:val="00922D0B"/>
    <w:rsid w:val="00922FE9"/>
    <w:rsid w:val="00924171"/>
    <w:rsid w:val="00924A79"/>
    <w:rsid w:val="00924AB4"/>
    <w:rsid w:val="009253C0"/>
    <w:rsid w:val="00927572"/>
    <w:rsid w:val="009277C2"/>
    <w:rsid w:val="009327AE"/>
    <w:rsid w:val="009353B7"/>
    <w:rsid w:val="00936A1F"/>
    <w:rsid w:val="0093752C"/>
    <w:rsid w:val="00937777"/>
    <w:rsid w:val="00940050"/>
    <w:rsid w:val="00942B86"/>
    <w:rsid w:val="009434AA"/>
    <w:rsid w:val="00944D71"/>
    <w:rsid w:val="0094506F"/>
    <w:rsid w:val="00947662"/>
    <w:rsid w:val="00947A8E"/>
    <w:rsid w:val="0095024C"/>
    <w:rsid w:val="00950FB9"/>
    <w:rsid w:val="00951719"/>
    <w:rsid w:val="00951750"/>
    <w:rsid w:val="0095324D"/>
    <w:rsid w:val="00953DFB"/>
    <w:rsid w:val="00954BF1"/>
    <w:rsid w:val="00957E37"/>
    <w:rsid w:val="00960E37"/>
    <w:rsid w:val="0096183A"/>
    <w:rsid w:val="00964CC7"/>
    <w:rsid w:val="00965AB0"/>
    <w:rsid w:val="009675AE"/>
    <w:rsid w:val="00970DB6"/>
    <w:rsid w:val="00971251"/>
    <w:rsid w:val="009729EA"/>
    <w:rsid w:val="00972D5B"/>
    <w:rsid w:val="00973806"/>
    <w:rsid w:val="00974298"/>
    <w:rsid w:val="009749A2"/>
    <w:rsid w:val="009777E5"/>
    <w:rsid w:val="00980196"/>
    <w:rsid w:val="0098098D"/>
    <w:rsid w:val="00981C29"/>
    <w:rsid w:val="00983285"/>
    <w:rsid w:val="00983AD8"/>
    <w:rsid w:val="00983FF4"/>
    <w:rsid w:val="0098461B"/>
    <w:rsid w:val="009853C1"/>
    <w:rsid w:val="00985F59"/>
    <w:rsid w:val="00991D45"/>
    <w:rsid w:val="00992A34"/>
    <w:rsid w:val="00993444"/>
    <w:rsid w:val="00994109"/>
    <w:rsid w:val="00994248"/>
    <w:rsid w:val="0099505A"/>
    <w:rsid w:val="00995F5D"/>
    <w:rsid w:val="009A0CD1"/>
    <w:rsid w:val="009A2516"/>
    <w:rsid w:val="009A5B83"/>
    <w:rsid w:val="009A790C"/>
    <w:rsid w:val="009B06F7"/>
    <w:rsid w:val="009B11E7"/>
    <w:rsid w:val="009B2DB2"/>
    <w:rsid w:val="009B2E85"/>
    <w:rsid w:val="009B362D"/>
    <w:rsid w:val="009B70AC"/>
    <w:rsid w:val="009B765A"/>
    <w:rsid w:val="009C04E0"/>
    <w:rsid w:val="009C216B"/>
    <w:rsid w:val="009C263C"/>
    <w:rsid w:val="009C29B1"/>
    <w:rsid w:val="009C2B33"/>
    <w:rsid w:val="009C4151"/>
    <w:rsid w:val="009C6163"/>
    <w:rsid w:val="009C7161"/>
    <w:rsid w:val="009C787A"/>
    <w:rsid w:val="009D0D05"/>
    <w:rsid w:val="009D128B"/>
    <w:rsid w:val="009D1325"/>
    <w:rsid w:val="009D273C"/>
    <w:rsid w:val="009D2A63"/>
    <w:rsid w:val="009D3EE3"/>
    <w:rsid w:val="009D411C"/>
    <w:rsid w:val="009D54B1"/>
    <w:rsid w:val="009D59C0"/>
    <w:rsid w:val="009D67C3"/>
    <w:rsid w:val="009E0EB2"/>
    <w:rsid w:val="009E2260"/>
    <w:rsid w:val="009E2CBE"/>
    <w:rsid w:val="009E3034"/>
    <w:rsid w:val="009E4141"/>
    <w:rsid w:val="009E4638"/>
    <w:rsid w:val="009E5637"/>
    <w:rsid w:val="009E7505"/>
    <w:rsid w:val="009F0FB7"/>
    <w:rsid w:val="009F153A"/>
    <w:rsid w:val="009F546A"/>
    <w:rsid w:val="009F582C"/>
    <w:rsid w:val="009F5E54"/>
    <w:rsid w:val="009F7127"/>
    <w:rsid w:val="00A00B69"/>
    <w:rsid w:val="00A01BEF"/>
    <w:rsid w:val="00A01DC6"/>
    <w:rsid w:val="00A0245F"/>
    <w:rsid w:val="00A02FF9"/>
    <w:rsid w:val="00A03021"/>
    <w:rsid w:val="00A03ED8"/>
    <w:rsid w:val="00A047B1"/>
    <w:rsid w:val="00A05247"/>
    <w:rsid w:val="00A0555D"/>
    <w:rsid w:val="00A06DF0"/>
    <w:rsid w:val="00A107E1"/>
    <w:rsid w:val="00A10F57"/>
    <w:rsid w:val="00A123BF"/>
    <w:rsid w:val="00A12421"/>
    <w:rsid w:val="00A128D7"/>
    <w:rsid w:val="00A15736"/>
    <w:rsid w:val="00A205B4"/>
    <w:rsid w:val="00A20F59"/>
    <w:rsid w:val="00A235C8"/>
    <w:rsid w:val="00A237B8"/>
    <w:rsid w:val="00A23937"/>
    <w:rsid w:val="00A2429B"/>
    <w:rsid w:val="00A24A1B"/>
    <w:rsid w:val="00A24E02"/>
    <w:rsid w:val="00A2574C"/>
    <w:rsid w:val="00A25A3B"/>
    <w:rsid w:val="00A26437"/>
    <w:rsid w:val="00A269D7"/>
    <w:rsid w:val="00A26B9C"/>
    <w:rsid w:val="00A30480"/>
    <w:rsid w:val="00A30D24"/>
    <w:rsid w:val="00A311D5"/>
    <w:rsid w:val="00A31BF1"/>
    <w:rsid w:val="00A31EBC"/>
    <w:rsid w:val="00A3206C"/>
    <w:rsid w:val="00A32343"/>
    <w:rsid w:val="00A32590"/>
    <w:rsid w:val="00A33BE1"/>
    <w:rsid w:val="00A3467C"/>
    <w:rsid w:val="00A354B2"/>
    <w:rsid w:val="00A3751E"/>
    <w:rsid w:val="00A37779"/>
    <w:rsid w:val="00A40186"/>
    <w:rsid w:val="00A4163D"/>
    <w:rsid w:val="00A425D5"/>
    <w:rsid w:val="00A43388"/>
    <w:rsid w:val="00A438CF"/>
    <w:rsid w:val="00A43A17"/>
    <w:rsid w:val="00A45021"/>
    <w:rsid w:val="00A45E08"/>
    <w:rsid w:val="00A46271"/>
    <w:rsid w:val="00A46860"/>
    <w:rsid w:val="00A46B26"/>
    <w:rsid w:val="00A505DF"/>
    <w:rsid w:val="00A5107A"/>
    <w:rsid w:val="00A511EB"/>
    <w:rsid w:val="00A522B4"/>
    <w:rsid w:val="00A52E04"/>
    <w:rsid w:val="00A53FD7"/>
    <w:rsid w:val="00A54829"/>
    <w:rsid w:val="00A54D5D"/>
    <w:rsid w:val="00A550B2"/>
    <w:rsid w:val="00A553AC"/>
    <w:rsid w:val="00A55DE7"/>
    <w:rsid w:val="00A60396"/>
    <w:rsid w:val="00A61008"/>
    <w:rsid w:val="00A61C64"/>
    <w:rsid w:val="00A625AA"/>
    <w:rsid w:val="00A628F4"/>
    <w:rsid w:val="00A62B28"/>
    <w:rsid w:val="00A6358D"/>
    <w:rsid w:val="00A63E58"/>
    <w:rsid w:val="00A645CA"/>
    <w:rsid w:val="00A64993"/>
    <w:rsid w:val="00A653A2"/>
    <w:rsid w:val="00A66858"/>
    <w:rsid w:val="00A707D6"/>
    <w:rsid w:val="00A70FD7"/>
    <w:rsid w:val="00A71103"/>
    <w:rsid w:val="00A713D1"/>
    <w:rsid w:val="00A7183F"/>
    <w:rsid w:val="00A72003"/>
    <w:rsid w:val="00A72CE0"/>
    <w:rsid w:val="00A737EE"/>
    <w:rsid w:val="00A7491B"/>
    <w:rsid w:val="00A74CDC"/>
    <w:rsid w:val="00A75557"/>
    <w:rsid w:val="00A7636D"/>
    <w:rsid w:val="00A8206C"/>
    <w:rsid w:val="00A82C6D"/>
    <w:rsid w:val="00A83061"/>
    <w:rsid w:val="00A83366"/>
    <w:rsid w:val="00A83C59"/>
    <w:rsid w:val="00A84060"/>
    <w:rsid w:val="00A86071"/>
    <w:rsid w:val="00A87EE8"/>
    <w:rsid w:val="00A9023A"/>
    <w:rsid w:val="00A91C85"/>
    <w:rsid w:val="00A91C92"/>
    <w:rsid w:val="00A93592"/>
    <w:rsid w:val="00A969D9"/>
    <w:rsid w:val="00A97067"/>
    <w:rsid w:val="00A9711B"/>
    <w:rsid w:val="00AA0374"/>
    <w:rsid w:val="00AA3410"/>
    <w:rsid w:val="00AA4038"/>
    <w:rsid w:val="00AA4793"/>
    <w:rsid w:val="00AA4A9A"/>
    <w:rsid w:val="00AA4E5F"/>
    <w:rsid w:val="00AA60F9"/>
    <w:rsid w:val="00AA680A"/>
    <w:rsid w:val="00AA751F"/>
    <w:rsid w:val="00AA7AA1"/>
    <w:rsid w:val="00AB0433"/>
    <w:rsid w:val="00AB0EF7"/>
    <w:rsid w:val="00AB22A1"/>
    <w:rsid w:val="00AB2502"/>
    <w:rsid w:val="00AC1284"/>
    <w:rsid w:val="00AC1807"/>
    <w:rsid w:val="00AC3832"/>
    <w:rsid w:val="00AC3DA2"/>
    <w:rsid w:val="00AC4200"/>
    <w:rsid w:val="00AC423C"/>
    <w:rsid w:val="00AC454D"/>
    <w:rsid w:val="00AC462B"/>
    <w:rsid w:val="00AC627B"/>
    <w:rsid w:val="00AC68EB"/>
    <w:rsid w:val="00AC6D36"/>
    <w:rsid w:val="00AC71FC"/>
    <w:rsid w:val="00AC77DC"/>
    <w:rsid w:val="00AD03D9"/>
    <w:rsid w:val="00AD03F1"/>
    <w:rsid w:val="00AD0F14"/>
    <w:rsid w:val="00AD237B"/>
    <w:rsid w:val="00AD4522"/>
    <w:rsid w:val="00AD4818"/>
    <w:rsid w:val="00AD75DB"/>
    <w:rsid w:val="00AD7CFB"/>
    <w:rsid w:val="00AD7DC0"/>
    <w:rsid w:val="00AE0045"/>
    <w:rsid w:val="00AE011D"/>
    <w:rsid w:val="00AE021A"/>
    <w:rsid w:val="00AE0F70"/>
    <w:rsid w:val="00AE2DB0"/>
    <w:rsid w:val="00AE3126"/>
    <w:rsid w:val="00AE49E0"/>
    <w:rsid w:val="00AE78C7"/>
    <w:rsid w:val="00AF0CA5"/>
    <w:rsid w:val="00AF1450"/>
    <w:rsid w:val="00AF1AD4"/>
    <w:rsid w:val="00AF35D4"/>
    <w:rsid w:val="00AF3A08"/>
    <w:rsid w:val="00AF4534"/>
    <w:rsid w:val="00AF4DD0"/>
    <w:rsid w:val="00AF6DE9"/>
    <w:rsid w:val="00AF6FF2"/>
    <w:rsid w:val="00AF77C7"/>
    <w:rsid w:val="00AF7A05"/>
    <w:rsid w:val="00AF7E6F"/>
    <w:rsid w:val="00B0002D"/>
    <w:rsid w:val="00B00964"/>
    <w:rsid w:val="00B01834"/>
    <w:rsid w:val="00B0185D"/>
    <w:rsid w:val="00B02B11"/>
    <w:rsid w:val="00B02EA1"/>
    <w:rsid w:val="00B03FD9"/>
    <w:rsid w:val="00B051E1"/>
    <w:rsid w:val="00B065AA"/>
    <w:rsid w:val="00B06FFF"/>
    <w:rsid w:val="00B0752F"/>
    <w:rsid w:val="00B12315"/>
    <w:rsid w:val="00B129EB"/>
    <w:rsid w:val="00B1446B"/>
    <w:rsid w:val="00B16809"/>
    <w:rsid w:val="00B17605"/>
    <w:rsid w:val="00B218D1"/>
    <w:rsid w:val="00B22508"/>
    <w:rsid w:val="00B23A95"/>
    <w:rsid w:val="00B24A90"/>
    <w:rsid w:val="00B2674D"/>
    <w:rsid w:val="00B27132"/>
    <w:rsid w:val="00B27BC6"/>
    <w:rsid w:val="00B307A7"/>
    <w:rsid w:val="00B32383"/>
    <w:rsid w:val="00B332D4"/>
    <w:rsid w:val="00B33914"/>
    <w:rsid w:val="00B34788"/>
    <w:rsid w:val="00B35A08"/>
    <w:rsid w:val="00B36A64"/>
    <w:rsid w:val="00B37C08"/>
    <w:rsid w:val="00B37EB4"/>
    <w:rsid w:val="00B401D9"/>
    <w:rsid w:val="00B406CC"/>
    <w:rsid w:val="00B407AB"/>
    <w:rsid w:val="00B40E52"/>
    <w:rsid w:val="00B40EA9"/>
    <w:rsid w:val="00B44405"/>
    <w:rsid w:val="00B44789"/>
    <w:rsid w:val="00B4510A"/>
    <w:rsid w:val="00B45C32"/>
    <w:rsid w:val="00B46019"/>
    <w:rsid w:val="00B475C5"/>
    <w:rsid w:val="00B566B7"/>
    <w:rsid w:val="00B6095F"/>
    <w:rsid w:val="00B61837"/>
    <w:rsid w:val="00B6195C"/>
    <w:rsid w:val="00B62641"/>
    <w:rsid w:val="00B63028"/>
    <w:rsid w:val="00B6422B"/>
    <w:rsid w:val="00B6553A"/>
    <w:rsid w:val="00B6554A"/>
    <w:rsid w:val="00B66612"/>
    <w:rsid w:val="00B676F7"/>
    <w:rsid w:val="00B70081"/>
    <w:rsid w:val="00B70805"/>
    <w:rsid w:val="00B720AC"/>
    <w:rsid w:val="00B72F9A"/>
    <w:rsid w:val="00B7408F"/>
    <w:rsid w:val="00B74171"/>
    <w:rsid w:val="00B74A25"/>
    <w:rsid w:val="00B75111"/>
    <w:rsid w:val="00B757C8"/>
    <w:rsid w:val="00B761C7"/>
    <w:rsid w:val="00B77B39"/>
    <w:rsid w:val="00B81CCB"/>
    <w:rsid w:val="00B81F9C"/>
    <w:rsid w:val="00B8219F"/>
    <w:rsid w:val="00B8263E"/>
    <w:rsid w:val="00B843F2"/>
    <w:rsid w:val="00B84F3D"/>
    <w:rsid w:val="00B85FD6"/>
    <w:rsid w:val="00B876A9"/>
    <w:rsid w:val="00B87A4A"/>
    <w:rsid w:val="00B91CEB"/>
    <w:rsid w:val="00B92266"/>
    <w:rsid w:val="00B92295"/>
    <w:rsid w:val="00B925F4"/>
    <w:rsid w:val="00B92DC7"/>
    <w:rsid w:val="00B93983"/>
    <w:rsid w:val="00B93C17"/>
    <w:rsid w:val="00B96751"/>
    <w:rsid w:val="00B96C87"/>
    <w:rsid w:val="00B97C83"/>
    <w:rsid w:val="00BA1F7A"/>
    <w:rsid w:val="00BA2467"/>
    <w:rsid w:val="00BA472E"/>
    <w:rsid w:val="00BA5687"/>
    <w:rsid w:val="00BA6418"/>
    <w:rsid w:val="00BA7270"/>
    <w:rsid w:val="00BB00FF"/>
    <w:rsid w:val="00BB2C2E"/>
    <w:rsid w:val="00BB3B75"/>
    <w:rsid w:val="00BB4199"/>
    <w:rsid w:val="00BB46F3"/>
    <w:rsid w:val="00BB471D"/>
    <w:rsid w:val="00BB5217"/>
    <w:rsid w:val="00BB5D3E"/>
    <w:rsid w:val="00BB5F3B"/>
    <w:rsid w:val="00BB753E"/>
    <w:rsid w:val="00BC0230"/>
    <w:rsid w:val="00BC1260"/>
    <w:rsid w:val="00BC31FF"/>
    <w:rsid w:val="00BC4767"/>
    <w:rsid w:val="00BC52D7"/>
    <w:rsid w:val="00BC6D52"/>
    <w:rsid w:val="00BC6D5C"/>
    <w:rsid w:val="00BC711D"/>
    <w:rsid w:val="00BC7883"/>
    <w:rsid w:val="00BD11DA"/>
    <w:rsid w:val="00BD3DD0"/>
    <w:rsid w:val="00BD4296"/>
    <w:rsid w:val="00BD6495"/>
    <w:rsid w:val="00BD6D92"/>
    <w:rsid w:val="00BD7FB5"/>
    <w:rsid w:val="00BE0DC9"/>
    <w:rsid w:val="00BE1177"/>
    <w:rsid w:val="00BE11B0"/>
    <w:rsid w:val="00BE1994"/>
    <w:rsid w:val="00BE19DD"/>
    <w:rsid w:val="00BE21D1"/>
    <w:rsid w:val="00BE7B7C"/>
    <w:rsid w:val="00BF1CB6"/>
    <w:rsid w:val="00BF1F1B"/>
    <w:rsid w:val="00BF3757"/>
    <w:rsid w:val="00BF38E4"/>
    <w:rsid w:val="00BF79E1"/>
    <w:rsid w:val="00C001FD"/>
    <w:rsid w:val="00C0021A"/>
    <w:rsid w:val="00C0119E"/>
    <w:rsid w:val="00C04103"/>
    <w:rsid w:val="00C04200"/>
    <w:rsid w:val="00C05B93"/>
    <w:rsid w:val="00C0683E"/>
    <w:rsid w:val="00C1119D"/>
    <w:rsid w:val="00C1151B"/>
    <w:rsid w:val="00C11D85"/>
    <w:rsid w:val="00C12437"/>
    <w:rsid w:val="00C12844"/>
    <w:rsid w:val="00C148C9"/>
    <w:rsid w:val="00C14D58"/>
    <w:rsid w:val="00C15285"/>
    <w:rsid w:val="00C15556"/>
    <w:rsid w:val="00C1663F"/>
    <w:rsid w:val="00C17E58"/>
    <w:rsid w:val="00C20649"/>
    <w:rsid w:val="00C221B2"/>
    <w:rsid w:val="00C22835"/>
    <w:rsid w:val="00C22CE8"/>
    <w:rsid w:val="00C22E73"/>
    <w:rsid w:val="00C23364"/>
    <w:rsid w:val="00C23E6B"/>
    <w:rsid w:val="00C24175"/>
    <w:rsid w:val="00C24914"/>
    <w:rsid w:val="00C24ADB"/>
    <w:rsid w:val="00C2656B"/>
    <w:rsid w:val="00C27133"/>
    <w:rsid w:val="00C27790"/>
    <w:rsid w:val="00C31FFA"/>
    <w:rsid w:val="00C320C6"/>
    <w:rsid w:val="00C32E35"/>
    <w:rsid w:val="00C336F4"/>
    <w:rsid w:val="00C33893"/>
    <w:rsid w:val="00C3497C"/>
    <w:rsid w:val="00C36B43"/>
    <w:rsid w:val="00C4402F"/>
    <w:rsid w:val="00C465A5"/>
    <w:rsid w:val="00C504D0"/>
    <w:rsid w:val="00C50574"/>
    <w:rsid w:val="00C50758"/>
    <w:rsid w:val="00C51365"/>
    <w:rsid w:val="00C521F5"/>
    <w:rsid w:val="00C56279"/>
    <w:rsid w:val="00C57A37"/>
    <w:rsid w:val="00C62287"/>
    <w:rsid w:val="00C62628"/>
    <w:rsid w:val="00C64581"/>
    <w:rsid w:val="00C65978"/>
    <w:rsid w:val="00C66474"/>
    <w:rsid w:val="00C66E01"/>
    <w:rsid w:val="00C67170"/>
    <w:rsid w:val="00C7117F"/>
    <w:rsid w:val="00C714A6"/>
    <w:rsid w:val="00C718E5"/>
    <w:rsid w:val="00C75923"/>
    <w:rsid w:val="00C80F2F"/>
    <w:rsid w:val="00C821D4"/>
    <w:rsid w:val="00C87573"/>
    <w:rsid w:val="00C877F8"/>
    <w:rsid w:val="00C90202"/>
    <w:rsid w:val="00C90CC8"/>
    <w:rsid w:val="00C91523"/>
    <w:rsid w:val="00C92ED5"/>
    <w:rsid w:val="00C93613"/>
    <w:rsid w:val="00C939A0"/>
    <w:rsid w:val="00C93BEB"/>
    <w:rsid w:val="00C93CF6"/>
    <w:rsid w:val="00C9406B"/>
    <w:rsid w:val="00C9442F"/>
    <w:rsid w:val="00C9522F"/>
    <w:rsid w:val="00C95ED2"/>
    <w:rsid w:val="00C96177"/>
    <w:rsid w:val="00C96256"/>
    <w:rsid w:val="00C970EC"/>
    <w:rsid w:val="00C97187"/>
    <w:rsid w:val="00C9736F"/>
    <w:rsid w:val="00CA0C37"/>
    <w:rsid w:val="00CA1E6F"/>
    <w:rsid w:val="00CA2B79"/>
    <w:rsid w:val="00CA362F"/>
    <w:rsid w:val="00CA3A72"/>
    <w:rsid w:val="00CA598A"/>
    <w:rsid w:val="00CA65DC"/>
    <w:rsid w:val="00CB005F"/>
    <w:rsid w:val="00CB1EF0"/>
    <w:rsid w:val="00CB2BF3"/>
    <w:rsid w:val="00CB2CF0"/>
    <w:rsid w:val="00CB453C"/>
    <w:rsid w:val="00CB5D40"/>
    <w:rsid w:val="00CB73F5"/>
    <w:rsid w:val="00CC0189"/>
    <w:rsid w:val="00CC118A"/>
    <w:rsid w:val="00CC1B2F"/>
    <w:rsid w:val="00CC2C83"/>
    <w:rsid w:val="00CC4439"/>
    <w:rsid w:val="00CC5BAD"/>
    <w:rsid w:val="00CC5C91"/>
    <w:rsid w:val="00CC5E1C"/>
    <w:rsid w:val="00CC6EC4"/>
    <w:rsid w:val="00CD06A1"/>
    <w:rsid w:val="00CD2C7A"/>
    <w:rsid w:val="00CD2E6D"/>
    <w:rsid w:val="00CD3FEA"/>
    <w:rsid w:val="00CD552A"/>
    <w:rsid w:val="00CD6D32"/>
    <w:rsid w:val="00CD75A6"/>
    <w:rsid w:val="00CE0D20"/>
    <w:rsid w:val="00CE0F15"/>
    <w:rsid w:val="00CE105C"/>
    <w:rsid w:val="00CE16EA"/>
    <w:rsid w:val="00CE17AC"/>
    <w:rsid w:val="00CE1CA2"/>
    <w:rsid w:val="00CE375D"/>
    <w:rsid w:val="00CE4074"/>
    <w:rsid w:val="00CE5B23"/>
    <w:rsid w:val="00CE66B2"/>
    <w:rsid w:val="00CE7930"/>
    <w:rsid w:val="00CF08A1"/>
    <w:rsid w:val="00CF11F3"/>
    <w:rsid w:val="00CF1DF7"/>
    <w:rsid w:val="00CF419D"/>
    <w:rsid w:val="00CF5481"/>
    <w:rsid w:val="00CF7B38"/>
    <w:rsid w:val="00D01686"/>
    <w:rsid w:val="00D01DF3"/>
    <w:rsid w:val="00D04FE7"/>
    <w:rsid w:val="00D059F0"/>
    <w:rsid w:val="00D06981"/>
    <w:rsid w:val="00D06B20"/>
    <w:rsid w:val="00D10D80"/>
    <w:rsid w:val="00D14AE2"/>
    <w:rsid w:val="00D158E0"/>
    <w:rsid w:val="00D15A4A"/>
    <w:rsid w:val="00D15B53"/>
    <w:rsid w:val="00D16FDB"/>
    <w:rsid w:val="00D206A6"/>
    <w:rsid w:val="00D21252"/>
    <w:rsid w:val="00D213BA"/>
    <w:rsid w:val="00D214FA"/>
    <w:rsid w:val="00D22AE0"/>
    <w:rsid w:val="00D2340C"/>
    <w:rsid w:val="00D234F4"/>
    <w:rsid w:val="00D235AE"/>
    <w:rsid w:val="00D239B3"/>
    <w:rsid w:val="00D23BF8"/>
    <w:rsid w:val="00D23C0B"/>
    <w:rsid w:val="00D248BB"/>
    <w:rsid w:val="00D25388"/>
    <w:rsid w:val="00D262F3"/>
    <w:rsid w:val="00D2639C"/>
    <w:rsid w:val="00D26C9E"/>
    <w:rsid w:val="00D26EE7"/>
    <w:rsid w:val="00D277D1"/>
    <w:rsid w:val="00D27B6C"/>
    <w:rsid w:val="00D304BB"/>
    <w:rsid w:val="00D31E09"/>
    <w:rsid w:val="00D33208"/>
    <w:rsid w:val="00D3569C"/>
    <w:rsid w:val="00D405CF"/>
    <w:rsid w:val="00D40A55"/>
    <w:rsid w:val="00D40EC7"/>
    <w:rsid w:val="00D4100D"/>
    <w:rsid w:val="00D41DEC"/>
    <w:rsid w:val="00D43C8A"/>
    <w:rsid w:val="00D442BE"/>
    <w:rsid w:val="00D462B0"/>
    <w:rsid w:val="00D464E1"/>
    <w:rsid w:val="00D473B1"/>
    <w:rsid w:val="00D4783B"/>
    <w:rsid w:val="00D50AEE"/>
    <w:rsid w:val="00D52410"/>
    <w:rsid w:val="00D534A7"/>
    <w:rsid w:val="00D54394"/>
    <w:rsid w:val="00D565C0"/>
    <w:rsid w:val="00D56664"/>
    <w:rsid w:val="00D56E9C"/>
    <w:rsid w:val="00D571F9"/>
    <w:rsid w:val="00D574F9"/>
    <w:rsid w:val="00D57CEB"/>
    <w:rsid w:val="00D61106"/>
    <w:rsid w:val="00D61AE2"/>
    <w:rsid w:val="00D620F0"/>
    <w:rsid w:val="00D6337F"/>
    <w:rsid w:val="00D633FD"/>
    <w:rsid w:val="00D63773"/>
    <w:rsid w:val="00D64C93"/>
    <w:rsid w:val="00D6707A"/>
    <w:rsid w:val="00D672F2"/>
    <w:rsid w:val="00D675F1"/>
    <w:rsid w:val="00D67AAE"/>
    <w:rsid w:val="00D67C6D"/>
    <w:rsid w:val="00D70B25"/>
    <w:rsid w:val="00D70D69"/>
    <w:rsid w:val="00D70E07"/>
    <w:rsid w:val="00D71629"/>
    <w:rsid w:val="00D7380B"/>
    <w:rsid w:val="00D758D6"/>
    <w:rsid w:val="00D761D0"/>
    <w:rsid w:val="00D76AE1"/>
    <w:rsid w:val="00D76CBC"/>
    <w:rsid w:val="00D800B5"/>
    <w:rsid w:val="00D804EA"/>
    <w:rsid w:val="00D80589"/>
    <w:rsid w:val="00D8351B"/>
    <w:rsid w:val="00D847ED"/>
    <w:rsid w:val="00D85156"/>
    <w:rsid w:val="00D8518C"/>
    <w:rsid w:val="00D86BF6"/>
    <w:rsid w:val="00D86D9E"/>
    <w:rsid w:val="00D87139"/>
    <w:rsid w:val="00D8743B"/>
    <w:rsid w:val="00D90429"/>
    <w:rsid w:val="00D91091"/>
    <w:rsid w:val="00D91BA3"/>
    <w:rsid w:val="00D9333D"/>
    <w:rsid w:val="00D93660"/>
    <w:rsid w:val="00D9389F"/>
    <w:rsid w:val="00D96436"/>
    <w:rsid w:val="00D969E3"/>
    <w:rsid w:val="00DA14E1"/>
    <w:rsid w:val="00DA177B"/>
    <w:rsid w:val="00DA24DE"/>
    <w:rsid w:val="00DA2F62"/>
    <w:rsid w:val="00DA50B3"/>
    <w:rsid w:val="00DA5867"/>
    <w:rsid w:val="00DA62FD"/>
    <w:rsid w:val="00DA63FC"/>
    <w:rsid w:val="00DA663E"/>
    <w:rsid w:val="00DA7AC3"/>
    <w:rsid w:val="00DA7F4E"/>
    <w:rsid w:val="00DB0109"/>
    <w:rsid w:val="00DB14D7"/>
    <w:rsid w:val="00DB1ED4"/>
    <w:rsid w:val="00DB30A9"/>
    <w:rsid w:val="00DB3C0B"/>
    <w:rsid w:val="00DB6450"/>
    <w:rsid w:val="00DB6A54"/>
    <w:rsid w:val="00DC1F29"/>
    <w:rsid w:val="00DC5880"/>
    <w:rsid w:val="00DC59CE"/>
    <w:rsid w:val="00DC5DC9"/>
    <w:rsid w:val="00DC60E8"/>
    <w:rsid w:val="00DD0E57"/>
    <w:rsid w:val="00DD1376"/>
    <w:rsid w:val="00DD32C1"/>
    <w:rsid w:val="00DD47D3"/>
    <w:rsid w:val="00DD4A30"/>
    <w:rsid w:val="00DD798B"/>
    <w:rsid w:val="00DE1BAA"/>
    <w:rsid w:val="00DE2A81"/>
    <w:rsid w:val="00DE2D58"/>
    <w:rsid w:val="00DE3155"/>
    <w:rsid w:val="00DE3B90"/>
    <w:rsid w:val="00DE4EF7"/>
    <w:rsid w:val="00DE52B4"/>
    <w:rsid w:val="00DE5C68"/>
    <w:rsid w:val="00DE602A"/>
    <w:rsid w:val="00DE619B"/>
    <w:rsid w:val="00DE6789"/>
    <w:rsid w:val="00DF01FF"/>
    <w:rsid w:val="00DF1A28"/>
    <w:rsid w:val="00DF22A1"/>
    <w:rsid w:val="00DF27DE"/>
    <w:rsid w:val="00DF2F2E"/>
    <w:rsid w:val="00DF4021"/>
    <w:rsid w:val="00DF5249"/>
    <w:rsid w:val="00DF620D"/>
    <w:rsid w:val="00E01BC0"/>
    <w:rsid w:val="00E0478D"/>
    <w:rsid w:val="00E05B9B"/>
    <w:rsid w:val="00E062EA"/>
    <w:rsid w:val="00E06E7B"/>
    <w:rsid w:val="00E12DA6"/>
    <w:rsid w:val="00E12FB9"/>
    <w:rsid w:val="00E13518"/>
    <w:rsid w:val="00E14F92"/>
    <w:rsid w:val="00E15D3C"/>
    <w:rsid w:val="00E202D7"/>
    <w:rsid w:val="00E21234"/>
    <w:rsid w:val="00E21C3A"/>
    <w:rsid w:val="00E22229"/>
    <w:rsid w:val="00E237DB"/>
    <w:rsid w:val="00E23E40"/>
    <w:rsid w:val="00E241CC"/>
    <w:rsid w:val="00E2487E"/>
    <w:rsid w:val="00E268A8"/>
    <w:rsid w:val="00E269A4"/>
    <w:rsid w:val="00E27E52"/>
    <w:rsid w:val="00E302A1"/>
    <w:rsid w:val="00E319F4"/>
    <w:rsid w:val="00E31B13"/>
    <w:rsid w:val="00E34404"/>
    <w:rsid w:val="00E35BCE"/>
    <w:rsid w:val="00E3686F"/>
    <w:rsid w:val="00E36E25"/>
    <w:rsid w:val="00E41A71"/>
    <w:rsid w:val="00E41FA9"/>
    <w:rsid w:val="00E426C7"/>
    <w:rsid w:val="00E43C33"/>
    <w:rsid w:val="00E44533"/>
    <w:rsid w:val="00E45EB0"/>
    <w:rsid w:val="00E4646A"/>
    <w:rsid w:val="00E46CF6"/>
    <w:rsid w:val="00E47EA5"/>
    <w:rsid w:val="00E506D7"/>
    <w:rsid w:val="00E51BA1"/>
    <w:rsid w:val="00E53AB3"/>
    <w:rsid w:val="00E55E37"/>
    <w:rsid w:val="00E564F6"/>
    <w:rsid w:val="00E5688B"/>
    <w:rsid w:val="00E612CF"/>
    <w:rsid w:val="00E62772"/>
    <w:rsid w:val="00E62EC8"/>
    <w:rsid w:val="00E63019"/>
    <w:rsid w:val="00E63520"/>
    <w:rsid w:val="00E667FF"/>
    <w:rsid w:val="00E66B62"/>
    <w:rsid w:val="00E66BB5"/>
    <w:rsid w:val="00E67005"/>
    <w:rsid w:val="00E6706E"/>
    <w:rsid w:val="00E6752E"/>
    <w:rsid w:val="00E6753C"/>
    <w:rsid w:val="00E7078B"/>
    <w:rsid w:val="00E70FA0"/>
    <w:rsid w:val="00E713A6"/>
    <w:rsid w:val="00E7185B"/>
    <w:rsid w:val="00E71CD8"/>
    <w:rsid w:val="00E72079"/>
    <w:rsid w:val="00E74841"/>
    <w:rsid w:val="00E76C80"/>
    <w:rsid w:val="00E76E54"/>
    <w:rsid w:val="00E76EF5"/>
    <w:rsid w:val="00E77429"/>
    <w:rsid w:val="00E7774A"/>
    <w:rsid w:val="00E80474"/>
    <w:rsid w:val="00E80CFF"/>
    <w:rsid w:val="00E80D54"/>
    <w:rsid w:val="00E811D0"/>
    <w:rsid w:val="00E8131F"/>
    <w:rsid w:val="00E81725"/>
    <w:rsid w:val="00E81F73"/>
    <w:rsid w:val="00E821D0"/>
    <w:rsid w:val="00E82ADA"/>
    <w:rsid w:val="00E831B3"/>
    <w:rsid w:val="00E834B1"/>
    <w:rsid w:val="00E834FD"/>
    <w:rsid w:val="00E83FDE"/>
    <w:rsid w:val="00E8459D"/>
    <w:rsid w:val="00E84C22"/>
    <w:rsid w:val="00E84E29"/>
    <w:rsid w:val="00E850CA"/>
    <w:rsid w:val="00E8569A"/>
    <w:rsid w:val="00E85A72"/>
    <w:rsid w:val="00E90907"/>
    <w:rsid w:val="00E92408"/>
    <w:rsid w:val="00E94DAE"/>
    <w:rsid w:val="00E95141"/>
    <w:rsid w:val="00E95C87"/>
    <w:rsid w:val="00E961C8"/>
    <w:rsid w:val="00E96E92"/>
    <w:rsid w:val="00E97C3A"/>
    <w:rsid w:val="00EA26F0"/>
    <w:rsid w:val="00EA2F27"/>
    <w:rsid w:val="00EA40EF"/>
    <w:rsid w:val="00EA4C10"/>
    <w:rsid w:val="00EA75F5"/>
    <w:rsid w:val="00EB4080"/>
    <w:rsid w:val="00EB5659"/>
    <w:rsid w:val="00EB5FD0"/>
    <w:rsid w:val="00EB6066"/>
    <w:rsid w:val="00EB6707"/>
    <w:rsid w:val="00EB6A49"/>
    <w:rsid w:val="00EB71DC"/>
    <w:rsid w:val="00EB7B3B"/>
    <w:rsid w:val="00EC3D3D"/>
    <w:rsid w:val="00EC4CDE"/>
    <w:rsid w:val="00EC56D8"/>
    <w:rsid w:val="00EC5B5E"/>
    <w:rsid w:val="00EC5CDF"/>
    <w:rsid w:val="00EC65D3"/>
    <w:rsid w:val="00ED0066"/>
    <w:rsid w:val="00ED09ED"/>
    <w:rsid w:val="00ED0EA9"/>
    <w:rsid w:val="00ED17BF"/>
    <w:rsid w:val="00ED1A21"/>
    <w:rsid w:val="00ED293F"/>
    <w:rsid w:val="00ED2DBD"/>
    <w:rsid w:val="00ED45DF"/>
    <w:rsid w:val="00ED56A3"/>
    <w:rsid w:val="00ED7E12"/>
    <w:rsid w:val="00EE4356"/>
    <w:rsid w:val="00EE494D"/>
    <w:rsid w:val="00EE4D24"/>
    <w:rsid w:val="00EE6BDB"/>
    <w:rsid w:val="00EE6CF1"/>
    <w:rsid w:val="00EF143F"/>
    <w:rsid w:val="00EF1982"/>
    <w:rsid w:val="00EF31C2"/>
    <w:rsid w:val="00EF3EEB"/>
    <w:rsid w:val="00EF43B4"/>
    <w:rsid w:val="00EF4B41"/>
    <w:rsid w:val="00EF5653"/>
    <w:rsid w:val="00EF5E30"/>
    <w:rsid w:val="00EF7160"/>
    <w:rsid w:val="00EF7B32"/>
    <w:rsid w:val="00F00AA0"/>
    <w:rsid w:val="00F013D2"/>
    <w:rsid w:val="00F03582"/>
    <w:rsid w:val="00F04A0B"/>
    <w:rsid w:val="00F067B2"/>
    <w:rsid w:val="00F07356"/>
    <w:rsid w:val="00F1144D"/>
    <w:rsid w:val="00F12C84"/>
    <w:rsid w:val="00F12E87"/>
    <w:rsid w:val="00F14610"/>
    <w:rsid w:val="00F148C3"/>
    <w:rsid w:val="00F149B1"/>
    <w:rsid w:val="00F16076"/>
    <w:rsid w:val="00F17940"/>
    <w:rsid w:val="00F20E27"/>
    <w:rsid w:val="00F22394"/>
    <w:rsid w:val="00F22BF7"/>
    <w:rsid w:val="00F230DA"/>
    <w:rsid w:val="00F2553B"/>
    <w:rsid w:val="00F25EB7"/>
    <w:rsid w:val="00F26194"/>
    <w:rsid w:val="00F309E0"/>
    <w:rsid w:val="00F31A18"/>
    <w:rsid w:val="00F31E8A"/>
    <w:rsid w:val="00F3300B"/>
    <w:rsid w:val="00F339E9"/>
    <w:rsid w:val="00F40D9C"/>
    <w:rsid w:val="00F4100D"/>
    <w:rsid w:val="00F4104F"/>
    <w:rsid w:val="00F41872"/>
    <w:rsid w:val="00F418FA"/>
    <w:rsid w:val="00F418FB"/>
    <w:rsid w:val="00F4290D"/>
    <w:rsid w:val="00F43246"/>
    <w:rsid w:val="00F43D1A"/>
    <w:rsid w:val="00F44C4E"/>
    <w:rsid w:val="00F4623D"/>
    <w:rsid w:val="00F46DF0"/>
    <w:rsid w:val="00F5187E"/>
    <w:rsid w:val="00F531C1"/>
    <w:rsid w:val="00F531FD"/>
    <w:rsid w:val="00F53DE3"/>
    <w:rsid w:val="00F543A9"/>
    <w:rsid w:val="00F5494D"/>
    <w:rsid w:val="00F56419"/>
    <w:rsid w:val="00F56898"/>
    <w:rsid w:val="00F56EA9"/>
    <w:rsid w:val="00F61797"/>
    <w:rsid w:val="00F61CF9"/>
    <w:rsid w:val="00F62553"/>
    <w:rsid w:val="00F62E77"/>
    <w:rsid w:val="00F62FCD"/>
    <w:rsid w:val="00F63F76"/>
    <w:rsid w:val="00F65400"/>
    <w:rsid w:val="00F66F49"/>
    <w:rsid w:val="00F67502"/>
    <w:rsid w:val="00F67F8F"/>
    <w:rsid w:val="00F70C04"/>
    <w:rsid w:val="00F71DC1"/>
    <w:rsid w:val="00F7273C"/>
    <w:rsid w:val="00F740B2"/>
    <w:rsid w:val="00F74BD7"/>
    <w:rsid w:val="00F755C3"/>
    <w:rsid w:val="00F762D4"/>
    <w:rsid w:val="00F804AE"/>
    <w:rsid w:val="00F815A6"/>
    <w:rsid w:val="00F817D8"/>
    <w:rsid w:val="00F818F1"/>
    <w:rsid w:val="00F81B33"/>
    <w:rsid w:val="00F824CB"/>
    <w:rsid w:val="00F8307A"/>
    <w:rsid w:val="00F831C0"/>
    <w:rsid w:val="00F84DA2"/>
    <w:rsid w:val="00F858CB"/>
    <w:rsid w:val="00F85F4C"/>
    <w:rsid w:val="00F86A66"/>
    <w:rsid w:val="00F87324"/>
    <w:rsid w:val="00F87D51"/>
    <w:rsid w:val="00F90515"/>
    <w:rsid w:val="00F906B3"/>
    <w:rsid w:val="00F90E29"/>
    <w:rsid w:val="00F93CF8"/>
    <w:rsid w:val="00F94032"/>
    <w:rsid w:val="00F9577D"/>
    <w:rsid w:val="00F95C4E"/>
    <w:rsid w:val="00F95E29"/>
    <w:rsid w:val="00F968F2"/>
    <w:rsid w:val="00F96C60"/>
    <w:rsid w:val="00F96D1B"/>
    <w:rsid w:val="00F96D78"/>
    <w:rsid w:val="00F9717A"/>
    <w:rsid w:val="00F97C83"/>
    <w:rsid w:val="00F97EA4"/>
    <w:rsid w:val="00FA0ADB"/>
    <w:rsid w:val="00FA4FD2"/>
    <w:rsid w:val="00FA5063"/>
    <w:rsid w:val="00FA585F"/>
    <w:rsid w:val="00FA5F12"/>
    <w:rsid w:val="00FA74E4"/>
    <w:rsid w:val="00FB2E78"/>
    <w:rsid w:val="00FB4845"/>
    <w:rsid w:val="00FB56CB"/>
    <w:rsid w:val="00FB5C98"/>
    <w:rsid w:val="00FB5C9C"/>
    <w:rsid w:val="00FB64BB"/>
    <w:rsid w:val="00FB6AF2"/>
    <w:rsid w:val="00FC0251"/>
    <w:rsid w:val="00FC0C80"/>
    <w:rsid w:val="00FC3840"/>
    <w:rsid w:val="00FC3CAF"/>
    <w:rsid w:val="00FC4722"/>
    <w:rsid w:val="00FC5D90"/>
    <w:rsid w:val="00FC668F"/>
    <w:rsid w:val="00FC7218"/>
    <w:rsid w:val="00FC74F5"/>
    <w:rsid w:val="00FC7729"/>
    <w:rsid w:val="00FD01C3"/>
    <w:rsid w:val="00FD1149"/>
    <w:rsid w:val="00FD1FE4"/>
    <w:rsid w:val="00FD2CD2"/>
    <w:rsid w:val="00FD4071"/>
    <w:rsid w:val="00FD4179"/>
    <w:rsid w:val="00FD534D"/>
    <w:rsid w:val="00FD666E"/>
    <w:rsid w:val="00FD7D44"/>
    <w:rsid w:val="00FE0783"/>
    <w:rsid w:val="00FE1664"/>
    <w:rsid w:val="00FE1891"/>
    <w:rsid w:val="00FE196B"/>
    <w:rsid w:val="00FE3627"/>
    <w:rsid w:val="00FE45C6"/>
    <w:rsid w:val="00FF06BA"/>
    <w:rsid w:val="00FF322C"/>
    <w:rsid w:val="00FF3445"/>
    <w:rsid w:val="00FF36ED"/>
    <w:rsid w:val="00FF4AE4"/>
    <w:rsid w:val="00FF56CD"/>
    <w:rsid w:val="00FF5EB6"/>
    <w:rsid w:val="00FF614F"/>
    <w:rsid w:val="00FF7078"/>
    <w:rsid w:val="00FF7DA5"/>
    <w:rsid w:val="00FF7E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left="709" w:hanging="709"/>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88F"/>
  </w:style>
  <w:style w:type="paragraph" w:styleId="1">
    <w:name w:val="heading 1"/>
    <w:basedOn w:val="a"/>
    <w:next w:val="a"/>
    <w:link w:val="10"/>
    <w:uiPriority w:val="9"/>
    <w:qFormat/>
    <w:rsid w:val="008719A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74CDC"/>
    <w:pPr>
      <w:spacing w:before="100" w:beforeAutospacing="1" w:after="100" w:afterAutospacing="1"/>
      <w:ind w:left="0" w:firstLine="0"/>
      <w:jc w:val="left"/>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BA472E"/>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8317D2"/>
    <w:rPr>
      <w:rFonts w:ascii="Tahoma" w:hAnsi="Tahoma" w:cs="Tahoma"/>
      <w:sz w:val="16"/>
      <w:szCs w:val="16"/>
    </w:rPr>
  </w:style>
  <w:style w:type="character" w:customStyle="1" w:styleId="a5">
    <w:name w:val="Текст выноски Знак"/>
    <w:basedOn w:val="a0"/>
    <w:link w:val="a4"/>
    <w:uiPriority w:val="99"/>
    <w:semiHidden/>
    <w:rsid w:val="008317D2"/>
    <w:rPr>
      <w:rFonts w:ascii="Tahoma" w:hAnsi="Tahoma" w:cs="Tahoma"/>
      <w:sz w:val="16"/>
      <w:szCs w:val="16"/>
    </w:rPr>
  </w:style>
  <w:style w:type="table" w:styleId="a6">
    <w:name w:val="Table Grid"/>
    <w:basedOn w:val="a1"/>
    <w:uiPriority w:val="59"/>
    <w:rsid w:val="00C664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D76CBC"/>
    <w:rPr>
      <w:b/>
      <w:bCs/>
    </w:rPr>
  </w:style>
  <w:style w:type="character" w:customStyle="1" w:styleId="apple-converted-space">
    <w:name w:val="apple-converted-space"/>
    <w:basedOn w:val="a0"/>
    <w:rsid w:val="003A52F4"/>
  </w:style>
  <w:style w:type="character" w:customStyle="1" w:styleId="30">
    <w:name w:val="Заголовок 3 Знак"/>
    <w:basedOn w:val="a0"/>
    <w:link w:val="3"/>
    <w:uiPriority w:val="9"/>
    <w:rsid w:val="00A74CDC"/>
    <w:rPr>
      <w:rFonts w:ascii="Times New Roman" w:eastAsia="Times New Roman" w:hAnsi="Times New Roman" w:cs="Times New Roman"/>
      <w:b/>
      <w:bCs/>
      <w:sz w:val="27"/>
      <w:szCs w:val="27"/>
      <w:lang w:eastAsia="ru-RU"/>
    </w:rPr>
  </w:style>
  <w:style w:type="character" w:styleId="a8">
    <w:name w:val="Hyperlink"/>
    <w:basedOn w:val="a0"/>
    <w:uiPriority w:val="99"/>
    <w:unhideWhenUsed/>
    <w:rsid w:val="0061757E"/>
    <w:rPr>
      <w:color w:val="0000FF"/>
      <w:u w:val="single"/>
    </w:rPr>
  </w:style>
  <w:style w:type="character" w:customStyle="1" w:styleId="blk">
    <w:name w:val="blk"/>
    <w:basedOn w:val="a0"/>
    <w:rsid w:val="008719A5"/>
  </w:style>
  <w:style w:type="character" w:customStyle="1" w:styleId="10">
    <w:name w:val="Заголовок 1 Знак"/>
    <w:basedOn w:val="a0"/>
    <w:link w:val="1"/>
    <w:uiPriority w:val="9"/>
    <w:rsid w:val="008719A5"/>
    <w:rPr>
      <w:rFonts w:asciiTheme="majorHAnsi" w:eastAsiaTheme="majorEastAsia" w:hAnsiTheme="majorHAnsi" w:cstheme="majorBidi"/>
      <w:b/>
      <w:bCs/>
      <w:color w:val="365F91" w:themeColor="accent1" w:themeShade="BF"/>
      <w:sz w:val="28"/>
      <w:szCs w:val="28"/>
    </w:rPr>
  </w:style>
  <w:style w:type="paragraph" w:styleId="a9">
    <w:name w:val="endnote text"/>
    <w:basedOn w:val="a"/>
    <w:link w:val="aa"/>
    <w:uiPriority w:val="99"/>
    <w:semiHidden/>
    <w:unhideWhenUsed/>
    <w:rsid w:val="000E31A7"/>
    <w:rPr>
      <w:sz w:val="20"/>
      <w:szCs w:val="20"/>
    </w:rPr>
  </w:style>
  <w:style w:type="character" w:customStyle="1" w:styleId="aa">
    <w:name w:val="Текст концевой сноски Знак"/>
    <w:basedOn w:val="a0"/>
    <w:link w:val="a9"/>
    <w:uiPriority w:val="99"/>
    <w:semiHidden/>
    <w:rsid w:val="000E31A7"/>
    <w:rPr>
      <w:sz w:val="20"/>
      <w:szCs w:val="20"/>
    </w:rPr>
  </w:style>
  <w:style w:type="character" w:styleId="ab">
    <w:name w:val="endnote reference"/>
    <w:basedOn w:val="a0"/>
    <w:uiPriority w:val="99"/>
    <w:semiHidden/>
    <w:unhideWhenUsed/>
    <w:rsid w:val="000E31A7"/>
    <w:rPr>
      <w:vertAlign w:val="superscript"/>
    </w:rPr>
  </w:style>
  <w:style w:type="paragraph" w:styleId="ac">
    <w:name w:val="footnote text"/>
    <w:basedOn w:val="a"/>
    <w:link w:val="ad"/>
    <w:uiPriority w:val="99"/>
    <w:unhideWhenUsed/>
    <w:rsid w:val="000E31A7"/>
    <w:rPr>
      <w:sz w:val="20"/>
      <w:szCs w:val="20"/>
    </w:rPr>
  </w:style>
  <w:style w:type="character" w:customStyle="1" w:styleId="ad">
    <w:name w:val="Текст сноски Знак"/>
    <w:basedOn w:val="a0"/>
    <w:link w:val="ac"/>
    <w:uiPriority w:val="99"/>
    <w:rsid w:val="000E31A7"/>
    <w:rPr>
      <w:sz w:val="20"/>
      <w:szCs w:val="20"/>
    </w:rPr>
  </w:style>
  <w:style w:type="character" w:styleId="ae">
    <w:name w:val="footnote reference"/>
    <w:basedOn w:val="a0"/>
    <w:uiPriority w:val="99"/>
    <w:semiHidden/>
    <w:unhideWhenUsed/>
    <w:rsid w:val="000E31A7"/>
    <w:rPr>
      <w:vertAlign w:val="superscript"/>
    </w:rPr>
  </w:style>
  <w:style w:type="character" w:styleId="af">
    <w:name w:val="FollowedHyperlink"/>
    <w:basedOn w:val="a0"/>
    <w:uiPriority w:val="99"/>
    <w:semiHidden/>
    <w:unhideWhenUsed/>
    <w:rsid w:val="00A53FD7"/>
    <w:rPr>
      <w:color w:val="800080" w:themeColor="followedHyperlink"/>
      <w:u w:val="single"/>
    </w:rPr>
  </w:style>
  <w:style w:type="paragraph" w:styleId="af0">
    <w:name w:val="header"/>
    <w:basedOn w:val="a"/>
    <w:link w:val="af1"/>
    <w:uiPriority w:val="99"/>
    <w:semiHidden/>
    <w:unhideWhenUsed/>
    <w:rsid w:val="00A53FD7"/>
    <w:pPr>
      <w:tabs>
        <w:tab w:val="center" w:pos="4677"/>
        <w:tab w:val="right" w:pos="9355"/>
      </w:tabs>
    </w:pPr>
  </w:style>
  <w:style w:type="character" w:customStyle="1" w:styleId="af1">
    <w:name w:val="Верхний колонтитул Знак"/>
    <w:basedOn w:val="a0"/>
    <w:link w:val="af0"/>
    <w:uiPriority w:val="99"/>
    <w:semiHidden/>
    <w:rsid w:val="00A53FD7"/>
  </w:style>
  <w:style w:type="paragraph" w:styleId="af2">
    <w:name w:val="footer"/>
    <w:basedOn w:val="a"/>
    <w:link w:val="af3"/>
    <w:uiPriority w:val="99"/>
    <w:unhideWhenUsed/>
    <w:rsid w:val="00A53FD7"/>
    <w:pPr>
      <w:tabs>
        <w:tab w:val="center" w:pos="4677"/>
        <w:tab w:val="right" w:pos="9355"/>
      </w:tabs>
    </w:pPr>
  </w:style>
  <w:style w:type="character" w:customStyle="1" w:styleId="af3">
    <w:name w:val="Нижний колонтитул Знак"/>
    <w:basedOn w:val="a0"/>
    <w:link w:val="af2"/>
    <w:uiPriority w:val="99"/>
    <w:rsid w:val="00A53FD7"/>
  </w:style>
  <w:style w:type="paragraph" w:styleId="af4">
    <w:name w:val="List Paragraph"/>
    <w:basedOn w:val="a"/>
    <w:uiPriority w:val="34"/>
    <w:qFormat/>
    <w:rsid w:val="00043122"/>
    <w:pPr>
      <w:ind w:left="720"/>
      <w:contextualSpacing/>
    </w:pPr>
  </w:style>
  <w:style w:type="character" w:styleId="af5">
    <w:name w:val="Emphasis"/>
    <w:basedOn w:val="a0"/>
    <w:uiPriority w:val="20"/>
    <w:qFormat/>
    <w:rsid w:val="00376EBF"/>
    <w:rPr>
      <w:i/>
      <w:iCs/>
    </w:rPr>
  </w:style>
  <w:style w:type="paragraph" w:customStyle="1" w:styleId="11">
    <w:name w:val="Абзац списка1"/>
    <w:basedOn w:val="a"/>
    <w:rsid w:val="00C15285"/>
    <w:pPr>
      <w:spacing w:after="200" w:line="276" w:lineRule="auto"/>
      <w:ind w:left="720" w:firstLine="0"/>
      <w:contextualSpacing/>
      <w:jc w:val="left"/>
    </w:pPr>
    <w:rPr>
      <w:rFonts w:ascii="Calibri" w:eastAsia="Times New Roman" w:hAnsi="Calibri" w:cs="Times New Roman"/>
    </w:rPr>
  </w:style>
  <w:style w:type="character" w:customStyle="1" w:styleId="text">
    <w:name w:val="text"/>
    <w:basedOn w:val="a0"/>
    <w:rsid w:val="00E41FA9"/>
  </w:style>
</w:styles>
</file>

<file path=word/webSettings.xml><?xml version="1.0" encoding="utf-8"?>
<w:webSettings xmlns:r="http://schemas.openxmlformats.org/officeDocument/2006/relationships" xmlns:w="http://schemas.openxmlformats.org/wordprocessingml/2006/main">
  <w:divs>
    <w:div w:id="524443927">
      <w:bodyDiv w:val="1"/>
      <w:marLeft w:val="0"/>
      <w:marRight w:val="0"/>
      <w:marTop w:val="0"/>
      <w:marBottom w:val="0"/>
      <w:divBdr>
        <w:top w:val="none" w:sz="0" w:space="0" w:color="auto"/>
        <w:left w:val="none" w:sz="0" w:space="0" w:color="auto"/>
        <w:bottom w:val="none" w:sz="0" w:space="0" w:color="auto"/>
        <w:right w:val="none" w:sz="0" w:space="0" w:color="auto"/>
      </w:divBdr>
    </w:div>
    <w:div w:id="576864782">
      <w:bodyDiv w:val="1"/>
      <w:marLeft w:val="0"/>
      <w:marRight w:val="0"/>
      <w:marTop w:val="0"/>
      <w:marBottom w:val="0"/>
      <w:divBdr>
        <w:top w:val="none" w:sz="0" w:space="0" w:color="auto"/>
        <w:left w:val="none" w:sz="0" w:space="0" w:color="auto"/>
        <w:bottom w:val="none" w:sz="0" w:space="0" w:color="auto"/>
        <w:right w:val="none" w:sz="0" w:space="0" w:color="auto"/>
      </w:divBdr>
    </w:div>
    <w:div w:id="741291172">
      <w:bodyDiv w:val="1"/>
      <w:marLeft w:val="0"/>
      <w:marRight w:val="0"/>
      <w:marTop w:val="0"/>
      <w:marBottom w:val="0"/>
      <w:divBdr>
        <w:top w:val="none" w:sz="0" w:space="0" w:color="auto"/>
        <w:left w:val="none" w:sz="0" w:space="0" w:color="auto"/>
        <w:bottom w:val="none" w:sz="0" w:space="0" w:color="auto"/>
        <w:right w:val="none" w:sz="0" w:space="0" w:color="auto"/>
      </w:divBdr>
    </w:div>
    <w:div w:id="749035322">
      <w:bodyDiv w:val="1"/>
      <w:marLeft w:val="0"/>
      <w:marRight w:val="0"/>
      <w:marTop w:val="0"/>
      <w:marBottom w:val="0"/>
      <w:divBdr>
        <w:top w:val="none" w:sz="0" w:space="0" w:color="auto"/>
        <w:left w:val="none" w:sz="0" w:space="0" w:color="auto"/>
        <w:bottom w:val="none" w:sz="0" w:space="0" w:color="auto"/>
        <w:right w:val="none" w:sz="0" w:space="0" w:color="auto"/>
      </w:divBdr>
    </w:div>
    <w:div w:id="788206893">
      <w:bodyDiv w:val="1"/>
      <w:marLeft w:val="0"/>
      <w:marRight w:val="0"/>
      <w:marTop w:val="0"/>
      <w:marBottom w:val="0"/>
      <w:divBdr>
        <w:top w:val="none" w:sz="0" w:space="0" w:color="auto"/>
        <w:left w:val="none" w:sz="0" w:space="0" w:color="auto"/>
        <w:bottom w:val="none" w:sz="0" w:space="0" w:color="auto"/>
        <w:right w:val="none" w:sz="0" w:space="0" w:color="auto"/>
      </w:divBdr>
    </w:div>
    <w:div w:id="842010539">
      <w:bodyDiv w:val="1"/>
      <w:marLeft w:val="0"/>
      <w:marRight w:val="0"/>
      <w:marTop w:val="0"/>
      <w:marBottom w:val="0"/>
      <w:divBdr>
        <w:top w:val="none" w:sz="0" w:space="0" w:color="auto"/>
        <w:left w:val="none" w:sz="0" w:space="0" w:color="auto"/>
        <w:bottom w:val="none" w:sz="0" w:space="0" w:color="auto"/>
        <w:right w:val="none" w:sz="0" w:space="0" w:color="auto"/>
      </w:divBdr>
    </w:div>
    <w:div w:id="850875125">
      <w:bodyDiv w:val="1"/>
      <w:marLeft w:val="0"/>
      <w:marRight w:val="0"/>
      <w:marTop w:val="0"/>
      <w:marBottom w:val="0"/>
      <w:divBdr>
        <w:top w:val="none" w:sz="0" w:space="0" w:color="auto"/>
        <w:left w:val="none" w:sz="0" w:space="0" w:color="auto"/>
        <w:bottom w:val="none" w:sz="0" w:space="0" w:color="auto"/>
        <w:right w:val="none" w:sz="0" w:space="0" w:color="auto"/>
      </w:divBdr>
    </w:div>
    <w:div w:id="864824671">
      <w:bodyDiv w:val="1"/>
      <w:marLeft w:val="0"/>
      <w:marRight w:val="0"/>
      <w:marTop w:val="0"/>
      <w:marBottom w:val="0"/>
      <w:divBdr>
        <w:top w:val="none" w:sz="0" w:space="0" w:color="auto"/>
        <w:left w:val="none" w:sz="0" w:space="0" w:color="auto"/>
        <w:bottom w:val="none" w:sz="0" w:space="0" w:color="auto"/>
        <w:right w:val="none" w:sz="0" w:space="0" w:color="auto"/>
      </w:divBdr>
    </w:div>
    <w:div w:id="1057509987">
      <w:bodyDiv w:val="1"/>
      <w:marLeft w:val="0"/>
      <w:marRight w:val="0"/>
      <w:marTop w:val="0"/>
      <w:marBottom w:val="0"/>
      <w:divBdr>
        <w:top w:val="none" w:sz="0" w:space="0" w:color="auto"/>
        <w:left w:val="none" w:sz="0" w:space="0" w:color="auto"/>
        <w:bottom w:val="none" w:sz="0" w:space="0" w:color="auto"/>
        <w:right w:val="none" w:sz="0" w:space="0" w:color="auto"/>
      </w:divBdr>
    </w:div>
    <w:div w:id="1425609398">
      <w:bodyDiv w:val="1"/>
      <w:marLeft w:val="0"/>
      <w:marRight w:val="0"/>
      <w:marTop w:val="0"/>
      <w:marBottom w:val="0"/>
      <w:divBdr>
        <w:top w:val="none" w:sz="0" w:space="0" w:color="auto"/>
        <w:left w:val="none" w:sz="0" w:space="0" w:color="auto"/>
        <w:bottom w:val="none" w:sz="0" w:space="0" w:color="auto"/>
        <w:right w:val="none" w:sz="0" w:space="0" w:color="auto"/>
      </w:divBdr>
    </w:div>
    <w:div w:id="1489785811">
      <w:bodyDiv w:val="1"/>
      <w:marLeft w:val="0"/>
      <w:marRight w:val="0"/>
      <w:marTop w:val="0"/>
      <w:marBottom w:val="0"/>
      <w:divBdr>
        <w:top w:val="none" w:sz="0" w:space="0" w:color="auto"/>
        <w:left w:val="none" w:sz="0" w:space="0" w:color="auto"/>
        <w:bottom w:val="none" w:sz="0" w:space="0" w:color="auto"/>
        <w:right w:val="none" w:sz="0" w:space="0" w:color="auto"/>
      </w:divBdr>
    </w:div>
    <w:div w:id="1649819857">
      <w:bodyDiv w:val="1"/>
      <w:marLeft w:val="0"/>
      <w:marRight w:val="0"/>
      <w:marTop w:val="0"/>
      <w:marBottom w:val="0"/>
      <w:divBdr>
        <w:top w:val="none" w:sz="0" w:space="0" w:color="auto"/>
        <w:left w:val="none" w:sz="0" w:space="0" w:color="auto"/>
        <w:bottom w:val="none" w:sz="0" w:space="0" w:color="auto"/>
        <w:right w:val="none" w:sz="0" w:space="0" w:color="auto"/>
      </w:divBdr>
    </w:div>
    <w:div w:id="1650749082">
      <w:bodyDiv w:val="1"/>
      <w:marLeft w:val="0"/>
      <w:marRight w:val="0"/>
      <w:marTop w:val="0"/>
      <w:marBottom w:val="0"/>
      <w:divBdr>
        <w:top w:val="none" w:sz="0" w:space="0" w:color="auto"/>
        <w:left w:val="none" w:sz="0" w:space="0" w:color="auto"/>
        <w:bottom w:val="none" w:sz="0" w:space="0" w:color="auto"/>
        <w:right w:val="none" w:sz="0" w:space="0" w:color="auto"/>
      </w:divBdr>
      <w:divsChild>
        <w:div w:id="649405811">
          <w:marLeft w:val="0"/>
          <w:marRight w:val="0"/>
          <w:marTop w:val="120"/>
          <w:marBottom w:val="0"/>
          <w:divBdr>
            <w:top w:val="none" w:sz="0" w:space="0" w:color="auto"/>
            <w:left w:val="none" w:sz="0" w:space="0" w:color="auto"/>
            <w:bottom w:val="none" w:sz="0" w:space="0" w:color="auto"/>
            <w:right w:val="none" w:sz="0" w:space="0" w:color="auto"/>
          </w:divBdr>
        </w:div>
        <w:div w:id="1299263156">
          <w:marLeft w:val="0"/>
          <w:marRight w:val="0"/>
          <w:marTop w:val="120"/>
          <w:marBottom w:val="0"/>
          <w:divBdr>
            <w:top w:val="none" w:sz="0" w:space="0" w:color="auto"/>
            <w:left w:val="none" w:sz="0" w:space="0" w:color="auto"/>
            <w:bottom w:val="none" w:sz="0" w:space="0" w:color="auto"/>
            <w:right w:val="none" w:sz="0" w:space="0" w:color="auto"/>
          </w:divBdr>
        </w:div>
        <w:div w:id="940573750">
          <w:marLeft w:val="0"/>
          <w:marRight w:val="0"/>
          <w:marTop w:val="120"/>
          <w:marBottom w:val="0"/>
          <w:divBdr>
            <w:top w:val="none" w:sz="0" w:space="0" w:color="auto"/>
            <w:left w:val="none" w:sz="0" w:space="0" w:color="auto"/>
            <w:bottom w:val="none" w:sz="0" w:space="0" w:color="auto"/>
            <w:right w:val="none" w:sz="0" w:space="0" w:color="auto"/>
          </w:divBdr>
        </w:div>
        <w:div w:id="227613953">
          <w:marLeft w:val="0"/>
          <w:marRight w:val="0"/>
          <w:marTop w:val="120"/>
          <w:marBottom w:val="0"/>
          <w:divBdr>
            <w:top w:val="none" w:sz="0" w:space="0" w:color="auto"/>
            <w:left w:val="none" w:sz="0" w:space="0" w:color="auto"/>
            <w:bottom w:val="none" w:sz="0" w:space="0" w:color="auto"/>
            <w:right w:val="none" w:sz="0" w:space="0" w:color="auto"/>
          </w:divBdr>
        </w:div>
        <w:div w:id="1146359981">
          <w:marLeft w:val="0"/>
          <w:marRight w:val="0"/>
          <w:marTop w:val="120"/>
          <w:marBottom w:val="0"/>
          <w:divBdr>
            <w:top w:val="none" w:sz="0" w:space="0" w:color="auto"/>
            <w:left w:val="none" w:sz="0" w:space="0" w:color="auto"/>
            <w:bottom w:val="none" w:sz="0" w:space="0" w:color="auto"/>
            <w:right w:val="none" w:sz="0" w:space="0" w:color="auto"/>
          </w:divBdr>
        </w:div>
        <w:div w:id="927075609">
          <w:marLeft w:val="0"/>
          <w:marRight w:val="0"/>
          <w:marTop w:val="120"/>
          <w:marBottom w:val="0"/>
          <w:divBdr>
            <w:top w:val="none" w:sz="0" w:space="0" w:color="auto"/>
            <w:left w:val="none" w:sz="0" w:space="0" w:color="auto"/>
            <w:bottom w:val="none" w:sz="0" w:space="0" w:color="auto"/>
            <w:right w:val="none" w:sz="0" w:space="0" w:color="auto"/>
          </w:divBdr>
        </w:div>
        <w:div w:id="2015842053">
          <w:marLeft w:val="0"/>
          <w:marRight w:val="0"/>
          <w:marTop w:val="120"/>
          <w:marBottom w:val="0"/>
          <w:divBdr>
            <w:top w:val="none" w:sz="0" w:space="0" w:color="auto"/>
            <w:left w:val="none" w:sz="0" w:space="0" w:color="auto"/>
            <w:bottom w:val="none" w:sz="0" w:space="0" w:color="auto"/>
            <w:right w:val="none" w:sz="0" w:space="0" w:color="auto"/>
          </w:divBdr>
        </w:div>
        <w:div w:id="159974132">
          <w:marLeft w:val="0"/>
          <w:marRight w:val="0"/>
          <w:marTop w:val="120"/>
          <w:marBottom w:val="0"/>
          <w:divBdr>
            <w:top w:val="none" w:sz="0" w:space="0" w:color="auto"/>
            <w:left w:val="none" w:sz="0" w:space="0" w:color="auto"/>
            <w:bottom w:val="none" w:sz="0" w:space="0" w:color="auto"/>
            <w:right w:val="none" w:sz="0" w:space="0" w:color="auto"/>
          </w:divBdr>
        </w:div>
        <w:div w:id="1719545554">
          <w:marLeft w:val="0"/>
          <w:marRight w:val="0"/>
          <w:marTop w:val="120"/>
          <w:marBottom w:val="0"/>
          <w:divBdr>
            <w:top w:val="none" w:sz="0" w:space="0" w:color="auto"/>
            <w:left w:val="none" w:sz="0" w:space="0" w:color="auto"/>
            <w:bottom w:val="none" w:sz="0" w:space="0" w:color="auto"/>
            <w:right w:val="none" w:sz="0" w:space="0" w:color="auto"/>
          </w:divBdr>
        </w:div>
        <w:div w:id="853568307">
          <w:marLeft w:val="0"/>
          <w:marRight w:val="0"/>
          <w:marTop w:val="120"/>
          <w:marBottom w:val="0"/>
          <w:divBdr>
            <w:top w:val="none" w:sz="0" w:space="0" w:color="auto"/>
            <w:left w:val="none" w:sz="0" w:space="0" w:color="auto"/>
            <w:bottom w:val="none" w:sz="0" w:space="0" w:color="auto"/>
            <w:right w:val="none" w:sz="0" w:space="0" w:color="auto"/>
          </w:divBdr>
        </w:div>
        <w:div w:id="836263825">
          <w:marLeft w:val="0"/>
          <w:marRight w:val="0"/>
          <w:marTop w:val="120"/>
          <w:marBottom w:val="0"/>
          <w:divBdr>
            <w:top w:val="none" w:sz="0" w:space="0" w:color="auto"/>
            <w:left w:val="none" w:sz="0" w:space="0" w:color="auto"/>
            <w:bottom w:val="none" w:sz="0" w:space="0" w:color="auto"/>
            <w:right w:val="none" w:sz="0" w:space="0" w:color="auto"/>
          </w:divBdr>
        </w:div>
      </w:divsChild>
    </w:div>
    <w:div w:id="1695573345">
      <w:bodyDiv w:val="1"/>
      <w:marLeft w:val="0"/>
      <w:marRight w:val="0"/>
      <w:marTop w:val="0"/>
      <w:marBottom w:val="0"/>
      <w:divBdr>
        <w:top w:val="none" w:sz="0" w:space="0" w:color="auto"/>
        <w:left w:val="none" w:sz="0" w:space="0" w:color="auto"/>
        <w:bottom w:val="none" w:sz="0" w:space="0" w:color="auto"/>
        <w:right w:val="none" w:sz="0" w:space="0" w:color="auto"/>
      </w:divBdr>
    </w:div>
    <w:div w:id="1768770936">
      <w:bodyDiv w:val="1"/>
      <w:marLeft w:val="0"/>
      <w:marRight w:val="0"/>
      <w:marTop w:val="0"/>
      <w:marBottom w:val="0"/>
      <w:divBdr>
        <w:top w:val="none" w:sz="0" w:space="0" w:color="auto"/>
        <w:left w:val="none" w:sz="0" w:space="0" w:color="auto"/>
        <w:bottom w:val="none" w:sz="0" w:space="0" w:color="auto"/>
        <w:right w:val="none" w:sz="0" w:space="0" w:color="auto"/>
      </w:divBdr>
    </w:div>
    <w:div w:id="1915191286">
      <w:bodyDiv w:val="1"/>
      <w:marLeft w:val="0"/>
      <w:marRight w:val="0"/>
      <w:marTop w:val="0"/>
      <w:marBottom w:val="0"/>
      <w:divBdr>
        <w:top w:val="none" w:sz="0" w:space="0" w:color="auto"/>
        <w:left w:val="none" w:sz="0" w:space="0" w:color="auto"/>
        <w:bottom w:val="none" w:sz="0" w:space="0" w:color="auto"/>
        <w:right w:val="none" w:sz="0" w:space="0" w:color="auto"/>
      </w:divBdr>
      <w:divsChild>
        <w:div w:id="81538721">
          <w:marLeft w:val="0"/>
          <w:marRight w:val="0"/>
          <w:marTop w:val="0"/>
          <w:marBottom w:val="0"/>
          <w:divBdr>
            <w:top w:val="none" w:sz="0" w:space="0" w:color="auto"/>
            <w:left w:val="none" w:sz="0" w:space="0" w:color="auto"/>
            <w:bottom w:val="none" w:sz="0" w:space="0" w:color="auto"/>
            <w:right w:val="none" w:sz="0" w:space="0" w:color="auto"/>
          </w:divBdr>
        </w:div>
      </w:divsChild>
    </w:div>
    <w:div w:id="1929843889">
      <w:bodyDiv w:val="1"/>
      <w:marLeft w:val="0"/>
      <w:marRight w:val="0"/>
      <w:marTop w:val="0"/>
      <w:marBottom w:val="0"/>
      <w:divBdr>
        <w:top w:val="none" w:sz="0" w:space="0" w:color="auto"/>
        <w:left w:val="none" w:sz="0" w:space="0" w:color="auto"/>
        <w:bottom w:val="none" w:sz="0" w:space="0" w:color="auto"/>
        <w:right w:val="none" w:sz="0" w:space="0" w:color="auto"/>
      </w:divBdr>
      <w:divsChild>
        <w:div w:id="188299781">
          <w:marLeft w:val="0"/>
          <w:marRight w:val="0"/>
          <w:marTop w:val="0"/>
          <w:marBottom w:val="0"/>
          <w:divBdr>
            <w:top w:val="none" w:sz="0" w:space="0" w:color="auto"/>
            <w:left w:val="none" w:sz="0" w:space="0" w:color="auto"/>
            <w:bottom w:val="none" w:sz="0" w:space="0" w:color="auto"/>
            <w:right w:val="none" w:sz="0" w:space="0" w:color="auto"/>
          </w:divBdr>
        </w:div>
      </w:divsChild>
    </w:div>
    <w:div w:id="209840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kdb1970@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sultant.ru/documen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dstat.r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ru.wikipedia.org/"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mailto:kdb1970@mail.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515E-2"/>
          <c:y val="7.5036128052514334E-2"/>
          <c:w val="0.90281058617672749"/>
          <c:h val="0.45023581888891573"/>
        </c:manualLayout>
      </c:layout>
      <c:lineChart>
        <c:grouping val="standard"/>
        <c:ser>
          <c:idx val="0"/>
          <c:order val="0"/>
          <c:tx>
            <c:strRef>
              <c:f>Лист1!$B$1</c:f>
              <c:strCache>
                <c:ptCount val="1"/>
                <c:pt idx="0">
                  <c:v>Доходы, в сопоставимой оценке в % к 2010 г. </c:v>
                </c:pt>
              </c:strCache>
            </c:strRef>
          </c:tx>
          <c:spPr>
            <a:ln>
              <a:solidFill>
                <a:schemeClr val="tx1"/>
              </a:solidFill>
            </a:ln>
          </c:spPr>
          <c:marker>
            <c:symbol val="diamond"/>
            <c:size val="7"/>
            <c:spPr>
              <a:solidFill>
                <a:schemeClr val="tx1"/>
              </a:solidFill>
            </c:spPr>
          </c:marker>
          <c:dLbls>
            <c:dLbl>
              <c:idx val="0"/>
              <c:delete val="1"/>
            </c:dLbl>
            <c:dLbl>
              <c:idx val="1"/>
              <c:layout>
                <c:manualLayout>
                  <c:x val="-4.8578279334395617E-2"/>
                  <c:y val="-5.7605306582698947E-2"/>
                </c:manualLayout>
              </c:layout>
              <c:showVal val="1"/>
            </c:dLbl>
            <c:dLbl>
              <c:idx val="2"/>
              <c:layout>
                <c:manualLayout>
                  <c:x val="-4.163852514376766E-2"/>
                  <c:y val="-4.0323714607889333E-2"/>
                </c:manualLayout>
              </c:layout>
              <c:showVal val="1"/>
            </c:dLbl>
            <c:dLbl>
              <c:idx val="3"/>
              <c:layout>
                <c:manualLayout>
                  <c:x val="-4.3951776540643694E-2"/>
                  <c:y val="4.608424526615907E-2"/>
                </c:manualLayout>
              </c:layout>
              <c:showVal val="1"/>
            </c:dLbl>
            <c:dLbl>
              <c:idx val="4"/>
              <c:layout>
                <c:manualLayout>
                  <c:x val="-4.3951776540643785E-2"/>
                  <c:y val="2.8802653291349487E-2"/>
                </c:manualLayout>
              </c:layout>
              <c:showVal val="1"/>
            </c:dLbl>
            <c:dLbl>
              <c:idx val="5"/>
              <c:layout>
                <c:manualLayout>
                  <c:x val="-1.3879508381255906E-2"/>
                  <c:y val="2.8802653291349487E-2"/>
                </c:manualLayout>
              </c:layout>
              <c:tx>
                <c:rich>
                  <a:bodyPr/>
                  <a:lstStyle/>
                  <a:p>
                    <a:r>
                      <a:rPr lang="en-US"/>
                      <a:t>83</a:t>
                    </a:r>
                  </a:p>
                </c:rich>
              </c:tx>
              <c:showVal val="1"/>
            </c:dLbl>
            <c:dLbl>
              <c:idx val="6"/>
              <c:layout>
                <c:manualLayout>
                  <c:x val="-6.939754190627959E-3"/>
                  <c:y val="-5.7605306582699262E-3"/>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Лист1!$B$2:$B$8</c:f>
              <c:numCache>
                <c:formatCode>0.0</c:formatCode>
                <c:ptCount val="7"/>
                <c:pt idx="0">
                  <c:v>100</c:v>
                </c:pt>
                <c:pt idx="1">
                  <c:v>123.05</c:v>
                </c:pt>
                <c:pt idx="2">
                  <c:v>122.90227758657801</c:v>
                </c:pt>
                <c:pt idx="3">
                  <c:v>114.33330596085027</c:v>
                </c:pt>
                <c:pt idx="4">
                  <c:v>92.572414759110814</c:v>
                </c:pt>
                <c:pt idx="5">
                  <c:v>83.020187491641579</c:v>
                </c:pt>
                <c:pt idx="6">
                  <c:v>80.546668541593363</c:v>
                </c:pt>
              </c:numCache>
            </c:numRef>
          </c:val>
        </c:ser>
        <c:ser>
          <c:idx val="1"/>
          <c:order val="1"/>
          <c:tx>
            <c:strRef>
              <c:f>Лист1!$C$1</c:f>
              <c:strCache>
                <c:ptCount val="1"/>
                <c:pt idx="0">
                  <c:v>Расходы, в сопоставимой оценке в % к 2010 г.</c:v>
                </c:pt>
              </c:strCache>
            </c:strRef>
          </c:tx>
          <c:spPr>
            <a:ln>
              <a:solidFill>
                <a:schemeClr val="bg1">
                  <a:lumMod val="50000"/>
                </a:schemeClr>
              </a:solidFill>
            </a:ln>
          </c:spPr>
          <c:marker>
            <c:spPr>
              <a:solidFill>
                <a:schemeClr val="bg1">
                  <a:lumMod val="50000"/>
                </a:schemeClr>
              </a:solidFill>
            </c:spPr>
          </c:marker>
          <c:dLbls>
            <c:dLbl>
              <c:idx val="0"/>
              <c:layout>
                <c:manualLayout>
                  <c:x val="-7.8650547493783363E-2"/>
                  <c:y val="0"/>
                </c:manualLayout>
              </c:layout>
              <c:tx>
                <c:rich>
                  <a:bodyPr/>
                  <a:lstStyle/>
                  <a:p>
                    <a:r>
                      <a:rPr lang="ru-RU"/>
                      <a:t>  </a:t>
                    </a:r>
                    <a:r>
                      <a:rPr lang="en-US"/>
                      <a:t>100</a:t>
                    </a:r>
                  </a:p>
                </c:rich>
              </c:tx>
              <c:showVal val="1"/>
            </c:dLbl>
            <c:dLbl>
              <c:idx val="1"/>
              <c:layout>
                <c:manualLayout>
                  <c:x val="-9.2530055875039395E-3"/>
                  <c:y val="1.7281591974809701E-2"/>
                </c:manualLayout>
              </c:layout>
              <c:showVal val="1"/>
            </c:dLbl>
            <c:dLbl>
              <c:idx val="2"/>
              <c:layout>
                <c:manualLayout>
                  <c:x val="-9.2530055875039395E-3"/>
                  <c:y val="1.7281591974809701E-2"/>
                </c:manualLayout>
              </c:layout>
              <c:showVal val="1"/>
            </c:dLbl>
            <c:dLbl>
              <c:idx val="3"/>
              <c:layout>
                <c:manualLayout>
                  <c:x val="-4.6265027937519708E-2"/>
                  <c:y val="-5.1845229509520294E-2"/>
                </c:manualLayout>
              </c:layout>
              <c:showVal val="1"/>
            </c:dLbl>
            <c:dLbl>
              <c:idx val="4"/>
              <c:layout>
                <c:manualLayout>
                  <c:x val="-3.9325455892670981E-2"/>
                  <c:y val="-4.608424526615907E-2"/>
                </c:manualLayout>
              </c:layout>
              <c:tx>
                <c:rich>
                  <a:bodyPr/>
                  <a:lstStyle/>
                  <a:p>
                    <a:r>
                      <a:rPr lang="en-US"/>
                      <a:t>101</a:t>
                    </a:r>
                  </a:p>
                </c:rich>
              </c:tx>
              <c:showVal val="1"/>
            </c:dLbl>
            <c:dLbl>
              <c:idx val="5"/>
              <c:layout>
                <c:manualLayout>
                  <c:x val="-4.3951776540643694E-2"/>
                  <c:y val="-4.608424526615907E-2"/>
                </c:manualLayout>
              </c:layout>
              <c:showVal val="1"/>
            </c:dLbl>
            <c:dLbl>
              <c:idx val="6"/>
              <c:layout>
                <c:manualLayout>
                  <c:x val="-4.3951776540643694E-2"/>
                  <c:y val="-5.1844775924429098E-2"/>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Лист1!$C$2:$C$8</c:f>
              <c:numCache>
                <c:formatCode>0.0</c:formatCode>
                <c:ptCount val="7"/>
                <c:pt idx="0">
                  <c:v>100</c:v>
                </c:pt>
                <c:pt idx="1">
                  <c:v>102.32</c:v>
                </c:pt>
                <c:pt idx="2">
                  <c:v>109.74066418903739</c:v>
                </c:pt>
                <c:pt idx="3">
                  <c:v>121.05400987313901</c:v>
                </c:pt>
                <c:pt idx="4">
                  <c:v>101.03829560143502</c:v>
                </c:pt>
                <c:pt idx="5">
                  <c:v>103.1979917521121</c:v>
                </c:pt>
                <c:pt idx="6">
                  <c:v>102.15597201993634</c:v>
                </c:pt>
              </c:numCache>
            </c:numRef>
          </c:val>
        </c:ser>
        <c:ser>
          <c:idx val="2"/>
          <c:order val="2"/>
          <c:tx>
            <c:strRef>
              <c:f>Лист1!$D$1</c:f>
              <c:strCache>
                <c:ptCount val="1"/>
                <c:pt idx="0">
                  <c:v>Доля трансфертов в общих доходах, %</c:v>
                </c:pt>
              </c:strCache>
            </c:strRef>
          </c:tx>
          <c:spPr>
            <a:ln>
              <a:solidFill>
                <a:schemeClr val="bg1">
                  <a:lumMod val="50000"/>
                </a:schemeClr>
              </a:solidFill>
              <a:prstDash val="dash"/>
            </a:ln>
          </c:spPr>
          <c:marker>
            <c:symbol val="circle"/>
            <c:size val="7"/>
            <c:spPr>
              <a:solidFill>
                <a:schemeClr val="bg1">
                  <a:lumMod val="50000"/>
                </a:schemeClr>
              </a:solidFill>
            </c:spPr>
          </c:marker>
          <c:dLbls>
            <c:dLbl>
              <c:idx val="0"/>
              <c:layout>
                <c:manualLayout>
                  <c:x val="-6.939754190627959E-3"/>
                  <c:y val="-2.3042122633079611E-2"/>
                </c:manualLayout>
              </c:layout>
              <c:showVal val="1"/>
            </c:dLbl>
            <c:dLbl>
              <c:idx val="1"/>
              <c:layout>
                <c:manualLayout>
                  <c:x val="-2.5445765365635812E-2"/>
                  <c:y val="-5.1844775924429098E-2"/>
                </c:manualLayout>
              </c:layout>
              <c:showVal val="1"/>
            </c:dLbl>
            <c:dLbl>
              <c:idx val="2"/>
              <c:layout>
                <c:manualLayout>
                  <c:x val="-2.5445765365635812E-2"/>
                  <c:y val="-5.184477592442905E-2"/>
                </c:manualLayout>
              </c:layout>
              <c:showVal val="1"/>
            </c:dLbl>
            <c:dLbl>
              <c:idx val="3"/>
              <c:layout>
                <c:manualLayout>
                  <c:x val="-1.1566256984379896E-2"/>
                  <c:y val="2.8802653291349439E-2"/>
                </c:manualLayout>
              </c:layout>
              <c:showVal val="1"/>
            </c:dLbl>
            <c:dLbl>
              <c:idx val="4"/>
              <c:layout>
                <c:manualLayout>
                  <c:x val="-4.3951776540643785E-2"/>
                  <c:y val="5.1844775924429098E-2"/>
                </c:manualLayout>
              </c:layout>
              <c:showVal val="1"/>
            </c:dLbl>
            <c:dLbl>
              <c:idx val="5"/>
              <c:layout>
                <c:manualLayout>
                  <c:x val="-4.3951776540643694E-2"/>
                  <c:y val="-4.6084245266159035E-2"/>
                </c:manualLayout>
              </c:layout>
              <c:showVal val="1"/>
            </c:dLbl>
            <c:dLbl>
              <c:idx val="6"/>
              <c:layout>
                <c:manualLayout>
                  <c:x val="-1.3879508381255906E-2"/>
                  <c:y val="-3.4563183949619401E-2"/>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Лист1!$D$2:$D$8</c:f>
              <c:numCache>
                <c:formatCode>0.0</c:formatCode>
                <c:ptCount val="7"/>
                <c:pt idx="0">
                  <c:v>37.547471986322044</c:v>
                </c:pt>
                <c:pt idx="1">
                  <c:v>25.111383134498986</c:v>
                </c:pt>
                <c:pt idx="2">
                  <c:v>29.936812437101363</c:v>
                </c:pt>
                <c:pt idx="3">
                  <c:v>40.076964365957444</c:v>
                </c:pt>
                <c:pt idx="4">
                  <c:v>44.559164055904624</c:v>
                </c:pt>
                <c:pt idx="5">
                  <c:v>50.178252875138483</c:v>
                </c:pt>
                <c:pt idx="6">
                  <c:v>51.305944558231744</c:v>
                </c:pt>
              </c:numCache>
            </c:numRef>
          </c:val>
        </c:ser>
        <c:marker val="1"/>
        <c:axId val="49557888"/>
        <c:axId val="49559040"/>
      </c:lineChart>
      <c:lineChart>
        <c:grouping val="standard"/>
        <c:ser>
          <c:idx val="3"/>
          <c:order val="3"/>
          <c:tx>
            <c:strRef>
              <c:f>Лист1!$E$1</c:f>
              <c:strCache>
                <c:ptCount val="1"/>
                <c:pt idx="0">
                  <c:v>Дефицит (-) ПФ Республики Коми, в % к ВРП (правая шкала)</c:v>
                </c:pt>
              </c:strCache>
            </c:strRef>
          </c:tx>
          <c:spPr>
            <a:ln>
              <a:solidFill>
                <a:schemeClr val="tx1"/>
              </a:solidFill>
              <a:prstDash val="dash"/>
            </a:ln>
          </c:spPr>
          <c:marker>
            <c:symbol val="triangle"/>
            <c:size val="7"/>
            <c:spPr>
              <a:solidFill>
                <a:schemeClr val="tx1"/>
              </a:solidFill>
            </c:spPr>
          </c:marker>
          <c:dLbls>
            <c:dLbl>
              <c:idx val="0"/>
              <c:layout>
                <c:manualLayout>
                  <c:x val="-7.1710793303155482E-2"/>
                  <c:y val="1.7281591974809701E-2"/>
                </c:manualLayout>
              </c:layout>
              <c:showVal val="1"/>
            </c:dLbl>
            <c:dLbl>
              <c:idx val="1"/>
              <c:layout>
                <c:manualLayout>
                  <c:x val="-3.7012022350015716E-2"/>
                  <c:y val="5.7605306582698947E-2"/>
                </c:manualLayout>
              </c:layout>
              <c:showVal val="1"/>
            </c:dLbl>
            <c:dLbl>
              <c:idx val="2"/>
              <c:layout>
                <c:manualLayout>
                  <c:x val="-3.9325273746891681E-2"/>
                  <c:y val="4.608424526615907E-2"/>
                </c:manualLayout>
              </c:layout>
              <c:showVal val="1"/>
            </c:dLbl>
            <c:dLbl>
              <c:idx val="3"/>
              <c:layout>
                <c:manualLayout>
                  <c:x val="-3.0072268159387787E-2"/>
                  <c:y val="-4.0323714607889333E-2"/>
                </c:manualLayout>
              </c:layout>
              <c:showVal val="1"/>
            </c:dLbl>
            <c:dLbl>
              <c:idx val="4"/>
              <c:layout>
                <c:manualLayout>
                  <c:x val="-3.2385519556263891E-2"/>
                  <c:y val="-4.0323714607889333E-2"/>
                </c:manualLayout>
              </c:layout>
              <c:showVal val="1"/>
            </c:dLbl>
            <c:dLbl>
              <c:idx val="5"/>
              <c:layout>
                <c:manualLayout>
                  <c:x val="-4.163852514376766E-2"/>
                  <c:y val="4.608424526615907E-2"/>
                </c:manualLayout>
              </c:layout>
              <c:showVal val="1"/>
            </c:dLbl>
            <c:dLbl>
              <c:idx val="6"/>
              <c:layout>
                <c:manualLayout>
                  <c:x val="-4.6265027937519698E-3"/>
                  <c:y val="1.152106131653983E-2"/>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Лист1!$E$2:$E$8</c:f>
              <c:numCache>
                <c:formatCode>0.0</c:formatCode>
                <c:ptCount val="7"/>
                <c:pt idx="0">
                  <c:v>-4.2618770605363459</c:v>
                </c:pt>
                <c:pt idx="1">
                  <c:v>-2.5862789156842609</c:v>
                </c:pt>
                <c:pt idx="2">
                  <c:v>-3.1614704118732182</c:v>
                </c:pt>
                <c:pt idx="3">
                  <c:v>-5.0089357359919795</c:v>
                </c:pt>
                <c:pt idx="4">
                  <c:v>-4.6764067368109945</c:v>
                </c:pt>
                <c:pt idx="5">
                  <c:v>-5.8452827041762623</c:v>
                </c:pt>
                <c:pt idx="6">
                  <c:v>-5.9742243443527094</c:v>
                </c:pt>
              </c:numCache>
            </c:numRef>
          </c:val>
        </c:ser>
        <c:marker val="1"/>
        <c:axId val="49574656"/>
        <c:axId val="49560576"/>
      </c:lineChart>
      <c:catAx>
        <c:axId val="49557888"/>
        <c:scaling>
          <c:orientation val="minMax"/>
        </c:scaling>
        <c:axPos val="b"/>
        <c:numFmt formatCode="General" sourceLinked="1"/>
        <c:tickLblPos val="nextTo"/>
        <c:txPr>
          <a:bodyPr/>
          <a:lstStyle/>
          <a:p>
            <a:pPr>
              <a:defRPr sz="1100">
                <a:latin typeface="Times New Roman" pitchFamily="18" charset="0"/>
                <a:cs typeface="Times New Roman" pitchFamily="18" charset="0"/>
              </a:defRPr>
            </a:pPr>
            <a:endParaRPr lang="ru-RU"/>
          </a:p>
        </c:txPr>
        <c:crossAx val="49559040"/>
        <c:crossesAt val="0"/>
        <c:auto val="1"/>
        <c:lblAlgn val="ctr"/>
        <c:lblOffset val="100"/>
      </c:catAx>
      <c:valAx>
        <c:axId val="49559040"/>
        <c:scaling>
          <c:orientation val="minMax"/>
          <c:max val="130"/>
          <c:min val="25"/>
        </c:scaling>
        <c:axPos val="l"/>
        <c:numFmt formatCode="0" sourceLinked="0"/>
        <c:tickLblPos val="nextTo"/>
        <c:txPr>
          <a:bodyPr/>
          <a:lstStyle/>
          <a:p>
            <a:pPr>
              <a:defRPr sz="1100">
                <a:latin typeface="Times New Roman" pitchFamily="18" charset="0"/>
                <a:cs typeface="Times New Roman" pitchFamily="18" charset="0"/>
              </a:defRPr>
            </a:pPr>
            <a:endParaRPr lang="ru-RU"/>
          </a:p>
        </c:txPr>
        <c:crossAx val="49557888"/>
        <c:crosses val="autoZero"/>
        <c:crossBetween val="between"/>
      </c:valAx>
      <c:valAx>
        <c:axId val="49560576"/>
        <c:scaling>
          <c:orientation val="minMax"/>
          <c:min val="-8"/>
        </c:scaling>
        <c:axPos val="r"/>
        <c:numFmt formatCode="0.0" sourceLinked="1"/>
        <c:tickLblPos val="nextTo"/>
        <c:txPr>
          <a:bodyPr/>
          <a:lstStyle/>
          <a:p>
            <a:pPr>
              <a:defRPr sz="1100">
                <a:latin typeface="Times New Roman" pitchFamily="18" charset="0"/>
                <a:cs typeface="Times New Roman" pitchFamily="18" charset="0"/>
              </a:defRPr>
            </a:pPr>
            <a:endParaRPr lang="ru-RU"/>
          </a:p>
        </c:txPr>
        <c:crossAx val="49574656"/>
        <c:crosses val="max"/>
        <c:crossBetween val="between"/>
      </c:valAx>
      <c:catAx>
        <c:axId val="49574656"/>
        <c:scaling>
          <c:orientation val="minMax"/>
        </c:scaling>
        <c:delete val="1"/>
        <c:axPos val="b"/>
        <c:numFmt formatCode="General" sourceLinked="1"/>
        <c:tickLblPos val="nextTo"/>
        <c:crossAx val="49560576"/>
        <c:crosses val="autoZero"/>
        <c:auto val="1"/>
        <c:lblAlgn val="ctr"/>
        <c:lblOffset val="100"/>
      </c:catAx>
    </c:plotArea>
    <c:legend>
      <c:legendPos val="b"/>
      <c:layout>
        <c:manualLayout>
          <c:xMode val="edge"/>
          <c:yMode val="edge"/>
          <c:x val="2.7341984646021812E-2"/>
          <c:y val="0.66567331531693363"/>
          <c:w val="0.94774971353430992"/>
          <c:h val="0.33432668468306748"/>
        </c:manualLayout>
      </c:layout>
      <c:txPr>
        <a:bodyPr/>
        <a:lstStyle/>
        <a:p>
          <a:pPr>
            <a:defRPr sz="1100">
              <a:latin typeface="Times New Roman" pitchFamily="18" charset="0"/>
              <a:cs typeface="Times New Roman" pitchFamily="18" charset="0"/>
            </a:defRPr>
          </a:pPr>
          <a:endParaRPr lang="ru-RU"/>
        </a:p>
      </c:txP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8.2982979594432266E-2"/>
          <c:y val="5.6136394367285472E-2"/>
          <c:w val="0.82881561679790061"/>
          <c:h val="0.52238479726807063"/>
        </c:manualLayout>
      </c:layout>
      <c:lineChart>
        <c:grouping val="standard"/>
        <c:ser>
          <c:idx val="0"/>
          <c:order val="0"/>
          <c:tx>
            <c:strRef>
              <c:f>Лист1!$B$1</c:f>
              <c:strCache>
                <c:ptCount val="1"/>
                <c:pt idx="0">
                  <c:v>Коэффициент замещения утраченного заработка для пенсионеров по старости, раз</c:v>
                </c:pt>
              </c:strCache>
            </c:strRef>
          </c:tx>
          <c:spPr>
            <a:ln>
              <a:solidFill>
                <a:sysClr val="windowText" lastClr="000000"/>
              </a:solidFill>
            </a:ln>
          </c:spPr>
          <c:marker>
            <c:symbol val="diamond"/>
            <c:size val="7"/>
            <c:spPr>
              <a:solidFill>
                <a:schemeClr val="tx1"/>
              </a:solidFill>
            </c:spPr>
          </c:marker>
          <c:dLbls>
            <c:dLbl>
              <c:idx val="0"/>
              <c:layout>
                <c:manualLayout>
                  <c:x val="-4.2890162876919623E-2"/>
                  <c:y val="-5.8713346790550326E-2"/>
                </c:manualLayout>
              </c:layout>
              <c:showVal val="1"/>
            </c:dLbl>
            <c:dLbl>
              <c:idx val="1"/>
              <c:layout>
                <c:manualLayout>
                  <c:x val="-4.4899114258081733E-2"/>
                  <c:y val="-5.8713346790550326E-2"/>
                </c:manualLayout>
              </c:layout>
              <c:showVal val="1"/>
            </c:dLbl>
            <c:dLbl>
              <c:idx val="2"/>
              <c:layout>
                <c:manualLayout>
                  <c:x val="-4.4593184181611838E-2"/>
                  <c:y val="-6.5958271359307791E-2"/>
                </c:manualLayout>
              </c:layout>
              <c:showVal val="1"/>
            </c:dLbl>
            <c:dLbl>
              <c:idx val="3"/>
              <c:layout>
                <c:manualLayout>
                  <c:x val="-4.6296363671451915E-2"/>
                  <c:y val="-6.2411264463288894E-2"/>
                </c:manualLayout>
              </c:layout>
              <c:showVal val="1"/>
            </c:dLbl>
            <c:dLbl>
              <c:idx val="4"/>
              <c:layout>
                <c:manualLayout>
                  <c:x val="-4.5510974411021449E-2"/>
                  <c:y val="-5.1316907801966551E-2"/>
                </c:manualLayout>
              </c:layout>
              <c:showVal val="1"/>
            </c:dLbl>
            <c:dLbl>
              <c:idx val="5"/>
              <c:layout>
                <c:manualLayout>
                  <c:x val="-4.690806563924358E-2"/>
                  <c:y val="-5.4744997005930336E-2"/>
                </c:manualLayout>
              </c:layout>
              <c:showVal val="1"/>
            </c:dLbl>
            <c:dLbl>
              <c:idx val="6"/>
              <c:layout>
                <c:manualLayout>
                  <c:x val="-4.1393415005379894E-2"/>
                  <c:y val="-5.5530336687979291E-2"/>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Лист1!$B$2:$B$8</c:f>
              <c:numCache>
                <c:formatCode>0.000</c:formatCode>
                <c:ptCount val="7"/>
                <c:pt idx="0">
                  <c:v>0.39349655700076563</c:v>
                </c:pt>
                <c:pt idx="1">
                  <c:v>0.38768730318026173</c:v>
                </c:pt>
                <c:pt idx="2">
                  <c:v>0.36436960937270113</c:v>
                </c:pt>
                <c:pt idx="3">
                  <c:v>0.36023543760108173</c:v>
                </c:pt>
                <c:pt idx="4">
                  <c:v>0.36539704639252152</c:v>
                </c:pt>
                <c:pt idx="5">
                  <c:v>0.39501994439743815</c:v>
                </c:pt>
                <c:pt idx="6">
                  <c:v>0.38351426870047262</c:v>
                </c:pt>
              </c:numCache>
            </c:numRef>
          </c:val>
        </c:ser>
        <c:ser>
          <c:idx val="1"/>
          <c:order val="1"/>
          <c:tx>
            <c:strRef>
              <c:f>Лист1!$C$1</c:f>
              <c:strCache>
                <c:ptCount val="1"/>
                <c:pt idx="0">
                  <c:v>Отношегние пенсий к прожиточному минимуму пенсионера, раз </c:v>
                </c:pt>
              </c:strCache>
            </c:strRef>
          </c:tx>
          <c:spPr>
            <a:ln cmpd="dbl">
              <a:solidFill>
                <a:schemeClr val="tx1"/>
              </a:solidFill>
              <a:prstDash val="solid"/>
            </a:ln>
          </c:spPr>
          <c:marker>
            <c:symbol val="triangle"/>
            <c:size val="7"/>
            <c:spPr>
              <a:solidFill>
                <a:sysClr val="windowText" lastClr="000000"/>
              </a:solidFill>
            </c:spPr>
          </c:marker>
          <c:dLbls>
            <c:dLbl>
              <c:idx val="0"/>
              <c:layout>
                <c:manualLayout>
                  <c:x val="-3.4722272753588981E-2"/>
                  <c:y val="7.954989955378701E-2"/>
                </c:manualLayout>
              </c:layout>
              <c:showVal val="1"/>
            </c:dLbl>
            <c:dLbl>
              <c:idx val="1"/>
              <c:layout>
                <c:manualLayout>
                  <c:x val="-3.9657649375026346E-2"/>
                  <c:y val="6.3677104058413384E-2"/>
                </c:manualLayout>
              </c:layout>
              <c:showVal val="1"/>
            </c:dLbl>
            <c:dLbl>
              <c:idx val="2"/>
              <c:layout>
                <c:manualLayout>
                  <c:x val="-3.996357945149618E-2"/>
                  <c:y val="7.6573335393768469E-2"/>
                </c:manualLayout>
              </c:layout>
              <c:showVal val="1"/>
            </c:dLbl>
            <c:dLbl>
              <c:idx val="3"/>
              <c:layout>
                <c:manualLayout>
                  <c:x val="-3.5507662014019691E-2"/>
                  <c:y val="6.3677104058413314E-2"/>
                </c:manualLayout>
              </c:layout>
              <c:showVal val="1"/>
            </c:dLbl>
            <c:dLbl>
              <c:idx val="4"/>
              <c:layout>
                <c:manualLayout>
                  <c:x val="-3.7682549615562652E-2"/>
                  <c:y val="5.2445116768722516E-2"/>
                </c:manualLayout>
              </c:layout>
              <c:showVal val="1"/>
            </c:dLbl>
            <c:dLbl>
              <c:idx val="5"/>
              <c:layout>
                <c:manualLayout>
                  <c:x val="-3.4110570785797385E-2"/>
                  <c:y val="6.0248411211342723E-2"/>
                </c:manualLayout>
              </c:layout>
              <c:showVal val="1"/>
            </c:dLbl>
            <c:dLbl>
              <c:idx val="6"/>
              <c:layout>
                <c:manualLayout>
                  <c:x val="-3.4722272753588981E-2"/>
                  <c:y val="7.5851981881048636E-2"/>
                </c:manualLayout>
              </c:layout>
              <c:showVal val="1"/>
            </c:dLbl>
            <c:showVal val="1"/>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Лист1!$C$2:$C$8</c:f>
              <c:numCache>
                <c:formatCode>0.00</c:formatCode>
                <c:ptCount val="7"/>
                <c:pt idx="0">
                  <c:v>1.7700912063328158</c:v>
                </c:pt>
                <c:pt idx="1">
                  <c:v>1.7179880386443798</c:v>
                </c:pt>
                <c:pt idx="2">
                  <c:v>1.8740348221044658</c:v>
                </c:pt>
                <c:pt idx="3">
                  <c:v>1.7663806552262091</c:v>
                </c:pt>
                <c:pt idx="4">
                  <c:v>1.6691652470187393</c:v>
                </c:pt>
                <c:pt idx="5">
                  <c:v>1.6670067333197307</c:v>
                </c:pt>
                <c:pt idx="6">
                  <c:v>1.7039788338251756</c:v>
                </c:pt>
              </c:numCache>
            </c:numRef>
          </c:val>
        </c:ser>
        <c:marker val="1"/>
        <c:axId val="50320896"/>
        <c:axId val="50322432"/>
      </c:lineChart>
      <c:catAx>
        <c:axId val="50320896"/>
        <c:scaling>
          <c:orientation val="minMax"/>
        </c:scaling>
        <c:axPos val="b"/>
        <c:numFmt formatCode="General" sourceLinked="1"/>
        <c:tickLblPos val="nextTo"/>
        <c:txPr>
          <a:bodyPr/>
          <a:lstStyle/>
          <a:p>
            <a:pPr>
              <a:defRPr sz="1100">
                <a:latin typeface="Times New Roman" pitchFamily="18" charset="0"/>
                <a:cs typeface="Times New Roman" pitchFamily="18" charset="0"/>
              </a:defRPr>
            </a:pPr>
            <a:endParaRPr lang="ru-RU"/>
          </a:p>
        </c:txPr>
        <c:crossAx val="50322432"/>
        <c:crosses val="autoZero"/>
        <c:auto val="1"/>
        <c:lblAlgn val="ctr"/>
        <c:lblOffset val="100"/>
      </c:catAx>
      <c:valAx>
        <c:axId val="50322432"/>
        <c:scaling>
          <c:orientation val="minMax"/>
        </c:scaling>
        <c:axPos val="l"/>
        <c:numFmt formatCode="0.0" sourceLinked="0"/>
        <c:tickLblPos val="nextTo"/>
        <c:txPr>
          <a:bodyPr/>
          <a:lstStyle/>
          <a:p>
            <a:pPr>
              <a:defRPr sz="1100">
                <a:latin typeface="Times New Roman" pitchFamily="18" charset="0"/>
                <a:cs typeface="Times New Roman" pitchFamily="18" charset="0"/>
              </a:defRPr>
            </a:pPr>
            <a:endParaRPr lang="ru-RU"/>
          </a:p>
        </c:txPr>
        <c:crossAx val="50320896"/>
        <c:crosses val="autoZero"/>
        <c:crossBetween val="between"/>
      </c:valAx>
      <c:spPr>
        <a:noFill/>
        <a:ln w="25400">
          <a:noFill/>
        </a:ln>
      </c:spPr>
    </c:plotArea>
    <c:legend>
      <c:legendPos val="b"/>
      <c:layout>
        <c:manualLayout>
          <c:xMode val="edge"/>
          <c:yMode val="edge"/>
          <c:x val="0"/>
          <c:y val="0.79073566246273974"/>
          <c:w val="0.99868413790791066"/>
          <c:h val="0.18307916172021321"/>
        </c:manualLayout>
      </c:layout>
      <c:txPr>
        <a:bodyPr/>
        <a:lstStyle/>
        <a:p>
          <a:pPr>
            <a:lnSpc>
              <a:spcPct val="100000"/>
            </a:lnSpc>
            <a:defRPr sz="1050">
              <a:latin typeface="Times New Roman" pitchFamily="18" charset="0"/>
              <a:cs typeface="Times New Roman" pitchFamily="18" charset="0"/>
            </a:defRPr>
          </a:pPr>
          <a:endParaRPr lang="ru-RU"/>
        </a:p>
      </c:txPr>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7A63B3-CD20-46F7-AA42-5A376278A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7</Pages>
  <Words>2848</Words>
  <Characters>16238</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cp:lastPrinted>2018-03-21T08:25:00Z</cp:lastPrinted>
  <dcterms:created xsi:type="dcterms:W3CDTF">2018-03-20T12:11:00Z</dcterms:created>
  <dcterms:modified xsi:type="dcterms:W3CDTF">2018-03-21T12:49:00Z</dcterms:modified>
</cp:coreProperties>
</file>