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17EDA68" w14:textId="0D75D275" w:rsidR="001965AF" w:rsidRPr="006C3A31" w:rsidRDefault="001965AF" w:rsidP="001965AF">
      <w:pPr>
        <w:spacing w:after="0" w:line="240" w:lineRule="auto"/>
        <w:ind w:firstLine="709"/>
        <w:rPr>
          <w:rFonts w:ascii="Times New Roman" w:hAnsi="Times New Roman" w:cs="Times New Roman"/>
          <w:b/>
          <w:bCs/>
          <w:sz w:val="24"/>
          <w:szCs w:val="24"/>
        </w:rPr>
      </w:pPr>
      <w:r>
        <w:rPr>
          <w:rFonts w:ascii="Times New Roman" w:hAnsi="Times New Roman" w:cs="Times New Roman"/>
          <w:b/>
          <w:bCs/>
          <w:sz w:val="24"/>
          <w:szCs w:val="24"/>
        </w:rPr>
        <w:t>УДК</w:t>
      </w:r>
      <w:r w:rsidR="00765542">
        <w:rPr>
          <w:rFonts w:ascii="Times New Roman" w:hAnsi="Times New Roman" w:cs="Times New Roman"/>
          <w:b/>
          <w:bCs/>
          <w:sz w:val="24"/>
          <w:szCs w:val="24"/>
        </w:rPr>
        <w:t xml:space="preserve"> </w:t>
      </w:r>
      <w:r>
        <w:rPr>
          <w:rFonts w:ascii="Times New Roman" w:hAnsi="Times New Roman" w:cs="Times New Roman"/>
          <w:b/>
          <w:bCs/>
          <w:sz w:val="24"/>
          <w:szCs w:val="24"/>
        </w:rPr>
        <w:t>338.23</w:t>
      </w:r>
      <w:r w:rsidR="006C3A31" w:rsidRPr="006C3A31">
        <w:rPr>
          <w:rFonts w:ascii="Times New Roman" w:hAnsi="Times New Roman" w:cs="Times New Roman"/>
          <w:b/>
          <w:bCs/>
          <w:sz w:val="24"/>
          <w:szCs w:val="24"/>
        </w:rPr>
        <w:t>/</w:t>
      </w:r>
      <w:r w:rsidR="006C3A31">
        <w:rPr>
          <w:rFonts w:ascii="Times New Roman" w:hAnsi="Times New Roman" w:cs="Times New Roman"/>
          <w:b/>
          <w:bCs/>
          <w:sz w:val="24"/>
          <w:szCs w:val="24"/>
        </w:rPr>
        <w:t>ББК 65.050</w:t>
      </w:r>
    </w:p>
    <w:p w14:paraId="7510DF55" w14:textId="7DA5AD4E" w:rsidR="00765542" w:rsidRDefault="00765542" w:rsidP="00765542">
      <w:pPr>
        <w:spacing w:after="0" w:line="240" w:lineRule="auto"/>
        <w:ind w:firstLine="709"/>
        <w:jc w:val="right"/>
        <w:rPr>
          <w:rFonts w:ascii="Times New Roman" w:hAnsi="Times New Roman" w:cs="Times New Roman"/>
          <w:b/>
          <w:bCs/>
          <w:sz w:val="24"/>
          <w:szCs w:val="24"/>
        </w:rPr>
      </w:pPr>
      <w:r>
        <w:rPr>
          <w:rFonts w:ascii="Times New Roman" w:hAnsi="Times New Roman" w:cs="Times New Roman"/>
          <w:b/>
          <w:bCs/>
          <w:sz w:val="24"/>
          <w:szCs w:val="24"/>
        </w:rPr>
        <w:t>Жирнель Е.В.</w:t>
      </w:r>
    </w:p>
    <w:p w14:paraId="14D72E30" w14:textId="5B4A03C1" w:rsidR="007F1044" w:rsidRPr="001965AF" w:rsidRDefault="001965AF" w:rsidP="001965AF">
      <w:pPr>
        <w:spacing w:after="0" w:line="240" w:lineRule="auto"/>
        <w:ind w:firstLine="709"/>
        <w:jc w:val="center"/>
        <w:rPr>
          <w:rFonts w:ascii="Times New Roman" w:hAnsi="Times New Roman" w:cs="Times New Roman"/>
          <w:b/>
          <w:bCs/>
          <w:sz w:val="24"/>
          <w:szCs w:val="24"/>
        </w:rPr>
      </w:pPr>
      <w:bookmarkStart w:id="0" w:name="_Hlk42460243"/>
      <w:r w:rsidRPr="001965AF">
        <w:rPr>
          <w:rFonts w:ascii="Times New Roman" w:hAnsi="Times New Roman" w:cs="Times New Roman"/>
          <w:b/>
          <w:bCs/>
          <w:sz w:val="24"/>
          <w:szCs w:val="24"/>
        </w:rPr>
        <w:t>ПРОБЛЕМЫ ФИНАНСОВОГО ОБЕСПЕЧЕНИЯ МАЛОГО ТЕХНОЛОГИЧЕСКОГО ПРЕДПРИНИМАТЕЛЬСТВА В РОССИИ НА СОВРЕМЕННОМ ЭТАПЕ</w:t>
      </w:r>
    </w:p>
    <w:p w14:paraId="2B67C9AD" w14:textId="49ABB4F5" w:rsidR="001965AF" w:rsidRPr="006C3A31" w:rsidRDefault="001965AF" w:rsidP="001965AF">
      <w:pPr>
        <w:spacing w:after="0" w:line="240" w:lineRule="auto"/>
        <w:ind w:firstLine="709"/>
        <w:jc w:val="both"/>
        <w:rPr>
          <w:rFonts w:ascii="Times New Roman" w:hAnsi="Times New Roman" w:cs="Times New Roman"/>
          <w:b/>
          <w:bCs/>
          <w:sz w:val="24"/>
          <w:szCs w:val="24"/>
        </w:rPr>
      </w:pPr>
      <w:r w:rsidRPr="006C3A31">
        <w:rPr>
          <w:rFonts w:ascii="Times New Roman" w:hAnsi="Times New Roman" w:cs="Times New Roman"/>
          <w:b/>
          <w:bCs/>
          <w:sz w:val="24"/>
          <w:szCs w:val="24"/>
        </w:rPr>
        <w:t>Аннотация</w:t>
      </w:r>
    </w:p>
    <w:p w14:paraId="64DEEC78" w14:textId="789E0D9C" w:rsidR="001965AF" w:rsidRPr="006C3A31" w:rsidRDefault="006C3A31" w:rsidP="001965AF">
      <w:pPr>
        <w:spacing w:after="0" w:line="240" w:lineRule="auto"/>
        <w:ind w:firstLine="709"/>
        <w:jc w:val="both"/>
        <w:rPr>
          <w:rFonts w:ascii="Times New Roman" w:hAnsi="Times New Roman" w:cs="Times New Roman"/>
          <w:i/>
          <w:iCs/>
          <w:sz w:val="24"/>
          <w:szCs w:val="24"/>
        </w:rPr>
      </w:pPr>
      <w:r w:rsidRPr="006C3A31">
        <w:rPr>
          <w:rFonts w:ascii="Times New Roman" w:hAnsi="Times New Roman" w:cs="Times New Roman"/>
          <w:i/>
          <w:iCs/>
          <w:sz w:val="24"/>
          <w:szCs w:val="24"/>
        </w:rPr>
        <w:t>В статье рассматривается российский рынок кредитования малого и среднего предпринимательства на современном этапе. Проводится анализ банковского сектора, институтов развития федерального и регионального уровней. Дана оценка доступности заёмного финансирования для малых технологич</w:t>
      </w:r>
      <w:r>
        <w:rPr>
          <w:rFonts w:ascii="Times New Roman" w:hAnsi="Times New Roman" w:cs="Times New Roman"/>
          <w:i/>
          <w:iCs/>
          <w:sz w:val="24"/>
          <w:szCs w:val="24"/>
        </w:rPr>
        <w:t>еских</w:t>
      </w:r>
      <w:r w:rsidRPr="006C3A31">
        <w:rPr>
          <w:rFonts w:ascii="Times New Roman" w:hAnsi="Times New Roman" w:cs="Times New Roman"/>
          <w:i/>
          <w:iCs/>
          <w:sz w:val="24"/>
          <w:szCs w:val="24"/>
        </w:rPr>
        <w:t xml:space="preserve"> компаний.</w:t>
      </w:r>
    </w:p>
    <w:p w14:paraId="30A09BA5" w14:textId="37897E19" w:rsidR="006C3A31" w:rsidRPr="006C3A31" w:rsidRDefault="006C3A31" w:rsidP="001965AF">
      <w:pPr>
        <w:spacing w:after="0" w:line="240" w:lineRule="auto"/>
        <w:ind w:firstLine="709"/>
        <w:jc w:val="both"/>
        <w:rPr>
          <w:rFonts w:ascii="Times New Roman" w:hAnsi="Times New Roman" w:cs="Times New Roman"/>
          <w:b/>
          <w:bCs/>
          <w:sz w:val="24"/>
          <w:szCs w:val="24"/>
        </w:rPr>
      </w:pPr>
      <w:r w:rsidRPr="006C3A31">
        <w:rPr>
          <w:rFonts w:ascii="Times New Roman" w:hAnsi="Times New Roman" w:cs="Times New Roman"/>
          <w:b/>
          <w:bCs/>
          <w:sz w:val="24"/>
          <w:szCs w:val="24"/>
        </w:rPr>
        <w:t>Ключевые слова</w:t>
      </w:r>
    </w:p>
    <w:p w14:paraId="70AD6A04" w14:textId="52FA1358" w:rsidR="006C3A31" w:rsidRPr="006C3A31" w:rsidRDefault="006C3A31" w:rsidP="001965AF">
      <w:pPr>
        <w:spacing w:after="0" w:line="240" w:lineRule="auto"/>
        <w:ind w:firstLine="709"/>
        <w:jc w:val="both"/>
        <w:rPr>
          <w:rFonts w:ascii="Times New Roman" w:hAnsi="Times New Roman" w:cs="Times New Roman"/>
          <w:i/>
          <w:iCs/>
          <w:sz w:val="24"/>
          <w:szCs w:val="24"/>
        </w:rPr>
      </w:pPr>
      <w:r w:rsidRPr="006C3A31">
        <w:rPr>
          <w:rFonts w:ascii="Times New Roman" w:hAnsi="Times New Roman" w:cs="Times New Roman"/>
          <w:i/>
          <w:iCs/>
          <w:sz w:val="24"/>
          <w:szCs w:val="24"/>
        </w:rPr>
        <w:t>Малый бизнес, технологическое предпринимательство, финансы, кредит.</w:t>
      </w:r>
    </w:p>
    <w:bookmarkEnd w:id="0"/>
    <w:p w14:paraId="3E00B47E" w14:textId="5CCE1EC6" w:rsidR="00374A7C" w:rsidRDefault="00374A7C"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Малые технологические предприятия являются важной составляющей национальной экономики и глобального рынка инноваций. С одной стороны, такие предприятия выполняют роль поставщиков инноваций для крупных корпораций, с другой – обладают высоким потенциалом для роста и капитализации. В современной экономике масса примеров, когда именно малые инновационные предприятия за короткий период становились глобальными игроками на рынке высоких технологий.</w:t>
      </w:r>
    </w:p>
    <w:p w14:paraId="050DADB7" w14:textId="3BCBEF69" w:rsidR="00374A7C" w:rsidRDefault="00374A7C"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российских условиях малое технологическое </w:t>
      </w:r>
      <w:r w:rsidR="006F70A9">
        <w:rPr>
          <w:rFonts w:ascii="Times New Roman" w:hAnsi="Times New Roman" w:cs="Times New Roman"/>
          <w:sz w:val="24"/>
          <w:szCs w:val="24"/>
        </w:rPr>
        <w:t xml:space="preserve">предпринимательство, кроме этого, </w:t>
      </w:r>
      <w:r>
        <w:rPr>
          <w:rFonts w:ascii="Times New Roman" w:hAnsi="Times New Roman" w:cs="Times New Roman"/>
          <w:sz w:val="24"/>
          <w:szCs w:val="24"/>
        </w:rPr>
        <w:t xml:space="preserve">обеспечивает импортозамещение </w:t>
      </w:r>
      <w:r w:rsidR="006F70A9">
        <w:rPr>
          <w:rFonts w:ascii="Times New Roman" w:hAnsi="Times New Roman" w:cs="Times New Roman"/>
          <w:sz w:val="24"/>
          <w:szCs w:val="24"/>
        </w:rPr>
        <w:t>как на потребительском рынке, так и на рынке средств производства. Однако доля таких компаний в российской экономике на протяжении последних десятилетий остаётся крайне низкой. Одной из проблем, сдерживающих развитие малого технологического предпринимательства, является отсутствие доступного заёмного финансирования.</w:t>
      </w:r>
    </w:p>
    <w:p w14:paraId="19AC6DA2" w14:textId="586CD838" w:rsidR="006F70A9" w:rsidRDefault="006F70A9"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Основными источниками </w:t>
      </w:r>
      <w:r w:rsidR="00A96E14">
        <w:rPr>
          <w:rFonts w:ascii="Times New Roman" w:hAnsi="Times New Roman" w:cs="Times New Roman"/>
          <w:sz w:val="24"/>
          <w:szCs w:val="24"/>
        </w:rPr>
        <w:t xml:space="preserve">заёмного </w:t>
      </w:r>
      <w:r>
        <w:rPr>
          <w:rFonts w:ascii="Times New Roman" w:hAnsi="Times New Roman" w:cs="Times New Roman"/>
          <w:sz w:val="24"/>
          <w:szCs w:val="24"/>
        </w:rPr>
        <w:t>финансового обеспечения малого технологического предпринимательства являются:</w:t>
      </w:r>
    </w:p>
    <w:p w14:paraId="1CA8ECA1" w14:textId="4A9AE84B" w:rsidR="006F70A9" w:rsidRDefault="006F70A9" w:rsidP="001965AF">
      <w:pPr>
        <w:pStyle w:val="a5"/>
        <w:numPr>
          <w:ilvl w:val="0"/>
          <w:numId w:val="3"/>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коммерческие кредиты и займы государственных микрофинансовых организаций</w:t>
      </w:r>
      <w:r w:rsidR="005210FE">
        <w:rPr>
          <w:rFonts w:ascii="Times New Roman" w:hAnsi="Times New Roman" w:cs="Times New Roman"/>
          <w:sz w:val="24"/>
          <w:szCs w:val="24"/>
        </w:rPr>
        <w:t xml:space="preserve"> (далее - МФО)</w:t>
      </w:r>
      <w:r>
        <w:rPr>
          <w:rFonts w:ascii="Times New Roman" w:hAnsi="Times New Roman" w:cs="Times New Roman"/>
          <w:sz w:val="24"/>
          <w:szCs w:val="24"/>
        </w:rPr>
        <w:t>;</w:t>
      </w:r>
    </w:p>
    <w:p w14:paraId="7660964C" w14:textId="45C5DB84" w:rsidR="006F70A9" w:rsidRDefault="006F70A9" w:rsidP="001965AF">
      <w:pPr>
        <w:pStyle w:val="a5"/>
        <w:numPr>
          <w:ilvl w:val="0"/>
          <w:numId w:val="3"/>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государственные гранты;</w:t>
      </w:r>
    </w:p>
    <w:p w14:paraId="5283312A" w14:textId="183F2F63" w:rsidR="006F70A9" w:rsidRPr="006F70A9" w:rsidRDefault="00A96E14" w:rsidP="001965AF">
      <w:pPr>
        <w:pStyle w:val="a5"/>
        <w:numPr>
          <w:ilvl w:val="0"/>
          <w:numId w:val="3"/>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венчурные инвестиции (венчурные компании</w:t>
      </w:r>
      <w:r w:rsidR="00004B54">
        <w:rPr>
          <w:rFonts w:ascii="Times New Roman" w:hAnsi="Times New Roman" w:cs="Times New Roman"/>
          <w:sz w:val="24"/>
          <w:szCs w:val="24"/>
        </w:rPr>
        <w:t>, фонды</w:t>
      </w:r>
      <w:r>
        <w:rPr>
          <w:rFonts w:ascii="Times New Roman" w:hAnsi="Times New Roman" w:cs="Times New Roman"/>
          <w:sz w:val="24"/>
          <w:szCs w:val="24"/>
        </w:rPr>
        <w:t>, бизнес-ангелы).</w:t>
      </w:r>
    </w:p>
    <w:p w14:paraId="451EEFDA" w14:textId="3527030B" w:rsidR="00A96E14" w:rsidRDefault="00A96E14"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Рассмотрим первый источник финансирования, как наиболее распространённый и наиболее доступный для малого предпринимательства.</w:t>
      </w:r>
    </w:p>
    <w:p w14:paraId="27ECF022" w14:textId="2DFD1525" w:rsidR="00A96E14" w:rsidRDefault="00F05DB1"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24 декабря 2018 года президиумом Совета при Президенте Российской Федерации по стратегическому развитию и национальным проектам</w:t>
      </w:r>
      <w:r w:rsidRPr="00F05DB1">
        <w:rPr>
          <w:rFonts w:ascii="Times New Roman" w:hAnsi="Times New Roman" w:cs="Times New Roman"/>
          <w:sz w:val="24"/>
          <w:szCs w:val="24"/>
        </w:rPr>
        <w:t xml:space="preserve"> </w:t>
      </w:r>
      <w:r>
        <w:rPr>
          <w:rFonts w:ascii="Times New Roman" w:hAnsi="Times New Roman" w:cs="Times New Roman"/>
          <w:sz w:val="24"/>
          <w:szCs w:val="24"/>
        </w:rPr>
        <w:t>был утвержден</w:t>
      </w:r>
      <w:r w:rsidRPr="00F05DB1">
        <w:rPr>
          <w:rFonts w:ascii="Times New Roman" w:hAnsi="Times New Roman" w:cs="Times New Roman"/>
          <w:sz w:val="24"/>
          <w:szCs w:val="24"/>
        </w:rPr>
        <w:t xml:space="preserve"> </w:t>
      </w:r>
      <w:r>
        <w:rPr>
          <w:rFonts w:ascii="Times New Roman" w:hAnsi="Times New Roman" w:cs="Times New Roman"/>
          <w:sz w:val="24"/>
          <w:szCs w:val="24"/>
        </w:rPr>
        <w:t xml:space="preserve">национальный проект «Малое и среднее предпринимательство и поддержка индивидуальной предпринимательской инициативы». Один из пяти федеральных проектов в его составе посвящен повышению доступности финансовой поддержки для субъектов </w:t>
      </w:r>
      <w:r w:rsidR="00FD0E33">
        <w:rPr>
          <w:rFonts w:ascii="Times New Roman" w:hAnsi="Times New Roman" w:cs="Times New Roman"/>
          <w:sz w:val="24"/>
          <w:szCs w:val="24"/>
        </w:rPr>
        <w:t xml:space="preserve">малого и среднего предпринимательства (далее – </w:t>
      </w:r>
      <w:r>
        <w:rPr>
          <w:rFonts w:ascii="Times New Roman" w:hAnsi="Times New Roman" w:cs="Times New Roman"/>
          <w:sz w:val="24"/>
          <w:szCs w:val="24"/>
        </w:rPr>
        <w:t>МСП</w:t>
      </w:r>
      <w:r w:rsidR="00FD0E33">
        <w:rPr>
          <w:rFonts w:ascii="Times New Roman" w:hAnsi="Times New Roman" w:cs="Times New Roman"/>
          <w:sz w:val="24"/>
          <w:szCs w:val="24"/>
        </w:rPr>
        <w:t>)</w:t>
      </w:r>
      <w:r>
        <w:rPr>
          <w:rFonts w:ascii="Times New Roman" w:hAnsi="Times New Roman" w:cs="Times New Roman"/>
          <w:sz w:val="24"/>
          <w:szCs w:val="24"/>
        </w:rPr>
        <w:t xml:space="preserve"> – «Расширение доступа субъектов МСП к финансовым ресурсам, в том числе льготному финансированию».</w:t>
      </w:r>
    </w:p>
    <w:p w14:paraId="52610CC2" w14:textId="30BD6F2F" w:rsidR="009532AA" w:rsidRDefault="00F05DB1"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М</w:t>
      </w:r>
      <w:r w:rsidR="00385DC9">
        <w:rPr>
          <w:rFonts w:ascii="Times New Roman" w:hAnsi="Times New Roman" w:cs="Times New Roman"/>
          <w:sz w:val="24"/>
          <w:szCs w:val="24"/>
        </w:rPr>
        <w:t xml:space="preserve">ероприятия </w:t>
      </w:r>
      <w:r>
        <w:rPr>
          <w:rFonts w:ascii="Times New Roman" w:hAnsi="Times New Roman" w:cs="Times New Roman"/>
          <w:sz w:val="24"/>
          <w:szCs w:val="24"/>
        </w:rPr>
        <w:t xml:space="preserve">федерального проекта </w:t>
      </w:r>
      <w:r w:rsidR="00385DC9">
        <w:rPr>
          <w:rFonts w:ascii="Times New Roman" w:hAnsi="Times New Roman" w:cs="Times New Roman"/>
          <w:sz w:val="24"/>
          <w:szCs w:val="24"/>
        </w:rPr>
        <w:t xml:space="preserve">можно сгруппировать в рамках следующих направлений: гарантийная поддержка, займы государственных микрокредитных компаний, лизинг, льготные кредиты коммерческих банков. При этом </w:t>
      </w:r>
      <w:r>
        <w:rPr>
          <w:rFonts w:ascii="Times New Roman" w:hAnsi="Times New Roman" w:cs="Times New Roman"/>
          <w:sz w:val="24"/>
          <w:szCs w:val="24"/>
        </w:rPr>
        <w:t>существуют</w:t>
      </w:r>
      <w:r w:rsidR="00385DC9">
        <w:rPr>
          <w:rFonts w:ascii="Times New Roman" w:hAnsi="Times New Roman" w:cs="Times New Roman"/>
          <w:sz w:val="24"/>
          <w:szCs w:val="24"/>
        </w:rPr>
        <w:t xml:space="preserve"> два уровня поддержки – федеральный (федеральные институты развития и крупные банки) и региональный (региональные гарантийные и микрокредитные организации)</w:t>
      </w:r>
      <w:r w:rsidR="001965AF" w:rsidRPr="001965AF">
        <w:rPr>
          <w:rFonts w:ascii="Times New Roman" w:hAnsi="Times New Roman" w:cs="Times New Roman"/>
          <w:sz w:val="24"/>
          <w:szCs w:val="24"/>
        </w:rPr>
        <w:t xml:space="preserve"> [3]</w:t>
      </w:r>
      <w:r w:rsidR="00385DC9">
        <w:rPr>
          <w:rFonts w:ascii="Times New Roman" w:hAnsi="Times New Roman" w:cs="Times New Roman"/>
          <w:sz w:val="24"/>
          <w:szCs w:val="24"/>
        </w:rPr>
        <w:t>.</w:t>
      </w:r>
    </w:p>
    <w:p w14:paraId="4F0F4A6C" w14:textId="77777777" w:rsidR="00F05DB1" w:rsidRPr="00AD3A53" w:rsidRDefault="00F05DB1"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целях финансирования программы льготного кредитования субъектов МСП коммерческими банками было принято </w:t>
      </w:r>
      <w:r w:rsidRPr="00AD3A53">
        <w:rPr>
          <w:rFonts w:ascii="Times New Roman" w:hAnsi="Times New Roman" w:cs="Times New Roman"/>
          <w:sz w:val="24"/>
          <w:szCs w:val="24"/>
        </w:rPr>
        <w:t>Постановление Правительства РФ от 30 декабря 2018</w:t>
      </w:r>
      <w:r>
        <w:rPr>
          <w:rFonts w:ascii="Times New Roman" w:hAnsi="Times New Roman" w:cs="Times New Roman"/>
          <w:sz w:val="24"/>
          <w:szCs w:val="24"/>
        </w:rPr>
        <w:t xml:space="preserve"> </w:t>
      </w:r>
      <w:r w:rsidRPr="00AD3A53">
        <w:rPr>
          <w:rFonts w:ascii="Times New Roman" w:hAnsi="Times New Roman" w:cs="Times New Roman"/>
          <w:sz w:val="24"/>
          <w:szCs w:val="24"/>
        </w:rPr>
        <w:t>г. №</w:t>
      </w:r>
      <w:r>
        <w:rPr>
          <w:rFonts w:ascii="Times New Roman" w:hAnsi="Times New Roman" w:cs="Times New Roman"/>
          <w:sz w:val="24"/>
          <w:szCs w:val="24"/>
        </w:rPr>
        <w:t xml:space="preserve"> </w:t>
      </w:r>
      <w:r w:rsidRPr="00AD3A53">
        <w:rPr>
          <w:rFonts w:ascii="Times New Roman" w:hAnsi="Times New Roman" w:cs="Times New Roman"/>
          <w:sz w:val="24"/>
          <w:szCs w:val="24"/>
        </w:rPr>
        <w:t xml:space="preserve">1764 </w:t>
      </w:r>
      <w:r>
        <w:rPr>
          <w:rFonts w:ascii="Times New Roman" w:hAnsi="Times New Roman" w:cs="Times New Roman"/>
          <w:sz w:val="24"/>
          <w:szCs w:val="24"/>
        </w:rPr>
        <w:t>«</w:t>
      </w:r>
      <w:r w:rsidRPr="00AD3A53">
        <w:rPr>
          <w:rFonts w:ascii="Times New Roman" w:hAnsi="Times New Roman" w:cs="Times New Roman"/>
          <w:sz w:val="24"/>
          <w:szCs w:val="24"/>
        </w:rPr>
        <w:t>Об утверждении Правил предоставления субсидий из федерального бюджета российским кредитным организациям на возмещение недополученных ими доходов по кредитам, выданным в 2019 - 2024 годах субъектам малого и среднего предпринимательства по льготной ставке</w:t>
      </w:r>
      <w:r>
        <w:rPr>
          <w:rFonts w:ascii="Times New Roman" w:hAnsi="Times New Roman" w:cs="Times New Roman"/>
          <w:sz w:val="24"/>
          <w:szCs w:val="24"/>
        </w:rPr>
        <w:t>».</w:t>
      </w:r>
    </w:p>
    <w:p w14:paraId="18A6F8B7" w14:textId="7E8D515C" w:rsidR="00F05DB1" w:rsidRDefault="00F05DB1" w:rsidP="001965AF">
      <w:pPr>
        <w:spacing w:after="0" w:line="240" w:lineRule="auto"/>
        <w:ind w:firstLine="709"/>
        <w:jc w:val="both"/>
        <w:rPr>
          <w:rFonts w:ascii="Times New Roman" w:hAnsi="Times New Roman" w:cs="Times New Roman"/>
          <w:sz w:val="24"/>
          <w:szCs w:val="24"/>
        </w:rPr>
      </w:pPr>
      <w:r w:rsidRPr="00AD3A53">
        <w:rPr>
          <w:rFonts w:ascii="Times New Roman" w:hAnsi="Times New Roman" w:cs="Times New Roman"/>
          <w:sz w:val="24"/>
          <w:szCs w:val="24"/>
        </w:rPr>
        <w:t xml:space="preserve">Настоящие Правила устанавливают цели, условия и порядок предоставления субсидий из федерального бюджета российским кредитным организациям на возмещение </w:t>
      </w:r>
      <w:r w:rsidRPr="00AD3A53">
        <w:rPr>
          <w:rFonts w:ascii="Times New Roman" w:hAnsi="Times New Roman" w:cs="Times New Roman"/>
          <w:sz w:val="24"/>
          <w:szCs w:val="24"/>
        </w:rPr>
        <w:lastRenderedPageBreak/>
        <w:t xml:space="preserve">недополученных ими доходов по кредитам, выданным в 2019 - 2024 годах субъектам </w:t>
      </w:r>
      <w:r>
        <w:rPr>
          <w:rFonts w:ascii="Times New Roman" w:hAnsi="Times New Roman" w:cs="Times New Roman"/>
          <w:sz w:val="24"/>
          <w:szCs w:val="24"/>
        </w:rPr>
        <w:t>МСП</w:t>
      </w:r>
      <w:r w:rsidRPr="00AD3A53">
        <w:rPr>
          <w:rFonts w:ascii="Times New Roman" w:hAnsi="Times New Roman" w:cs="Times New Roman"/>
          <w:sz w:val="24"/>
          <w:szCs w:val="24"/>
        </w:rPr>
        <w:t xml:space="preserve"> по льготной ставке</w:t>
      </w:r>
      <w:r w:rsidR="007D4B80">
        <w:rPr>
          <w:rFonts w:ascii="Times New Roman" w:hAnsi="Times New Roman" w:cs="Times New Roman"/>
          <w:sz w:val="24"/>
          <w:szCs w:val="24"/>
        </w:rPr>
        <w:t xml:space="preserve"> («Программа 8,5»)</w:t>
      </w:r>
      <w:r w:rsidRPr="00AD3A53">
        <w:rPr>
          <w:rFonts w:ascii="Times New Roman" w:hAnsi="Times New Roman" w:cs="Times New Roman"/>
          <w:sz w:val="24"/>
          <w:szCs w:val="24"/>
        </w:rPr>
        <w:t>.</w:t>
      </w:r>
    </w:p>
    <w:p w14:paraId="58A03209" w14:textId="53D142F8" w:rsidR="00F05DB1" w:rsidRDefault="00F05DB1"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Льготные кредиты по ставке 8,5% выдаются субъектам МСП, а также физическим лицам, применяющим специальный налоговый режим «Налог на профессиональный доход», из списка приоритетных отраслей (видов деятельности). Данный список включает наиболее распространённые сферы предпринимательской деятельности от обрабатывающего производства и сельского хозяйства до сферы бытовых услуг и аренды имущества. Кредит предоставляется заёмщику на инвестиционные цели, пополнение оборотных средств, или рефинансирование задолженности по инвестиционным кредитам на следующих условиях:</w:t>
      </w:r>
    </w:p>
    <w:p w14:paraId="14AC6DE5" w14:textId="77777777" w:rsidR="00F05DB1" w:rsidRDefault="00F05DB1" w:rsidP="001965AF">
      <w:pPr>
        <w:pStyle w:val="a5"/>
        <w:numPr>
          <w:ilvl w:val="0"/>
          <w:numId w:val="2"/>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Инвестиционный кредит – от 0,5 млн. рублей до 2 млрд. рублей на срок до 10 лет;</w:t>
      </w:r>
    </w:p>
    <w:p w14:paraId="3600AFE0" w14:textId="77777777" w:rsidR="00F05DB1" w:rsidRDefault="00F05DB1" w:rsidP="001965AF">
      <w:pPr>
        <w:pStyle w:val="a5"/>
        <w:numPr>
          <w:ilvl w:val="0"/>
          <w:numId w:val="2"/>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Оборотный кредит – от 0,5 млн. рублей до 500 млн. рублей на срок до 3 лет;</w:t>
      </w:r>
    </w:p>
    <w:p w14:paraId="5367FB5E" w14:textId="77777777" w:rsidR="00F05DB1" w:rsidRDefault="00F05DB1" w:rsidP="001965AF">
      <w:pPr>
        <w:pStyle w:val="a5"/>
        <w:numPr>
          <w:ilvl w:val="0"/>
          <w:numId w:val="2"/>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Рефинансирование – не более срока рефинансируемого кредита.</w:t>
      </w:r>
    </w:p>
    <w:p w14:paraId="57231A91" w14:textId="77777777" w:rsidR="00F05DB1" w:rsidRPr="00177B4F" w:rsidRDefault="00F05DB1"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январе 2020 года данная программа льготного кредитования была дополнена новым видом кредита – «на развитие предпринимательской деятельности», который выдается по ставке 9,95% на сумму до 10 млн. рублей на срок до 5 лет и не имеет ограничений по сфере деятельности заёмщика.</w:t>
      </w:r>
    </w:p>
    <w:p w14:paraId="78BF0936" w14:textId="77777777" w:rsidR="00F05DB1" w:rsidRDefault="00F05DB1"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 начало 2020 года 99 банков принимали участие в программе льготного кредитования под 8,5%.</w:t>
      </w:r>
    </w:p>
    <w:p w14:paraId="0078F28F" w14:textId="64C0242C" w:rsidR="00CE0537" w:rsidRDefault="00CE0537"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2019 году наблюдался рост кредитования субъектов МСП банками, которые выдали максимальный за последние шесть лет объем кредитов – 7,8 трлн. рублей. На 1 января 2020 года кредитный портфель МСБ составил 4,7 трлн. рублей, показав положительную динамику впервые с 2014 года (+12% к предыдущему году). При этом в сегменте крупного бизнеса такого прироста не наблюдалось, что свидетельствует об активизации банков именно на рынке кредитования МСП. Этому способствовало повышение доступности кредитов, обусловленное снижением ключевой ставки Центрального банка Российской федерации (далее ЦБ РФ) и реализацией государственных программ поддержки МСП</w:t>
      </w:r>
      <w:r w:rsidR="001965AF" w:rsidRPr="001965AF">
        <w:rPr>
          <w:rFonts w:ascii="Times New Roman" w:hAnsi="Times New Roman" w:cs="Times New Roman"/>
          <w:sz w:val="24"/>
          <w:szCs w:val="24"/>
        </w:rPr>
        <w:t xml:space="preserve"> [4]</w:t>
      </w:r>
      <w:r>
        <w:rPr>
          <w:rFonts w:ascii="Times New Roman" w:hAnsi="Times New Roman" w:cs="Times New Roman"/>
          <w:sz w:val="24"/>
          <w:szCs w:val="24"/>
        </w:rPr>
        <w:t>.</w:t>
      </w:r>
    </w:p>
    <w:p w14:paraId="715361EE" w14:textId="11DA3829" w:rsidR="009305F1" w:rsidRDefault="00F05DB1"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При том, что данная программа поддержки коммерческих банков оказала существенное влияние на увеличение портфеля кредитов малого и среднего бизнеса, следует отметить, что для </w:t>
      </w:r>
      <w:r w:rsidR="00FD0E33">
        <w:rPr>
          <w:rFonts w:ascii="Times New Roman" w:hAnsi="Times New Roman" w:cs="Times New Roman"/>
          <w:sz w:val="24"/>
          <w:szCs w:val="24"/>
        </w:rPr>
        <w:t xml:space="preserve">вновь созданных </w:t>
      </w:r>
      <w:r>
        <w:rPr>
          <w:rFonts w:ascii="Times New Roman" w:hAnsi="Times New Roman" w:cs="Times New Roman"/>
          <w:sz w:val="24"/>
          <w:szCs w:val="24"/>
        </w:rPr>
        <w:t>технологических предприятий такие кредиты недоступны. Главной проблемой их получения является</w:t>
      </w:r>
      <w:r w:rsidR="00FD0E33">
        <w:rPr>
          <w:rFonts w:ascii="Times New Roman" w:hAnsi="Times New Roman" w:cs="Times New Roman"/>
          <w:sz w:val="24"/>
          <w:szCs w:val="24"/>
        </w:rPr>
        <w:t xml:space="preserve"> отсутствие положительной кредитной истории в банке,</w:t>
      </w:r>
      <w:r>
        <w:rPr>
          <w:rFonts w:ascii="Times New Roman" w:hAnsi="Times New Roman" w:cs="Times New Roman"/>
          <w:sz w:val="24"/>
          <w:szCs w:val="24"/>
        </w:rPr>
        <w:t xml:space="preserve"> обеспечение кредита залоговым имуществом и </w:t>
      </w:r>
      <w:r w:rsidR="00FD0E33">
        <w:rPr>
          <w:rFonts w:ascii="Times New Roman" w:hAnsi="Times New Roman" w:cs="Times New Roman"/>
          <w:sz w:val="24"/>
          <w:szCs w:val="24"/>
        </w:rPr>
        <w:t>наличие достаточных денежных оборотов. Другими словами, коммерческие банки не готовы брать на себя риски технологических компаний. Государственная поддержка банков рассчитана лишь на снижение процентной ставки для субъектов МСП. Хотя ставка 8,5% также является высокой для капиталоёмких видов бизнеса и предприятий с низкой оборачиваемостью капитала.</w:t>
      </w:r>
    </w:p>
    <w:p w14:paraId="7008CBD8" w14:textId="77777777" w:rsidR="00CE0537" w:rsidRDefault="00CE0537"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Финансовое обеспечение малых технологичных компаний имеет свою специфику. Далеко не всегда такая компания подходит под стандартные требования крупного банка. В то же время в России отсутствуют коммерческие банки, которые бы специализировались на кредитовании малых технологичных компаний. Более того, в</w:t>
      </w:r>
      <w:r w:rsidR="0013043E">
        <w:rPr>
          <w:rFonts w:ascii="Times New Roman" w:hAnsi="Times New Roman" w:cs="Times New Roman"/>
          <w:sz w:val="24"/>
          <w:szCs w:val="24"/>
        </w:rPr>
        <w:t xml:space="preserve"> последние годы наблюдается устойчивая тенденция концентрации портфеля кредитов МСП в крупнейших банках страны.</w:t>
      </w:r>
    </w:p>
    <w:p w14:paraId="1BDF9C74" w14:textId="24661539" w:rsidR="00646139" w:rsidRDefault="0013043E"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 на топ-30 банков сегодня приходится около 80% кредитов малому и среднему бизнесу</w:t>
      </w:r>
      <w:r w:rsidR="00B86D88">
        <w:rPr>
          <w:rFonts w:ascii="Times New Roman" w:hAnsi="Times New Roman" w:cs="Times New Roman"/>
          <w:sz w:val="24"/>
          <w:szCs w:val="24"/>
        </w:rPr>
        <w:t>, хотя ещё пять лет назад их доля не превышала 50%</w:t>
      </w:r>
      <w:r w:rsidR="00712EA2">
        <w:rPr>
          <w:rFonts w:ascii="Times New Roman" w:hAnsi="Times New Roman" w:cs="Times New Roman"/>
          <w:sz w:val="24"/>
          <w:szCs w:val="24"/>
        </w:rPr>
        <w:t xml:space="preserve">. При этом и в портфеле кредитов топ-30 </w:t>
      </w:r>
      <w:r w:rsidR="008D4278">
        <w:rPr>
          <w:rFonts w:ascii="Times New Roman" w:hAnsi="Times New Roman" w:cs="Times New Roman"/>
          <w:sz w:val="24"/>
          <w:szCs w:val="24"/>
        </w:rPr>
        <w:t xml:space="preserve">доминируют два банка - </w:t>
      </w:r>
      <w:r w:rsidR="00712EA2">
        <w:rPr>
          <w:rFonts w:ascii="Times New Roman" w:hAnsi="Times New Roman" w:cs="Times New Roman"/>
          <w:sz w:val="24"/>
          <w:szCs w:val="24"/>
        </w:rPr>
        <w:t>ПАО Сбербанк и Банк «ВТБ»</w:t>
      </w:r>
      <w:r w:rsidR="008D4278">
        <w:rPr>
          <w:rFonts w:ascii="Times New Roman" w:hAnsi="Times New Roman" w:cs="Times New Roman"/>
          <w:sz w:val="24"/>
          <w:szCs w:val="24"/>
        </w:rPr>
        <w:t>, их совместная доля здесь составляет 71%. Несомненным лидером по кредитованию МСП является Сбербанк, кредитный портфель которого за 2019 год составил 1,7 трлн. рублей, увеличившись за год на 32%</w:t>
      </w:r>
      <w:r w:rsidR="00DC073E">
        <w:rPr>
          <w:rFonts w:ascii="Times New Roman" w:hAnsi="Times New Roman" w:cs="Times New Roman"/>
          <w:sz w:val="24"/>
          <w:szCs w:val="24"/>
        </w:rPr>
        <w:t>. Важно отметить, что именно за счёт этих двух банков в 2019 году произошёл прирост совокупного портфеля кредитов МСП</w:t>
      </w:r>
      <w:r w:rsidR="00B86D88">
        <w:rPr>
          <w:rFonts w:ascii="Times New Roman" w:hAnsi="Times New Roman" w:cs="Times New Roman"/>
          <w:sz w:val="24"/>
          <w:szCs w:val="24"/>
        </w:rPr>
        <w:t>.</w:t>
      </w:r>
    </w:p>
    <w:p w14:paraId="65A78719" w14:textId="22FB44AD" w:rsidR="008F4686" w:rsidRDefault="00E96266"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Кроме того, с</w:t>
      </w:r>
      <w:r w:rsidR="00893C6C">
        <w:rPr>
          <w:rFonts w:ascii="Times New Roman" w:hAnsi="Times New Roman" w:cs="Times New Roman"/>
          <w:sz w:val="24"/>
          <w:szCs w:val="24"/>
        </w:rPr>
        <w:t xml:space="preserve">ледует отметить пространственную неравномерность распределения кредитного портфеля, значительная часть которого </w:t>
      </w:r>
      <w:r w:rsidR="008F4686">
        <w:rPr>
          <w:rFonts w:ascii="Times New Roman" w:hAnsi="Times New Roman" w:cs="Times New Roman"/>
          <w:sz w:val="24"/>
          <w:szCs w:val="24"/>
        </w:rPr>
        <w:t xml:space="preserve">(44,3%) сосредоточена в Центральном федеральном округе (далее ФО). При этом на Москву, при её доле в общем количестве субъектов МСП 12,7%, приходится 27% от общего кредитного портфеля. </w:t>
      </w:r>
    </w:p>
    <w:p w14:paraId="5A03AEA2" w14:textId="3647D881" w:rsidR="00FA168C" w:rsidRPr="00AE57B1" w:rsidRDefault="00E96266"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Всего н</w:t>
      </w:r>
      <w:r w:rsidR="00B946F1">
        <w:rPr>
          <w:rFonts w:ascii="Times New Roman" w:hAnsi="Times New Roman" w:cs="Times New Roman"/>
          <w:sz w:val="24"/>
          <w:szCs w:val="24"/>
        </w:rPr>
        <w:t xml:space="preserve">а 01.01.2020 г. зафиксировано 275 238 субъектов МСП, имеющих кредиты (из них юридические лица – 122 746, индивидуальные предприниматели – 152 492), в том числе микропредприятий – 232 177, малых предприятий – 37 527, средних – 5 534. В едином реестре субъектов МСП Федеральной налоговой службы находятся 5 979 899 субъектов МСП. Таким образом, действующие кредиты имеют только 4,6% субъектов МСП. </w:t>
      </w:r>
      <w:r w:rsidR="00FA168C">
        <w:rPr>
          <w:rFonts w:ascii="Times New Roman" w:hAnsi="Times New Roman" w:cs="Times New Roman"/>
          <w:sz w:val="24"/>
          <w:szCs w:val="24"/>
        </w:rPr>
        <w:t>В реальности эта доля ещё ниже, так как не все действующие субъекты МСП находятся в реестре налоговой службы.</w:t>
      </w:r>
      <w:r w:rsidR="00AE57B1">
        <w:rPr>
          <w:rFonts w:ascii="Times New Roman" w:hAnsi="Times New Roman" w:cs="Times New Roman"/>
          <w:sz w:val="24"/>
          <w:szCs w:val="24"/>
        </w:rPr>
        <w:t xml:space="preserve"> </w:t>
      </w:r>
      <w:r w:rsidR="00AE57B1" w:rsidRPr="00AE57B1">
        <w:rPr>
          <w:rFonts w:ascii="Times New Roman" w:hAnsi="Times New Roman" w:cs="Times New Roman"/>
          <w:sz w:val="24"/>
          <w:szCs w:val="24"/>
        </w:rPr>
        <w:t>[</w:t>
      </w:r>
      <w:r w:rsidR="001965AF" w:rsidRPr="004A0691">
        <w:rPr>
          <w:rFonts w:ascii="Times New Roman" w:hAnsi="Times New Roman" w:cs="Times New Roman"/>
          <w:sz w:val="24"/>
          <w:szCs w:val="24"/>
        </w:rPr>
        <w:t>1</w:t>
      </w:r>
      <w:r w:rsidR="00AE57B1" w:rsidRPr="00AE57B1">
        <w:rPr>
          <w:rFonts w:ascii="Times New Roman" w:hAnsi="Times New Roman" w:cs="Times New Roman"/>
          <w:sz w:val="24"/>
          <w:szCs w:val="24"/>
        </w:rPr>
        <w:t>]</w:t>
      </w:r>
      <w:r w:rsidR="00AE57B1">
        <w:rPr>
          <w:rFonts w:ascii="Times New Roman" w:hAnsi="Times New Roman" w:cs="Times New Roman"/>
          <w:sz w:val="24"/>
          <w:szCs w:val="24"/>
        </w:rPr>
        <w:t>.</w:t>
      </w:r>
    </w:p>
    <w:p w14:paraId="2DAF88C0" w14:textId="59898648" w:rsidR="00FA168C" w:rsidRDefault="00FA168C"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Количество субъектов МСП, которые пользуются кредитными средствами, зависит от размера компаний. По данным Банка России среди микропредприятий таких 4%, малых – 17%, средних – 32%. Это объясняется, с одной стороны, большей потребностью в заёмном финансировании у более крупных компаний (как на оборотный капитал, так и на инвестиционные цели), с другой стороны, большей доступностью кредитов для более крупных заёмщиков (наличие залогового обеспечения и достаточных для обслуживания кредита объёмов выручки).</w:t>
      </w:r>
    </w:p>
    <w:p w14:paraId="30C3F15C" w14:textId="20703ECE" w:rsidR="00B946F1" w:rsidRDefault="00E96266"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Значительная часть субъектов МСП, которые пользуются кредитами банков как источником заёмных средств, </w:t>
      </w:r>
      <w:r w:rsidR="005210FE">
        <w:rPr>
          <w:rFonts w:ascii="Times New Roman" w:hAnsi="Times New Roman" w:cs="Times New Roman"/>
          <w:sz w:val="24"/>
          <w:szCs w:val="24"/>
        </w:rPr>
        <w:t>представлена предприятиями сферы услуг и торговлей, что опять же объясняется высокой оборачиваемостью капитала компании и невысокими рисками для банка. Хотя справедливости ради стоит отметить, что количество субъектов МСП из сферы производства, которые пользуются кредитами, в последние годы возросло.</w:t>
      </w:r>
    </w:p>
    <w:p w14:paraId="39C9B226" w14:textId="04F6534D" w:rsidR="00861556" w:rsidRDefault="00861556"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 федеральном уровне финансовую поддержку субъектов МСП также оказывают ряд институтов развития. Среди них: АО «Федеральная корпорация по развитию малого и среднего предпринимательства» АО «Корпорация МСП», Фонд развития промышленности (ФРП), АО «Российская венчурная компания» (АО «РВК»). Однако данные структуры ориентированы либо на реализацию системных мер федерального уровня (например АО «Корпорация МСП» в том числе обеспечивает функционирование Национальной гарантийной системы), либо на поддержку отдельных наиболее значимых проектов. ФРП ориентирован на реализацию новых промышленных проектов</w:t>
      </w:r>
      <w:r w:rsidR="00870E5A">
        <w:rPr>
          <w:rFonts w:ascii="Times New Roman" w:hAnsi="Times New Roman" w:cs="Times New Roman"/>
          <w:sz w:val="24"/>
          <w:szCs w:val="24"/>
        </w:rPr>
        <w:t>, предоставляя займы от 5 до 750 млн. рублей под 1%, 3% и 5% на срок до 7 лет. АО «РВК» создаёт венчурные фонды с участием частных инвесторов и крупных корпораций. Таким образом АО «РВК» не инвестирует самостоятельно, а выступает в качестве фонда фондов.</w:t>
      </w:r>
    </w:p>
    <w:p w14:paraId="258E1320" w14:textId="151CF72D" w:rsidR="00B946F1" w:rsidRDefault="005210FE"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Региональный уровень финансовой поддержки субъектов МСП представлен МФО и РГО (региональные гарантийные организации). Последние обеспечивают поручительства для субъектов МСП перед банками до 70% в случае, если собственного обеспечения у субъекта МСП не хватает. Соответственно, РГО существенно не влияют на рынок кредитования субъектов МСП, решая только отдельную проблему в случае, если заявка </w:t>
      </w:r>
      <w:r w:rsidR="002D0CC6">
        <w:rPr>
          <w:rFonts w:ascii="Times New Roman" w:hAnsi="Times New Roman" w:cs="Times New Roman"/>
          <w:sz w:val="24"/>
          <w:szCs w:val="24"/>
        </w:rPr>
        <w:t>клиента одобрена банком</w:t>
      </w:r>
      <w:r w:rsidR="001965AF" w:rsidRPr="001965AF">
        <w:rPr>
          <w:rFonts w:ascii="Times New Roman" w:hAnsi="Times New Roman" w:cs="Times New Roman"/>
          <w:sz w:val="24"/>
          <w:szCs w:val="24"/>
        </w:rPr>
        <w:t xml:space="preserve"> [2]</w:t>
      </w:r>
      <w:r w:rsidR="002D0CC6">
        <w:rPr>
          <w:rFonts w:ascii="Times New Roman" w:hAnsi="Times New Roman" w:cs="Times New Roman"/>
          <w:sz w:val="24"/>
          <w:szCs w:val="24"/>
        </w:rPr>
        <w:t>.</w:t>
      </w:r>
    </w:p>
    <w:p w14:paraId="23CF4C3A" w14:textId="716E39B0" w:rsidR="00322103" w:rsidRDefault="00322103"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Деятельность МФО регламентируется Федеральным законом от 2 июля 2010 г. </w:t>
      </w:r>
      <w:r>
        <w:rPr>
          <w:rFonts w:ascii="Times New Roman" w:hAnsi="Times New Roman" w:cs="Times New Roman"/>
          <w:sz w:val="24"/>
          <w:szCs w:val="24"/>
          <w:lang w:val="en-US"/>
        </w:rPr>
        <w:t>N</w:t>
      </w:r>
      <w:r w:rsidRPr="00322103">
        <w:rPr>
          <w:rFonts w:ascii="Times New Roman" w:hAnsi="Times New Roman" w:cs="Times New Roman"/>
          <w:sz w:val="24"/>
          <w:szCs w:val="24"/>
        </w:rPr>
        <w:t xml:space="preserve"> 1515 </w:t>
      </w:r>
      <w:r>
        <w:rPr>
          <w:rFonts w:ascii="Times New Roman" w:hAnsi="Times New Roman" w:cs="Times New Roman"/>
          <w:sz w:val="24"/>
          <w:szCs w:val="24"/>
        </w:rPr>
        <w:t>– ФЗ</w:t>
      </w:r>
      <w:r w:rsidR="002D0CC6">
        <w:rPr>
          <w:rFonts w:ascii="Times New Roman" w:hAnsi="Times New Roman" w:cs="Times New Roman"/>
          <w:sz w:val="24"/>
          <w:szCs w:val="24"/>
        </w:rPr>
        <w:t>, в котором отдельно прописаны правила для МФО, осуществляющих поддержку субъектов МСП. Региональные государственные МФО предоставляют микрозаймы на срок до 3-х лет до 5 млн. рублей. При этом процентные ставки находятся в диапазоне от 1 до 15%, чаще всего на уровне 6-8% годовых. Для ряда категорий субъектов МСП установлена максимальная процентная ставка на уровне ключевой ставки ЦБ РФ (на 01.06.2020 г. – 5,5%). Существует практика беспроцентных займов, которая используется в настоящее время как антикризисная поддержка в условиях негативных последствий распространения новой коронавирусной инфекции. Однако, как правило, требования к заёмщикам МФО мало отличаются от требований коммерческих банков (наличие залогового обеспечения и платёжеспособность).</w:t>
      </w:r>
      <w:r w:rsidR="00C10755">
        <w:rPr>
          <w:rFonts w:ascii="Times New Roman" w:hAnsi="Times New Roman" w:cs="Times New Roman"/>
          <w:sz w:val="24"/>
          <w:szCs w:val="24"/>
        </w:rPr>
        <w:t xml:space="preserve"> Более того, существует ряд дополнительных требований, которые установлены Федеральным законом «О развитии малого и среднего предпринимательства </w:t>
      </w:r>
      <w:r w:rsidR="00C10755">
        <w:rPr>
          <w:rFonts w:ascii="Times New Roman" w:hAnsi="Times New Roman" w:cs="Times New Roman"/>
          <w:sz w:val="24"/>
          <w:szCs w:val="24"/>
        </w:rPr>
        <w:lastRenderedPageBreak/>
        <w:t xml:space="preserve">в Российской Федерации» от 24.07.2007 № 209-ФЗ: </w:t>
      </w:r>
      <w:r w:rsidR="0092703E">
        <w:rPr>
          <w:rFonts w:ascii="Times New Roman" w:hAnsi="Times New Roman" w:cs="Times New Roman"/>
          <w:sz w:val="24"/>
          <w:szCs w:val="24"/>
        </w:rPr>
        <w:t>отсутствие задолженности по налогам и сборам, отсутствие производства и реализации подакцизных товаров среди видов деятельности субъекта МСП.</w:t>
      </w:r>
    </w:p>
    <w:p w14:paraId="2CA81B83" w14:textId="7CDF75D4" w:rsidR="0092703E" w:rsidRDefault="0092703E"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Следует отметить, что масштабы деятельности региональных МФО незначительны в рамках рынка кредитования и существенного влияния на конъюнктуру рынка они не оказывают, осуществляя лишь точечную поддержку отдельных секторов и проектов</w:t>
      </w:r>
      <w:r w:rsidR="002C0E4D">
        <w:rPr>
          <w:rFonts w:ascii="Times New Roman" w:hAnsi="Times New Roman" w:cs="Times New Roman"/>
          <w:sz w:val="24"/>
          <w:szCs w:val="24"/>
        </w:rPr>
        <w:t xml:space="preserve"> регионального и муниципального масштаба</w:t>
      </w:r>
      <w:r w:rsidR="001965AF" w:rsidRPr="001965AF">
        <w:rPr>
          <w:rFonts w:ascii="Times New Roman" w:hAnsi="Times New Roman" w:cs="Times New Roman"/>
          <w:sz w:val="24"/>
          <w:szCs w:val="24"/>
        </w:rPr>
        <w:t xml:space="preserve"> [5]</w:t>
      </w:r>
      <w:r>
        <w:rPr>
          <w:rFonts w:ascii="Times New Roman" w:hAnsi="Times New Roman" w:cs="Times New Roman"/>
          <w:sz w:val="24"/>
          <w:szCs w:val="24"/>
        </w:rPr>
        <w:t>.</w:t>
      </w:r>
    </w:p>
    <w:p w14:paraId="1C8AA1A6" w14:textId="1128587C" w:rsidR="001C2D8B" w:rsidRDefault="001C2D8B"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на основе статистики кредитования субъектов МСП и анализа институтов финансирования можно сделать следующие выводы:</w:t>
      </w:r>
    </w:p>
    <w:p w14:paraId="53D74445" w14:textId="5775A18B" w:rsidR="001C2D8B" w:rsidRDefault="001C2D8B" w:rsidP="001965AF">
      <w:pPr>
        <w:pStyle w:val="a5"/>
        <w:numPr>
          <w:ilvl w:val="0"/>
          <w:numId w:val="4"/>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В целом доступность заёмных средств для субъектов МСП остаётся низкой, а предложение коммерческих банков в большей степени ориентировано на сферу услуг, торговлю и отдельные высокомаржинальные виды бизнеса.</w:t>
      </w:r>
    </w:p>
    <w:p w14:paraId="56C34915" w14:textId="57EB0788" w:rsidR="001C2D8B" w:rsidRDefault="001C2D8B" w:rsidP="001965AF">
      <w:pPr>
        <w:pStyle w:val="a5"/>
        <w:numPr>
          <w:ilvl w:val="0"/>
          <w:numId w:val="4"/>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Традиционные виды кредитования крупных банков не учитывают специфику малых технологичных компаний, а специализированные банки для данного сектора МСП отсутствуют.</w:t>
      </w:r>
    </w:p>
    <w:p w14:paraId="6E8CDC0C" w14:textId="1C6489A8" w:rsidR="001C2D8B" w:rsidRDefault="007D4B80" w:rsidP="001965AF">
      <w:pPr>
        <w:pStyle w:val="a5"/>
        <w:numPr>
          <w:ilvl w:val="0"/>
          <w:numId w:val="4"/>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Институты развития федерального уровня ориентированы на системные меры и отдельные проекты, в то время как региональная инфраструктура финансовой поддержки субъектов МСП существенного влияния на конъюнктуру рынка и доступность заёмных средств не оказывает.</w:t>
      </w:r>
    </w:p>
    <w:p w14:paraId="5801A8A7" w14:textId="2CD80E90" w:rsidR="007D4B80" w:rsidRPr="001C2D8B" w:rsidRDefault="007D4B80" w:rsidP="001965AF">
      <w:pPr>
        <w:pStyle w:val="a5"/>
        <w:numPr>
          <w:ilvl w:val="0"/>
          <w:numId w:val="4"/>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Для развития малого технологичного предпринимательства требуется создание масштабной программы льготного кредитования с государственной поддержкой (по аналогии с «Программой 8,5»), учитывающей особенности этого сектора экономики (более высокие риски, отсутствие залогового обеспечения).</w:t>
      </w:r>
    </w:p>
    <w:p w14:paraId="27317D29" w14:textId="77777777" w:rsidR="001A5D07" w:rsidRPr="004A0691" w:rsidRDefault="001A5D07" w:rsidP="001965AF">
      <w:pPr>
        <w:spacing w:after="0" w:line="240" w:lineRule="auto"/>
        <w:ind w:firstLine="709"/>
        <w:jc w:val="both"/>
        <w:rPr>
          <w:rFonts w:ascii="Times New Roman" w:hAnsi="Times New Roman" w:cs="Times New Roman"/>
          <w:sz w:val="24"/>
          <w:szCs w:val="24"/>
        </w:rPr>
      </w:pPr>
    </w:p>
    <w:p w14:paraId="59C17A9B" w14:textId="50DD5384" w:rsidR="00E123BE" w:rsidRDefault="0030721D" w:rsidP="001965AF">
      <w:pPr>
        <w:spacing w:after="0" w:line="240" w:lineRule="auto"/>
        <w:ind w:firstLine="709"/>
        <w:jc w:val="both"/>
        <w:rPr>
          <w:rFonts w:ascii="Times New Roman" w:hAnsi="Times New Roman" w:cs="Times New Roman"/>
          <w:b/>
          <w:bCs/>
          <w:sz w:val="24"/>
          <w:szCs w:val="24"/>
        </w:rPr>
      </w:pPr>
      <w:bookmarkStart w:id="1" w:name="_Hlk42460299"/>
      <w:r w:rsidRPr="0030721D">
        <w:rPr>
          <w:rFonts w:ascii="Times New Roman" w:hAnsi="Times New Roman" w:cs="Times New Roman"/>
          <w:b/>
          <w:bCs/>
          <w:sz w:val="24"/>
          <w:szCs w:val="24"/>
        </w:rPr>
        <w:t>Библиографический список</w:t>
      </w:r>
    </w:p>
    <w:p w14:paraId="66227176" w14:textId="2A74CEF4" w:rsidR="0030721D" w:rsidRPr="007A5048" w:rsidRDefault="0030721D" w:rsidP="001965AF">
      <w:pPr>
        <w:pStyle w:val="a5"/>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1.</w:t>
      </w:r>
      <w:r w:rsidRPr="0030721D">
        <w:rPr>
          <w:rFonts w:ascii="Times New Roman" w:hAnsi="Times New Roman" w:cs="Times New Roman"/>
          <w:sz w:val="24"/>
          <w:szCs w:val="24"/>
        </w:rPr>
        <w:t>Банк России. Банковский сектор</w:t>
      </w:r>
      <w:r w:rsidR="007A5048">
        <w:rPr>
          <w:rFonts w:ascii="Times New Roman" w:hAnsi="Times New Roman" w:cs="Times New Roman"/>
          <w:sz w:val="24"/>
          <w:szCs w:val="24"/>
        </w:rPr>
        <w:t xml:space="preserve"> </w:t>
      </w:r>
      <w:r w:rsidR="007A5048" w:rsidRPr="007A5048">
        <w:rPr>
          <w:rFonts w:ascii="Times New Roman" w:hAnsi="Times New Roman" w:cs="Times New Roman"/>
          <w:sz w:val="24"/>
          <w:szCs w:val="24"/>
        </w:rPr>
        <w:t>[</w:t>
      </w:r>
      <w:r w:rsidR="007A5048">
        <w:rPr>
          <w:rFonts w:ascii="Times New Roman" w:hAnsi="Times New Roman" w:cs="Times New Roman"/>
          <w:sz w:val="24"/>
          <w:szCs w:val="24"/>
        </w:rPr>
        <w:t>Электронный ресурс</w:t>
      </w:r>
      <w:r w:rsidR="007A5048" w:rsidRPr="007A5048">
        <w:rPr>
          <w:rFonts w:ascii="Times New Roman" w:hAnsi="Times New Roman" w:cs="Times New Roman"/>
          <w:sz w:val="24"/>
          <w:szCs w:val="24"/>
        </w:rPr>
        <w:t>]</w:t>
      </w:r>
      <w:r w:rsidRPr="0030721D">
        <w:rPr>
          <w:rFonts w:ascii="Times New Roman" w:hAnsi="Times New Roman" w:cs="Times New Roman"/>
          <w:sz w:val="24"/>
          <w:szCs w:val="24"/>
        </w:rPr>
        <w:t xml:space="preserve">. </w:t>
      </w:r>
      <w:r w:rsidR="007A5048">
        <w:rPr>
          <w:rFonts w:ascii="Times New Roman" w:hAnsi="Times New Roman" w:cs="Times New Roman"/>
          <w:sz w:val="24"/>
          <w:szCs w:val="24"/>
          <w:lang w:val="en-US"/>
        </w:rPr>
        <w:t>URL</w:t>
      </w:r>
      <w:r w:rsidR="007A5048" w:rsidRPr="007A5048">
        <w:rPr>
          <w:rFonts w:ascii="Times New Roman" w:hAnsi="Times New Roman" w:cs="Times New Roman"/>
          <w:sz w:val="24"/>
          <w:szCs w:val="24"/>
        </w:rPr>
        <w:t>:</w:t>
      </w:r>
      <w:hyperlink r:id="rId5" w:history="1">
        <w:r w:rsidR="007A5048" w:rsidRPr="007D7BFB">
          <w:rPr>
            <w:rStyle w:val="a3"/>
            <w:rFonts w:ascii="Times New Roman" w:hAnsi="Times New Roman" w:cs="Times New Roman"/>
            <w:sz w:val="24"/>
            <w:szCs w:val="24"/>
            <w:lang w:val="en-US"/>
          </w:rPr>
          <w:t>https</w:t>
        </w:r>
        <w:r w:rsidR="007A5048" w:rsidRPr="007A5048">
          <w:rPr>
            <w:rStyle w:val="a3"/>
            <w:rFonts w:ascii="Times New Roman" w:hAnsi="Times New Roman" w:cs="Times New Roman"/>
            <w:sz w:val="24"/>
            <w:szCs w:val="24"/>
          </w:rPr>
          <w:t>://</w:t>
        </w:r>
        <w:r w:rsidR="007A5048" w:rsidRPr="007D7BFB">
          <w:rPr>
            <w:rStyle w:val="a3"/>
            <w:rFonts w:ascii="Times New Roman" w:hAnsi="Times New Roman" w:cs="Times New Roman"/>
            <w:sz w:val="24"/>
            <w:szCs w:val="24"/>
            <w:lang w:val="en-US"/>
          </w:rPr>
          <w:t>www</w:t>
        </w:r>
        <w:r w:rsidR="007A5048" w:rsidRPr="007A5048">
          <w:rPr>
            <w:rStyle w:val="a3"/>
            <w:rFonts w:ascii="Times New Roman" w:hAnsi="Times New Roman" w:cs="Times New Roman"/>
            <w:sz w:val="24"/>
            <w:szCs w:val="24"/>
          </w:rPr>
          <w:t>.</w:t>
        </w:r>
        <w:r w:rsidR="007A5048" w:rsidRPr="007D7BFB">
          <w:rPr>
            <w:rStyle w:val="a3"/>
            <w:rFonts w:ascii="Times New Roman" w:hAnsi="Times New Roman" w:cs="Times New Roman"/>
            <w:sz w:val="24"/>
            <w:szCs w:val="24"/>
            <w:lang w:val="en-US"/>
          </w:rPr>
          <w:t>cbr</w:t>
        </w:r>
        <w:r w:rsidR="007A5048" w:rsidRPr="007A5048">
          <w:rPr>
            <w:rStyle w:val="a3"/>
            <w:rFonts w:ascii="Times New Roman" w:hAnsi="Times New Roman" w:cs="Times New Roman"/>
            <w:sz w:val="24"/>
            <w:szCs w:val="24"/>
          </w:rPr>
          <w:t>.</w:t>
        </w:r>
        <w:r w:rsidR="007A5048" w:rsidRPr="007D7BFB">
          <w:rPr>
            <w:rStyle w:val="a3"/>
            <w:rFonts w:ascii="Times New Roman" w:hAnsi="Times New Roman" w:cs="Times New Roman"/>
            <w:sz w:val="24"/>
            <w:szCs w:val="24"/>
            <w:lang w:val="en-US"/>
          </w:rPr>
          <w:t>ru</w:t>
        </w:r>
        <w:r w:rsidR="007A5048" w:rsidRPr="007A5048">
          <w:rPr>
            <w:rStyle w:val="a3"/>
            <w:rFonts w:ascii="Times New Roman" w:hAnsi="Times New Roman" w:cs="Times New Roman"/>
            <w:sz w:val="24"/>
            <w:szCs w:val="24"/>
          </w:rPr>
          <w:t>/</w:t>
        </w:r>
        <w:r w:rsidR="007A5048" w:rsidRPr="007D7BFB">
          <w:rPr>
            <w:rStyle w:val="a3"/>
            <w:rFonts w:ascii="Times New Roman" w:hAnsi="Times New Roman" w:cs="Times New Roman"/>
            <w:sz w:val="24"/>
            <w:szCs w:val="24"/>
            <w:lang w:val="en-US"/>
          </w:rPr>
          <w:t>statistics</w:t>
        </w:r>
        <w:r w:rsidR="007A5048" w:rsidRPr="007A5048">
          <w:rPr>
            <w:rStyle w:val="a3"/>
            <w:rFonts w:ascii="Times New Roman" w:hAnsi="Times New Roman" w:cs="Times New Roman"/>
            <w:sz w:val="24"/>
            <w:szCs w:val="24"/>
          </w:rPr>
          <w:t>/</w:t>
        </w:r>
        <w:r w:rsidR="007A5048" w:rsidRPr="007D7BFB">
          <w:rPr>
            <w:rStyle w:val="a3"/>
            <w:rFonts w:ascii="Times New Roman" w:hAnsi="Times New Roman" w:cs="Times New Roman"/>
            <w:sz w:val="24"/>
            <w:szCs w:val="24"/>
            <w:lang w:val="en-US"/>
          </w:rPr>
          <w:t>bank</w:t>
        </w:r>
        <w:r w:rsidR="007A5048" w:rsidRPr="007A5048">
          <w:rPr>
            <w:rStyle w:val="a3"/>
            <w:rFonts w:ascii="Times New Roman" w:hAnsi="Times New Roman" w:cs="Times New Roman"/>
            <w:sz w:val="24"/>
            <w:szCs w:val="24"/>
          </w:rPr>
          <w:t>_</w:t>
        </w:r>
        <w:r w:rsidR="007A5048" w:rsidRPr="007D7BFB">
          <w:rPr>
            <w:rStyle w:val="a3"/>
            <w:rFonts w:ascii="Times New Roman" w:hAnsi="Times New Roman" w:cs="Times New Roman"/>
            <w:sz w:val="24"/>
            <w:szCs w:val="24"/>
            <w:lang w:val="en-US"/>
          </w:rPr>
          <w:t>sector</w:t>
        </w:r>
        <w:r w:rsidR="007A5048" w:rsidRPr="007A5048">
          <w:rPr>
            <w:rStyle w:val="a3"/>
            <w:rFonts w:ascii="Times New Roman" w:hAnsi="Times New Roman" w:cs="Times New Roman"/>
            <w:sz w:val="24"/>
            <w:szCs w:val="24"/>
          </w:rPr>
          <w:t>/</w:t>
        </w:r>
      </w:hyperlink>
    </w:p>
    <w:p w14:paraId="180D9449" w14:textId="12FCF2C1" w:rsidR="0030721D" w:rsidRPr="0030721D" w:rsidRDefault="0030721D"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2.</w:t>
      </w:r>
      <w:r w:rsidRPr="0030721D">
        <w:rPr>
          <w:rFonts w:ascii="Times New Roman" w:hAnsi="Times New Roman" w:cs="Times New Roman"/>
          <w:sz w:val="24"/>
          <w:szCs w:val="24"/>
        </w:rPr>
        <w:t xml:space="preserve">Отчет о результатах экспертно-аналитического мероприятия «Оценка состояния гарантийной поддержки и микрофинансирования малого и среднего предпринимательства в Российской Федерации в 2015-2018 годах и первом полугодии 2019 года» </w:t>
      </w:r>
      <w:r w:rsidR="007A5048" w:rsidRPr="007A5048">
        <w:rPr>
          <w:rFonts w:ascii="Times New Roman" w:hAnsi="Times New Roman" w:cs="Times New Roman"/>
          <w:sz w:val="24"/>
          <w:szCs w:val="24"/>
        </w:rPr>
        <w:t>[</w:t>
      </w:r>
      <w:r w:rsidR="007A5048">
        <w:rPr>
          <w:rFonts w:ascii="Times New Roman" w:hAnsi="Times New Roman" w:cs="Times New Roman"/>
          <w:sz w:val="24"/>
          <w:szCs w:val="24"/>
        </w:rPr>
        <w:t>Электронный ресурс</w:t>
      </w:r>
      <w:r w:rsidR="007A5048" w:rsidRPr="007A5048">
        <w:rPr>
          <w:rFonts w:ascii="Times New Roman" w:hAnsi="Times New Roman" w:cs="Times New Roman"/>
          <w:sz w:val="24"/>
          <w:szCs w:val="24"/>
        </w:rPr>
        <w:t xml:space="preserve">] </w:t>
      </w:r>
      <w:r w:rsidR="007A5048">
        <w:rPr>
          <w:rFonts w:ascii="Times New Roman" w:hAnsi="Times New Roman" w:cs="Times New Roman"/>
          <w:sz w:val="24"/>
          <w:szCs w:val="24"/>
          <w:lang w:val="en-US"/>
        </w:rPr>
        <w:t>URL</w:t>
      </w:r>
      <w:r w:rsidR="007A5048" w:rsidRPr="007A5048">
        <w:rPr>
          <w:rFonts w:ascii="Times New Roman" w:hAnsi="Times New Roman" w:cs="Times New Roman"/>
          <w:sz w:val="24"/>
          <w:szCs w:val="24"/>
        </w:rPr>
        <w:t>:</w:t>
      </w:r>
      <w:hyperlink r:id="rId6" w:history="1">
        <w:r w:rsidR="007A5048" w:rsidRPr="007D7BFB">
          <w:rPr>
            <w:rStyle w:val="a3"/>
            <w:rFonts w:ascii="Times New Roman" w:hAnsi="Times New Roman" w:cs="Times New Roman"/>
            <w:sz w:val="24"/>
            <w:szCs w:val="24"/>
          </w:rPr>
          <w:t>http://www.ach.gov.ru/upload/medialibrary/46a/46a9f2d742498488fca4d297cf187a11.pdf</w:t>
        </w:r>
      </w:hyperlink>
    </w:p>
    <w:p w14:paraId="1B8E882B" w14:textId="3F78A0DE" w:rsidR="0030721D" w:rsidRPr="0030721D" w:rsidRDefault="0030721D" w:rsidP="001965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w:t>
      </w:r>
      <w:r w:rsidRPr="0030721D">
        <w:rPr>
          <w:rFonts w:ascii="Times New Roman" w:hAnsi="Times New Roman" w:cs="Times New Roman"/>
          <w:sz w:val="24"/>
          <w:szCs w:val="24"/>
        </w:rPr>
        <w:t xml:space="preserve">Паспорт национального проекта «Малое и среднее предпринимательство и поддержка индивидуальной предпринимательской инициативы» </w:t>
      </w:r>
      <w:r w:rsidR="007A5048" w:rsidRPr="007A5048">
        <w:rPr>
          <w:rFonts w:ascii="Times New Roman" w:hAnsi="Times New Roman" w:cs="Times New Roman"/>
          <w:sz w:val="24"/>
          <w:szCs w:val="24"/>
        </w:rPr>
        <w:t>[</w:t>
      </w:r>
      <w:r w:rsidR="007A5048">
        <w:rPr>
          <w:rFonts w:ascii="Times New Roman" w:hAnsi="Times New Roman" w:cs="Times New Roman"/>
          <w:sz w:val="24"/>
          <w:szCs w:val="24"/>
        </w:rPr>
        <w:t>Электронный ресурс</w:t>
      </w:r>
      <w:r w:rsidR="007A5048" w:rsidRPr="007A5048">
        <w:rPr>
          <w:rFonts w:ascii="Times New Roman" w:hAnsi="Times New Roman" w:cs="Times New Roman"/>
          <w:sz w:val="24"/>
          <w:szCs w:val="24"/>
        </w:rPr>
        <w:t xml:space="preserve">] </w:t>
      </w:r>
      <w:r w:rsidR="007A5048">
        <w:rPr>
          <w:rFonts w:ascii="Times New Roman" w:hAnsi="Times New Roman" w:cs="Times New Roman"/>
          <w:sz w:val="24"/>
          <w:szCs w:val="24"/>
          <w:lang w:val="en-US"/>
        </w:rPr>
        <w:t>URL</w:t>
      </w:r>
      <w:r w:rsidR="007A5048" w:rsidRPr="007A5048">
        <w:rPr>
          <w:rFonts w:ascii="Times New Roman" w:hAnsi="Times New Roman" w:cs="Times New Roman"/>
          <w:sz w:val="24"/>
          <w:szCs w:val="24"/>
        </w:rPr>
        <w:t>:</w:t>
      </w:r>
      <w:hyperlink r:id="rId7" w:history="1">
        <w:r w:rsidR="007A5048" w:rsidRPr="007D7BFB">
          <w:rPr>
            <w:rStyle w:val="a3"/>
            <w:rFonts w:ascii="Times New Roman" w:hAnsi="Times New Roman" w:cs="Times New Roman"/>
            <w:sz w:val="24"/>
            <w:szCs w:val="24"/>
          </w:rPr>
          <w:t>http://static.government.ru/media/files/qH8voRLuhAVWSJhIS8XYbZBsAvcs8A5t.pdf</w:t>
        </w:r>
      </w:hyperlink>
    </w:p>
    <w:p w14:paraId="7C3898FE" w14:textId="31DCE1BB" w:rsidR="00C65D10" w:rsidRPr="0030721D" w:rsidRDefault="00B70868" w:rsidP="001965AF">
      <w:pPr>
        <w:spacing w:after="0" w:line="240" w:lineRule="auto"/>
        <w:ind w:firstLine="709"/>
        <w:jc w:val="both"/>
        <w:rPr>
          <w:rFonts w:ascii="Times New Roman" w:hAnsi="Times New Roman" w:cs="Times New Roman"/>
          <w:sz w:val="24"/>
          <w:szCs w:val="24"/>
        </w:rPr>
      </w:pPr>
      <w:r w:rsidRPr="00B70868">
        <w:rPr>
          <w:rFonts w:ascii="Times New Roman" w:hAnsi="Times New Roman" w:cs="Times New Roman"/>
          <w:sz w:val="24"/>
          <w:szCs w:val="24"/>
        </w:rPr>
        <w:t>4</w:t>
      </w:r>
      <w:r w:rsidR="0030721D">
        <w:rPr>
          <w:rFonts w:ascii="Times New Roman" w:hAnsi="Times New Roman" w:cs="Times New Roman"/>
          <w:sz w:val="24"/>
          <w:szCs w:val="24"/>
        </w:rPr>
        <w:t>.</w:t>
      </w:r>
      <w:r w:rsidR="00C65D10" w:rsidRPr="0030721D">
        <w:rPr>
          <w:rFonts w:ascii="Times New Roman" w:hAnsi="Times New Roman" w:cs="Times New Roman"/>
          <w:sz w:val="24"/>
          <w:szCs w:val="24"/>
        </w:rPr>
        <w:t xml:space="preserve">Прогноз кредитования малого и среднего бизнеса в России на 2020 год: рекорды позади. Эксперт РА </w:t>
      </w:r>
      <w:r w:rsidR="007A5048" w:rsidRPr="007A5048">
        <w:rPr>
          <w:rFonts w:ascii="Times New Roman" w:hAnsi="Times New Roman" w:cs="Times New Roman"/>
          <w:sz w:val="24"/>
          <w:szCs w:val="24"/>
        </w:rPr>
        <w:t>[</w:t>
      </w:r>
      <w:r w:rsidR="007A5048">
        <w:rPr>
          <w:rFonts w:ascii="Times New Roman" w:hAnsi="Times New Roman" w:cs="Times New Roman"/>
          <w:sz w:val="24"/>
          <w:szCs w:val="24"/>
        </w:rPr>
        <w:t>Электронный ресурс</w:t>
      </w:r>
      <w:r w:rsidR="007A5048" w:rsidRPr="007A5048">
        <w:rPr>
          <w:rFonts w:ascii="Times New Roman" w:hAnsi="Times New Roman" w:cs="Times New Roman"/>
          <w:sz w:val="24"/>
          <w:szCs w:val="24"/>
        </w:rPr>
        <w:t xml:space="preserve">] </w:t>
      </w:r>
      <w:r w:rsidR="007A5048">
        <w:rPr>
          <w:rFonts w:ascii="Times New Roman" w:hAnsi="Times New Roman" w:cs="Times New Roman"/>
          <w:sz w:val="24"/>
          <w:szCs w:val="24"/>
          <w:lang w:val="en-US"/>
        </w:rPr>
        <w:t>URL</w:t>
      </w:r>
      <w:r w:rsidR="007A5048" w:rsidRPr="007A5048">
        <w:rPr>
          <w:rFonts w:ascii="Times New Roman" w:hAnsi="Times New Roman" w:cs="Times New Roman"/>
          <w:sz w:val="24"/>
          <w:szCs w:val="24"/>
        </w:rPr>
        <w:t>:</w:t>
      </w:r>
      <w:hyperlink r:id="rId8" w:history="1">
        <w:r w:rsidR="007A5048" w:rsidRPr="007D7BFB">
          <w:rPr>
            <w:rStyle w:val="a3"/>
          </w:rPr>
          <w:t>https://www.raexpert.ru/researches/banks/msb_2019#part1</w:t>
        </w:r>
      </w:hyperlink>
    </w:p>
    <w:p w14:paraId="0F7EDF8E" w14:textId="5EC4EC89" w:rsidR="00C65D10" w:rsidRPr="004A0691" w:rsidRDefault="00B70868" w:rsidP="001965AF">
      <w:pPr>
        <w:spacing w:after="0" w:line="240" w:lineRule="auto"/>
        <w:ind w:firstLine="709"/>
        <w:jc w:val="both"/>
        <w:rPr>
          <w:rFonts w:ascii="Times New Roman" w:hAnsi="Times New Roman" w:cs="Times New Roman"/>
          <w:sz w:val="24"/>
          <w:szCs w:val="24"/>
        </w:rPr>
      </w:pPr>
      <w:r w:rsidRPr="00B70868">
        <w:rPr>
          <w:rFonts w:ascii="Times New Roman" w:hAnsi="Times New Roman" w:cs="Times New Roman"/>
          <w:sz w:val="24"/>
          <w:szCs w:val="24"/>
        </w:rPr>
        <w:t>5</w:t>
      </w:r>
      <w:r w:rsidR="0030721D">
        <w:rPr>
          <w:rFonts w:ascii="Times New Roman" w:hAnsi="Times New Roman" w:cs="Times New Roman"/>
          <w:sz w:val="24"/>
          <w:szCs w:val="24"/>
        </w:rPr>
        <w:t>.</w:t>
      </w:r>
      <w:r w:rsidR="008F292A" w:rsidRPr="0030721D">
        <w:rPr>
          <w:rFonts w:ascii="Times New Roman" w:hAnsi="Times New Roman" w:cs="Times New Roman"/>
          <w:sz w:val="24"/>
          <w:szCs w:val="24"/>
        </w:rPr>
        <w:t xml:space="preserve">Тенденции на рынке МФО предпринимательского финансирования в 2019 году </w:t>
      </w:r>
      <w:r w:rsidR="007A5048" w:rsidRPr="007A5048">
        <w:rPr>
          <w:rFonts w:ascii="Times New Roman" w:hAnsi="Times New Roman" w:cs="Times New Roman"/>
          <w:sz w:val="24"/>
          <w:szCs w:val="24"/>
        </w:rPr>
        <w:t>[</w:t>
      </w:r>
      <w:r w:rsidR="007A5048">
        <w:rPr>
          <w:rFonts w:ascii="Times New Roman" w:hAnsi="Times New Roman" w:cs="Times New Roman"/>
          <w:sz w:val="24"/>
          <w:szCs w:val="24"/>
        </w:rPr>
        <w:t>Электронный ресурс</w:t>
      </w:r>
      <w:r w:rsidR="007A5048" w:rsidRPr="007A5048">
        <w:rPr>
          <w:rFonts w:ascii="Times New Roman" w:hAnsi="Times New Roman" w:cs="Times New Roman"/>
          <w:sz w:val="24"/>
          <w:szCs w:val="24"/>
        </w:rPr>
        <w:t>]</w:t>
      </w:r>
      <w:r w:rsidR="007A5048">
        <w:rPr>
          <w:rFonts w:ascii="Times New Roman" w:hAnsi="Times New Roman" w:cs="Times New Roman"/>
          <w:sz w:val="24"/>
          <w:szCs w:val="24"/>
        </w:rPr>
        <w:t xml:space="preserve"> </w:t>
      </w:r>
      <w:r w:rsidR="007A5048">
        <w:rPr>
          <w:rFonts w:ascii="Times New Roman" w:hAnsi="Times New Roman" w:cs="Times New Roman"/>
          <w:sz w:val="24"/>
          <w:szCs w:val="24"/>
          <w:lang w:val="en-US"/>
        </w:rPr>
        <w:t>URL</w:t>
      </w:r>
      <w:r w:rsidR="007A5048" w:rsidRPr="007A5048">
        <w:rPr>
          <w:rFonts w:ascii="Times New Roman" w:hAnsi="Times New Roman" w:cs="Times New Roman"/>
          <w:sz w:val="24"/>
          <w:szCs w:val="24"/>
        </w:rPr>
        <w:t>:</w:t>
      </w:r>
      <w:hyperlink r:id="rId9" w:history="1">
        <w:r w:rsidR="007A5048" w:rsidRPr="007D7BFB">
          <w:rPr>
            <w:rStyle w:val="a3"/>
          </w:rPr>
          <w:t>https://www.cbr.ru/Collection/Collection/File/27783/mfi_market_trends_2019.pdf</w:t>
        </w:r>
      </w:hyperlink>
    </w:p>
    <w:p w14:paraId="43B32E3E" w14:textId="6753E621" w:rsidR="006C3A31" w:rsidRDefault="006C3A31" w:rsidP="006C3A31">
      <w:pPr>
        <w:spacing w:after="0" w:line="240" w:lineRule="auto"/>
        <w:ind w:firstLine="709"/>
        <w:rPr>
          <w:rFonts w:ascii="Times New Roman" w:hAnsi="Times New Roman" w:cs="Times New Roman"/>
          <w:b/>
          <w:bCs/>
          <w:sz w:val="24"/>
          <w:szCs w:val="24"/>
        </w:rPr>
      </w:pPr>
      <w:bookmarkStart w:id="2" w:name="_Hlk42460273"/>
      <w:bookmarkEnd w:id="1"/>
      <w:r w:rsidRPr="006C3A31">
        <w:rPr>
          <w:rFonts w:ascii="Times New Roman" w:hAnsi="Times New Roman" w:cs="Times New Roman"/>
          <w:b/>
          <w:bCs/>
          <w:sz w:val="24"/>
          <w:szCs w:val="24"/>
        </w:rPr>
        <w:t>Информация об авторе</w:t>
      </w:r>
    </w:p>
    <w:p w14:paraId="18B05EA0" w14:textId="6C153D4F" w:rsidR="006C3A31" w:rsidRPr="00004B54" w:rsidRDefault="006C3A31" w:rsidP="006C3A31">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Жирнель Евгений Викторович (Россия, Салехард) – кандидат экономических наук</w:t>
      </w:r>
      <w:r w:rsidR="00E934AF">
        <w:rPr>
          <w:rFonts w:ascii="Times New Roman" w:hAnsi="Times New Roman" w:cs="Times New Roman"/>
          <w:sz w:val="24"/>
          <w:szCs w:val="24"/>
        </w:rPr>
        <w:t xml:space="preserve">, управляющий, Фонд финансовой поддержки </w:t>
      </w:r>
      <w:r w:rsidR="00004B54">
        <w:rPr>
          <w:rFonts w:ascii="Times New Roman" w:hAnsi="Times New Roman" w:cs="Times New Roman"/>
          <w:sz w:val="24"/>
          <w:szCs w:val="24"/>
        </w:rPr>
        <w:t xml:space="preserve">субъектов </w:t>
      </w:r>
      <w:r w:rsidR="00E934AF">
        <w:rPr>
          <w:rFonts w:ascii="Times New Roman" w:hAnsi="Times New Roman" w:cs="Times New Roman"/>
          <w:sz w:val="24"/>
          <w:szCs w:val="24"/>
        </w:rPr>
        <w:t>малого предпринимательства ЯНАО (Ямало-Ненецкий автономный округ, г.Салехард, ул. Свердлова</w:t>
      </w:r>
      <w:r w:rsidR="00E934AF" w:rsidRPr="00004B54">
        <w:rPr>
          <w:rFonts w:ascii="Times New Roman" w:hAnsi="Times New Roman" w:cs="Times New Roman"/>
          <w:sz w:val="24"/>
          <w:szCs w:val="24"/>
          <w:lang w:val="en-US"/>
        </w:rPr>
        <w:t>, 43</w:t>
      </w:r>
      <w:r w:rsidR="00E934AF">
        <w:rPr>
          <w:rFonts w:ascii="Times New Roman" w:hAnsi="Times New Roman" w:cs="Times New Roman"/>
          <w:sz w:val="24"/>
          <w:szCs w:val="24"/>
        </w:rPr>
        <w:t>а</w:t>
      </w:r>
      <w:r w:rsidR="00E934AF" w:rsidRPr="00004B54">
        <w:rPr>
          <w:rFonts w:ascii="Times New Roman" w:hAnsi="Times New Roman" w:cs="Times New Roman"/>
          <w:sz w:val="24"/>
          <w:szCs w:val="24"/>
          <w:lang w:val="en-US"/>
        </w:rPr>
        <w:t xml:space="preserve">, </w:t>
      </w:r>
      <w:hyperlink r:id="rId10" w:history="1">
        <w:r w:rsidR="004A0691" w:rsidRPr="001510EC">
          <w:rPr>
            <w:rStyle w:val="a3"/>
            <w:rFonts w:ascii="Times New Roman" w:hAnsi="Times New Roman" w:cs="Times New Roman"/>
            <w:sz w:val="24"/>
            <w:szCs w:val="24"/>
            <w:lang w:val="en-US"/>
          </w:rPr>
          <w:t>evge2004@mail.ru</w:t>
        </w:r>
      </w:hyperlink>
      <w:r w:rsidR="00E934AF" w:rsidRPr="00004B54">
        <w:rPr>
          <w:rFonts w:ascii="Times New Roman" w:hAnsi="Times New Roman" w:cs="Times New Roman"/>
          <w:sz w:val="24"/>
          <w:szCs w:val="24"/>
          <w:lang w:val="en-US"/>
        </w:rPr>
        <w:t>)</w:t>
      </w:r>
      <w:bookmarkEnd w:id="2"/>
    </w:p>
    <w:p w14:paraId="0359B231" w14:textId="5C2CE237" w:rsidR="004A0691" w:rsidRPr="00004B54" w:rsidRDefault="004A0691" w:rsidP="006C3A31">
      <w:pPr>
        <w:spacing w:after="0" w:line="240" w:lineRule="auto"/>
        <w:ind w:firstLine="709"/>
        <w:jc w:val="both"/>
        <w:rPr>
          <w:rFonts w:ascii="Times New Roman" w:hAnsi="Times New Roman" w:cs="Times New Roman"/>
          <w:sz w:val="24"/>
          <w:szCs w:val="24"/>
          <w:lang w:val="en-US"/>
        </w:rPr>
      </w:pPr>
    </w:p>
    <w:p w14:paraId="40EF4886" w14:textId="4ED341D7" w:rsidR="004A0691" w:rsidRPr="004A0691" w:rsidRDefault="004A0691" w:rsidP="004A0691">
      <w:pPr>
        <w:spacing w:after="0" w:line="240" w:lineRule="auto"/>
        <w:ind w:firstLine="709"/>
        <w:jc w:val="right"/>
        <w:rPr>
          <w:rFonts w:ascii="Times New Roman" w:hAnsi="Times New Roman" w:cs="Times New Roman"/>
          <w:b/>
          <w:bCs/>
          <w:sz w:val="24"/>
          <w:szCs w:val="24"/>
          <w:lang w:val="en-US"/>
        </w:rPr>
      </w:pPr>
      <w:r w:rsidRPr="004A0691">
        <w:rPr>
          <w:rFonts w:ascii="Times New Roman" w:hAnsi="Times New Roman" w:cs="Times New Roman"/>
          <w:b/>
          <w:bCs/>
          <w:sz w:val="24"/>
          <w:szCs w:val="24"/>
          <w:lang w:val="en-US"/>
        </w:rPr>
        <w:t>Zhirnel E.V.</w:t>
      </w:r>
    </w:p>
    <w:p w14:paraId="1991A50E" w14:textId="4F51D974" w:rsidR="004A0691" w:rsidRPr="00004B54" w:rsidRDefault="004A0691" w:rsidP="004A0691">
      <w:pPr>
        <w:spacing w:after="0" w:line="240" w:lineRule="auto"/>
        <w:ind w:firstLine="709"/>
        <w:jc w:val="center"/>
        <w:rPr>
          <w:rFonts w:ascii="Times New Roman" w:hAnsi="Times New Roman" w:cs="Times New Roman"/>
          <w:b/>
          <w:bCs/>
          <w:sz w:val="24"/>
          <w:szCs w:val="24"/>
          <w:lang w:val="en-US"/>
        </w:rPr>
      </w:pPr>
      <w:r w:rsidRPr="00004B54">
        <w:rPr>
          <w:rFonts w:ascii="Times New Roman" w:hAnsi="Times New Roman" w:cs="Times New Roman"/>
          <w:b/>
          <w:bCs/>
          <w:sz w:val="24"/>
          <w:szCs w:val="24"/>
          <w:lang w:val="en-US"/>
        </w:rPr>
        <w:t>PROBLEMS OF THE SMALL TECHNOLOGICAL ENTREPRENEURSHIP FINANCIAL SUPPORT IN RUSSIA AT THE MODERN STAGE</w:t>
      </w:r>
    </w:p>
    <w:p w14:paraId="1DAE4CFC" w14:textId="77777777" w:rsidR="004A0691" w:rsidRPr="004A0691" w:rsidRDefault="004A0691" w:rsidP="004A0691">
      <w:pPr>
        <w:pStyle w:val="a9"/>
        <w:shd w:val="clear" w:color="auto" w:fill="FFFFFF"/>
        <w:spacing w:before="0" w:beforeAutospacing="0" w:after="0" w:afterAutospacing="0"/>
        <w:ind w:firstLine="709"/>
        <w:rPr>
          <w:b/>
          <w:bCs/>
          <w:color w:val="000000"/>
          <w:lang w:val="en-US"/>
        </w:rPr>
      </w:pPr>
      <w:r w:rsidRPr="004A0691">
        <w:rPr>
          <w:b/>
          <w:bCs/>
          <w:color w:val="000000"/>
          <w:lang w:val="en-US"/>
        </w:rPr>
        <w:t>Abstract</w:t>
      </w:r>
    </w:p>
    <w:p w14:paraId="42CC30EB" w14:textId="77777777" w:rsidR="004A0691" w:rsidRPr="004A0691" w:rsidRDefault="004A0691" w:rsidP="004A0691">
      <w:pPr>
        <w:pStyle w:val="a9"/>
        <w:shd w:val="clear" w:color="auto" w:fill="FFFFFF"/>
        <w:spacing w:before="0" w:beforeAutospacing="0" w:after="0" w:afterAutospacing="0"/>
        <w:ind w:firstLine="709"/>
        <w:rPr>
          <w:i/>
          <w:iCs/>
          <w:color w:val="000000"/>
          <w:lang w:val="en-US"/>
        </w:rPr>
      </w:pPr>
      <w:r w:rsidRPr="004A0691">
        <w:rPr>
          <w:i/>
          <w:iCs/>
          <w:color w:val="000000"/>
          <w:lang w:val="en-US"/>
        </w:rPr>
        <w:lastRenderedPageBreak/>
        <w:t>The article issues the modern state of the Russian SME lending market. The author gives the analysis of the banking sector, the development institutions at the federal and regional levels. The author also assesses the availability of debt financing for small technological companies.</w:t>
      </w:r>
    </w:p>
    <w:p w14:paraId="2E7D8B40" w14:textId="77777777" w:rsidR="004A0691" w:rsidRPr="004A0691" w:rsidRDefault="004A0691" w:rsidP="004A0691">
      <w:pPr>
        <w:pStyle w:val="a9"/>
        <w:shd w:val="clear" w:color="auto" w:fill="FFFFFF"/>
        <w:spacing w:before="0" w:beforeAutospacing="0" w:after="0" w:afterAutospacing="0"/>
        <w:ind w:firstLine="709"/>
        <w:rPr>
          <w:b/>
          <w:bCs/>
          <w:color w:val="000000"/>
          <w:lang w:val="en-US"/>
        </w:rPr>
      </w:pPr>
      <w:r w:rsidRPr="004A0691">
        <w:rPr>
          <w:b/>
          <w:bCs/>
          <w:color w:val="000000"/>
          <w:lang w:val="en-US"/>
        </w:rPr>
        <w:t>Keywords</w:t>
      </w:r>
    </w:p>
    <w:p w14:paraId="2153F4F6" w14:textId="77777777" w:rsidR="004A0691" w:rsidRPr="004A0691" w:rsidRDefault="004A0691" w:rsidP="004A0691">
      <w:pPr>
        <w:pStyle w:val="a9"/>
        <w:shd w:val="clear" w:color="auto" w:fill="FFFFFF"/>
        <w:spacing w:before="0" w:beforeAutospacing="0" w:after="0" w:afterAutospacing="0"/>
        <w:ind w:firstLine="709"/>
        <w:rPr>
          <w:i/>
          <w:iCs/>
          <w:color w:val="000000"/>
          <w:lang w:val="en-US"/>
        </w:rPr>
      </w:pPr>
      <w:r w:rsidRPr="004A0691">
        <w:rPr>
          <w:i/>
          <w:iCs/>
          <w:color w:val="000000"/>
          <w:lang w:val="en-US"/>
        </w:rPr>
        <w:t>Small business, technology entrepreneurship, finance, credit.</w:t>
      </w:r>
    </w:p>
    <w:p w14:paraId="12102032" w14:textId="387EBE11" w:rsidR="004A0691" w:rsidRDefault="004A0691" w:rsidP="004A0691">
      <w:pPr>
        <w:spacing w:after="0" w:line="240" w:lineRule="auto"/>
        <w:ind w:firstLine="709"/>
        <w:jc w:val="both"/>
        <w:rPr>
          <w:rFonts w:ascii="Times New Roman" w:hAnsi="Times New Roman" w:cs="Times New Roman"/>
          <w:b/>
          <w:bCs/>
          <w:sz w:val="24"/>
          <w:szCs w:val="24"/>
          <w:lang w:val="en-US"/>
        </w:rPr>
      </w:pPr>
    </w:p>
    <w:p w14:paraId="714E54A3" w14:textId="65E2380D" w:rsidR="004A0691" w:rsidRPr="004A0691" w:rsidRDefault="004A0691" w:rsidP="004A0691">
      <w:pPr>
        <w:pStyle w:val="a9"/>
        <w:shd w:val="clear" w:color="auto" w:fill="FFFFFF"/>
        <w:spacing w:before="0" w:beforeAutospacing="0" w:after="0" w:afterAutospacing="0"/>
        <w:ind w:firstLine="709"/>
        <w:rPr>
          <w:b/>
          <w:bCs/>
          <w:color w:val="000000"/>
          <w:lang w:val="en-US"/>
        </w:rPr>
      </w:pPr>
      <w:r w:rsidRPr="004A0691">
        <w:rPr>
          <w:b/>
          <w:bCs/>
          <w:color w:val="000000"/>
          <w:lang w:val="en-US"/>
        </w:rPr>
        <w:t>About the author</w:t>
      </w:r>
    </w:p>
    <w:p w14:paraId="328D3892" w14:textId="6066685F" w:rsidR="004A0691" w:rsidRPr="004A0691" w:rsidRDefault="004A0691" w:rsidP="004A0691">
      <w:pPr>
        <w:spacing w:after="0" w:line="240" w:lineRule="auto"/>
        <w:ind w:firstLine="709"/>
        <w:jc w:val="both"/>
        <w:rPr>
          <w:rFonts w:ascii="Times New Roman" w:hAnsi="Times New Roman" w:cs="Times New Roman"/>
          <w:sz w:val="24"/>
          <w:szCs w:val="24"/>
          <w:lang w:val="en-US"/>
        </w:rPr>
      </w:pPr>
      <w:r w:rsidRPr="004A0691">
        <w:rPr>
          <w:rFonts w:ascii="Times New Roman" w:hAnsi="Times New Roman" w:cs="Times New Roman"/>
          <w:sz w:val="24"/>
          <w:szCs w:val="24"/>
          <w:lang w:val="en-US"/>
        </w:rPr>
        <w:t>Zhirnel Evgeni</w:t>
      </w:r>
      <w:r>
        <w:rPr>
          <w:rFonts w:ascii="Times New Roman" w:hAnsi="Times New Roman" w:cs="Times New Roman"/>
          <w:sz w:val="24"/>
          <w:szCs w:val="24"/>
          <w:lang w:val="en-US"/>
        </w:rPr>
        <w:t>i</w:t>
      </w:r>
      <w:r w:rsidRPr="004A0691">
        <w:rPr>
          <w:rFonts w:ascii="Times New Roman" w:hAnsi="Times New Roman" w:cs="Times New Roman"/>
          <w:sz w:val="24"/>
          <w:szCs w:val="24"/>
          <w:lang w:val="en-US"/>
        </w:rPr>
        <w:t xml:space="preserve"> Viktorovich (Russia, Salekhard) candidate of economic sciences, manager, YNAO Fund for Smal Business Financial Support (Yamalo-Nenets Autonomous Okrug, Salekhard, ulitsa Sverdlova, 43a, </w:t>
      </w:r>
      <w:hyperlink r:id="rId11" w:history="1">
        <w:r w:rsidRPr="004A0691">
          <w:rPr>
            <w:rStyle w:val="a3"/>
            <w:rFonts w:ascii="Times New Roman" w:hAnsi="Times New Roman" w:cs="Times New Roman"/>
            <w:sz w:val="24"/>
            <w:szCs w:val="24"/>
            <w:lang w:val="en-US"/>
          </w:rPr>
          <w:t>evge2004@mail.ru</w:t>
        </w:r>
      </w:hyperlink>
      <w:r w:rsidRPr="004A0691">
        <w:rPr>
          <w:rFonts w:ascii="Times New Roman" w:hAnsi="Times New Roman" w:cs="Times New Roman"/>
          <w:sz w:val="24"/>
          <w:szCs w:val="24"/>
          <w:lang w:val="en-US"/>
        </w:rPr>
        <w:t>)</w:t>
      </w:r>
    </w:p>
    <w:p w14:paraId="026DE6C1" w14:textId="6B84149A" w:rsidR="004A0691" w:rsidRDefault="004A0691" w:rsidP="004A0691">
      <w:pPr>
        <w:spacing w:after="0" w:line="240" w:lineRule="auto"/>
        <w:ind w:firstLine="709"/>
        <w:jc w:val="both"/>
        <w:rPr>
          <w:rFonts w:ascii="Times New Roman" w:hAnsi="Times New Roman" w:cs="Times New Roman"/>
          <w:sz w:val="24"/>
          <w:szCs w:val="24"/>
          <w:lang w:val="en-US"/>
        </w:rPr>
      </w:pPr>
    </w:p>
    <w:p w14:paraId="62F620A7" w14:textId="77777777" w:rsidR="004A0691" w:rsidRPr="004A0691" w:rsidRDefault="004A0691" w:rsidP="004A0691">
      <w:pPr>
        <w:pStyle w:val="a9"/>
        <w:shd w:val="clear" w:color="auto" w:fill="FFFFFF"/>
        <w:spacing w:before="0" w:beforeAutospacing="0" w:after="0" w:afterAutospacing="0"/>
        <w:ind w:firstLine="709"/>
        <w:rPr>
          <w:b/>
          <w:bCs/>
          <w:color w:val="000000"/>
          <w:lang w:val="en-US"/>
        </w:rPr>
      </w:pPr>
      <w:r w:rsidRPr="004A0691">
        <w:rPr>
          <w:b/>
          <w:bCs/>
          <w:color w:val="000000"/>
          <w:lang w:val="en-US"/>
        </w:rPr>
        <w:t>References</w:t>
      </w:r>
    </w:p>
    <w:p w14:paraId="63E1631E" w14:textId="697F8B57" w:rsidR="004A0691" w:rsidRPr="004A0691" w:rsidRDefault="004A0691" w:rsidP="004A0691">
      <w:pPr>
        <w:pStyle w:val="a9"/>
        <w:shd w:val="clear" w:color="auto" w:fill="FFFFFF"/>
        <w:spacing w:before="0" w:beforeAutospacing="0" w:after="0" w:afterAutospacing="0"/>
        <w:ind w:firstLine="709"/>
        <w:rPr>
          <w:color w:val="000000"/>
          <w:lang w:val="en-US"/>
        </w:rPr>
      </w:pPr>
      <w:r w:rsidRPr="004A0691">
        <w:rPr>
          <w:color w:val="000000"/>
          <w:lang w:val="en-US"/>
        </w:rPr>
        <w:t>1. Available at: Bank of Russia. Banking sector</w:t>
      </w:r>
      <w:r>
        <w:rPr>
          <w:color w:val="000000"/>
          <w:lang w:val="en-US"/>
        </w:rPr>
        <w:t xml:space="preserve"> </w:t>
      </w:r>
      <w:hyperlink r:id="rId12" w:tgtFrame="_blank" w:history="1">
        <w:r w:rsidRPr="004A0691">
          <w:rPr>
            <w:rStyle w:val="a3"/>
            <w:color w:val="005BD1"/>
            <w:lang w:val="en-US"/>
          </w:rPr>
          <w:t>https://www.cbr.ru/statistics/bank_sector/</w:t>
        </w:r>
      </w:hyperlink>
      <w:r>
        <w:rPr>
          <w:color w:val="000000"/>
          <w:lang w:val="en-US"/>
        </w:rPr>
        <w:t xml:space="preserve"> </w:t>
      </w:r>
      <w:r w:rsidRPr="004A0691">
        <w:rPr>
          <w:color w:val="000000"/>
          <w:lang w:val="en-US"/>
        </w:rPr>
        <w:t>(Accessed</w:t>
      </w:r>
      <w:r>
        <w:rPr>
          <w:color w:val="000000"/>
          <w:lang w:val="en-US"/>
        </w:rPr>
        <w:t xml:space="preserve"> 08/05/2020</w:t>
      </w:r>
      <w:r w:rsidRPr="004A0691">
        <w:rPr>
          <w:color w:val="000000"/>
          <w:lang w:val="en-US"/>
        </w:rPr>
        <w:t>) (in Russian)</w:t>
      </w:r>
    </w:p>
    <w:p w14:paraId="58A45295" w14:textId="0BCB24DC" w:rsidR="004A0691" w:rsidRPr="004A0691" w:rsidRDefault="004A0691" w:rsidP="004A0691">
      <w:pPr>
        <w:pStyle w:val="a9"/>
        <w:shd w:val="clear" w:color="auto" w:fill="FFFFFF"/>
        <w:spacing w:before="0" w:beforeAutospacing="0" w:after="0" w:afterAutospacing="0"/>
        <w:ind w:firstLine="709"/>
        <w:rPr>
          <w:color w:val="000000"/>
          <w:lang w:val="en-US"/>
        </w:rPr>
      </w:pPr>
      <w:r w:rsidRPr="004A0691">
        <w:rPr>
          <w:color w:val="000000"/>
          <w:lang w:val="en-US"/>
        </w:rPr>
        <w:t>2.Report on the results of the expert-analytical event “Assessment of the state of SME guarantee support and microfinancing in the Russian Federation in 2015-2018 and the first half of 2019” Available at:</w:t>
      </w:r>
      <w:r>
        <w:rPr>
          <w:color w:val="000000"/>
          <w:lang w:val="en-US"/>
        </w:rPr>
        <w:t xml:space="preserve"> </w:t>
      </w:r>
      <w:hyperlink r:id="rId13" w:tgtFrame="_blank" w:history="1">
        <w:r w:rsidRPr="004A0691">
          <w:rPr>
            <w:rStyle w:val="a3"/>
            <w:color w:val="005BD1"/>
            <w:lang w:val="en-US"/>
          </w:rPr>
          <w:t>http://www.ach.gov.ru/upload/medialibrary/46a/46a9f2d742498488fca4d297cf187a11.pdf</w:t>
        </w:r>
      </w:hyperlink>
      <w:r>
        <w:rPr>
          <w:color w:val="000000"/>
          <w:lang w:val="en-US"/>
        </w:rPr>
        <w:t xml:space="preserve"> </w:t>
      </w:r>
      <w:r w:rsidRPr="004A0691">
        <w:rPr>
          <w:color w:val="000000"/>
          <w:lang w:val="en-US"/>
        </w:rPr>
        <w:t>(Accessed</w:t>
      </w:r>
      <w:r>
        <w:rPr>
          <w:color w:val="000000"/>
          <w:lang w:val="en-US"/>
        </w:rPr>
        <w:t xml:space="preserve"> 08/05/2020</w:t>
      </w:r>
      <w:r w:rsidRPr="004A0691">
        <w:rPr>
          <w:color w:val="000000"/>
          <w:lang w:val="en-US"/>
        </w:rPr>
        <w:t>) (in Russian)</w:t>
      </w:r>
    </w:p>
    <w:p w14:paraId="3301126B" w14:textId="7D0545B7" w:rsidR="004A0691" w:rsidRPr="004A0691" w:rsidRDefault="004A0691" w:rsidP="004A0691">
      <w:pPr>
        <w:pStyle w:val="a9"/>
        <w:shd w:val="clear" w:color="auto" w:fill="FFFFFF"/>
        <w:spacing w:before="0" w:beforeAutospacing="0" w:after="0" w:afterAutospacing="0"/>
        <w:ind w:firstLine="709"/>
        <w:rPr>
          <w:color w:val="000000"/>
          <w:lang w:val="en-US"/>
        </w:rPr>
      </w:pPr>
      <w:r w:rsidRPr="004A0691">
        <w:rPr>
          <w:color w:val="000000"/>
          <w:lang w:val="en-US"/>
        </w:rPr>
        <w:t>3.Passport of the national project “SME and support of individual entrepreneurial initiative” Available at:</w:t>
      </w:r>
      <w:r>
        <w:rPr>
          <w:color w:val="000000"/>
          <w:lang w:val="en-US"/>
        </w:rPr>
        <w:t xml:space="preserve"> </w:t>
      </w:r>
      <w:hyperlink r:id="rId14" w:tgtFrame="_blank" w:history="1">
        <w:r w:rsidRPr="004A0691">
          <w:rPr>
            <w:rStyle w:val="a3"/>
            <w:color w:val="005BD1"/>
            <w:lang w:val="en-US"/>
          </w:rPr>
          <w:t>http://static.government.ru/media/files/qH8voRLuhAVWSJhIS8XYbZBsAvcs8A5t.pdf</w:t>
        </w:r>
      </w:hyperlink>
      <w:r>
        <w:rPr>
          <w:color w:val="000000"/>
          <w:lang w:val="en-US"/>
        </w:rPr>
        <w:t xml:space="preserve"> </w:t>
      </w:r>
      <w:r w:rsidRPr="004A0691">
        <w:rPr>
          <w:color w:val="000000"/>
          <w:lang w:val="en-US"/>
        </w:rPr>
        <w:t>(Accessed</w:t>
      </w:r>
      <w:r>
        <w:rPr>
          <w:color w:val="000000"/>
          <w:lang w:val="en-US"/>
        </w:rPr>
        <w:t xml:space="preserve"> 08/05/2020</w:t>
      </w:r>
      <w:r w:rsidRPr="004A0691">
        <w:rPr>
          <w:color w:val="000000"/>
          <w:lang w:val="en-US"/>
        </w:rPr>
        <w:t>) (in Russian)</w:t>
      </w:r>
    </w:p>
    <w:p w14:paraId="4B2C691D" w14:textId="3C43957D" w:rsidR="004A0691" w:rsidRPr="004A0691" w:rsidRDefault="004A0691" w:rsidP="004A0691">
      <w:pPr>
        <w:pStyle w:val="a9"/>
        <w:shd w:val="clear" w:color="auto" w:fill="FFFFFF"/>
        <w:spacing w:before="0" w:beforeAutospacing="0" w:after="0" w:afterAutospacing="0"/>
        <w:ind w:firstLine="709"/>
        <w:rPr>
          <w:color w:val="000000"/>
          <w:lang w:val="en-US"/>
        </w:rPr>
      </w:pPr>
      <w:r w:rsidRPr="004A0691">
        <w:rPr>
          <w:color w:val="000000"/>
          <w:lang w:val="en-US"/>
        </w:rPr>
        <w:t>4.The forecast of lending to small and medium-sized businesses in Russia for 2020: records behind. Expert RA Available at:</w:t>
      </w:r>
      <w:r>
        <w:rPr>
          <w:color w:val="000000"/>
          <w:lang w:val="en-US"/>
        </w:rPr>
        <w:t xml:space="preserve"> </w:t>
      </w:r>
      <w:hyperlink r:id="rId15" w:anchor="part1" w:tgtFrame="_blank" w:history="1">
        <w:r w:rsidRPr="004A0691">
          <w:rPr>
            <w:rStyle w:val="a3"/>
            <w:color w:val="005BD1"/>
            <w:lang w:val="en-US"/>
          </w:rPr>
          <w:t>https://www.raexpert.ru/researches/banks/msb_2019#part1</w:t>
        </w:r>
      </w:hyperlink>
      <w:r>
        <w:rPr>
          <w:color w:val="000000"/>
          <w:lang w:val="en-US"/>
        </w:rPr>
        <w:t xml:space="preserve"> </w:t>
      </w:r>
      <w:r w:rsidRPr="004A0691">
        <w:rPr>
          <w:color w:val="000000"/>
          <w:lang w:val="en-US"/>
        </w:rPr>
        <w:t>(Accessed</w:t>
      </w:r>
      <w:r>
        <w:rPr>
          <w:color w:val="000000"/>
          <w:lang w:val="en-US"/>
        </w:rPr>
        <w:t xml:space="preserve"> 08/05/2020</w:t>
      </w:r>
      <w:r w:rsidRPr="004A0691">
        <w:rPr>
          <w:color w:val="000000"/>
          <w:lang w:val="en-US"/>
        </w:rPr>
        <w:t>) (in Russian)</w:t>
      </w:r>
    </w:p>
    <w:p w14:paraId="451759A5" w14:textId="2EE386AC" w:rsidR="004A0691" w:rsidRPr="004A0691" w:rsidRDefault="004A0691" w:rsidP="004A0691">
      <w:pPr>
        <w:pStyle w:val="a9"/>
        <w:shd w:val="clear" w:color="auto" w:fill="FFFFFF"/>
        <w:spacing w:before="0" w:beforeAutospacing="0" w:after="0" w:afterAutospacing="0"/>
        <w:ind w:firstLine="709"/>
        <w:rPr>
          <w:lang w:val="en-US"/>
        </w:rPr>
      </w:pPr>
      <w:r w:rsidRPr="004A0691">
        <w:rPr>
          <w:color w:val="000000"/>
          <w:lang w:val="en-US"/>
        </w:rPr>
        <w:t>5. Microfinance Entrepreneurship Financing Organizations: new trends in the market in 2019 Available at:https://</w:t>
      </w:r>
      <w:hyperlink r:id="rId16" w:tgtFrame="_blank" w:history="1">
        <w:r w:rsidRPr="004A0691">
          <w:rPr>
            <w:rStyle w:val="a3"/>
            <w:color w:val="005BD1"/>
            <w:lang w:val="en-US"/>
          </w:rPr>
          <w:t>www.cbr.ru/Collection/Collection/File/27783/mfi_market_trends_2019.pdf</w:t>
        </w:r>
      </w:hyperlink>
      <w:r>
        <w:rPr>
          <w:color w:val="000000"/>
          <w:lang w:val="en-US"/>
        </w:rPr>
        <w:t xml:space="preserve"> </w:t>
      </w:r>
      <w:r w:rsidRPr="004A0691">
        <w:rPr>
          <w:color w:val="000000"/>
          <w:lang w:val="en-US"/>
        </w:rPr>
        <w:t>(Accessed</w:t>
      </w:r>
      <w:r>
        <w:rPr>
          <w:color w:val="000000"/>
          <w:lang w:val="en-US"/>
        </w:rPr>
        <w:t xml:space="preserve"> 08/05/2020</w:t>
      </w:r>
      <w:r w:rsidRPr="004A0691">
        <w:rPr>
          <w:color w:val="000000"/>
          <w:lang w:val="en-US"/>
        </w:rPr>
        <w:t>) (in Russian)</w:t>
      </w:r>
    </w:p>
    <w:sectPr w:rsidR="004A0691" w:rsidRPr="004A069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241A76"/>
    <w:multiLevelType w:val="hybridMultilevel"/>
    <w:tmpl w:val="93F6C11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118A0355"/>
    <w:multiLevelType w:val="hybridMultilevel"/>
    <w:tmpl w:val="B9740808"/>
    <w:lvl w:ilvl="0" w:tplc="6C906C2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41217F0"/>
    <w:multiLevelType w:val="hybridMultilevel"/>
    <w:tmpl w:val="0F962B94"/>
    <w:lvl w:ilvl="0" w:tplc="DB6EA78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54284945"/>
    <w:multiLevelType w:val="hybridMultilevel"/>
    <w:tmpl w:val="5CE2B736"/>
    <w:lvl w:ilvl="0" w:tplc="FEDA7CEA">
      <w:start w:val="1"/>
      <w:numFmt w:val="bullet"/>
      <w:lvlText w:val=""/>
      <w:lvlJc w:val="left"/>
      <w:pPr>
        <w:ind w:left="1429" w:hanging="360"/>
      </w:pPr>
      <w:rPr>
        <w:rFonts w:ascii="Symbol" w:hAnsi="Symbol" w:cs="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cs="Wingdings" w:hint="default"/>
      </w:rPr>
    </w:lvl>
    <w:lvl w:ilvl="3" w:tplc="04190001" w:tentative="1">
      <w:start w:val="1"/>
      <w:numFmt w:val="bullet"/>
      <w:lvlText w:val=""/>
      <w:lvlJc w:val="left"/>
      <w:pPr>
        <w:ind w:left="2880" w:hanging="360"/>
      </w:pPr>
      <w:rPr>
        <w:rFonts w:ascii="Symbol" w:hAnsi="Symbol" w:cs="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cs="Wingdings" w:hint="default"/>
      </w:rPr>
    </w:lvl>
    <w:lvl w:ilvl="6" w:tplc="04190001" w:tentative="1">
      <w:start w:val="1"/>
      <w:numFmt w:val="bullet"/>
      <w:lvlText w:val=""/>
      <w:lvlJc w:val="left"/>
      <w:pPr>
        <w:ind w:left="5040" w:hanging="360"/>
      </w:pPr>
      <w:rPr>
        <w:rFonts w:ascii="Symbol" w:hAnsi="Symbol" w:cs="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cs="Wingdings" w:hint="default"/>
      </w:rPr>
    </w:lvl>
  </w:abstractNum>
  <w:abstractNum w:abstractNumId="4" w15:restartNumberingAfterBreak="0">
    <w:nsid w:val="67AF780B"/>
    <w:multiLevelType w:val="hybridMultilevel"/>
    <w:tmpl w:val="0B3E972E"/>
    <w:lvl w:ilvl="0" w:tplc="FEDA7CEA">
      <w:start w:val="1"/>
      <w:numFmt w:val="bullet"/>
      <w:lvlText w:val=""/>
      <w:lvlJc w:val="left"/>
      <w:pPr>
        <w:ind w:left="1429" w:hanging="360"/>
      </w:pPr>
      <w:rPr>
        <w:rFonts w:ascii="Symbol" w:hAnsi="Symbol" w:cs="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3"/>
  </w:num>
  <w:num w:numId="3">
    <w:abstractNumId w:val="4"/>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01E3"/>
    <w:rsid w:val="00004B54"/>
    <w:rsid w:val="00010721"/>
    <w:rsid w:val="00011934"/>
    <w:rsid w:val="000751C2"/>
    <w:rsid w:val="0013043E"/>
    <w:rsid w:val="00177B4F"/>
    <w:rsid w:val="001965AF"/>
    <w:rsid w:val="001A5D07"/>
    <w:rsid w:val="001C2D8B"/>
    <w:rsid w:val="001F0EB9"/>
    <w:rsid w:val="00206B02"/>
    <w:rsid w:val="002B2251"/>
    <w:rsid w:val="002C0E4D"/>
    <w:rsid w:val="002D0CC6"/>
    <w:rsid w:val="002E02DF"/>
    <w:rsid w:val="002E3DCE"/>
    <w:rsid w:val="002F038C"/>
    <w:rsid w:val="0030721D"/>
    <w:rsid w:val="00322103"/>
    <w:rsid w:val="00374A7C"/>
    <w:rsid w:val="00385008"/>
    <w:rsid w:val="00385DC9"/>
    <w:rsid w:val="0038630D"/>
    <w:rsid w:val="003E5467"/>
    <w:rsid w:val="003F1ABD"/>
    <w:rsid w:val="00422DE8"/>
    <w:rsid w:val="0047236C"/>
    <w:rsid w:val="004A0691"/>
    <w:rsid w:val="004B3880"/>
    <w:rsid w:val="004C01E3"/>
    <w:rsid w:val="005210FE"/>
    <w:rsid w:val="005D195B"/>
    <w:rsid w:val="005E53A2"/>
    <w:rsid w:val="005F1982"/>
    <w:rsid w:val="00601E95"/>
    <w:rsid w:val="00646139"/>
    <w:rsid w:val="00663995"/>
    <w:rsid w:val="00694590"/>
    <w:rsid w:val="006A3FA2"/>
    <w:rsid w:val="006C3A31"/>
    <w:rsid w:val="006C4B05"/>
    <w:rsid w:val="006D6A1A"/>
    <w:rsid w:val="006F70A9"/>
    <w:rsid w:val="00712EA2"/>
    <w:rsid w:val="0074001E"/>
    <w:rsid w:val="00765542"/>
    <w:rsid w:val="00775F7A"/>
    <w:rsid w:val="007811C7"/>
    <w:rsid w:val="007A5048"/>
    <w:rsid w:val="007D20F2"/>
    <w:rsid w:val="007D4B80"/>
    <w:rsid w:val="007D4F7A"/>
    <w:rsid w:val="007F1044"/>
    <w:rsid w:val="007F5A4D"/>
    <w:rsid w:val="00855EAD"/>
    <w:rsid w:val="00861556"/>
    <w:rsid w:val="00870E5A"/>
    <w:rsid w:val="00893C6C"/>
    <w:rsid w:val="008C6DE1"/>
    <w:rsid w:val="008D4278"/>
    <w:rsid w:val="008D4F00"/>
    <w:rsid w:val="008E4835"/>
    <w:rsid w:val="008E4A9F"/>
    <w:rsid w:val="008F292A"/>
    <w:rsid w:val="008F4686"/>
    <w:rsid w:val="00911BA1"/>
    <w:rsid w:val="0092703E"/>
    <w:rsid w:val="009305F1"/>
    <w:rsid w:val="009532AA"/>
    <w:rsid w:val="00992E6B"/>
    <w:rsid w:val="00A024EB"/>
    <w:rsid w:val="00A76659"/>
    <w:rsid w:val="00A866F2"/>
    <w:rsid w:val="00A968E3"/>
    <w:rsid w:val="00A96E14"/>
    <w:rsid w:val="00AA74A6"/>
    <w:rsid w:val="00AB3598"/>
    <w:rsid w:val="00AD3A53"/>
    <w:rsid w:val="00AE57B1"/>
    <w:rsid w:val="00B10F09"/>
    <w:rsid w:val="00B4478E"/>
    <w:rsid w:val="00B70868"/>
    <w:rsid w:val="00B86D88"/>
    <w:rsid w:val="00B946F1"/>
    <w:rsid w:val="00BC2490"/>
    <w:rsid w:val="00C10755"/>
    <w:rsid w:val="00C476B8"/>
    <w:rsid w:val="00C65D10"/>
    <w:rsid w:val="00C6703A"/>
    <w:rsid w:val="00C70BB5"/>
    <w:rsid w:val="00CE0537"/>
    <w:rsid w:val="00CE6B36"/>
    <w:rsid w:val="00D11ED9"/>
    <w:rsid w:val="00D27D7E"/>
    <w:rsid w:val="00D6230A"/>
    <w:rsid w:val="00DA5830"/>
    <w:rsid w:val="00DA61EE"/>
    <w:rsid w:val="00DC073E"/>
    <w:rsid w:val="00DC72B2"/>
    <w:rsid w:val="00DD6017"/>
    <w:rsid w:val="00E123BE"/>
    <w:rsid w:val="00E80289"/>
    <w:rsid w:val="00E934AF"/>
    <w:rsid w:val="00E96266"/>
    <w:rsid w:val="00EC3D29"/>
    <w:rsid w:val="00F05DB1"/>
    <w:rsid w:val="00F16E3F"/>
    <w:rsid w:val="00F20730"/>
    <w:rsid w:val="00F346FD"/>
    <w:rsid w:val="00FA168C"/>
    <w:rsid w:val="00FB40C4"/>
    <w:rsid w:val="00FB6BE3"/>
    <w:rsid w:val="00FC48DC"/>
    <w:rsid w:val="00FD0E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EFF175"/>
  <w15:chartTrackingRefBased/>
  <w15:docId w15:val="{1C00F434-F694-48C6-9976-7C89DFC1C1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2">
    <w:name w:val="heading 2"/>
    <w:basedOn w:val="a"/>
    <w:link w:val="20"/>
    <w:uiPriority w:val="9"/>
    <w:qFormat/>
    <w:rsid w:val="00AD3A53"/>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346FD"/>
    <w:rPr>
      <w:color w:val="0000FF"/>
      <w:u w:val="single"/>
    </w:rPr>
  </w:style>
  <w:style w:type="character" w:styleId="a4">
    <w:name w:val="Unresolved Mention"/>
    <w:basedOn w:val="a0"/>
    <w:uiPriority w:val="99"/>
    <w:semiHidden/>
    <w:unhideWhenUsed/>
    <w:rsid w:val="00F346FD"/>
    <w:rPr>
      <w:color w:val="605E5C"/>
      <w:shd w:val="clear" w:color="auto" w:fill="E1DFDD"/>
    </w:rPr>
  </w:style>
  <w:style w:type="paragraph" w:styleId="a5">
    <w:name w:val="List Paragraph"/>
    <w:basedOn w:val="a"/>
    <w:uiPriority w:val="34"/>
    <w:qFormat/>
    <w:rsid w:val="00F346FD"/>
    <w:pPr>
      <w:ind w:left="720"/>
      <w:contextualSpacing/>
    </w:pPr>
  </w:style>
  <w:style w:type="character" w:customStyle="1" w:styleId="20">
    <w:name w:val="Заголовок 2 Знак"/>
    <w:basedOn w:val="a0"/>
    <w:link w:val="2"/>
    <w:uiPriority w:val="9"/>
    <w:rsid w:val="00AD3A53"/>
    <w:rPr>
      <w:rFonts w:ascii="Times New Roman" w:eastAsia="Times New Roman" w:hAnsi="Times New Roman" w:cs="Times New Roman"/>
      <w:b/>
      <w:bCs/>
      <w:sz w:val="36"/>
      <w:szCs w:val="36"/>
      <w:lang w:eastAsia="ru-RU"/>
    </w:rPr>
  </w:style>
  <w:style w:type="paragraph" w:styleId="a6">
    <w:name w:val="Balloon Text"/>
    <w:basedOn w:val="a"/>
    <w:link w:val="a7"/>
    <w:uiPriority w:val="99"/>
    <w:semiHidden/>
    <w:unhideWhenUsed/>
    <w:rsid w:val="00C70BB5"/>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C70BB5"/>
    <w:rPr>
      <w:rFonts w:ascii="Segoe UI" w:hAnsi="Segoe UI" w:cs="Segoe UI"/>
      <w:sz w:val="18"/>
      <w:szCs w:val="18"/>
    </w:rPr>
  </w:style>
  <w:style w:type="table" w:styleId="a8">
    <w:name w:val="Table Grid"/>
    <w:basedOn w:val="a1"/>
    <w:uiPriority w:val="39"/>
    <w:rsid w:val="00992E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rmal (Web)"/>
    <w:basedOn w:val="a"/>
    <w:uiPriority w:val="99"/>
    <w:unhideWhenUsed/>
    <w:rsid w:val="004A0691"/>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2251384">
      <w:bodyDiv w:val="1"/>
      <w:marLeft w:val="0"/>
      <w:marRight w:val="0"/>
      <w:marTop w:val="0"/>
      <w:marBottom w:val="0"/>
      <w:divBdr>
        <w:top w:val="none" w:sz="0" w:space="0" w:color="auto"/>
        <w:left w:val="none" w:sz="0" w:space="0" w:color="auto"/>
        <w:bottom w:val="none" w:sz="0" w:space="0" w:color="auto"/>
        <w:right w:val="none" w:sz="0" w:space="0" w:color="auto"/>
      </w:divBdr>
    </w:div>
    <w:div w:id="655841624">
      <w:bodyDiv w:val="1"/>
      <w:marLeft w:val="0"/>
      <w:marRight w:val="0"/>
      <w:marTop w:val="0"/>
      <w:marBottom w:val="0"/>
      <w:divBdr>
        <w:top w:val="none" w:sz="0" w:space="0" w:color="auto"/>
        <w:left w:val="none" w:sz="0" w:space="0" w:color="auto"/>
        <w:bottom w:val="none" w:sz="0" w:space="0" w:color="auto"/>
        <w:right w:val="none" w:sz="0" w:space="0" w:color="auto"/>
      </w:divBdr>
    </w:div>
    <w:div w:id="1553346870">
      <w:bodyDiv w:val="1"/>
      <w:marLeft w:val="0"/>
      <w:marRight w:val="0"/>
      <w:marTop w:val="0"/>
      <w:marBottom w:val="0"/>
      <w:divBdr>
        <w:top w:val="none" w:sz="0" w:space="0" w:color="auto"/>
        <w:left w:val="none" w:sz="0" w:space="0" w:color="auto"/>
        <w:bottom w:val="none" w:sz="0" w:space="0" w:color="auto"/>
        <w:right w:val="none" w:sz="0" w:space="0" w:color="auto"/>
      </w:divBdr>
    </w:div>
    <w:div w:id="1911697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aexpert.ru/researches/banks/msb_2019#part1" TargetMode="External"/><Relationship Id="rId13" Type="http://schemas.openxmlformats.org/officeDocument/2006/relationships/hyperlink" Target="http://www.ach.gov.ru/upload/medialibrary/46a/46a9f2d742498488fca4d297cf187a11.pdf"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tatic.government.ru/media/files/qH8voRLuhAVWSJhIS8XYbZBsAvcs8A5t.pdf" TargetMode="External"/><Relationship Id="rId12" Type="http://schemas.openxmlformats.org/officeDocument/2006/relationships/hyperlink" Target="https://www.cbr.ru/statistics/bank_sector/"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cbr.ru/Collection/Collection/File/27783/mfi_market_trends_2019.pdf" TargetMode="External"/><Relationship Id="rId1" Type="http://schemas.openxmlformats.org/officeDocument/2006/relationships/numbering" Target="numbering.xml"/><Relationship Id="rId6" Type="http://schemas.openxmlformats.org/officeDocument/2006/relationships/hyperlink" Target="http://www.ach.gov.ru/upload/medialibrary/46a/46a9f2d742498488fca4d297cf187a11.pdf" TargetMode="External"/><Relationship Id="rId11" Type="http://schemas.openxmlformats.org/officeDocument/2006/relationships/hyperlink" Target="mailto:evge2004@mail.ru" TargetMode="External"/><Relationship Id="rId5" Type="http://schemas.openxmlformats.org/officeDocument/2006/relationships/hyperlink" Target="https://www.cbr.ru/statistics/bank_sector/" TargetMode="External"/><Relationship Id="rId15" Type="http://schemas.openxmlformats.org/officeDocument/2006/relationships/hyperlink" Target="https://www.raexpert.ru/researches/banks/msb_2019" TargetMode="External"/><Relationship Id="rId10" Type="http://schemas.openxmlformats.org/officeDocument/2006/relationships/hyperlink" Target="mailto:evge2004@mail.ru" TargetMode="External"/><Relationship Id="rId4" Type="http://schemas.openxmlformats.org/officeDocument/2006/relationships/webSettings" Target="webSettings.xml"/><Relationship Id="rId9" Type="http://schemas.openxmlformats.org/officeDocument/2006/relationships/hyperlink" Target="https://www.cbr.ru/Collection/Collection/File/27783/mfi_market_trends_2019.pdf" TargetMode="External"/><Relationship Id="rId14" Type="http://schemas.openxmlformats.org/officeDocument/2006/relationships/hyperlink" Target="http://static.government.ru/media/files/qH8voRLuhAVWSJhIS8XYbZBsAvcs8A5t.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280</TotalTime>
  <Pages>5</Pages>
  <Words>2468</Words>
  <Characters>14074</Characters>
  <Application>Microsoft Office Word</Application>
  <DocSecurity>0</DocSecurity>
  <Lines>117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Жирнель Евгений Викторович</dc:creator>
  <cp:keywords/>
  <dc:description/>
  <cp:lastModifiedBy>Жирнель Евгений Викторович</cp:lastModifiedBy>
  <cp:revision>17</cp:revision>
  <dcterms:created xsi:type="dcterms:W3CDTF">2020-06-07T12:53:00Z</dcterms:created>
  <dcterms:modified xsi:type="dcterms:W3CDTF">2020-06-09T17:38:00Z</dcterms:modified>
</cp:coreProperties>
</file>