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49" w:rsidRPr="00551CC4" w:rsidRDefault="00C16649" w:rsidP="00551CC4">
      <w:pPr>
        <w:spacing w:after="0" w:line="240" w:lineRule="auto"/>
        <w:rPr>
          <w:rFonts w:ascii="Times New Roman" w:hAnsi="Times New Roman" w:cs="Times New Roman"/>
          <w:b/>
          <w:sz w:val="24"/>
          <w:szCs w:val="24"/>
        </w:rPr>
      </w:pPr>
      <w:r w:rsidRPr="00551CC4">
        <w:rPr>
          <w:rFonts w:ascii="Times New Roman" w:hAnsi="Times New Roman" w:cs="Times New Roman"/>
          <w:b/>
          <w:sz w:val="24"/>
          <w:szCs w:val="24"/>
        </w:rPr>
        <w:t xml:space="preserve">УДК </w:t>
      </w:r>
    </w:p>
    <w:p w:rsidR="00C16649" w:rsidRPr="00551CC4" w:rsidRDefault="00C16649" w:rsidP="00551CC4">
      <w:pPr>
        <w:spacing w:after="0" w:line="240" w:lineRule="auto"/>
        <w:rPr>
          <w:rFonts w:ascii="Times New Roman" w:hAnsi="Times New Roman" w:cs="Times New Roman"/>
          <w:b/>
          <w:sz w:val="24"/>
          <w:szCs w:val="24"/>
        </w:rPr>
      </w:pPr>
      <w:r w:rsidRPr="00551CC4">
        <w:rPr>
          <w:rFonts w:ascii="Times New Roman" w:hAnsi="Times New Roman" w:cs="Times New Roman"/>
          <w:b/>
          <w:sz w:val="24"/>
          <w:szCs w:val="24"/>
        </w:rPr>
        <w:t xml:space="preserve">ББК </w:t>
      </w:r>
    </w:p>
    <w:p w:rsidR="000253EF" w:rsidRPr="00551CC4" w:rsidRDefault="00551CC4" w:rsidP="00551CC4">
      <w:pPr>
        <w:spacing w:after="0" w:line="240" w:lineRule="auto"/>
        <w:jc w:val="right"/>
        <w:rPr>
          <w:rFonts w:ascii="Times New Roman" w:hAnsi="Times New Roman" w:cs="Times New Roman"/>
          <w:b/>
          <w:sz w:val="24"/>
          <w:szCs w:val="24"/>
        </w:rPr>
      </w:pPr>
      <w:r w:rsidRPr="00551CC4">
        <w:rPr>
          <w:rFonts w:ascii="Times New Roman" w:hAnsi="Times New Roman" w:cs="Times New Roman"/>
          <w:b/>
          <w:sz w:val="24"/>
          <w:szCs w:val="24"/>
        </w:rPr>
        <w:t>Мазилов Е.А</w:t>
      </w:r>
      <w:r w:rsidR="000253EF" w:rsidRPr="00551CC4">
        <w:rPr>
          <w:rFonts w:ascii="Times New Roman" w:hAnsi="Times New Roman" w:cs="Times New Roman"/>
          <w:b/>
          <w:sz w:val="24"/>
          <w:szCs w:val="24"/>
        </w:rPr>
        <w:t>.</w:t>
      </w:r>
    </w:p>
    <w:p w:rsidR="00B21E14" w:rsidRPr="00551CC4" w:rsidRDefault="0013644A" w:rsidP="00551CC4">
      <w:pPr>
        <w:spacing w:after="0" w:line="240" w:lineRule="auto"/>
        <w:jc w:val="center"/>
        <w:rPr>
          <w:rFonts w:ascii="Times New Roman" w:hAnsi="Times New Roman" w:cs="Times New Roman"/>
          <w:b/>
          <w:sz w:val="24"/>
          <w:szCs w:val="24"/>
        </w:rPr>
      </w:pPr>
      <w:bookmarkStart w:id="0" w:name="_GoBack"/>
      <w:r w:rsidRPr="00551CC4">
        <w:rPr>
          <w:rFonts w:ascii="Times New Roman" w:hAnsi="Times New Roman" w:cs="Times New Roman"/>
          <w:b/>
          <w:sz w:val="24"/>
          <w:szCs w:val="24"/>
        </w:rPr>
        <w:t>СТИМУЛИРОВАНИЕ ПРИКЛАДНЫХ ИССЛЕДОВАНИЙ И РАЗРАБОТОК НА РЕГИОНАЛЬНОМ УРОВНЕ</w:t>
      </w:r>
      <w:bookmarkEnd w:id="0"/>
      <w:r w:rsidR="00127A9C" w:rsidRPr="00551CC4">
        <w:rPr>
          <w:rStyle w:val="ae"/>
          <w:rFonts w:ascii="Times New Roman" w:hAnsi="Times New Roman" w:cs="Times New Roman"/>
          <w:b/>
          <w:sz w:val="24"/>
          <w:szCs w:val="24"/>
        </w:rPr>
        <w:footnoteReference w:id="1"/>
      </w:r>
    </w:p>
    <w:p w:rsidR="000253EF" w:rsidRPr="00551CC4" w:rsidRDefault="000253EF" w:rsidP="00551CC4">
      <w:pPr>
        <w:spacing w:after="0" w:line="240" w:lineRule="auto"/>
        <w:jc w:val="center"/>
        <w:rPr>
          <w:rFonts w:ascii="Times New Roman" w:hAnsi="Times New Roman" w:cs="Times New Roman"/>
          <w:b/>
          <w:sz w:val="24"/>
          <w:szCs w:val="24"/>
        </w:rPr>
      </w:pPr>
    </w:p>
    <w:p w:rsidR="003B0AA0" w:rsidRPr="00551CC4" w:rsidRDefault="008D0214" w:rsidP="00551CC4">
      <w:pPr>
        <w:spacing w:after="0" w:line="240" w:lineRule="auto"/>
        <w:ind w:firstLine="709"/>
        <w:jc w:val="both"/>
        <w:rPr>
          <w:rFonts w:ascii="Times New Roman" w:hAnsi="Times New Roman" w:cs="Times New Roman"/>
          <w:i/>
          <w:sz w:val="24"/>
          <w:szCs w:val="24"/>
          <w:highlight w:val="yellow"/>
        </w:rPr>
      </w:pPr>
      <w:r>
        <w:rPr>
          <w:rFonts w:ascii="Times New Roman" w:hAnsi="Times New Roman" w:cs="Times New Roman"/>
          <w:i/>
          <w:sz w:val="24"/>
          <w:szCs w:val="24"/>
        </w:rPr>
        <w:t xml:space="preserve">В материалах представлено </w:t>
      </w:r>
      <w:r w:rsidRPr="008D0214">
        <w:rPr>
          <w:rFonts w:ascii="Times New Roman" w:hAnsi="Times New Roman" w:cs="Times New Roman"/>
          <w:i/>
          <w:sz w:val="24"/>
          <w:szCs w:val="24"/>
        </w:rPr>
        <w:t xml:space="preserve">обоснование необходимости стимулирования прикладных исследований и разработок на региональном уровне. Сделано сравнение объемов затрат на </w:t>
      </w:r>
      <w:r>
        <w:rPr>
          <w:rFonts w:ascii="Times New Roman" w:hAnsi="Times New Roman" w:cs="Times New Roman"/>
          <w:i/>
          <w:sz w:val="24"/>
          <w:szCs w:val="24"/>
        </w:rPr>
        <w:t xml:space="preserve">науку в </w:t>
      </w:r>
      <w:r w:rsidRPr="008D0214">
        <w:rPr>
          <w:rFonts w:ascii="Times New Roman" w:hAnsi="Times New Roman" w:cs="Times New Roman"/>
          <w:i/>
          <w:sz w:val="24"/>
          <w:szCs w:val="24"/>
        </w:rPr>
        <w:t>РФ и Германии</w:t>
      </w:r>
      <w:r>
        <w:rPr>
          <w:rFonts w:ascii="Times New Roman" w:hAnsi="Times New Roman" w:cs="Times New Roman"/>
          <w:i/>
          <w:sz w:val="24"/>
          <w:szCs w:val="24"/>
        </w:rPr>
        <w:t>. Указывается</w:t>
      </w:r>
      <w:r w:rsidRPr="008D0214">
        <w:rPr>
          <w:rFonts w:ascii="Times New Roman" w:hAnsi="Times New Roman" w:cs="Times New Roman"/>
          <w:i/>
          <w:sz w:val="24"/>
          <w:szCs w:val="24"/>
        </w:rPr>
        <w:t>, что одним из методов активизации финансирования науки в России может стать создание фондов поддержки научной, научно-технической и инновационной деятельности.</w:t>
      </w:r>
    </w:p>
    <w:p w:rsidR="000253EF" w:rsidRPr="00526785" w:rsidRDefault="000253EF" w:rsidP="00551CC4">
      <w:pPr>
        <w:spacing w:after="0" w:line="240" w:lineRule="auto"/>
        <w:ind w:firstLine="709"/>
        <w:jc w:val="both"/>
        <w:rPr>
          <w:rFonts w:ascii="Times New Roman" w:hAnsi="Times New Roman" w:cs="Times New Roman"/>
          <w:i/>
          <w:sz w:val="24"/>
          <w:szCs w:val="24"/>
        </w:rPr>
      </w:pPr>
    </w:p>
    <w:p w:rsidR="000125E6" w:rsidRPr="00526785" w:rsidRDefault="000253EF" w:rsidP="00551CC4">
      <w:pPr>
        <w:spacing w:after="0" w:line="240" w:lineRule="auto"/>
        <w:ind w:firstLine="709"/>
        <w:jc w:val="both"/>
        <w:rPr>
          <w:rFonts w:ascii="Times New Roman" w:hAnsi="Times New Roman" w:cs="Times New Roman"/>
          <w:i/>
          <w:sz w:val="24"/>
          <w:szCs w:val="24"/>
        </w:rPr>
      </w:pPr>
      <w:r w:rsidRPr="00526785">
        <w:rPr>
          <w:rFonts w:ascii="Times New Roman" w:hAnsi="Times New Roman" w:cs="Times New Roman"/>
          <w:i/>
          <w:sz w:val="24"/>
          <w:szCs w:val="24"/>
        </w:rPr>
        <w:t xml:space="preserve">Ключевые слова: </w:t>
      </w:r>
      <w:r w:rsidR="00526785" w:rsidRPr="00526785">
        <w:rPr>
          <w:rFonts w:ascii="Times New Roman" w:hAnsi="Times New Roman" w:cs="Times New Roman"/>
          <w:i/>
          <w:sz w:val="24"/>
          <w:szCs w:val="24"/>
        </w:rPr>
        <w:t>прикладные исследования и разработки, финансирование, регион, научно-технологическое развитие, фонд.</w:t>
      </w:r>
    </w:p>
    <w:p w:rsidR="00B20A88" w:rsidRPr="00526785" w:rsidRDefault="00B20A88" w:rsidP="00551CC4">
      <w:pPr>
        <w:spacing w:after="0" w:line="240" w:lineRule="auto"/>
        <w:jc w:val="both"/>
        <w:rPr>
          <w:rFonts w:ascii="Times New Roman" w:hAnsi="Times New Roman" w:cs="Times New Roman"/>
          <w:sz w:val="24"/>
          <w:szCs w:val="24"/>
        </w:rPr>
      </w:pP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26785">
        <w:rPr>
          <w:rFonts w:ascii="Times New Roman" w:eastAsia="Calibri" w:hAnsi="Times New Roman" w:cs="Times New Roman"/>
          <w:color w:val="000000"/>
          <w:sz w:val="24"/>
          <w:szCs w:val="24"/>
        </w:rPr>
        <w:t>Мировой опыт показывает, что повышение инновационной активности может быть реализовано только при условии наличия развитого сектора прикладных разработок, обеспечивающих создание новых продуктов</w:t>
      </w:r>
      <w:r w:rsidRPr="00551CC4">
        <w:rPr>
          <w:rFonts w:ascii="Times New Roman" w:eastAsia="Calibri" w:hAnsi="Times New Roman" w:cs="Times New Roman"/>
          <w:color w:val="000000"/>
          <w:sz w:val="24"/>
          <w:szCs w:val="24"/>
        </w:rPr>
        <w:t>, материалов и технологий, которые впоследствии могут быть реализованы в производственном процессе и найти воплощение в товарной продукции, конкурентоспособной на современных рынках.</w:t>
      </w: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t>Если развитие фундаментальных исследований – это, прежде всего, прерогатива государства, то развитие сектора прикладных разработок – совместная задача государства и бизнеса. Обеспечение конкурентоспособности страны на рынках высокотехнологичной продукции обусловливает необходимость наличия, сопоставимого с ведущими мировыми игроками уровня финансирования сферы НИОКР. Однако в России наблюдается устойчивая тенденция к снижению доли затрат на исследования и разработки в ВВП. В 2018 г. она составила 1,37% против 2,03% в 1990 г. В качестве антипода здесь можно отметить Китай, который, активно развивая собственный сектор НИОКР, за четверть века довел размер соответствующих затрат фактически с нуля до 2,05% от ВВП. В Японии этот показатель составляет 3,6%, в Германии – 3,0%, в США – 2,7%, во Франции – 2,3%</w:t>
      </w:r>
      <w:r w:rsidR="00B17719">
        <w:rPr>
          <w:rFonts w:ascii="Times New Roman" w:eastAsia="Calibri" w:hAnsi="Times New Roman" w:cs="Times New Roman"/>
          <w:color w:val="000000"/>
          <w:sz w:val="24"/>
          <w:szCs w:val="24"/>
        </w:rPr>
        <w:t xml:space="preserve"> [</w:t>
      </w:r>
      <w:r w:rsidR="00B17719" w:rsidRPr="00B17719">
        <w:rPr>
          <w:rFonts w:ascii="Times New Roman" w:eastAsia="Calibri" w:hAnsi="Times New Roman" w:cs="Times New Roman"/>
          <w:color w:val="000000"/>
          <w:sz w:val="24"/>
          <w:szCs w:val="24"/>
        </w:rPr>
        <w:t>1</w:t>
      </w:r>
      <w:r w:rsidR="00B17719">
        <w:rPr>
          <w:rFonts w:ascii="Times New Roman" w:eastAsia="Calibri" w:hAnsi="Times New Roman" w:cs="Times New Roman"/>
          <w:color w:val="000000"/>
          <w:sz w:val="24"/>
          <w:szCs w:val="24"/>
        </w:rPr>
        <w:t>]</w:t>
      </w:r>
      <w:r w:rsidRPr="00551CC4">
        <w:rPr>
          <w:rFonts w:ascii="Times New Roman" w:eastAsia="Calibri" w:hAnsi="Times New Roman" w:cs="Times New Roman"/>
          <w:color w:val="000000"/>
          <w:sz w:val="24"/>
          <w:szCs w:val="24"/>
        </w:rPr>
        <w:t>. При этом уровень инновационной активности в России стабильно низок: начиная с 2000 г. лишь порядка 10% компаний реализует какие-либо инновационные проекты, в то время как в ведущих странах мира показатель инновационной активности составляет 50% и выше (Германия – 67%; Франция – 53%; Великобритания – 50%)</w:t>
      </w:r>
      <w:r w:rsidR="00B17719" w:rsidRPr="00B17719">
        <w:rPr>
          <w:rFonts w:ascii="Times New Roman" w:eastAsia="Calibri" w:hAnsi="Times New Roman" w:cs="Times New Roman"/>
          <w:color w:val="000000"/>
          <w:sz w:val="24"/>
          <w:szCs w:val="24"/>
        </w:rPr>
        <w:t xml:space="preserve"> [2]</w:t>
      </w:r>
      <w:r w:rsidRPr="00551CC4">
        <w:rPr>
          <w:rFonts w:ascii="Times New Roman" w:eastAsia="Calibri" w:hAnsi="Times New Roman" w:cs="Times New Roman"/>
          <w:color w:val="000000"/>
          <w:sz w:val="24"/>
          <w:szCs w:val="24"/>
        </w:rPr>
        <w:t>.</w:t>
      </w:r>
    </w:p>
    <w:p w:rsidR="00551CC4" w:rsidRP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Данная проблема усугубляется существенными диспропорциями в финансовом обеспечении сферы НИОКР между субъектами РФ. Разница между регионами-лидерами и регионами-аутсайдерами составляет 140-150 раз. В 76% (62 из 81) субъектов РФ доля внутренних затрат на исследования и разработки составляет менее 1% ВРП (а в ряде субъектов менее 0,1%, например, в Вологодской области – 0,07%). Лишь 7% регионов расходуют на эти цели более 2% ВРП</w:t>
      </w:r>
      <w:r w:rsidR="00B17719">
        <w:rPr>
          <w:rFonts w:ascii="Times New Roman" w:hAnsi="Times New Roman" w:cs="Times New Roman"/>
          <w:sz w:val="24"/>
          <w:szCs w:val="24"/>
          <w:lang w:val="en-US"/>
        </w:rPr>
        <w:t xml:space="preserve"> [2]</w:t>
      </w:r>
      <w:r w:rsidRPr="00551CC4">
        <w:rPr>
          <w:rFonts w:ascii="Times New Roman" w:hAnsi="Times New Roman" w:cs="Times New Roman"/>
          <w:sz w:val="24"/>
          <w:szCs w:val="24"/>
        </w:rPr>
        <w:t>. В сложившейся ситуации крайне сложно решать задачи, поставленные Президентом РФ по развитию производственной базы, повышению экономической самостоятельности регионов и обеспечения устойчивого экономического роста.</w:t>
      </w: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t xml:space="preserve">Дисбаланс в финансировании НИОКР между различными регионами – прямой путь к неравномерному развитию, стагнации и перманентной «периферийности» значительной части территории страны. Регионы, в которых сфера исследований и разработок хронически недофинансируется, не только ограничивают свои возможности в развитии современных конкурентоспособных производств, но и лишают себя значительной части человеческого потенциала, поскольку талантливые и активные люди стремится уехать оттуда в поисках мест наилучшей реализации своих способностей. </w:t>
      </w: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lastRenderedPageBreak/>
        <w:t>Ситуация значительным образом разнится с зарубежным опытом. Например, в Германии – стране, являющейся одним из мировых лидеров в области исследований и разработок, доля затрат на НИОКР в ВРП 15 из 16 федеральных земель превышает 1,5% (в Саксонии-</w:t>
      </w:r>
      <w:proofErr w:type="spellStart"/>
      <w:r w:rsidRPr="00551CC4">
        <w:rPr>
          <w:rFonts w:ascii="Times New Roman" w:eastAsia="Calibri" w:hAnsi="Times New Roman" w:cs="Times New Roman"/>
          <w:color w:val="000000"/>
          <w:sz w:val="24"/>
          <w:szCs w:val="24"/>
        </w:rPr>
        <w:t>Анхальт</w:t>
      </w:r>
      <w:proofErr w:type="spellEnd"/>
      <w:r w:rsidRPr="00551CC4">
        <w:rPr>
          <w:rFonts w:ascii="Times New Roman" w:eastAsia="Calibri" w:hAnsi="Times New Roman" w:cs="Times New Roman"/>
          <w:color w:val="000000"/>
          <w:sz w:val="24"/>
          <w:szCs w:val="24"/>
        </w:rPr>
        <w:t xml:space="preserve"> – 1,49%).</w:t>
      </w:r>
      <w:r w:rsidRPr="00551CC4">
        <w:rPr>
          <w:rFonts w:ascii="Times New Roman" w:eastAsia="Calibri" w:hAnsi="Times New Roman" w:cs="Times New Roman"/>
          <w:sz w:val="24"/>
          <w:szCs w:val="24"/>
        </w:rPr>
        <w:t xml:space="preserve"> Объем затрат на научные исследования и разработки в расчете на душу населения в федеральных землях Германии составляет от 412 до 2540 евро. При этом не наблюдается существенного дисбаланса между регионами по данному показателю. В 2017 г. разница между максимальным и минимальным значением составила 6,2 раза. Значение показателя в регионе-лидере превышало средний уровень 2,1 раза, а в регионе-аутсайдере было ниже его в 2,9 раза </w:t>
      </w:r>
      <w:r w:rsidRPr="00551CC4">
        <w:rPr>
          <w:rFonts w:ascii="Times New Roman" w:eastAsia="Calibri" w:hAnsi="Times New Roman" w:cs="Times New Roman"/>
          <w:color w:val="000000"/>
          <w:sz w:val="24"/>
          <w:szCs w:val="24"/>
        </w:rPr>
        <w:t>(табл. 1)</w:t>
      </w:r>
      <w:r w:rsidRPr="00551CC4">
        <w:rPr>
          <w:rFonts w:ascii="Times New Roman" w:eastAsia="Calibri" w:hAnsi="Times New Roman" w:cs="Times New Roman"/>
          <w:sz w:val="24"/>
          <w:szCs w:val="24"/>
        </w:rPr>
        <w:t>.</w:t>
      </w:r>
      <w:r w:rsidRPr="00551CC4">
        <w:rPr>
          <w:rFonts w:ascii="Times New Roman" w:eastAsia="Calibri" w:hAnsi="Times New Roman" w:cs="Times New Roman"/>
          <w:color w:val="000000"/>
          <w:sz w:val="24"/>
          <w:szCs w:val="24"/>
        </w:rPr>
        <w:t xml:space="preserve"> </w:t>
      </w:r>
    </w:p>
    <w:p w:rsidR="00551CC4" w:rsidRPr="00551CC4" w:rsidRDefault="00551CC4" w:rsidP="00551CC4">
      <w:pPr>
        <w:spacing w:after="0" w:line="240" w:lineRule="auto"/>
        <w:jc w:val="right"/>
        <w:rPr>
          <w:rFonts w:ascii="Times New Roman" w:hAnsi="Times New Roman" w:cs="Times New Roman"/>
          <w:i/>
          <w:sz w:val="24"/>
          <w:szCs w:val="24"/>
        </w:rPr>
      </w:pPr>
      <w:r w:rsidRPr="00551CC4">
        <w:rPr>
          <w:rFonts w:ascii="Times New Roman" w:hAnsi="Times New Roman" w:cs="Times New Roman"/>
          <w:i/>
          <w:sz w:val="24"/>
          <w:szCs w:val="24"/>
        </w:rPr>
        <w:t>Таблица 1</w:t>
      </w:r>
    </w:p>
    <w:p w:rsidR="00551CC4" w:rsidRPr="00551CC4" w:rsidRDefault="00551CC4" w:rsidP="00551CC4">
      <w:pPr>
        <w:spacing w:after="0" w:line="240" w:lineRule="auto"/>
        <w:jc w:val="center"/>
        <w:rPr>
          <w:rFonts w:ascii="Times New Roman" w:eastAsia="Calibri" w:hAnsi="Times New Roman" w:cs="Times New Roman"/>
          <w:sz w:val="24"/>
          <w:szCs w:val="24"/>
        </w:rPr>
      </w:pPr>
      <w:r w:rsidRPr="00551CC4">
        <w:rPr>
          <w:rFonts w:ascii="Times New Roman" w:eastAsia="Calibri" w:hAnsi="Times New Roman" w:cs="Times New Roman"/>
          <w:sz w:val="24"/>
          <w:szCs w:val="24"/>
        </w:rPr>
        <w:t>Доля затрат на научные исследования и разработки в ВРП федеральных земель и ВВП Федеративной Республики Германия</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48"/>
        <w:gridCol w:w="906"/>
        <w:gridCol w:w="911"/>
        <w:gridCol w:w="911"/>
        <w:gridCol w:w="763"/>
        <w:gridCol w:w="903"/>
        <w:gridCol w:w="903"/>
        <w:gridCol w:w="905"/>
        <w:gridCol w:w="950"/>
      </w:tblGrid>
      <w:tr w:rsidR="00551CC4" w:rsidRPr="00551CC4" w:rsidTr="00C256B0">
        <w:trPr>
          <w:trHeight w:val="236"/>
        </w:trPr>
        <w:tc>
          <w:tcPr>
            <w:tcW w:w="286" w:type="pct"/>
            <w:vMerge w:val="restart"/>
            <w:vAlign w:val="center"/>
          </w:tcPr>
          <w:p w:rsidR="00551CC4" w:rsidRPr="00551CC4" w:rsidRDefault="00551CC4" w:rsidP="00551CC4">
            <w:pPr>
              <w:spacing w:after="0" w:line="240" w:lineRule="auto"/>
              <w:jc w:val="center"/>
              <w:rPr>
                <w:rFonts w:ascii="Times New Roman" w:eastAsia="Calibri" w:hAnsi="Times New Roman" w:cs="Times New Roman"/>
                <w:sz w:val="24"/>
                <w:szCs w:val="24"/>
              </w:rPr>
            </w:pPr>
            <w:r w:rsidRPr="00551CC4">
              <w:rPr>
                <w:rFonts w:ascii="Times New Roman" w:eastAsia="Calibri" w:hAnsi="Times New Roman" w:cs="Times New Roman"/>
                <w:sz w:val="24"/>
                <w:szCs w:val="24"/>
              </w:rPr>
              <w:t>№ п/п</w:t>
            </w:r>
          </w:p>
        </w:tc>
        <w:tc>
          <w:tcPr>
            <w:tcW w:w="838" w:type="pct"/>
            <w:vMerge w:val="restar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Земля</w:t>
            </w:r>
          </w:p>
        </w:tc>
        <w:tc>
          <w:tcPr>
            <w:tcW w:w="1484" w:type="pct"/>
            <w:gridSpan w:val="3"/>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Тыс. евро/чел.</w:t>
            </w:r>
          </w:p>
        </w:tc>
        <w:tc>
          <w:tcPr>
            <w:tcW w:w="401" w:type="pct"/>
            <w:vMerge w:val="restar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2017 /2015</w:t>
            </w:r>
          </w:p>
        </w:tc>
        <w:tc>
          <w:tcPr>
            <w:tcW w:w="1474" w:type="pct"/>
            <w:gridSpan w:val="3"/>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В % от ВРП</w:t>
            </w:r>
          </w:p>
        </w:tc>
        <w:tc>
          <w:tcPr>
            <w:tcW w:w="516" w:type="pct"/>
            <w:vMerge w:val="restar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2017-2015 гг.</w:t>
            </w:r>
          </w:p>
        </w:tc>
      </w:tr>
      <w:tr w:rsidR="00551CC4" w:rsidRPr="00551CC4" w:rsidTr="00C256B0">
        <w:trPr>
          <w:trHeight w:val="236"/>
        </w:trPr>
        <w:tc>
          <w:tcPr>
            <w:tcW w:w="286" w:type="pct"/>
            <w:vMerge/>
            <w:vAlign w:val="center"/>
          </w:tcPr>
          <w:p w:rsidR="00551CC4" w:rsidRPr="00551CC4" w:rsidRDefault="00551CC4" w:rsidP="00551CC4">
            <w:pPr>
              <w:spacing w:after="0" w:line="240" w:lineRule="auto"/>
              <w:jc w:val="center"/>
              <w:rPr>
                <w:rFonts w:ascii="Times New Roman" w:eastAsia="Calibri" w:hAnsi="Times New Roman" w:cs="Times New Roman"/>
                <w:sz w:val="24"/>
                <w:szCs w:val="24"/>
              </w:rPr>
            </w:pPr>
          </w:p>
        </w:tc>
        <w:tc>
          <w:tcPr>
            <w:tcW w:w="838" w:type="pct"/>
            <w:vMerge/>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2015 г.</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2016 г.</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2017 г.</w:t>
            </w:r>
          </w:p>
        </w:tc>
        <w:tc>
          <w:tcPr>
            <w:tcW w:w="401" w:type="pct"/>
            <w:vMerge/>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2015 г.</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2016 г.</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2017 г.</w:t>
            </w:r>
          </w:p>
        </w:tc>
        <w:tc>
          <w:tcPr>
            <w:tcW w:w="516" w:type="pct"/>
            <w:vMerge/>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Баден-Вюртемберг</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2,11</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2,15</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2,54</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120,6</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4,90</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4,93</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5,64</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0,74</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2.</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Бавария</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1,36</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1,40</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1,44</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106,1</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3,14</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3,12</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3,09</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-0,05</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3.</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Гамбург</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1,37</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1,40</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1,37</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100,6</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2,20</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2,25</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2,15</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-0,05</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4.</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Бремен</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1,31</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1,35</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1,34</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102,1</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2,81</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2,87</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2,75</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-0,06</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5.</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Берлин</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1,26</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1,28</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1,32</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104,9</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3,52</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3,41</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3,41</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-0,11</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6.</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Гессен</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1,21</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1,25</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1,31</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108,9</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2,83</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2,84</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2,91</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0,08</w:t>
            </w:r>
          </w:p>
        </w:tc>
      </w:tr>
      <w:tr w:rsidR="00551CC4" w:rsidRPr="00551CC4" w:rsidTr="00C256B0">
        <w:tc>
          <w:tcPr>
            <w:tcW w:w="1124" w:type="pct"/>
            <w:gridSpan w:val="2"/>
          </w:tcPr>
          <w:p w:rsidR="00551CC4" w:rsidRPr="00551CC4" w:rsidRDefault="00551CC4" w:rsidP="00551CC4">
            <w:pPr>
              <w:spacing w:after="0" w:line="240" w:lineRule="auto"/>
              <w:rPr>
                <w:rFonts w:ascii="Times New Roman" w:eastAsia="Times New Roman" w:hAnsi="Times New Roman" w:cs="Times New Roman"/>
                <w:i/>
                <w:sz w:val="24"/>
                <w:szCs w:val="24"/>
                <w:lang w:val="de-DE" w:eastAsia="ru-RU"/>
              </w:rPr>
            </w:pPr>
            <w:r w:rsidRPr="00551CC4">
              <w:rPr>
                <w:rFonts w:ascii="Times New Roman" w:eastAsia="Times New Roman" w:hAnsi="Times New Roman" w:cs="Times New Roman"/>
                <w:i/>
                <w:sz w:val="24"/>
                <w:szCs w:val="24"/>
                <w:lang w:val="de-DE" w:eastAsia="ru-RU"/>
              </w:rPr>
              <w:t xml:space="preserve">ФРГ в </w:t>
            </w:r>
            <w:proofErr w:type="spellStart"/>
            <w:r w:rsidRPr="00551CC4">
              <w:rPr>
                <w:rFonts w:ascii="Times New Roman" w:eastAsia="Times New Roman" w:hAnsi="Times New Roman" w:cs="Times New Roman"/>
                <w:i/>
                <w:sz w:val="24"/>
                <w:szCs w:val="24"/>
                <w:lang w:val="de-DE" w:eastAsia="ru-RU"/>
              </w:rPr>
              <w:t>среднем</w:t>
            </w:r>
            <w:proofErr w:type="spellEnd"/>
            <w:r w:rsidRPr="00551CC4">
              <w:rPr>
                <w:rFonts w:ascii="Times New Roman" w:eastAsia="Times New Roman" w:hAnsi="Times New Roman" w:cs="Times New Roman"/>
                <w:i/>
                <w:sz w:val="24"/>
                <w:szCs w:val="24"/>
                <w:lang w:val="de-DE" w:eastAsia="ru-RU"/>
              </w:rPr>
              <w:t xml:space="preserve"> </w:t>
            </w:r>
            <w:proofErr w:type="spellStart"/>
            <w:r w:rsidRPr="00551CC4">
              <w:rPr>
                <w:rFonts w:ascii="Times New Roman" w:eastAsia="Times New Roman" w:hAnsi="Times New Roman" w:cs="Times New Roman"/>
                <w:i/>
                <w:sz w:val="24"/>
                <w:szCs w:val="24"/>
                <w:lang w:val="de-DE" w:eastAsia="ru-RU"/>
              </w:rPr>
              <w:t>по</w:t>
            </w:r>
            <w:proofErr w:type="spellEnd"/>
            <w:r w:rsidRPr="00551CC4">
              <w:rPr>
                <w:rFonts w:ascii="Times New Roman" w:eastAsia="Times New Roman" w:hAnsi="Times New Roman" w:cs="Times New Roman"/>
                <w:i/>
                <w:sz w:val="24"/>
                <w:szCs w:val="24"/>
                <w:lang w:val="de-DE" w:eastAsia="ru-RU"/>
              </w:rPr>
              <w:t xml:space="preserve"> </w:t>
            </w:r>
            <w:proofErr w:type="spellStart"/>
            <w:r w:rsidRPr="00551CC4">
              <w:rPr>
                <w:rFonts w:ascii="Times New Roman" w:eastAsia="Times New Roman" w:hAnsi="Times New Roman" w:cs="Times New Roman"/>
                <w:i/>
                <w:sz w:val="24"/>
                <w:szCs w:val="24"/>
                <w:lang w:val="de-DE" w:eastAsia="ru-RU"/>
              </w:rPr>
              <w:t>фед</w:t>
            </w:r>
            <w:proofErr w:type="spellEnd"/>
            <w:r w:rsidRPr="00551CC4">
              <w:rPr>
                <w:rFonts w:ascii="Times New Roman" w:eastAsia="Times New Roman" w:hAnsi="Times New Roman" w:cs="Times New Roman"/>
                <w:i/>
                <w:sz w:val="24"/>
                <w:szCs w:val="24"/>
                <w:lang w:val="de-DE" w:eastAsia="ru-RU"/>
              </w:rPr>
              <w:t xml:space="preserve">. </w:t>
            </w:r>
            <w:proofErr w:type="spellStart"/>
            <w:r w:rsidRPr="00551CC4">
              <w:rPr>
                <w:rFonts w:ascii="Times New Roman" w:eastAsia="Times New Roman" w:hAnsi="Times New Roman" w:cs="Times New Roman"/>
                <w:i/>
                <w:sz w:val="24"/>
                <w:szCs w:val="24"/>
                <w:lang w:val="de-DE" w:eastAsia="ru-RU"/>
              </w:rPr>
              <w:t>землям</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1,09</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1,12</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1,20</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110,8</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2,30</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2,94</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3,07</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0,77</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7</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Нижняя</w:t>
            </w:r>
            <w:proofErr w:type="spellEnd"/>
            <w:r w:rsidRPr="00551CC4">
              <w:rPr>
                <w:rFonts w:ascii="Times New Roman" w:eastAsia="Times New Roman" w:hAnsi="Times New Roman" w:cs="Times New Roman"/>
                <w:sz w:val="24"/>
                <w:szCs w:val="24"/>
                <w:lang w:val="de-DE" w:eastAsia="ru-RU"/>
              </w:rPr>
              <w:t xml:space="preserve"> </w:t>
            </w:r>
            <w:proofErr w:type="spellStart"/>
            <w:r w:rsidRPr="00551CC4">
              <w:rPr>
                <w:rFonts w:ascii="Times New Roman" w:eastAsia="Times New Roman" w:hAnsi="Times New Roman" w:cs="Times New Roman"/>
                <w:sz w:val="24"/>
                <w:szCs w:val="24"/>
                <w:lang w:val="de-DE" w:eastAsia="ru-RU"/>
              </w:rPr>
              <w:t>Саксония</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1,13</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1,15</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1,12</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99,7</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3,42</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3,28</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3,10</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-0,32</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8.</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Рейнланд-Пфальц</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0,79</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0,83</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0,86</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108,7</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2,33</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2,41</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2,43</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0,1</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9.</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Саксония</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0,76</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0,78</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0,83</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109,4</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2,72</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2,70</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2,78</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0,06</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10.</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Северный</w:t>
            </w:r>
            <w:proofErr w:type="spellEnd"/>
            <w:r w:rsidRPr="00551CC4">
              <w:rPr>
                <w:rFonts w:ascii="Times New Roman" w:eastAsia="Times New Roman" w:hAnsi="Times New Roman" w:cs="Times New Roman"/>
                <w:sz w:val="24"/>
                <w:szCs w:val="24"/>
                <w:lang w:val="de-DE" w:eastAsia="ru-RU"/>
              </w:rPr>
              <w:t xml:space="preserve"> </w:t>
            </w:r>
            <w:proofErr w:type="spellStart"/>
            <w:r w:rsidRPr="00551CC4">
              <w:rPr>
                <w:rFonts w:ascii="Times New Roman" w:eastAsia="Times New Roman" w:hAnsi="Times New Roman" w:cs="Times New Roman"/>
                <w:sz w:val="24"/>
                <w:szCs w:val="24"/>
                <w:lang w:val="de-DE" w:eastAsia="ru-RU"/>
              </w:rPr>
              <w:t>Рейн-Вестфалия</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0,71</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0,74</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0,80</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112,0</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1,96</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1,99</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2,09</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0,13</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11.</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Тюрингия</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0,55</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0,57</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0,63</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115,6</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2,02</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2,04</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2,19</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0,17</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12.</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Саар</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0,54</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0,54</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0,62</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115,4</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1,56</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1,54</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1,74</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0,18</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13.</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Шлезвиг-Гольштейн</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0,45</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0,47</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0,50</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111,8</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1,48</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1,50</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1,55</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0,07</w:t>
            </w:r>
          </w:p>
        </w:tc>
      </w:tr>
      <w:tr w:rsidR="00551CC4" w:rsidRPr="00551CC4" w:rsidTr="00C256B0">
        <w:trPr>
          <w:trHeight w:val="109"/>
        </w:trPr>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14.</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Мекленбург-Передняя</w:t>
            </w:r>
            <w:proofErr w:type="spellEnd"/>
            <w:r w:rsidRPr="00551CC4">
              <w:rPr>
                <w:rFonts w:ascii="Times New Roman" w:eastAsia="Times New Roman" w:hAnsi="Times New Roman" w:cs="Times New Roman"/>
                <w:sz w:val="24"/>
                <w:szCs w:val="24"/>
                <w:lang w:val="de-DE" w:eastAsia="ru-RU"/>
              </w:rPr>
              <w:t xml:space="preserve"> </w:t>
            </w:r>
            <w:proofErr w:type="spellStart"/>
            <w:r w:rsidRPr="00551CC4">
              <w:rPr>
                <w:rFonts w:ascii="Times New Roman" w:eastAsia="Times New Roman" w:hAnsi="Times New Roman" w:cs="Times New Roman"/>
                <w:sz w:val="24"/>
                <w:szCs w:val="24"/>
                <w:lang w:val="de-DE" w:eastAsia="ru-RU"/>
              </w:rPr>
              <w:t>Померания</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0,47</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0,47</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0,49</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103,9</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1,86</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1,83</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1,79</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-0,07</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15.</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Бранденбург</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0,44</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0,47</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0,48</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108,2</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1,65</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1,69</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1,68</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0,03</w:t>
            </w:r>
          </w:p>
        </w:tc>
      </w:tr>
      <w:tr w:rsidR="00551CC4" w:rsidRPr="00551CC4" w:rsidTr="00C256B0">
        <w:tc>
          <w:tcPr>
            <w:tcW w:w="286" w:type="pct"/>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r w:rsidRPr="00551CC4">
              <w:rPr>
                <w:rFonts w:ascii="Times New Roman" w:eastAsia="Times New Roman" w:hAnsi="Times New Roman" w:cs="Times New Roman"/>
                <w:sz w:val="24"/>
                <w:szCs w:val="24"/>
                <w:lang w:val="de-DE" w:eastAsia="ru-RU"/>
              </w:rPr>
              <w:t>16.</w:t>
            </w:r>
          </w:p>
        </w:tc>
        <w:tc>
          <w:tcPr>
            <w:tcW w:w="838" w:type="pct"/>
            <w:vAlign w:val="bottom"/>
          </w:tcPr>
          <w:p w:rsidR="00551CC4" w:rsidRPr="00551CC4" w:rsidRDefault="00551CC4" w:rsidP="00551CC4">
            <w:pPr>
              <w:spacing w:after="0" w:line="240" w:lineRule="auto"/>
              <w:rPr>
                <w:rFonts w:ascii="Times New Roman" w:eastAsia="Times New Roman" w:hAnsi="Times New Roman" w:cs="Times New Roman"/>
                <w:sz w:val="24"/>
                <w:szCs w:val="24"/>
                <w:lang w:val="de-DE" w:eastAsia="ru-RU"/>
              </w:rPr>
            </w:pPr>
            <w:proofErr w:type="spellStart"/>
            <w:r w:rsidRPr="00551CC4">
              <w:rPr>
                <w:rFonts w:ascii="Times New Roman" w:eastAsia="Times New Roman" w:hAnsi="Times New Roman" w:cs="Times New Roman"/>
                <w:sz w:val="24"/>
                <w:szCs w:val="24"/>
                <w:lang w:val="de-DE" w:eastAsia="ru-RU"/>
              </w:rPr>
              <w:t>Саксония-Анхальт</w:t>
            </w:r>
            <w:proofErr w:type="spellEnd"/>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0,36</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0,38</w:t>
            </w:r>
          </w:p>
        </w:tc>
        <w:tc>
          <w:tcPr>
            <w:tcW w:w="495"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0,41</w:t>
            </w:r>
          </w:p>
        </w:tc>
        <w:tc>
          <w:tcPr>
            <w:tcW w:w="40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114,0</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1,39</w:t>
            </w:r>
          </w:p>
        </w:tc>
        <w:tc>
          <w:tcPr>
            <w:tcW w:w="491"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1,44</w:t>
            </w:r>
          </w:p>
        </w:tc>
        <w:tc>
          <w:tcPr>
            <w:tcW w:w="492"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1,49</w:t>
            </w:r>
          </w:p>
        </w:tc>
        <w:tc>
          <w:tcPr>
            <w:tcW w:w="516" w:type="pct"/>
            <w:vAlign w:val="center"/>
          </w:tcPr>
          <w:p w:rsidR="00551CC4" w:rsidRPr="00551CC4" w:rsidRDefault="00551CC4" w:rsidP="00551CC4">
            <w:pPr>
              <w:spacing w:after="0" w:line="240" w:lineRule="auto"/>
              <w:jc w:val="center"/>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0,1</w:t>
            </w:r>
          </w:p>
        </w:tc>
      </w:tr>
      <w:tr w:rsidR="00551CC4" w:rsidRPr="00551CC4" w:rsidTr="00C256B0">
        <w:tc>
          <w:tcPr>
            <w:tcW w:w="5000" w:type="pct"/>
            <w:gridSpan w:val="10"/>
          </w:tcPr>
          <w:p w:rsidR="00551CC4" w:rsidRPr="00551CC4" w:rsidRDefault="00551CC4" w:rsidP="00551CC4">
            <w:pPr>
              <w:spacing w:after="0" w:line="240" w:lineRule="auto"/>
              <w:jc w:val="both"/>
              <w:rPr>
                <w:rFonts w:ascii="Times New Roman" w:eastAsia="Times New Roman" w:hAnsi="Times New Roman" w:cs="Times New Roman"/>
                <w:sz w:val="24"/>
                <w:szCs w:val="24"/>
                <w:lang w:eastAsia="ru-RU"/>
              </w:rPr>
            </w:pPr>
            <w:r w:rsidRPr="00551CC4">
              <w:rPr>
                <w:rFonts w:ascii="Times New Roman" w:eastAsia="Times New Roman" w:hAnsi="Times New Roman" w:cs="Times New Roman"/>
                <w:sz w:val="24"/>
                <w:szCs w:val="24"/>
                <w:lang w:eastAsia="ru-RU"/>
              </w:rPr>
              <w:t xml:space="preserve">Источник: по данным Федеральной статистической службы ФРГ. </w:t>
            </w:r>
          </w:p>
        </w:tc>
      </w:tr>
    </w:tbl>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p>
    <w:p w:rsid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t xml:space="preserve">Обратная ситуация наблюдается в России. Анализ </w:t>
      </w:r>
      <w:proofErr w:type="spellStart"/>
      <w:r w:rsidRPr="00551CC4">
        <w:rPr>
          <w:rFonts w:ascii="Times New Roman" w:eastAsia="Calibri" w:hAnsi="Times New Roman" w:cs="Times New Roman"/>
          <w:color w:val="000000"/>
          <w:sz w:val="24"/>
          <w:szCs w:val="24"/>
        </w:rPr>
        <w:t>подушевых</w:t>
      </w:r>
      <w:proofErr w:type="spellEnd"/>
      <w:r w:rsidRPr="00551CC4">
        <w:rPr>
          <w:rFonts w:ascii="Times New Roman" w:eastAsia="Calibri" w:hAnsi="Times New Roman" w:cs="Times New Roman"/>
          <w:color w:val="000000"/>
          <w:sz w:val="24"/>
          <w:szCs w:val="24"/>
        </w:rPr>
        <w:t xml:space="preserve"> расходов на исследования и разработки в разрезе субъектов РФ показывает, что объем расходов (в евро; в сопоставимой оценке) на данные цели в регионе-лидере, г. Москве, сопоставим с показателем федеральной земли Саксония-</w:t>
      </w:r>
      <w:proofErr w:type="spellStart"/>
      <w:r w:rsidRPr="00551CC4">
        <w:rPr>
          <w:rFonts w:ascii="Times New Roman" w:eastAsia="Calibri" w:hAnsi="Times New Roman" w:cs="Times New Roman"/>
          <w:color w:val="000000"/>
          <w:sz w:val="24"/>
          <w:szCs w:val="24"/>
        </w:rPr>
        <w:t>Анхальт</w:t>
      </w:r>
      <w:proofErr w:type="spellEnd"/>
      <w:r w:rsidRPr="00551CC4">
        <w:rPr>
          <w:rFonts w:ascii="Times New Roman" w:eastAsia="Calibri" w:hAnsi="Times New Roman" w:cs="Times New Roman"/>
          <w:color w:val="000000"/>
          <w:sz w:val="24"/>
          <w:szCs w:val="24"/>
        </w:rPr>
        <w:t xml:space="preserve">, имеющей наименьший показатель среди регионов Германии (412 евро на человека). При этом в 2018 г. 46% субъектов РФ имело и вовсе несопоставимый с регионами-аутсайдерами Германии объем среднедушевых затрат на НИОКР на уровне 20 евро и ниже. При этом России также свойственен и разрыв </w:t>
      </w:r>
      <w:r w:rsidRPr="00551CC4">
        <w:rPr>
          <w:rFonts w:ascii="Times New Roman" w:eastAsia="Calibri" w:hAnsi="Times New Roman" w:cs="Times New Roman"/>
          <w:color w:val="000000"/>
          <w:sz w:val="24"/>
          <w:szCs w:val="24"/>
        </w:rPr>
        <w:lastRenderedPageBreak/>
        <w:t>между регионом-лидером и регионами-аутсайдерами, который составляет более ста раз (в 146,4 раза по данным 2018 г.).</w:t>
      </w:r>
    </w:p>
    <w:p w:rsidR="00551CC4" w:rsidRP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На наш взгляд, без кардинального изменения сложившейся ситуации, говорить о решении задачи «запуска» процессов инновационной активности на местах как драйвера ускоренного экономического роста и поступательного развития регионов и страны в целом, как показала практика последних 20 лет, невозможно.</w:t>
      </w:r>
    </w:p>
    <w:p w:rsidR="00551CC4" w:rsidRP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Необходимо создавать специализированные институты ресурсного обеспечения прикладных исследований и разработок в регионах. В качестве одного из примеров может быть использован опыт той же Германии, где регионы (федеральные земли) выступают в качестве полноправных и активных участников управления научно-технологической и инновационной деятельностью. Так, «в компетенцию земель входит финансирование профессионального образования и фундаментальных исследований в ВУЗах, а также региональных инновационных программ. Федеральное правительство отвечает за стратегическое курс в развитии НИОКР, систему мер по поддержке на необходимом уровне инновационной активности предприятий, проводимой посредством государственных банков»</w:t>
      </w:r>
      <w:r w:rsidR="00B17719" w:rsidRPr="00B17719">
        <w:rPr>
          <w:rFonts w:ascii="Times New Roman" w:hAnsi="Times New Roman" w:cs="Times New Roman"/>
          <w:sz w:val="24"/>
          <w:szCs w:val="24"/>
        </w:rPr>
        <w:t xml:space="preserve"> [3]</w:t>
      </w:r>
      <w:r w:rsidRPr="00551CC4">
        <w:rPr>
          <w:rFonts w:ascii="Times New Roman" w:hAnsi="Times New Roman" w:cs="Times New Roman"/>
          <w:sz w:val="24"/>
          <w:szCs w:val="24"/>
        </w:rPr>
        <w:t>.</w:t>
      </w:r>
    </w:p>
    <w:p w:rsidR="00551CC4" w:rsidRP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Приходится констатировать, что подавляющее большинство субъектов РФ не обладает сегодня собственными институтами стимулирования научных исследований и прикладных разработок в интересах собственного развития.</w:t>
      </w:r>
    </w:p>
    <w:p w:rsidR="00551CC4" w:rsidRP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 xml:space="preserve">Одним из действенных и легитимных методов активизации финансирования науки в регионах России может стать создание региональных фондов поддержки научной, научно-технической и инновационной деятельности. </w:t>
      </w: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t>Необходимые нормативно-правовые условия для формирования фондов в России имеются. Так, статья 262 Налогового кодекса РФ регулирует вопросы, связанные с учетом расходов предприятий на НИОКР. Согласно п. 2 ст. 262 к таким расходам относятся и отчисления на формирование фондов поддержки научной, научно-технической и инновационной деятельности, созданных в соответствии с Федеральным законом от 23.08.1996 г. №127-ФЗ «О науке и государственной научно-технической политике», в сумме не более 1,5% доходов от реализации предприятия.</w:t>
      </w: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t>В п. 1 ст. 15.1 Федерального закона «О науке и государственной научно-технической политике» указано, что «…фонды могут создаваться Российской Федерацией, субъектами Российской Федерации, физическими лицами и (или) юридическими лицами в организационно-правовой форме фонда…».</w:t>
      </w: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t>1. Учредителем фонда могут выступить региональные органы исполнительной власти либо представители местного самоуправления. В таком случае предприятия области могут выступить в качестве соучредителей путем взносов долей в Фонд. При этом размер долей никак не оговаривается.</w:t>
      </w:r>
    </w:p>
    <w:p w:rsidR="00551CC4" w:rsidRPr="00551CC4" w:rsidRDefault="00551CC4" w:rsidP="00551CC4">
      <w:pPr>
        <w:spacing w:after="0" w:line="240" w:lineRule="auto"/>
        <w:ind w:firstLine="709"/>
        <w:jc w:val="both"/>
        <w:rPr>
          <w:rFonts w:ascii="Times New Roman" w:eastAsia="Calibri" w:hAnsi="Times New Roman" w:cs="Times New Roman"/>
          <w:color w:val="000000"/>
          <w:sz w:val="24"/>
          <w:szCs w:val="24"/>
        </w:rPr>
      </w:pPr>
      <w:r w:rsidRPr="00551CC4">
        <w:rPr>
          <w:rFonts w:ascii="Times New Roman" w:eastAsia="Calibri" w:hAnsi="Times New Roman" w:cs="Times New Roman"/>
          <w:color w:val="000000"/>
          <w:sz w:val="24"/>
          <w:szCs w:val="24"/>
        </w:rPr>
        <w:t>2. Кроме того, в качестве учредителя может выступать коммерческая организация (одна или несколько), в том числе компания с государственным участием (более 50% акций которой принадлежат государству). Создавать фонды могут также и физические лица.</w:t>
      </w:r>
    </w:p>
    <w:p w:rsid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 xml:space="preserve">В ряде субъектов уже функционируют такие фонды (например, Красноярский краевой фонд поддержки научной и научно-технической деятельности). На наш взгляд, повсеместное создание подобных фондов в субъектах РФ и наполнение их необходимым финансированием позволило бы создать организационные предпосылки для стимулирования широкого спектра прикладных разработок на региональном уровне. С целью обоснования целесообразности создания в российских регионах фондов поддержки научной, научно-технической и инновационной деятельности проведены расчеты на материалах всех субъектов РФ. </w:t>
      </w:r>
      <w:r>
        <w:rPr>
          <w:rFonts w:ascii="Times New Roman" w:hAnsi="Times New Roman" w:cs="Times New Roman"/>
          <w:sz w:val="24"/>
          <w:szCs w:val="24"/>
        </w:rPr>
        <w:t>Результаты расчетов позволили сделать следующие выводы.</w:t>
      </w:r>
    </w:p>
    <w:p w:rsidR="00551CC4" w:rsidRPr="00551CC4" w:rsidRDefault="00551CC4" w:rsidP="00551C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51CC4">
        <w:rPr>
          <w:rFonts w:ascii="Times New Roman" w:hAnsi="Times New Roman" w:cs="Times New Roman"/>
          <w:sz w:val="24"/>
          <w:szCs w:val="24"/>
        </w:rPr>
        <w:t xml:space="preserve"> Формирование региональных фондов поддержки научной, научно-технической и инновационной деятельности за счет отчислений от выручки промышленных предприятий позволит увеличить внутренние объемы затрат на исследования и разработки в расчете на </w:t>
      </w:r>
      <w:r w:rsidRPr="00551CC4">
        <w:rPr>
          <w:rFonts w:ascii="Times New Roman" w:hAnsi="Times New Roman" w:cs="Times New Roman"/>
          <w:sz w:val="24"/>
          <w:szCs w:val="24"/>
        </w:rPr>
        <w:lastRenderedPageBreak/>
        <w:t>душу населения в среднем по субъектам РФ в объеме до 6,8 раз. Доля соответствующих затрат в структуре ВВП может быть увеличена с 1,37 до 3,17. Относительный объем затрат на исследования и разработки в структуре валового внутреннего продукта начнет приближаться к значениям ведущих стран мира.</w:t>
      </w:r>
    </w:p>
    <w:p w:rsidR="00551CC4" w:rsidRPr="00551CC4" w:rsidRDefault="00551CC4" w:rsidP="00551CC4">
      <w:pPr>
        <w:spacing w:after="0" w:line="240" w:lineRule="auto"/>
        <w:ind w:firstLine="709"/>
        <w:jc w:val="both"/>
        <w:rPr>
          <w:rFonts w:ascii="Times New Roman" w:hAnsi="Times New Roman" w:cs="Times New Roman"/>
          <w:spacing w:val="-4"/>
          <w:sz w:val="24"/>
          <w:szCs w:val="24"/>
        </w:rPr>
      </w:pPr>
      <w:r w:rsidRPr="00551CC4">
        <w:rPr>
          <w:rFonts w:ascii="Times New Roman" w:hAnsi="Times New Roman" w:cs="Times New Roman"/>
          <w:spacing w:val="-4"/>
          <w:sz w:val="24"/>
          <w:szCs w:val="24"/>
        </w:rPr>
        <w:t>2. Увеличение объема внутренних затрат на исследования и разработки позволит резко сократить уровень дифференциации регионов по данному показателю. Разрыв между регионами с максимальным и минимальным душевым размером затрат может быть сокращен с 140-150 до 16 раз, между максимальным и средним – с 16,0 до 5,1 раза. В то же время ожидается увеличение разрыва между средним и минимальным значением – с 9,0 до 32,5 раз, который на фоне значительного сокращения затрат между субъектами с максимальными и минимальными значениями по затратам на НИОКР не выглядит критичным. Данный факт объясняется тем, что б</w:t>
      </w:r>
      <w:r w:rsidRPr="00551CC4">
        <w:rPr>
          <w:rFonts w:ascii="Times New Roman" w:hAnsi="Times New Roman" w:cs="Times New Roman"/>
          <w:i/>
          <w:spacing w:val="-4"/>
          <w:sz w:val="24"/>
          <w:szCs w:val="24"/>
        </w:rPr>
        <w:t>о</w:t>
      </w:r>
      <w:r w:rsidRPr="00551CC4">
        <w:rPr>
          <w:rFonts w:ascii="Times New Roman" w:hAnsi="Times New Roman" w:cs="Times New Roman"/>
          <w:spacing w:val="-4"/>
          <w:sz w:val="24"/>
          <w:szCs w:val="24"/>
        </w:rPr>
        <w:t>льшая часть субъектов с минимальными значениями по показателю «Внутренние затраты на исследования и разработки» характеризуются низкой долей в структуре ВВП промышленного производства. Как следствие, потенциальный вклад промышленных предприятий в финансирование НИОКР будет незначителен. Для того, чтобы повысить инновационную и инвестиционную активность в экономике, необходимо сокращать дифференциацию субъектов РФ по уровню внутренних затрат на исследования и разработки (в расчете на душу населения), до значений развитых экономик (например, Германии). Для этого необходимо, чтобы объем отчислений составлял не менее 2,6% от выручки промышленных предприятий.</w:t>
      </w:r>
    </w:p>
    <w:p w:rsidR="00551CC4" w:rsidRP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 xml:space="preserve">3. Распределение регионов по </w:t>
      </w:r>
      <w:proofErr w:type="spellStart"/>
      <w:r w:rsidRPr="00551CC4">
        <w:rPr>
          <w:rFonts w:ascii="Times New Roman" w:hAnsi="Times New Roman" w:cs="Times New Roman"/>
          <w:sz w:val="24"/>
          <w:szCs w:val="24"/>
        </w:rPr>
        <w:t>квинтильным</w:t>
      </w:r>
      <w:proofErr w:type="spellEnd"/>
      <w:r w:rsidRPr="00551CC4">
        <w:rPr>
          <w:rFonts w:ascii="Times New Roman" w:hAnsi="Times New Roman" w:cs="Times New Roman"/>
          <w:sz w:val="24"/>
          <w:szCs w:val="24"/>
        </w:rPr>
        <w:t xml:space="preserve"> группам по уровню внутренних затрат на исследования и разработки демонстрирует крайнюю неравномерность: особый статус одного региона и основную массу регионов-аутсайдеров. При реализации предложений по формированию региональных фондов поддержки научной, научно-технической и инновационной деятельности большинство регионов перейдут из групп со значением «ниже среднего» и «низким» в группы со значением «средним» и «выше среднего».</w:t>
      </w:r>
    </w:p>
    <w:p w:rsidR="00551CC4" w:rsidRPr="00551CC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Таким образом, создание и наполнение фондов субъектов РФ по поддержке научной, научно-технической и инновационной деятельности, предусмотренное существующим законодательством РФ, позволит принципиально расширить возможности регионов в финансировании актуальных для них исследований и разработок, стимулировании инновационной деятельности. Это позволит реализовать целевые установки нацпроекта «Наука», которым предусмотрено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 обеспечение привлекательности работы в Российской Федерации для российских и зарубежных ведущих ученых и молодых перспективных исследователей;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 (увеличение затрат на исследования и разработки до 1847,61 млрд. руб.)</w:t>
      </w:r>
      <w:r w:rsidR="004D3D3C" w:rsidRPr="004D3D3C">
        <w:rPr>
          <w:rFonts w:ascii="Times New Roman" w:hAnsi="Times New Roman" w:cs="Times New Roman"/>
          <w:sz w:val="24"/>
          <w:szCs w:val="24"/>
        </w:rPr>
        <w:t xml:space="preserve"> [</w:t>
      </w:r>
      <w:r w:rsidR="004D3D3C">
        <w:rPr>
          <w:rFonts w:ascii="Times New Roman" w:hAnsi="Times New Roman" w:cs="Times New Roman"/>
          <w:sz w:val="24"/>
          <w:szCs w:val="24"/>
          <w:lang w:val="en-US"/>
        </w:rPr>
        <w:t>4]</w:t>
      </w:r>
      <w:r w:rsidRPr="00551CC4">
        <w:rPr>
          <w:rFonts w:ascii="Times New Roman" w:hAnsi="Times New Roman" w:cs="Times New Roman"/>
          <w:sz w:val="24"/>
          <w:szCs w:val="24"/>
        </w:rPr>
        <w:t xml:space="preserve">. </w:t>
      </w:r>
    </w:p>
    <w:p w:rsidR="00551CC4" w:rsidRPr="008D0214" w:rsidRDefault="00551CC4" w:rsidP="00551CC4">
      <w:pPr>
        <w:spacing w:after="0" w:line="240" w:lineRule="auto"/>
        <w:ind w:firstLine="709"/>
        <w:jc w:val="both"/>
        <w:rPr>
          <w:rFonts w:ascii="Times New Roman" w:hAnsi="Times New Roman" w:cs="Times New Roman"/>
          <w:sz w:val="24"/>
          <w:szCs w:val="24"/>
        </w:rPr>
      </w:pPr>
      <w:r w:rsidRPr="00551CC4">
        <w:rPr>
          <w:rFonts w:ascii="Times New Roman" w:hAnsi="Times New Roman" w:cs="Times New Roman"/>
          <w:sz w:val="24"/>
          <w:szCs w:val="24"/>
        </w:rPr>
        <w:t xml:space="preserve">Необходимо отметить, что актуальность данного вопроса обозначена и высшим руководством страны. Так, по итогам совместного расширенного заседания президиума Государственного совета Российской Федерации и Совета при Президенте Российской Федерации по науке и образованию Председателю Правительства РФ в рамках поручения от 28.03.2020 г. № Пр-589, среди прочих поручено проработать вопрос «о внедрении практики создания фондов </w:t>
      </w:r>
      <w:r w:rsidRPr="008D0214">
        <w:rPr>
          <w:rFonts w:ascii="Times New Roman" w:hAnsi="Times New Roman" w:cs="Times New Roman"/>
          <w:sz w:val="24"/>
          <w:szCs w:val="24"/>
        </w:rPr>
        <w:t>поддержки научной и научно-технической деятельности, финансовое обеспечение которых осуществляется за счет средств регионального бюджета и средств индустриальных партнеров» (п. 2.5 Предложений по повышению роли субъектов Российской Федерации в подготовке кадров для отраслей экономики и социальной сферы</w:t>
      </w:r>
      <w:r w:rsidR="004D3D3C">
        <w:rPr>
          <w:rFonts w:ascii="Times New Roman" w:hAnsi="Times New Roman" w:cs="Times New Roman"/>
          <w:sz w:val="24"/>
          <w:szCs w:val="24"/>
        </w:rPr>
        <w:t xml:space="preserve"> Председателю Правительства РФ</w:t>
      </w:r>
      <w:r w:rsidRPr="008D0214">
        <w:rPr>
          <w:rFonts w:ascii="Times New Roman" w:hAnsi="Times New Roman" w:cs="Times New Roman"/>
          <w:sz w:val="24"/>
          <w:szCs w:val="24"/>
        </w:rPr>
        <w:t>).</w:t>
      </w:r>
    </w:p>
    <w:p w:rsidR="00551CC4" w:rsidRPr="00526785" w:rsidRDefault="00551CC4" w:rsidP="00551CC4">
      <w:pPr>
        <w:spacing w:after="0" w:line="240" w:lineRule="auto"/>
        <w:ind w:firstLine="709"/>
        <w:jc w:val="both"/>
        <w:rPr>
          <w:rFonts w:ascii="Times New Roman" w:hAnsi="Times New Roman" w:cs="Times New Roman"/>
          <w:sz w:val="24"/>
          <w:szCs w:val="24"/>
          <w:lang w:val="en-US"/>
        </w:rPr>
      </w:pPr>
      <w:r w:rsidRPr="008D0214">
        <w:rPr>
          <w:rFonts w:ascii="Times New Roman" w:hAnsi="Times New Roman" w:cs="Times New Roman"/>
          <w:sz w:val="24"/>
          <w:szCs w:val="24"/>
        </w:rPr>
        <w:t>Наиболее оптимальным решением по закреплению данного механизма, несмотря на наличие возможностей согласно НК РФ и ФЗ №127-ФЗ, стало бы формирование отдельного федерального закона «О формировании региональных фондов научной, научно-</w:t>
      </w:r>
      <w:r w:rsidRPr="008D0214">
        <w:rPr>
          <w:rFonts w:ascii="Times New Roman" w:hAnsi="Times New Roman" w:cs="Times New Roman"/>
          <w:sz w:val="24"/>
          <w:szCs w:val="24"/>
        </w:rPr>
        <w:lastRenderedPageBreak/>
        <w:t>технической и инновационной деятельности».</w:t>
      </w:r>
      <w:r w:rsidR="008D0214" w:rsidRPr="008D0214">
        <w:rPr>
          <w:rFonts w:ascii="Times New Roman" w:hAnsi="Times New Roman" w:cs="Times New Roman"/>
          <w:sz w:val="24"/>
          <w:szCs w:val="24"/>
        </w:rPr>
        <w:t xml:space="preserve"> </w:t>
      </w:r>
      <w:r w:rsidRPr="008D0214">
        <w:rPr>
          <w:rFonts w:ascii="Times New Roman" w:hAnsi="Times New Roman" w:cs="Times New Roman"/>
          <w:sz w:val="24"/>
          <w:szCs w:val="24"/>
        </w:rPr>
        <w:t xml:space="preserve">В случае реализации возможностей по созданию во всех субъектах РФ региональных фондов поддержки научной, научно-технической и инновационной деятельности, предусмотренных </w:t>
      </w:r>
      <w:r w:rsidRPr="008D0214">
        <w:rPr>
          <w:rFonts w:ascii="Times New Roman" w:eastAsia="Calibri" w:hAnsi="Times New Roman" w:cs="Times New Roman"/>
          <w:color w:val="000000"/>
          <w:sz w:val="24"/>
          <w:szCs w:val="24"/>
        </w:rPr>
        <w:t>ст. 262 НК РФ и Федеральным законом №127-ФЗ,</w:t>
      </w:r>
      <w:r w:rsidRPr="008D0214">
        <w:rPr>
          <w:rFonts w:ascii="Times New Roman" w:hAnsi="Times New Roman" w:cs="Times New Roman"/>
          <w:sz w:val="24"/>
          <w:szCs w:val="24"/>
        </w:rPr>
        <w:t xml:space="preserve"> доля затрат на научные исследования и разработки в ВВП составит 3,0% (табл. 2). В абсолютном выражении прирост составит 15,8 тыс. руб. на душу населения, затраты на исследования и разработки вырастут более чем в три раза с 7,0 до 22,8 тыс. руб. (по сравнению со значениями 2018 г.).</w:t>
      </w:r>
    </w:p>
    <w:p w:rsidR="00551CC4" w:rsidRPr="00551CC4" w:rsidRDefault="00551CC4" w:rsidP="00551CC4">
      <w:pPr>
        <w:spacing w:after="0" w:line="240" w:lineRule="auto"/>
        <w:jc w:val="right"/>
        <w:rPr>
          <w:rFonts w:ascii="Times New Roman" w:hAnsi="Times New Roman" w:cs="Times New Roman"/>
          <w:i/>
          <w:sz w:val="24"/>
          <w:szCs w:val="24"/>
        </w:rPr>
      </w:pPr>
      <w:r w:rsidRPr="00551CC4">
        <w:rPr>
          <w:rFonts w:ascii="Times New Roman" w:hAnsi="Times New Roman" w:cs="Times New Roman"/>
          <w:i/>
          <w:sz w:val="24"/>
          <w:szCs w:val="24"/>
        </w:rPr>
        <w:t>Таблица 2.</w:t>
      </w:r>
    </w:p>
    <w:p w:rsidR="00551CC4" w:rsidRPr="00551CC4" w:rsidRDefault="00551CC4" w:rsidP="00551CC4">
      <w:pPr>
        <w:spacing w:after="0" w:line="240" w:lineRule="auto"/>
        <w:jc w:val="center"/>
        <w:rPr>
          <w:rFonts w:ascii="Times New Roman" w:hAnsi="Times New Roman" w:cs="Times New Roman"/>
          <w:sz w:val="24"/>
          <w:szCs w:val="24"/>
        </w:rPr>
      </w:pPr>
      <w:r w:rsidRPr="00551CC4">
        <w:rPr>
          <w:rFonts w:ascii="Times New Roman" w:hAnsi="Times New Roman" w:cs="Times New Roman"/>
          <w:sz w:val="24"/>
          <w:szCs w:val="24"/>
        </w:rPr>
        <w:t>Варианты роста затрат на научные исследования и разработки в случае реализации возможностей по созданию во всех субъектах РФ региональных фондов, предусмотренных ст. 262 НК РФ и Федеральным законом №127-ФЗ ФЗ</w:t>
      </w:r>
    </w:p>
    <w:tbl>
      <w:tblPr>
        <w:tblStyle w:val="a5"/>
        <w:tblW w:w="0" w:type="auto"/>
        <w:tblLayout w:type="fixed"/>
        <w:tblLook w:val="04A0" w:firstRow="1" w:lastRow="0" w:firstColumn="1" w:lastColumn="0" w:noHBand="0" w:noVBand="1"/>
      </w:tblPr>
      <w:tblGrid>
        <w:gridCol w:w="2122"/>
        <w:gridCol w:w="779"/>
        <w:gridCol w:w="780"/>
        <w:gridCol w:w="779"/>
        <w:gridCol w:w="780"/>
        <w:gridCol w:w="931"/>
        <w:gridCol w:w="931"/>
        <w:gridCol w:w="932"/>
        <w:gridCol w:w="1594"/>
      </w:tblGrid>
      <w:tr w:rsidR="00551CC4" w:rsidRPr="00551CC4" w:rsidTr="00C256B0">
        <w:tc>
          <w:tcPr>
            <w:tcW w:w="2122" w:type="dxa"/>
            <w:vMerge w:val="restart"/>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Индикаторы</w:t>
            </w:r>
          </w:p>
        </w:tc>
        <w:tc>
          <w:tcPr>
            <w:tcW w:w="3118" w:type="dxa"/>
            <w:gridSpan w:val="4"/>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Год</w:t>
            </w:r>
          </w:p>
        </w:tc>
        <w:tc>
          <w:tcPr>
            <w:tcW w:w="2794" w:type="dxa"/>
            <w:gridSpan w:val="3"/>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Доля затрат с учетом выручки</w:t>
            </w:r>
          </w:p>
        </w:tc>
        <w:tc>
          <w:tcPr>
            <w:tcW w:w="1594" w:type="dxa"/>
            <w:vMerge w:val="restart"/>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Прирост в случае отчислений в размере 1,5%</w:t>
            </w:r>
          </w:p>
        </w:tc>
      </w:tr>
      <w:tr w:rsidR="00551CC4" w:rsidRPr="00551CC4" w:rsidTr="00C256B0">
        <w:tc>
          <w:tcPr>
            <w:tcW w:w="2122" w:type="dxa"/>
            <w:vMerge/>
          </w:tcPr>
          <w:p w:rsidR="00551CC4" w:rsidRPr="00551CC4" w:rsidRDefault="00551CC4" w:rsidP="00551CC4">
            <w:pPr>
              <w:jc w:val="both"/>
              <w:rPr>
                <w:rFonts w:ascii="Times New Roman" w:hAnsi="Times New Roman" w:cs="Times New Roman"/>
                <w:sz w:val="24"/>
                <w:szCs w:val="24"/>
              </w:rPr>
            </w:pPr>
          </w:p>
        </w:tc>
        <w:tc>
          <w:tcPr>
            <w:tcW w:w="779"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2008</w:t>
            </w:r>
          </w:p>
        </w:tc>
        <w:tc>
          <w:tcPr>
            <w:tcW w:w="780"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2012</w:t>
            </w:r>
          </w:p>
        </w:tc>
        <w:tc>
          <w:tcPr>
            <w:tcW w:w="779"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2016</w:t>
            </w:r>
          </w:p>
        </w:tc>
        <w:tc>
          <w:tcPr>
            <w:tcW w:w="780"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2018</w:t>
            </w:r>
          </w:p>
        </w:tc>
        <w:tc>
          <w:tcPr>
            <w:tcW w:w="931"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+0,5%</w:t>
            </w:r>
          </w:p>
        </w:tc>
        <w:tc>
          <w:tcPr>
            <w:tcW w:w="931"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+1,0%</w:t>
            </w:r>
          </w:p>
        </w:tc>
        <w:tc>
          <w:tcPr>
            <w:tcW w:w="932"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+1,5%</w:t>
            </w:r>
          </w:p>
        </w:tc>
        <w:tc>
          <w:tcPr>
            <w:tcW w:w="1594" w:type="dxa"/>
            <w:vMerge/>
            <w:vAlign w:val="center"/>
          </w:tcPr>
          <w:p w:rsidR="00551CC4" w:rsidRPr="00551CC4" w:rsidRDefault="00551CC4" w:rsidP="00551CC4">
            <w:pPr>
              <w:jc w:val="center"/>
              <w:rPr>
                <w:rFonts w:ascii="Times New Roman" w:hAnsi="Times New Roman" w:cs="Times New Roman"/>
                <w:sz w:val="24"/>
                <w:szCs w:val="24"/>
              </w:rPr>
            </w:pPr>
          </w:p>
        </w:tc>
      </w:tr>
      <w:tr w:rsidR="00551CC4" w:rsidRPr="00551CC4" w:rsidTr="00C256B0">
        <w:tc>
          <w:tcPr>
            <w:tcW w:w="2122" w:type="dxa"/>
          </w:tcPr>
          <w:p w:rsidR="00551CC4" w:rsidRPr="00551CC4" w:rsidRDefault="00551CC4" w:rsidP="00551CC4">
            <w:pPr>
              <w:rPr>
                <w:rFonts w:ascii="Times New Roman" w:hAnsi="Times New Roman" w:cs="Times New Roman"/>
                <w:sz w:val="24"/>
                <w:szCs w:val="24"/>
              </w:rPr>
            </w:pPr>
            <w:r w:rsidRPr="00551CC4">
              <w:rPr>
                <w:rFonts w:ascii="Times New Roman" w:hAnsi="Times New Roman" w:cs="Times New Roman"/>
                <w:sz w:val="24"/>
                <w:szCs w:val="24"/>
              </w:rPr>
              <w:t>Фактическая доля внутренних затрат на исследования и разработки в ВВП (в %)</w:t>
            </w:r>
          </w:p>
        </w:tc>
        <w:tc>
          <w:tcPr>
            <w:tcW w:w="779"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1,04</w:t>
            </w:r>
          </w:p>
        </w:tc>
        <w:tc>
          <w:tcPr>
            <w:tcW w:w="780"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1,03</w:t>
            </w:r>
          </w:p>
        </w:tc>
        <w:tc>
          <w:tcPr>
            <w:tcW w:w="779"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1,10</w:t>
            </w:r>
          </w:p>
        </w:tc>
        <w:tc>
          <w:tcPr>
            <w:tcW w:w="780"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1,37</w:t>
            </w:r>
          </w:p>
        </w:tc>
        <w:tc>
          <w:tcPr>
            <w:tcW w:w="931"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2,38</w:t>
            </w:r>
          </w:p>
        </w:tc>
        <w:tc>
          <w:tcPr>
            <w:tcW w:w="931"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3,37</w:t>
            </w:r>
          </w:p>
        </w:tc>
        <w:tc>
          <w:tcPr>
            <w:tcW w:w="932"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4,33</w:t>
            </w:r>
          </w:p>
        </w:tc>
        <w:tc>
          <w:tcPr>
            <w:tcW w:w="1594"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2,96</w:t>
            </w:r>
          </w:p>
        </w:tc>
      </w:tr>
      <w:tr w:rsidR="00551CC4" w:rsidRPr="00551CC4" w:rsidTr="00C256B0">
        <w:tc>
          <w:tcPr>
            <w:tcW w:w="2122" w:type="dxa"/>
          </w:tcPr>
          <w:p w:rsidR="00551CC4" w:rsidRPr="00551CC4" w:rsidRDefault="00551CC4" w:rsidP="00551CC4">
            <w:pPr>
              <w:rPr>
                <w:rFonts w:ascii="Times New Roman" w:hAnsi="Times New Roman" w:cs="Times New Roman"/>
                <w:sz w:val="24"/>
                <w:szCs w:val="24"/>
              </w:rPr>
            </w:pPr>
            <w:r w:rsidRPr="00551CC4">
              <w:rPr>
                <w:rFonts w:ascii="Times New Roman" w:hAnsi="Times New Roman" w:cs="Times New Roman"/>
                <w:sz w:val="24"/>
                <w:szCs w:val="24"/>
              </w:rPr>
              <w:t>Затраты на исследования и разработки в РФ (тыс. руб. на душу населения)</w:t>
            </w:r>
          </w:p>
        </w:tc>
        <w:tc>
          <w:tcPr>
            <w:tcW w:w="779"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3,0</w:t>
            </w:r>
          </w:p>
        </w:tc>
        <w:tc>
          <w:tcPr>
            <w:tcW w:w="780"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4,9</w:t>
            </w:r>
          </w:p>
        </w:tc>
        <w:tc>
          <w:tcPr>
            <w:tcW w:w="779"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6,4</w:t>
            </w:r>
          </w:p>
        </w:tc>
        <w:tc>
          <w:tcPr>
            <w:tcW w:w="780"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7,0</w:t>
            </w:r>
          </w:p>
        </w:tc>
        <w:tc>
          <w:tcPr>
            <w:tcW w:w="931"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12,3</w:t>
            </w:r>
          </w:p>
        </w:tc>
        <w:tc>
          <w:tcPr>
            <w:tcW w:w="931"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17,6</w:t>
            </w:r>
          </w:p>
        </w:tc>
        <w:tc>
          <w:tcPr>
            <w:tcW w:w="932"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22,8</w:t>
            </w:r>
          </w:p>
        </w:tc>
        <w:tc>
          <w:tcPr>
            <w:tcW w:w="1594" w:type="dxa"/>
            <w:vAlign w:val="center"/>
          </w:tcPr>
          <w:p w:rsidR="00551CC4" w:rsidRPr="00551CC4" w:rsidRDefault="00551CC4" w:rsidP="00551CC4">
            <w:pPr>
              <w:jc w:val="center"/>
              <w:rPr>
                <w:rFonts w:ascii="Times New Roman" w:hAnsi="Times New Roman" w:cs="Times New Roman"/>
                <w:sz w:val="24"/>
                <w:szCs w:val="24"/>
              </w:rPr>
            </w:pPr>
            <w:r w:rsidRPr="00551CC4">
              <w:rPr>
                <w:rFonts w:ascii="Times New Roman" w:hAnsi="Times New Roman" w:cs="Times New Roman"/>
                <w:sz w:val="24"/>
                <w:szCs w:val="24"/>
              </w:rPr>
              <w:t>15,8</w:t>
            </w:r>
          </w:p>
        </w:tc>
      </w:tr>
    </w:tbl>
    <w:p w:rsidR="00551CC4" w:rsidRPr="00551CC4" w:rsidRDefault="00551CC4" w:rsidP="00551CC4">
      <w:pPr>
        <w:tabs>
          <w:tab w:val="left" w:pos="1607"/>
        </w:tabs>
        <w:spacing w:after="0" w:line="240" w:lineRule="auto"/>
        <w:ind w:firstLine="709"/>
        <w:jc w:val="both"/>
        <w:rPr>
          <w:rFonts w:ascii="Times New Roman" w:hAnsi="Times New Roman" w:cs="Times New Roman"/>
          <w:sz w:val="24"/>
          <w:szCs w:val="24"/>
        </w:rPr>
      </w:pPr>
    </w:p>
    <w:p w:rsidR="00551CC4" w:rsidRPr="00551CC4" w:rsidRDefault="008D0214" w:rsidP="00551C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реализация предложенных инструментов позволила бы кардинальным образом изменить ситуацию с финансированием прикладных исследований и разработок, сократив при этом дифференциацию затрат на НИОКР между субъектами РФ, а также привести систему финансирования к виду, соответствующему мировым тенденциям в данной области, а именно в преобладании частных затрат на науку над государственными.</w:t>
      </w:r>
    </w:p>
    <w:p w:rsidR="00531421" w:rsidRPr="00551CC4" w:rsidRDefault="00531421" w:rsidP="00551CC4">
      <w:pPr>
        <w:spacing w:after="0" w:line="240" w:lineRule="auto"/>
        <w:ind w:firstLine="709"/>
        <w:jc w:val="both"/>
        <w:rPr>
          <w:rFonts w:ascii="Times New Roman" w:hAnsi="Times New Roman" w:cs="Times New Roman"/>
          <w:sz w:val="28"/>
          <w:szCs w:val="28"/>
          <w:highlight w:val="yellow"/>
        </w:rPr>
      </w:pPr>
    </w:p>
    <w:p w:rsidR="002B395C" w:rsidRPr="00B17719" w:rsidRDefault="0021330B" w:rsidP="008D0214">
      <w:pPr>
        <w:spacing w:after="0" w:line="240" w:lineRule="auto"/>
        <w:jc w:val="center"/>
        <w:rPr>
          <w:rFonts w:ascii="Times New Roman" w:hAnsi="Times New Roman" w:cs="Times New Roman"/>
          <w:sz w:val="28"/>
          <w:szCs w:val="28"/>
        </w:rPr>
      </w:pPr>
      <w:r w:rsidRPr="00B17719">
        <w:rPr>
          <w:rFonts w:ascii="Times New Roman" w:hAnsi="Times New Roman" w:cs="Times New Roman"/>
          <w:sz w:val="24"/>
          <w:szCs w:val="24"/>
        </w:rPr>
        <w:t>Список использованных источников</w:t>
      </w:r>
      <w:r w:rsidR="002B395C" w:rsidRPr="00B17719">
        <w:rPr>
          <w:rFonts w:ascii="Times New Roman" w:hAnsi="Times New Roman" w:cs="Times New Roman"/>
          <w:sz w:val="24"/>
          <w:szCs w:val="24"/>
        </w:rPr>
        <w:t>:</w:t>
      </w:r>
    </w:p>
    <w:p w:rsidR="00B17719" w:rsidRPr="004D3D3C" w:rsidRDefault="00BE0E12" w:rsidP="00B17719">
      <w:pPr>
        <w:spacing w:after="0" w:line="240" w:lineRule="auto"/>
        <w:ind w:firstLine="709"/>
        <w:jc w:val="both"/>
        <w:rPr>
          <w:rFonts w:ascii="Times New Roman" w:hAnsi="Times New Roman" w:cs="Times New Roman"/>
          <w:sz w:val="24"/>
          <w:szCs w:val="24"/>
        </w:rPr>
      </w:pPr>
      <w:r w:rsidRPr="00B17719">
        <w:rPr>
          <w:rFonts w:ascii="Times New Roman" w:hAnsi="Times New Roman" w:cs="Times New Roman"/>
          <w:sz w:val="24"/>
          <w:szCs w:val="24"/>
        </w:rPr>
        <w:t>1</w:t>
      </w:r>
      <w:r w:rsidR="00A204A3" w:rsidRPr="00B17719">
        <w:rPr>
          <w:rFonts w:ascii="Times New Roman" w:hAnsi="Times New Roman" w:cs="Times New Roman"/>
          <w:sz w:val="24"/>
          <w:szCs w:val="24"/>
        </w:rPr>
        <w:t xml:space="preserve">. </w:t>
      </w:r>
      <w:r w:rsidR="00B17719" w:rsidRPr="00B17719">
        <w:rPr>
          <w:rFonts w:ascii="Times New Roman" w:hAnsi="Times New Roman" w:cs="Times New Roman"/>
          <w:sz w:val="24"/>
          <w:szCs w:val="24"/>
        </w:rPr>
        <w:t>Россия и страны мира, 2016 г. Статистический сборник – Режим доступа: http://www.gks.ru/wps/wcm/connect/rosstat_main/rosstat/ru/statistics/publications/catalog/doc_1139821848594</w:t>
      </w:r>
      <w:r w:rsidR="004D3D3C" w:rsidRPr="004D3D3C">
        <w:rPr>
          <w:rFonts w:ascii="Times New Roman" w:hAnsi="Times New Roman" w:cs="Times New Roman"/>
          <w:sz w:val="24"/>
          <w:szCs w:val="24"/>
        </w:rPr>
        <w:t>.</w:t>
      </w:r>
    </w:p>
    <w:p w:rsidR="00B17719" w:rsidRPr="004D3D3C" w:rsidRDefault="00B17719" w:rsidP="00B17719">
      <w:pPr>
        <w:spacing w:after="0" w:line="240" w:lineRule="auto"/>
        <w:ind w:firstLine="709"/>
        <w:jc w:val="both"/>
        <w:rPr>
          <w:rFonts w:ascii="Times New Roman" w:hAnsi="Times New Roman" w:cs="Times New Roman"/>
          <w:sz w:val="24"/>
          <w:szCs w:val="24"/>
        </w:rPr>
      </w:pPr>
      <w:r w:rsidRPr="004D3D3C">
        <w:rPr>
          <w:rFonts w:ascii="Times New Roman" w:hAnsi="Times New Roman" w:cs="Times New Roman"/>
          <w:sz w:val="24"/>
          <w:szCs w:val="24"/>
        </w:rPr>
        <w:t>2</w:t>
      </w:r>
      <w:r w:rsidRPr="00B17719">
        <w:rPr>
          <w:rFonts w:ascii="Times New Roman" w:hAnsi="Times New Roman" w:cs="Times New Roman"/>
          <w:sz w:val="24"/>
          <w:szCs w:val="24"/>
        </w:rPr>
        <w:t xml:space="preserve">. </w:t>
      </w:r>
      <w:r w:rsidRPr="00B17719">
        <w:rPr>
          <w:rFonts w:ascii="Times New Roman" w:hAnsi="Times New Roman" w:cs="Times New Roman"/>
          <w:sz w:val="24"/>
          <w:szCs w:val="24"/>
        </w:rPr>
        <w:t>Индикаторы инновационной деятельности: 2017. Статистический сборник – Режим доступа: https://www.hse.ru/data/2017/03/14/1170079947/Индикаторы%20инновационной%20деятельности%202017</w:t>
      </w:r>
      <w:r w:rsidR="004D3D3C" w:rsidRPr="004D3D3C">
        <w:rPr>
          <w:rFonts w:ascii="Times New Roman" w:hAnsi="Times New Roman" w:cs="Times New Roman"/>
          <w:sz w:val="24"/>
          <w:szCs w:val="24"/>
        </w:rPr>
        <w:t>.</w:t>
      </w:r>
    </w:p>
    <w:p w:rsidR="00B17719" w:rsidRPr="004D3D3C" w:rsidRDefault="00B17719" w:rsidP="00B17719">
      <w:pPr>
        <w:spacing w:after="0" w:line="240" w:lineRule="auto"/>
        <w:ind w:firstLine="709"/>
        <w:jc w:val="both"/>
        <w:rPr>
          <w:rFonts w:ascii="Times New Roman" w:hAnsi="Times New Roman" w:cs="Times New Roman"/>
          <w:sz w:val="24"/>
          <w:szCs w:val="24"/>
        </w:rPr>
      </w:pPr>
      <w:r w:rsidRPr="00B17719">
        <w:rPr>
          <w:rFonts w:ascii="Times New Roman" w:hAnsi="Times New Roman" w:cs="Times New Roman"/>
          <w:sz w:val="24"/>
          <w:szCs w:val="24"/>
        </w:rPr>
        <w:t xml:space="preserve">3. </w:t>
      </w:r>
      <w:r w:rsidRPr="00B17719">
        <w:rPr>
          <w:rFonts w:ascii="Times New Roman" w:hAnsi="Times New Roman" w:cs="Times New Roman"/>
          <w:sz w:val="24"/>
          <w:szCs w:val="24"/>
        </w:rPr>
        <w:t>Национальная инновационная система Германии. Официальный сайт альманаха «Управление производством». – Режим доступа: http://www.up-pro.ru/library/innovations/national_innovative_organizations/nacyonalnaja-inn.html</w:t>
      </w:r>
      <w:r w:rsidR="004D3D3C" w:rsidRPr="004D3D3C">
        <w:rPr>
          <w:rFonts w:ascii="Times New Roman" w:hAnsi="Times New Roman" w:cs="Times New Roman"/>
          <w:sz w:val="24"/>
          <w:szCs w:val="24"/>
        </w:rPr>
        <w:t>.</w:t>
      </w:r>
    </w:p>
    <w:p w:rsidR="0021330B" w:rsidRPr="004D3D3C" w:rsidRDefault="00B17719" w:rsidP="00B17719">
      <w:pPr>
        <w:spacing w:after="0" w:line="240" w:lineRule="auto"/>
        <w:ind w:firstLine="709"/>
        <w:jc w:val="both"/>
        <w:rPr>
          <w:rFonts w:ascii="Times New Roman" w:hAnsi="Times New Roman" w:cs="Times New Roman"/>
          <w:sz w:val="24"/>
          <w:szCs w:val="24"/>
        </w:rPr>
      </w:pPr>
      <w:r w:rsidRPr="00B17719">
        <w:rPr>
          <w:rFonts w:ascii="Times New Roman" w:hAnsi="Times New Roman" w:cs="Times New Roman"/>
          <w:sz w:val="24"/>
          <w:szCs w:val="24"/>
        </w:rPr>
        <w:t xml:space="preserve">4. </w:t>
      </w:r>
      <w:r w:rsidRPr="00B17719">
        <w:rPr>
          <w:rFonts w:ascii="Times New Roman" w:hAnsi="Times New Roman" w:cs="Times New Roman"/>
          <w:sz w:val="24"/>
          <w:szCs w:val="24"/>
        </w:rPr>
        <w:t xml:space="preserve">Паспорт национального проекта «Наука». Официальный сайт Правительства РФ. – Режим доступа: </w:t>
      </w:r>
      <w:r w:rsidR="004D3D3C" w:rsidRPr="004D3D3C">
        <w:rPr>
          <w:rFonts w:ascii="Times New Roman" w:hAnsi="Times New Roman" w:cs="Times New Roman"/>
          <w:sz w:val="24"/>
          <w:szCs w:val="24"/>
        </w:rPr>
        <w:t>http://static.government.ru/media/files/UraNEEbOnbjocoMLPOnnJZx4OT20Siei.pdf.</w:t>
      </w:r>
    </w:p>
    <w:p w:rsidR="004D3D3C" w:rsidRPr="00B17719" w:rsidRDefault="004D3D3C" w:rsidP="00B17719">
      <w:pPr>
        <w:spacing w:after="0" w:line="240" w:lineRule="auto"/>
        <w:ind w:firstLine="709"/>
        <w:jc w:val="both"/>
        <w:rPr>
          <w:rFonts w:ascii="Times New Roman" w:hAnsi="Times New Roman" w:cs="Times New Roman"/>
          <w:sz w:val="24"/>
          <w:szCs w:val="24"/>
        </w:rPr>
      </w:pPr>
    </w:p>
    <w:p w:rsidR="0021330B" w:rsidRPr="0013644A" w:rsidRDefault="008D0214" w:rsidP="00551CC4">
      <w:pPr>
        <w:spacing w:after="0" w:line="240" w:lineRule="auto"/>
        <w:ind w:firstLine="709"/>
        <w:jc w:val="both"/>
        <w:rPr>
          <w:rFonts w:ascii="Times New Roman" w:hAnsi="Times New Roman" w:cs="Times New Roman"/>
          <w:sz w:val="24"/>
          <w:szCs w:val="24"/>
          <w:lang w:val="en-US"/>
        </w:rPr>
      </w:pPr>
      <w:r w:rsidRPr="008D0214">
        <w:rPr>
          <w:rFonts w:ascii="Times New Roman" w:hAnsi="Times New Roman" w:cs="Times New Roman"/>
          <w:sz w:val="24"/>
          <w:szCs w:val="24"/>
          <w:shd w:val="clear" w:color="auto" w:fill="FFFFFF"/>
        </w:rPr>
        <w:t>Мазилов Евгений Александрович</w:t>
      </w:r>
      <w:r w:rsidR="0021330B" w:rsidRPr="008D0214">
        <w:rPr>
          <w:rFonts w:ascii="Times New Roman" w:hAnsi="Times New Roman" w:cs="Times New Roman"/>
          <w:sz w:val="24"/>
          <w:szCs w:val="24"/>
          <w:shd w:val="clear" w:color="auto" w:fill="FFFFFF"/>
        </w:rPr>
        <w:t xml:space="preserve"> (Россия, Вологда) – </w:t>
      </w:r>
      <w:r w:rsidRPr="008D0214">
        <w:rPr>
          <w:rFonts w:ascii="Times New Roman" w:hAnsi="Times New Roman" w:cs="Times New Roman"/>
          <w:sz w:val="24"/>
          <w:szCs w:val="24"/>
          <w:shd w:val="clear" w:color="auto" w:fill="FFFFFF"/>
        </w:rPr>
        <w:t xml:space="preserve">зав. отделом, </w:t>
      </w:r>
      <w:proofErr w:type="spellStart"/>
      <w:r w:rsidRPr="008D0214">
        <w:rPr>
          <w:rFonts w:ascii="Times New Roman" w:hAnsi="Times New Roman" w:cs="Times New Roman"/>
          <w:sz w:val="24"/>
          <w:szCs w:val="24"/>
          <w:shd w:val="clear" w:color="auto" w:fill="FFFFFF"/>
        </w:rPr>
        <w:t>в.н.с</w:t>
      </w:r>
      <w:proofErr w:type="spellEnd"/>
      <w:r w:rsidRPr="008D0214">
        <w:rPr>
          <w:rFonts w:ascii="Times New Roman" w:hAnsi="Times New Roman" w:cs="Times New Roman"/>
          <w:sz w:val="24"/>
          <w:szCs w:val="24"/>
          <w:shd w:val="clear" w:color="auto" w:fill="FFFFFF"/>
        </w:rPr>
        <w:t>.</w:t>
      </w:r>
      <w:r w:rsidR="0021330B" w:rsidRPr="008D0214">
        <w:rPr>
          <w:rFonts w:ascii="Times New Roman" w:hAnsi="Times New Roman" w:cs="Times New Roman"/>
          <w:sz w:val="24"/>
          <w:szCs w:val="24"/>
          <w:shd w:val="clear" w:color="auto" w:fill="FFFFFF"/>
        </w:rPr>
        <w:t xml:space="preserve">, </w:t>
      </w:r>
      <w:r w:rsidRPr="008D0214">
        <w:rPr>
          <w:rFonts w:ascii="Times New Roman" w:hAnsi="Times New Roman" w:cs="Times New Roman"/>
          <w:sz w:val="24"/>
          <w:szCs w:val="24"/>
          <w:shd w:val="clear" w:color="auto" w:fill="FFFFFF"/>
        </w:rPr>
        <w:t xml:space="preserve">Федеральное государственное бюджетное учреждение науки </w:t>
      </w:r>
      <w:r w:rsidR="0021330B" w:rsidRPr="008D0214">
        <w:rPr>
          <w:rFonts w:ascii="Times New Roman" w:hAnsi="Times New Roman" w:cs="Times New Roman"/>
          <w:sz w:val="24"/>
          <w:szCs w:val="24"/>
          <w:shd w:val="clear" w:color="auto" w:fill="FFFFFF"/>
        </w:rPr>
        <w:t xml:space="preserve">Вологодский научный центр Российской академии наук, </w:t>
      </w:r>
      <w:r w:rsidR="0021330B" w:rsidRPr="008D0214">
        <w:rPr>
          <w:rFonts w:ascii="Times New Roman" w:hAnsi="Times New Roman" w:cs="Times New Roman"/>
          <w:sz w:val="24"/>
          <w:szCs w:val="24"/>
        </w:rPr>
        <w:t xml:space="preserve">Россия, 160014, г. Вологда, ул. Горького, д. 56а. </w:t>
      </w:r>
      <w:r w:rsidR="0021330B" w:rsidRPr="008D0214">
        <w:rPr>
          <w:rFonts w:ascii="Times New Roman" w:hAnsi="Times New Roman" w:cs="Times New Roman"/>
          <w:sz w:val="24"/>
          <w:szCs w:val="24"/>
          <w:lang w:val="en-US"/>
        </w:rPr>
        <w:t>E</w:t>
      </w:r>
      <w:r w:rsidR="0021330B" w:rsidRPr="0013644A">
        <w:rPr>
          <w:rFonts w:ascii="Times New Roman" w:hAnsi="Times New Roman" w:cs="Times New Roman"/>
          <w:sz w:val="24"/>
          <w:szCs w:val="24"/>
          <w:lang w:val="en-US"/>
        </w:rPr>
        <w:t>-</w:t>
      </w:r>
      <w:r w:rsidR="0021330B" w:rsidRPr="008D0214">
        <w:rPr>
          <w:rFonts w:ascii="Times New Roman" w:hAnsi="Times New Roman" w:cs="Times New Roman"/>
          <w:sz w:val="24"/>
          <w:szCs w:val="24"/>
          <w:lang w:val="en-US"/>
        </w:rPr>
        <w:t>mail</w:t>
      </w:r>
      <w:r w:rsidR="0021330B" w:rsidRPr="0013644A">
        <w:rPr>
          <w:rFonts w:ascii="Times New Roman" w:hAnsi="Times New Roman" w:cs="Times New Roman"/>
          <w:sz w:val="24"/>
          <w:szCs w:val="24"/>
          <w:lang w:val="en-US"/>
        </w:rPr>
        <w:t xml:space="preserve">: </w:t>
      </w:r>
      <w:r w:rsidRPr="008D0214">
        <w:rPr>
          <w:rFonts w:ascii="Times New Roman" w:hAnsi="Times New Roman" w:cs="Times New Roman"/>
          <w:sz w:val="24"/>
          <w:szCs w:val="24"/>
          <w:lang w:val="en-US"/>
        </w:rPr>
        <w:t>eamazilov</w:t>
      </w:r>
      <w:r w:rsidR="0021330B" w:rsidRPr="0013644A">
        <w:rPr>
          <w:rFonts w:ascii="Times New Roman" w:hAnsi="Times New Roman" w:cs="Times New Roman"/>
          <w:sz w:val="24"/>
          <w:szCs w:val="24"/>
          <w:lang w:val="en-US"/>
        </w:rPr>
        <w:t>@</w:t>
      </w:r>
      <w:r w:rsidR="0021330B" w:rsidRPr="008D0214">
        <w:rPr>
          <w:rFonts w:ascii="Times New Roman" w:hAnsi="Times New Roman" w:cs="Times New Roman"/>
          <w:sz w:val="24"/>
          <w:szCs w:val="24"/>
          <w:lang w:val="en-US"/>
        </w:rPr>
        <w:t>mail</w:t>
      </w:r>
      <w:r w:rsidR="0021330B" w:rsidRPr="0013644A">
        <w:rPr>
          <w:rFonts w:ascii="Times New Roman" w:hAnsi="Times New Roman" w:cs="Times New Roman"/>
          <w:sz w:val="24"/>
          <w:szCs w:val="24"/>
          <w:lang w:val="en-US"/>
        </w:rPr>
        <w:t>.</w:t>
      </w:r>
      <w:r w:rsidR="0021330B" w:rsidRPr="008D0214">
        <w:rPr>
          <w:rFonts w:ascii="Times New Roman" w:hAnsi="Times New Roman" w:cs="Times New Roman"/>
          <w:sz w:val="24"/>
          <w:szCs w:val="24"/>
          <w:lang w:val="en-US"/>
        </w:rPr>
        <w:t>ru</w:t>
      </w:r>
      <w:r w:rsidR="0021330B" w:rsidRPr="0013644A">
        <w:rPr>
          <w:rFonts w:ascii="Times New Roman" w:hAnsi="Times New Roman" w:cs="Times New Roman"/>
          <w:color w:val="000000" w:themeColor="text1"/>
          <w:sz w:val="24"/>
          <w:szCs w:val="24"/>
          <w:lang w:val="en-US"/>
        </w:rPr>
        <w:t xml:space="preserve">. </w:t>
      </w:r>
    </w:p>
    <w:p w:rsidR="0021330B" w:rsidRPr="0013644A" w:rsidRDefault="0021330B" w:rsidP="00551CC4">
      <w:pPr>
        <w:spacing w:after="0" w:line="240" w:lineRule="auto"/>
        <w:jc w:val="both"/>
        <w:rPr>
          <w:rFonts w:ascii="Times New Roman" w:hAnsi="Times New Roman" w:cs="Times New Roman"/>
          <w:sz w:val="24"/>
          <w:szCs w:val="24"/>
          <w:lang w:val="en-US"/>
        </w:rPr>
      </w:pPr>
    </w:p>
    <w:p w:rsidR="0021330B" w:rsidRPr="0013644A" w:rsidRDefault="008D0214" w:rsidP="00551CC4">
      <w:pPr>
        <w:spacing w:after="0" w:line="240" w:lineRule="auto"/>
        <w:jc w:val="right"/>
        <w:rPr>
          <w:rFonts w:ascii="Times New Roman" w:hAnsi="Times New Roman" w:cs="Times New Roman"/>
          <w:b/>
          <w:sz w:val="24"/>
          <w:szCs w:val="24"/>
          <w:lang w:val="en-US"/>
        </w:rPr>
      </w:pPr>
      <w:proofErr w:type="spellStart"/>
      <w:r w:rsidRPr="0013644A">
        <w:rPr>
          <w:rFonts w:ascii="Times New Roman" w:hAnsi="Times New Roman" w:cs="Times New Roman"/>
          <w:b/>
          <w:sz w:val="24"/>
          <w:szCs w:val="24"/>
          <w:lang w:val="en-US"/>
        </w:rPr>
        <w:t>Mazilov</w:t>
      </w:r>
      <w:proofErr w:type="spellEnd"/>
      <w:r w:rsidRPr="0013644A">
        <w:rPr>
          <w:rFonts w:ascii="Times New Roman" w:hAnsi="Times New Roman" w:cs="Times New Roman"/>
          <w:b/>
          <w:sz w:val="24"/>
          <w:szCs w:val="24"/>
          <w:lang w:val="en-US"/>
        </w:rPr>
        <w:t xml:space="preserve"> E.A</w:t>
      </w:r>
      <w:r w:rsidR="0021330B" w:rsidRPr="0013644A">
        <w:rPr>
          <w:rFonts w:ascii="Times New Roman" w:hAnsi="Times New Roman" w:cs="Times New Roman"/>
          <w:b/>
          <w:sz w:val="24"/>
          <w:szCs w:val="24"/>
          <w:lang w:val="en-US"/>
        </w:rPr>
        <w:t>.</w:t>
      </w:r>
    </w:p>
    <w:p w:rsidR="0021330B" w:rsidRPr="0013644A" w:rsidRDefault="0013644A" w:rsidP="00551CC4">
      <w:pPr>
        <w:spacing w:after="0" w:line="240" w:lineRule="auto"/>
        <w:jc w:val="center"/>
        <w:rPr>
          <w:rFonts w:ascii="Times New Roman" w:hAnsi="Times New Roman" w:cs="Times New Roman"/>
          <w:b/>
          <w:sz w:val="24"/>
          <w:szCs w:val="24"/>
          <w:lang w:val="en-US"/>
        </w:rPr>
      </w:pPr>
      <w:r w:rsidRPr="0013644A">
        <w:rPr>
          <w:rFonts w:ascii="Times New Roman" w:hAnsi="Times New Roman" w:cs="Times New Roman"/>
          <w:b/>
          <w:sz w:val="24"/>
          <w:szCs w:val="24"/>
          <w:lang w:val="en-US"/>
        </w:rPr>
        <w:t>PROMOTE APPLIED RESEARCH AND DEVELOPMENT AT THE REGIONAL LEVEL</w:t>
      </w:r>
    </w:p>
    <w:p w:rsidR="005624A8" w:rsidRPr="00E14B43" w:rsidRDefault="008D0214" w:rsidP="00551CC4">
      <w:pPr>
        <w:spacing w:after="0" w:line="240" w:lineRule="auto"/>
        <w:ind w:firstLine="709"/>
        <w:jc w:val="both"/>
        <w:rPr>
          <w:rFonts w:ascii="Times New Roman" w:hAnsi="Times New Roman" w:cs="Times New Roman"/>
          <w:i/>
          <w:sz w:val="24"/>
          <w:szCs w:val="24"/>
          <w:lang w:val="en-US"/>
        </w:rPr>
      </w:pPr>
      <w:r w:rsidRPr="0013644A">
        <w:rPr>
          <w:rFonts w:ascii="Times New Roman" w:hAnsi="Times New Roman" w:cs="Times New Roman"/>
          <w:i/>
          <w:sz w:val="24"/>
          <w:szCs w:val="24"/>
          <w:lang w:val="en-US"/>
        </w:rPr>
        <w:t xml:space="preserve">The materials provide a rationale for the need to stimulate applied research and development at the regional level. A comparison of the costs of science in the Russian Federation and Germany is made. It is indicated that one of the methods for enhancing the financing of science in Russia may be the creation of funds to support scientific, scientific, </w:t>
      </w:r>
      <w:r w:rsidRPr="00E14B43">
        <w:rPr>
          <w:rFonts w:ascii="Times New Roman" w:hAnsi="Times New Roman" w:cs="Times New Roman"/>
          <w:i/>
          <w:sz w:val="24"/>
          <w:szCs w:val="24"/>
          <w:lang w:val="en-US"/>
        </w:rPr>
        <w:t>technical and innovative activities.</w:t>
      </w:r>
    </w:p>
    <w:p w:rsidR="0021330B" w:rsidRPr="00E14B43" w:rsidRDefault="0021330B" w:rsidP="00551CC4">
      <w:pPr>
        <w:spacing w:after="0" w:line="240" w:lineRule="auto"/>
        <w:ind w:firstLine="709"/>
        <w:jc w:val="both"/>
        <w:rPr>
          <w:rFonts w:ascii="Times New Roman" w:hAnsi="Times New Roman" w:cs="Times New Roman"/>
          <w:i/>
          <w:sz w:val="24"/>
          <w:szCs w:val="24"/>
          <w:lang w:val="en-US"/>
        </w:rPr>
      </w:pPr>
      <w:r w:rsidRPr="00E14B43">
        <w:rPr>
          <w:rFonts w:ascii="Times New Roman" w:hAnsi="Times New Roman" w:cs="Times New Roman"/>
          <w:i/>
          <w:sz w:val="24"/>
          <w:szCs w:val="24"/>
          <w:lang w:val="en-US"/>
        </w:rPr>
        <w:t xml:space="preserve">Keywords: </w:t>
      </w:r>
      <w:r w:rsidR="0013644A" w:rsidRPr="00E14B43">
        <w:rPr>
          <w:rFonts w:ascii="Times New Roman" w:hAnsi="Times New Roman" w:cs="Times New Roman"/>
          <w:i/>
          <w:sz w:val="24"/>
          <w:szCs w:val="24"/>
          <w:lang w:val="en-US"/>
        </w:rPr>
        <w:t>applied research and development, financing, region, scientific and technological development, fund.</w:t>
      </w:r>
    </w:p>
    <w:p w:rsidR="0021330B" w:rsidRPr="00E14B43" w:rsidRDefault="0021330B" w:rsidP="00551CC4">
      <w:pPr>
        <w:spacing w:after="0" w:line="240" w:lineRule="auto"/>
        <w:ind w:firstLine="709"/>
        <w:jc w:val="both"/>
        <w:rPr>
          <w:rFonts w:ascii="Times New Roman" w:hAnsi="Times New Roman" w:cs="Times New Roman"/>
          <w:i/>
          <w:sz w:val="24"/>
          <w:szCs w:val="24"/>
          <w:lang w:val="en-US"/>
        </w:rPr>
      </w:pPr>
    </w:p>
    <w:p w:rsidR="0021330B" w:rsidRPr="004D3D3C" w:rsidRDefault="00E14B43" w:rsidP="00551CC4">
      <w:pPr>
        <w:spacing w:after="0" w:line="240" w:lineRule="auto"/>
        <w:ind w:firstLine="709"/>
        <w:jc w:val="both"/>
        <w:rPr>
          <w:rFonts w:ascii="Times New Roman" w:hAnsi="Times New Roman" w:cs="Times New Roman"/>
          <w:color w:val="000000" w:themeColor="text1"/>
          <w:sz w:val="24"/>
          <w:szCs w:val="24"/>
          <w:lang w:val="en-US"/>
        </w:rPr>
      </w:pPr>
      <w:proofErr w:type="spellStart"/>
      <w:r w:rsidRPr="004D3D3C">
        <w:rPr>
          <w:rFonts w:ascii="Times New Roman" w:hAnsi="Times New Roman" w:cs="Times New Roman"/>
          <w:sz w:val="24"/>
          <w:szCs w:val="24"/>
          <w:lang w:val="en-US"/>
        </w:rPr>
        <w:t>Mazilov</w:t>
      </w:r>
      <w:proofErr w:type="spellEnd"/>
      <w:r w:rsidRPr="004D3D3C">
        <w:rPr>
          <w:rFonts w:ascii="Times New Roman" w:hAnsi="Times New Roman" w:cs="Times New Roman"/>
          <w:sz w:val="24"/>
          <w:szCs w:val="24"/>
          <w:lang w:val="en-US"/>
        </w:rPr>
        <w:t xml:space="preserve"> </w:t>
      </w:r>
      <w:proofErr w:type="spellStart"/>
      <w:r w:rsidRPr="004D3D3C">
        <w:rPr>
          <w:rFonts w:ascii="Times New Roman" w:hAnsi="Times New Roman" w:cs="Times New Roman"/>
          <w:sz w:val="24"/>
          <w:szCs w:val="24"/>
          <w:lang w:val="en-US"/>
        </w:rPr>
        <w:t>Evgenii</w:t>
      </w:r>
      <w:proofErr w:type="spellEnd"/>
      <w:r w:rsidRPr="004D3D3C">
        <w:rPr>
          <w:rFonts w:ascii="Times New Roman" w:hAnsi="Times New Roman" w:cs="Times New Roman"/>
          <w:sz w:val="24"/>
          <w:szCs w:val="24"/>
          <w:lang w:val="en-US"/>
        </w:rPr>
        <w:t xml:space="preserve"> </w:t>
      </w:r>
      <w:proofErr w:type="spellStart"/>
      <w:r w:rsidRPr="004D3D3C">
        <w:rPr>
          <w:rFonts w:ascii="Times New Roman" w:hAnsi="Times New Roman" w:cs="Times New Roman"/>
          <w:sz w:val="24"/>
          <w:szCs w:val="24"/>
          <w:lang w:val="en-US"/>
        </w:rPr>
        <w:t>Alexandrovich</w:t>
      </w:r>
      <w:proofErr w:type="spellEnd"/>
      <w:r w:rsidR="0021330B" w:rsidRPr="004D3D3C">
        <w:rPr>
          <w:rFonts w:ascii="Times New Roman" w:hAnsi="Times New Roman" w:cs="Times New Roman"/>
          <w:sz w:val="24"/>
          <w:szCs w:val="24"/>
          <w:lang w:val="en-US"/>
        </w:rPr>
        <w:t xml:space="preserve"> (Russia, Vologda) - </w:t>
      </w:r>
      <w:r w:rsidRPr="004D3D3C">
        <w:rPr>
          <w:rFonts w:ascii="Times New Roman" w:hAnsi="Times New Roman" w:cs="Times New Roman"/>
          <w:sz w:val="24"/>
          <w:szCs w:val="24"/>
          <w:lang w:val="en-US"/>
        </w:rPr>
        <w:t>Head of department, senior researcher,</w:t>
      </w:r>
      <w:r w:rsidR="0021330B" w:rsidRPr="004D3D3C">
        <w:rPr>
          <w:rFonts w:ascii="Times New Roman" w:hAnsi="Times New Roman" w:cs="Times New Roman"/>
          <w:sz w:val="24"/>
          <w:szCs w:val="24"/>
          <w:lang w:val="en-US"/>
        </w:rPr>
        <w:t xml:space="preserve"> FSBIH Vologda Scientific Center of the Russian Academy of Scien</w:t>
      </w:r>
      <w:r w:rsidRPr="004D3D3C">
        <w:rPr>
          <w:rFonts w:ascii="Times New Roman" w:hAnsi="Times New Roman" w:cs="Times New Roman"/>
          <w:sz w:val="24"/>
          <w:szCs w:val="24"/>
          <w:lang w:val="en-US"/>
        </w:rPr>
        <w:t xml:space="preserve">ces, Russia, 160014, Vologda, Gorky </w:t>
      </w:r>
      <w:proofErr w:type="spellStart"/>
      <w:r w:rsidRPr="004D3D3C">
        <w:rPr>
          <w:rFonts w:ascii="Times New Roman" w:hAnsi="Times New Roman" w:cs="Times New Roman"/>
          <w:sz w:val="24"/>
          <w:szCs w:val="24"/>
          <w:lang w:val="en-US"/>
        </w:rPr>
        <w:t>st.</w:t>
      </w:r>
      <w:proofErr w:type="spellEnd"/>
      <w:r w:rsidRPr="004D3D3C">
        <w:rPr>
          <w:rFonts w:ascii="Times New Roman" w:hAnsi="Times New Roman" w:cs="Times New Roman"/>
          <w:sz w:val="24"/>
          <w:szCs w:val="24"/>
          <w:lang w:val="en-US"/>
        </w:rPr>
        <w:t xml:space="preserve">, </w:t>
      </w:r>
      <w:r w:rsidR="0021330B" w:rsidRPr="004D3D3C">
        <w:rPr>
          <w:rFonts w:ascii="Times New Roman" w:hAnsi="Times New Roman" w:cs="Times New Roman"/>
          <w:sz w:val="24"/>
          <w:szCs w:val="24"/>
          <w:lang w:val="en-US"/>
        </w:rPr>
        <w:t xml:space="preserve">56a. E-mail: </w:t>
      </w:r>
      <w:r w:rsidRPr="004D3D3C">
        <w:rPr>
          <w:rFonts w:ascii="Times New Roman" w:hAnsi="Times New Roman" w:cs="Times New Roman"/>
          <w:sz w:val="24"/>
          <w:szCs w:val="24"/>
          <w:lang w:val="en-US"/>
        </w:rPr>
        <w:t>eamazilov@mail.ru</w:t>
      </w:r>
      <w:r w:rsidRPr="004D3D3C">
        <w:rPr>
          <w:rFonts w:ascii="Times New Roman" w:hAnsi="Times New Roman" w:cs="Times New Roman"/>
          <w:color w:val="000000" w:themeColor="text1"/>
          <w:sz w:val="24"/>
          <w:szCs w:val="24"/>
          <w:lang w:val="en-US"/>
        </w:rPr>
        <w:t>.</w:t>
      </w:r>
    </w:p>
    <w:p w:rsidR="0021330B" w:rsidRPr="004D3D3C" w:rsidRDefault="0021330B" w:rsidP="00551CC4">
      <w:pPr>
        <w:spacing w:after="0" w:line="240" w:lineRule="auto"/>
        <w:ind w:firstLine="709"/>
        <w:jc w:val="both"/>
        <w:rPr>
          <w:rFonts w:ascii="Times New Roman" w:hAnsi="Times New Roman" w:cs="Times New Roman"/>
          <w:color w:val="000000" w:themeColor="text1"/>
          <w:sz w:val="24"/>
          <w:szCs w:val="24"/>
          <w:lang w:val="en-US"/>
        </w:rPr>
      </w:pPr>
    </w:p>
    <w:p w:rsidR="0021330B" w:rsidRPr="004D3D3C" w:rsidRDefault="0021330B" w:rsidP="00551CC4">
      <w:pPr>
        <w:spacing w:after="0" w:line="240" w:lineRule="auto"/>
        <w:ind w:firstLine="709"/>
        <w:jc w:val="center"/>
        <w:rPr>
          <w:rFonts w:ascii="Times New Roman" w:hAnsi="Times New Roman" w:cs="Times New Roman"/>
          <w:sz w:val="24"/>
          <w:szCs w:val="24"/>
          <w:lang w:val="en-US"/>
        </w:rPr>
      </w:pPr>
      <w:r w:rsidRPr="004D3D3C">
        <w:rPr>
          <w:rFonts w:ascii="Times New Roman" w:hAnsi="Times New Roman" w:cs="Times New Roman"/>
          <w:sz w:val="24"/>
          <w:szCs w:val="24"/>
          <w:lang w:val="en-US"/>
        </w:rPr>
        <w:t>List of sources used:</w:t>
      </w:r>
    </w:p>
    <w:p w:rsidR="004D3D3C" w:rsidRPr="004D3D3C" w:rsidRDefault="004D3D3C" w:rsidP="004D3D3C">
      <w:pPr>
        <w:spacing w:after="0" w:line="240" w:lineRule="auto"/>
        <w:ind w:firstLine="709"/>
        <w:jc w:val="both"/>
        <w:rPr>
          <w:rFonts w:ascii="Times New Roman" w:hAnsi="Times New Roman" w:cs="Times New Roman"/>
          <w:sz w:val="24"/>
          <w:szCs w:val="24"/>
          <w:lang w:val="en-US"/>
        </w:rPr>
      </w:pPr>
      <w:r w:rsidRPr="004D3D3C">
        <w:rPr>
          <w:rFonts w:ascii="Times New Roman" w:hAnsi="Times New Roman" w:cs="Times New Roman"/>
          <w:sz w:val="24"/>
          <w:szCs w:val="24"/>
          <w:lang w:val="en-US"/>
        </w:rPr>
        <w:t>1. Russia and the countries of the world, 2016. Statistical digest - Access mode: http://www.gks.ru/wps/wcm/connect/rosstat_main/rosstat/ru/statistics/publications/catalog/doc_1139821848594</w:t>
      </w:r>
      <w:r>
        <w:rPr>
          <w:rFonts w:ascii="Times New Roman" w:hAnsi="Times New Roman" w:cs="Times New Roman"/>
          <w:sz w:val="24"/>
          <w:szCs w:val="24"/>
          <w:lang w:val="en-US"/>
        </w:rPr>
        <w:t>.</w:t>
      </w:r>
    </w:p>
    <w:p w:rsidR="004D3D3C" w:rsidRPr="004D3D3C" w:rsidRDefault="004D3D3C" w:rsidP="004D3D3C">
      <w:pPr>
        <w:spacing w:after="0" w:line="240" w:lineRule="auto"/>
        <w:ind w:firstLine="709"/>
        <w:jc w:val="both"/>
        <w:rPr>
          <w:rFonts w:ascii="Times New Roman" w:hAnsi="Times New Roman" w:cs="Times New Roman"/>
          <w:sz w:val="24"/>
          <w:szCs w:val="24"/>
          <w:lang w:val="en-US"/>
        </w:rPr>
      </w:pPr>
      <w:r w:rsidRPr="004D3D3C">
        <w:rPr>
          <w:rFonts w:ascii="Times New Roman" w:hAnsi="Times New Roman" w:cs="Times New Roman"/>
          <w:sz w:val="24"/>
          <w:szCs w:val="24"/>
          <w:lang w:val="en-US"/>
        </w:rPr>
        <w:t>2. Indicators of innovative activity: 2017. Statistical digest - Access mode: https://www.hse.ru/data/2017/03/14/1170079947/ Indicators%20innovational%20 activity%202017</w:t>
      </w:r>
      <w:r>
        <w:rPr>
          <w:rFonts w:ascii="Times New Roman" w:hAnsi="Times New Roman" w:cs="Times New Roman"/>
          <w:sz w:val="24"/>
          <w:szCs w:val="24"/>
          <w:lang w:val="en-US"/>
        </w:rPr>
        <w:t>.</w:t>
      </w:r>
    </w:p>
    <w:p w:rsidR="004D3D3C" w:rsidRPr="004D3D3C" w:rsidRDefault="004D3D3C" w:rsidP="004D3D3C">
      <w:pPr>
        <w:spacing w:after="0" w:line="240" w:lineRule="auto"/>
        <w:ind w:firstLine="709"/>
        <w:jc w:val="both"/>
        <w:rPr>
          <w:rFonts w:ascii="Times New Roman" w:hAnsi="Times New Roman" w:cs="Times New Roman"/>
          <w:sz w:val="24"/>
          <w:szCs w:val="24"/>
          <w:lang w:val="en-US"/>
        </w:rPr>
      </w:pPr>
      <w:r w:rsidRPr="004D3D3C">
        <w:rPr>
          <w:rFonts w:ascii="Times New Roman" w:hAnsi="Times New Roman" w:cs="Times New Roman"/>
          <w:sz w:val="24"/>
          <w:szCs w:val="24"/>
          <w:lang w:val="en-US"/>
        </w:rPr>
        <w:t>3. National innovation system in Germany. Official site of the production management almanac. - Access mode: http://www.up-pro.ru/library/innovations/national_innovative_organizations/nacyonalnaja-inn.html</w:t>
      </w:r>
      <w:r>
        <w:rPr>
          <w:rFonts w:ascii="Times New Roman" w:hAnsi="Times New Roman" w:cs="Times New Roman"/>
          <w:sz w:val="24"/>
          <w:szCs w:val="24"/>
          <w:lang w:val="en-US"/>
        </w:rPr>
        <w:t>.</w:t>
      </w:r>
    </w:p>
    <w:p w:rsidR="003B0AA0" w:rsidRPr="009A4148" w:rsidRDefault="004D3D3C" w:rsidP="004D3D3C">
      <w:pPr>
        <w:spacing w:after="0" w:line="240" w:lineRule="auto"/>
        <w:ind w:firstLine="709"/>
        <w:jc w:val="both"/>
        <w:rPr>
          <w:rFonts w:ascii="Times New Roman" w:hAnsi="Times New Roman" w:cs="Times New Roman"/>
          <w:sz w:val="24"/>
          <w:szCs w:val="24"/>
          <w:lang w:val="en-US"/>
        </w:rPr>
      </w:pPr>
      <w:r w:rsidRPr="004D3D3C">
        <w:rPr>
          <w:rFonts w:ascii="Times New Roman" w:hAnsi="Times New Roman" w:cs="Times New Roman"/>
          <w:sz w:val="24"/>
          <w:szCs w:val="24"/>
          <w:lang w:val="en-US"/>
        </w:rPr>
        <w:t>4. Passport of the national project "Science". The official website of the Government of the Russian Federation. - Access mode: http://static.government.ru/media/files/UraNEEbOnbjocoMLPOnnJZx4OT20Siei.pdf</w:t>
      </w:r>
      <w:r>
        <w:rPr>
          <w:rFonts w:ascii="Times New Roman" w:hAnsi="Times New Roman" w:cs="Times New Roman"/>
          <w:sz w:val="24"/>
          <w:szCs w:val="24"/>
          <w:lang w:val="en-US"/>
        </w:rPr>
        <w:t>.</w:t>
      </w:r>
    </w:p>
    <w:sectPr w:rsidR="003B0AA0" w:rsidRPr="009A414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F8" w:rsidRDefault="00C07FF8" w:rsidP="005B349B">
      <w:pPr>
        <w:spacing w:after="0" w:line="240" w:lineRule="auto"/>
      </w:pPr>
      <w:r>
        <w:separator/>
      </w:r>
    </w:p>
  </w:endnote>
  <w:endnote w:type="continuationSeparator" w:id="0">
    <w:p w:rsidR="00C07FF8" w:rsidRDefault="00C07FF8" w:rsidP="005B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LBS W+ Humanist 777 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880040"/>
      <w:docPartObj>
        <w:docPartGallery w:val="Page Numbers (Bottom of Page)"/>
        <w:docPartUnique/>
      </w:docPartObj>
    </w:sdtPr>
    <w:sdtEndPr>
      <w:rPr>
        <w:rFonts w:ascii="Times New Roman" w:hAnsi="Times New Roman" w:cs="Times New Roman"/>
      </w:rPr>
    </w:sdtEndPr>
    <w:sdtContent>
      <w:p w:rsidR="0021330B" w:rsidRPr="00551CC4" w:rsidRDefault="0021330B" w:rsidP="00551CC4">
        <w:pPr>
          <w:pStyle w:val="aa"/>
          <w:jc w:val="right"/>
          <w:rPr>
            <w:rFonts w:ascii="Times New Roman" w:hAnsi="Times New Roman" w:cs="Times New Roman"/>
          </w:rPr>
        </w:pPr>
        <w:r w:rsidRPr="0052691F">
          <w:rPr>
            <w:rFonts w:ascii="Times New Roman" w:hAnsi="Times New Roman" w:cs="Times New Roman"/>
          </w:rPr>
          <w:fldChar w:fldCharType="begin"/>
        </w:r>
        <w:r w:rsidRPr="0052691F">
          <w:rPr>
            <w:rFonts w:ascii="Times New Roman" w:hAnsi="Times New Roman" w:cs="Times New Roman"/>
          </w:rPr>
          <w:instrText>PAGE   \* MERGEFORMAT</w:instrText>
        </w:r>
        <w:r w:rsidRPr="0052691F">
          <w:rPr>
            <w:rFonts w:ascii="Times New Roman" w:hAnsi="Times New Roman" w:cs="Times New Roman"/>
          </w:rPr>
          <w:fldChar w:fldCharType="separate"/>
        </w:r>
        <w:r w:rsidR="004D3D3C">
          <w:rPr>
            <w:rFonts w:ascii="Times New Roman" w:hAnsi="Times New Roman" w:cs="Times New Roman"/>
            <w:noProof/>
          </w:rPr>
          <w:t>1</w:t>
        </w:r>
        <w:r w:rsidRPr="0052691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F8" w:rsidRDefault="00C07FF8" w:rsidP="005B349B">
      <w:pPr>
        <w:spacing w:after="0" w:line="240" w:lineRule="auto"/>
      </w:pPr>
      <w:r>
        <w:separator/>
      </w:r>
    </w:p>
  </w:footnote>
  <w:footnote w:type="continuationSeparator" w:id="0">
    <w:p w:rsidR="00C07FF8" w:rsidRDefault="00C07FF8" w:rsidP="005B349B">
      <w:pPr>
        <w:spacing w:after="0" w:line="240" w:lineRule="auto"/>
      </w:pPr>
      <w:r>
        <w:continuationSeparator/>
      </w:r>
    </w:p>
  </w:footnote>
  <w:footnote w:id="1">
    <w:p w:rsidR="00127A9C" w:rsidRPr="00127A9C" w:rsidRDefault="00127A9C" w:rsidP="00127A9C">
      <w:pPr>
        <w:pStyle w:val="ac"/>
        <w:jc w:val="both"/>
        <w:rPr>
          <w:rFonts w:ascii="Times New Roman" w:hAnsi="Times New Roman" w:cs="Times New Roman"/>
        </w:rPr>
      </w:pPr>
      <w:r w:rsidRPr="00127A9C">
        <w:rPr>
          <w:rStyle w:val="ae"/>
          <w:rFonts w:ascii="Times New Roman" w:hAnsi="Times New Roman" w:cs="Times New Roman"/>
        </w:rPr>
        <w:footnoteRef/>
      </w:r>
      <w:r w:rsidRPr="00127A9C">
        <w:rPr>
          <w:rFonts w:ascii="Times New Roman" w:hAnsi="Times New Roman" w:cs="Times New Roman"/>
        </w:rPr>
        <w:t xml:space="preserve"> </w:t>
      </w:r>
      <w:r w:rsidR="00551CC4" w:rsidRPr="00551CC4">
        <w:rPr>
          <w:rFonts w:ascii="Times New Roman" w:hAnsi="Times New Roman" w:cs="Times New Roman"/>
        </w:rPr>
        <w:t>Статья подготовлена при поддержке гранта Президента РФ (МК-2164.2020.6)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89A"/>
    <w:multiLevelType w:val="hybridMultilevel"/>
    <w:tmpl w:val="3440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746F4"/>
    <w:multiLevelType w:val="hybridMultilevel"/>
    <w:tmpl w:val="60003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7B5F76"/>
    <w:multiLevelType w:val="hybridMultilevel"/>
    <w:tmpl w:val="CEECE36C"/>
    <w:lvl w:ilvl="0" w:tplc="04190001">
      <w:start w:val="1"/>
      <w:numFmt w:val="bullet"/>
      <w:lvlText w:val=""/>
      <w:lvlJc w:val="left"/>
      <w:pPr>
        <w:ind w:left="770" w:hanging="360"/>
      </w:pPr>
      <w:rPr>
        <w:rFonts w:ascii="Symbol" w:hAnsi="Symbol" w:hint="default"/>
      </w:rPr>
    </w:lvl>
    <w:lvl w:ilvl="1" w:tplc="C20A8760">
      <w:start w:val="1"/>
      <w:numFmt w:val="bullet"/>
      <w:lvlText w:val=""/>
      <w:lvlJc w:val="left"/>
      <w:pPr>
        <w:ind w:left="1490" w:hanging="360"/>
      </w:pPr>
      <w:rPr>
        <w:rFonts w:ascii="Symbol" w:hAnsi="Symbol"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32687587"/>
    <w:multiLevelType w:val="hybridMultilevel"/>
    <w:tmpl w:val="A3DE0C5E"/>
    <w:lvl w:ilvl="0" w:tplc="3B06D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CF6F78"/>
    <w:multiLevelType w:val="hybridMultilevel"/>
    <w:tmpl w:val="851C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7C47A6"/>
    <w:multiLevelType w:val="hybridMultilevel"/>
    <w:tmpl w:val="F542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5530CA"/>
    <w:multiLevelType w:val="hybridMultilevel"/>
    <w:tmpl w:val="CFA2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4507A0"/>
    <w:multiLevelType w:val="hybridMultilevel"/>
    <w:tmpl w:val="6F325D34"/>
    <w:lvl w:ilvl="0" w:tplc="C20A8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DA3D96"/>
    <w:multiLevelType w:val="hybridMultilevel"/>
    <w:tmpl w:val="D376E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F27A30"/>
    <w:multiLevelType w:val="hybridMultilevel"/>
    <w:tmpl w:val="9B6E7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3B1528"/>
    <w:multiLevelType w:val="hybridMultilevel"/>
    <w:tmpl w:val="C200F3BC"/>
    <w:lvl w:ilvl="0" w:tplc="C20A8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13740E"/>
    <w:multiLevelType w:val="hybridMultilevel"/>
    <w:tmpl w:val="8EFA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9910A0"/>
    <w:multiLevelType w:val="hybridMultilevel"/>
    <w:tmpl w:val="DD9C4D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7A60DD0"/>
    <w:multiLevelType w:val="hybridMultilevel"/>
    <w:tmpl w:val="26ACD9AE"/>
    <w:lvl w:ilvl="0" w:tplc="3000C778">
      <w:start w:val="1"/>
      <w:numFmt w:val="bullet"/>
      <w:lvlText w:val=""/>
      <w:lvlJc w:val="left"/>
      <w:pPr>
        <w:ind w:left="0" w:firstLine="1069"/>
      </w:pPr>
      <w:rPr>
        <w:rFonts w:ascii="Symbol" w:hAnsi="Symbol" w:hint="default"/>
      </w:rPr>
    </w:lvl>
    <w:lvl w:ilvl="1" w:tplc="C20A8760">
      <w:start w:val="1"/>
      <w:numFmt w:val="bullet"/>
      <w:lvlText w:val=""/>
      <w:lvlJc w:val="left"/>
      <w:pPr>
        <w:ind w:left="1490" w:hanging="360"/>
      </w:pPr>
      <w:rPr>
        <w:rFonts w:ascii="Symbol" w:hAnsi="Symbol"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6FCE7D28"/>
    <w:multiLevelType w:val="hybridMultilevel"/>
    <w:tmpl w:val="92BA8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658547A"/>
    <w:multiLevelType w:val="hybridMultilevel"/>
    <w:tmpl w:val="0A4A1B26"/>
    <w:lvl w:ilvl="0" w:tplc="3B06D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4"/>
  </w:num>
  <w:num w:numId="4">
    <w:abstractNumId w:val="15"/>
  </w:num>
  <w:num w:numId="5">
    <w:abstractNumId w:val="0"/>
  </w:num>
  <w:num w:numId="6">
    <w:abstractNumId w:val="9"/>
  </w:num>
  <w:num w:numId="7">
    <w:abstractNumId w:val="5"/>
  </w:num>
  <w:num w:numId="8">
    <w:abstractNumId w:val="6"/>
  </w:num>
  <w:num w:numId="9">
    <w:abstractNumId w:val="1"/>
  </w:num>
  <w:num w:numId="10">
    <w:abstractNumId w:val="7"/>
  </w:num>
  <w:num w:numId="11">
    <w:abstractNumId w:val="2"/>
  </w:num>
  <w:num w:numId="12">
    <w:abstractNumId w:val="13"/>
  </w:num>
  <w:num w:numId="13">
    <w:abstractNumId w:val="12"/>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72"/>
    <w:rsid w:val="00000FCC"/>
    <w:rsid w:val="00001CD5"/>
    <w:rsid w:val="00004233"/>
    <w:rsid w:val="00005249"/>
    <w:rsid w:val="00007C28"/>
    <w:rsid w:val="000125E6"/>
    <w:rsid w:val="000128B5"/>
    <w:rsid w:val="0001599D"/>
    <w:rsid w:val="00016734"/>
    <w:rsid w:val="00021754"/>
    <w:rsid w:val="00023D91"/>
    <w:rsid w:val="000244EF"/>
    <w:rsid w:val="000253EF"/>
    <w:rsid w:val="00027944"/>
    <w:rsid w:val="000337CE"/>
    <w:rsid w:val="00033A8C"/>
    <w:rsid w:val="00036095"/>
    <w:rsid w:val="0004076E"/>
    <w:rsid w:val="00045323"/>
    <w:rsid w:val="0005715E"/>
    <w:rsid w:val="000617B4"/>
    <w:rsid w:val="000641E2"/>
    <w:rsid w:val="00065567"/>
    <w:rsid w:val="00066591"/>
    <w:rsid w:val="00066FA4"/>
    <w:rsid w:val="00071278"/>
    <w:rsid w:val="00071A80"/>
    <w:rsid w:val="00074C86"/>
    <w:rsid w:val="00076413"/>
    <w:rsid w:val="00077F0A"/>
    <w:rsid w:val="00082577"/>
    <w:rsid w:val="0008597F"/>
    <w:rsid w:val="000914D5"/>
    <w:rsid w:val="000938CD"/>
    <w:rsid w:val="00094513"/>
    <w:rsid w:val="00096D59"/>
    <w:rsid w:val="000A5094"/>
    <w:rsid w:val="000B2BF4"/>
    <w:rsid w:val="000B3C92"/>
    <w:rsid w:val="000C7200"/>
    <w:rsid w:val="000D5990"/>
    <w:rsid w:val="000E54F6"/>
    <w:rsid w:val="000F0297"/>
    <w:rsid w:val="000F19B1"/>
    <w:rsid w:val="000F41BB"/>
    <w:rsid w:val="00106FBB"/>
    <w:rsid w:val="00107CDA"/>
    <w:rsid w:val="001152F5"/>
    <w:rsid w:val="0011744E"/>
    <w:rsid w:val="001250D8"/>
    <w:rsid w:val="00127A9C"/>
    <w:rsid w:val="0013381D"/>
    <w:rsid w:val="00133F47"/>
    <w:rsid w:val="0013636E"/>
    <w:rsid w:val="0013644A"/>
    <w:rsid w:val="00142AB1"/>
    <w:rsid w:val="00145A68"/>
    <w:rsid w:val="0014623E"/>
    <w:rsid w:val="001507CE"/>
    <w:rsid w:val="00151207"/>
    <w:rsid w:val="0015521E"/>
    <w:rsid w:val="001559BC"/>
    <w:rsid w:val="00157AC6"/>
    <w:rsid w:val="0016112E"/>
    <w:rsid w:val="001709C9"/>
    <w:rsid w:val="00172EDA"/>
    <w:rsid w:val="00173638"/>
    <w:rsid w:val="00177926"/>
    <w:rsid w:val="00181742"/>
    <w:rsid w:val="00182918"/>
    <w:rsid w:val="00182B5E"/>
    <w:rsid w:val="00194BAF"/>
    <w:rsid w:val="001A311C"/>
    <w:rsid w:val="001B18A5"/>
    <w:rsid w:val="001C018D"/>
    <w:rsid w:val="001D1023"/>
    <w:rsid w:val="001D4F78"/>
    <w:rsid w:val="001D67FF"/>
    <w:rsid w:val="001E24B3"/>
    <w:rsid w:val="001F0CFA"/>
    <w:rsid w:val="001F2D3B"/>
    <w:rsid w:val="001F3AAB"/>
    <w:rsid w:val="00204158"/>
    <w:rsid w:val="0021330B"/>
    <w:rsid w:val="002153C8"/>
    <w:rsid w:val="00220085"/>
    <w:rsid w:val="0022056C"/>
    <w:rsid w:val="00243039"/>
    <w:rsid w:val="00245819"/>
    <w:rsid w:val="00256B2B"/>
    <w:rsid w:val="00263B01"/>
    <w:rsid w:val="002644D5"/>
    <w:rsid w:val="002661D5"/>
    <w:rsid w:val="00270D93"/>
    <w:rsid w:val="002717BA"/>
    <w:rsid w:val="00272F5F"/>
    <w:rsid w:val="00273365"/>
    <w:rsid w:val="002742D4"/>
    <w:rsid w:val="00277641"/>
    <w:rsid w:val="002945CD"/>
    <w:rsid w:val="00296D14"/>
    <w:rsid w:val="002B1113"/>
    <w:rsid w:val="002B395C"/>
    <w:rsid w:val="002B3E8A"/>
    <w:rsid w:val="002C2336"/>
    <w:rsid w:val="002C4976"/>
    <w:rsid w:val="002D4A06"/>
    <w:rsid w:val="002E0021"/>
    <w:rsid w:val="002F0E04"/>
    <w:rsid w:val="002F3856"/>
    <w:rsid w:val="002F6DC0"/>
    <w:rsid w:val="00304295"/>
    <w:rsid w:val="00305262"/>
    <w:rsid w:val="00305627"/>
    <w:rsid w:val="00307E80"/>
    <w:rsid w:val="00317889"/>
    <w:rsid w:val="003178D1"/>
    <w:rsid w:val="00320FEE"/>
    <w:rsid w:val="00326D21"/>
    <w:rsid w:val="00330F9C"/>
    <w:rsid w:val="0033402D"/>
    <w:rsid w:val="0034470E"/>
    <w:rsid w:val="003523CD"/>
    <w:rsid w:val="00360E0B"/>
    <w:rsid w:val="00361C86"/>
    <w:rsid w:val="003670E8"/>
    <w:rsid w:val="0037307A"/>
    <w:rsid w:val="00381FD8"/>
    <w:rsid w:val="00383C80"/>
    <w:rsid w:val="00390EC5"/>
    <w:rsid w:val="00393762"/>
    <w:rsid w:val="003973AF"/>
    <w:rsid w:val="003A0CFC"/>
    <w:rsid w:val="003A0EF5"/>
    <w:rsid w:val="003A414F"/>
    <w:rsid w:val="003A5E26"/>
    <w:rsid w:val="003A6CD6"/>
    <w:rsid w:val="003B0AA0"/>
    <w:rsid w:val="003C14FB"/>
    <w:rsid w:val="003C22D5"/>
    <w:rsid w:val="003C5A5A"/>
    <w:rsid w:val="003D0DE8"/>
    <w:rsid w:val="003F2B43"/>
    <w:rsid w:val="003F2D4A"/>
    <w:rsid w:val="003F35E4"/>
    <w:rsid w:val="003F6FBF"/>
    <w:rsid w:val="00400625"/>
    <w:rsid w:val="00422828"/>
    <w:rsid w:val="00424874"/>
    <w:rsid w:val="00425839"/>
    <w:rsid w:val="00426928"/>
    <w:rsid w:val="00432548"/>
    <w:rsid w:val="004355AB"/>
    <w:rsid w:val="00437299"/>
    <w:rsid w:val="0044495C"/>
    <w:rsid w:val="00452FCD"/>
    <w:rsid w:val="00454499"/>
    <w:rsid w:val="00454EE2"/>
    <w:rsid w:val="00476E12"/>
    <w:rsid w:val="00483015"/>
    <w:rsid w:val="004854AB"/>
    <w:rsid w:val="00485B69"/>
    <w:rsid w:val="00486A66"/>
    <w:rsid w:val="00496CFB"/>
    <w:rsid w:val="00497704"/>
    <w:rsid w:val="004A76BF"/>
    <w:rsid w:val="004B1474"/>
    <w:rsid w:val="004B440F"/>
    <w:rsid w:val="004B61B5"/>
    <w:rsid w:val="004C624C"/>
    <w:rsid w:val="004C6C56"/>
    <w:rsid w:val="004C7E51"/>
    <w:rsid w:val="004D3D3C"/>
    <w:rsid w:val="004D4B6D"/>
    <w:rsid w:val="004D55FF"/>
    <w:rsid w:val="004D601C"/>
    <w:rsid w:val="004E31E3"/>
    <w:rsid w:val="004E340A"/>
    <w:rsid w:val="004E47A4"/>
    <w:rsid w:val="004E533B"/>
    <w:rsid w:val="004F04CA"/>
    <w:rsid w:val="00500511"/>
    <w:rsid w:val="00502F05"/>
    <w:rsid w:val="00504E2D"/>
    <w:rsid w:val="005159ED"/>
    <w:rsid w:val="00521372"/>
    <w:rsid w:val="0052407C"/>
    <w:rsid w:val="00524840"/>
    <w:rsid w:val="00526785"/>
    <w:rsid w:val="0052691F"/>
    <w:rsid w:val="005272BA"/>
    <w:rsid w:val="00531421"/>
    <w:rsid w:val="005319D9"/>
    <w:rsid w:val="005332E0"/>
    <w:rsid w:val="00536259"/>
    <w:rsid w:val="005367C1"/>
    <w:rsid w:val="00543FAC"/>
    <w:rsid w:val="0055186E"/>
    <w:rsid w:val="00551CC4"/>
    <w:rsid w:val="005621FA"/>
    <w:rsid w:val="005624A8"/>
    <w:rsid w:val="00565496"/>
    <w:rsid w:val="00570195"/>
    <w:rsid w:val="00574651"/>
    <w:rsid w:val="00576E14"/>
    <w:rsid w:val="00585A4F"/>
    <w:rsid w:val="00591A44"/>
    <w:rsid w:val="005A2401"/>
    <w:rsid w:val="005A6577"/>
    <w:rsid w:val="005B2FF8"/>
    <w:rsid w:val="005B349B"/>
    <w:rsid w:val="005B5184"/>
    <w:rsid w:val="005C0F9A"/>
    <w:rsid w:val="005C1A0E"/>
    <w:rsid w:val="005C203C"/>
    <w:rsid w:val="005C6358"/>
    <w:rsid w:val="005C7473"/>
    <w:rsid w:val="005D6AD6"/>
    <w:rsid w:val="005E0449"/>
    <w:rsid w:val="005E069B"/>
    <w:rsid w:val="005E37E8"/>
    <w:rsid w:val="005E43EE"/>
    <w:rsid w:val="005E5F56"/>
    <w:rsid w:val="005F0758"/>
    <w:rsid w:val="005F1B49"/>
    <w:rsid w:val="00610E5F"/>
    <w:rsid w:val="00612927"/>
    <w:rsid w:val="00613012"/>
    <w:rsid w:val="00617AD6"/>
    <w:rsid w:val="00620C5E"/>
    <w:rsid w:val="00621B4E"/>
    <w:rsid w:val="00625851"/>
    <w:rsid w:val="00627608"/>
    <w:rsid w:val="00631691"/>
    <w:rsid w:val="00635679"/>
    <w:rsid w:val="00642B65"/>
    <w:rsid w:val="006443EA"/>
    <w:rsid w:val="006500AA"/>
    <w:rsid w:val="00657A3B"/>
    <w:rsid w:val="00663D22"/>
    <w:rsid w:val="006654D6"/>
    <w:rsid w:val="00674D04"/>
    <w:rsid w:val="0067558A"/>
    <w:rsid w:val="00681B72"/>
    <w:rsid w:val="00684E5B"/>
    <w:rsid w:val="00685ADD"/>
    <w:rsid w:val="00686775"/>
    <w:rsid w:val="00690926"/>
    <w:rsid w:val="00691B3E"/>
    <w:rsid w:val="00696611"/>
    <w:rsid w:val="00696AE8"/>
    <w:rsid w:val="006A5495"/>
    <w:rsid w:val="006B32FD"/>
    <w:rsid w:val="006B70E6"/>
    <w:rsid w:val="006C1B53"/>
    <w:rsid w:val="006C6DA3"/>
    <w:rsid w:val="006D7D83"/>
    <w:rsid w:val="006E64E9"/>
    <w:rsid w:val="006F6E83"/>
    <w:rsid w:val="00710EFA"/>
    <w:rsid w:val="0071226C"/>
    <w:rsid w:val="00712B0D"/>
    <w:rsid w:val="00714DA7"/>
    <w:rsid w:val="00716DDE"/>
    <w:rsid w:val="00720C8E"/>
    <w:rsid w:val="00724AA1"/>
    <w:rsid w:val="0073030A"/>
    <w:rsid w:val="00730BF9"/>
    <w:rsid w:val="00740600"/>
    <w:rsid w:val="00747142"/>
    <w:rsid w:val="007549C6"/>
    <w:rsid w:val="00761BF3"/>
    <w:rsid w:val="0076255E"/>
    <w:rsid w:val="00780D87"/>
    <w:rsid w:val="0078389F"/>
    <w:rsid w:val="0078598B"/>
    <w:rsid w:val="007875FA"/>
    <w:rsid w:val="00791913"/>
    <w:rsid w:val="00792E7D"/>
    <w:rsid w:val="007A2BE6"/>
    <w:rsid w:val="007A5D6F"/>
    <w:rsid w:val="007A5DD7"/>
    <w:rsid w:val="007B106F"/>
    <w:rsid w:val="007B212E"/>
    <w:rsid w:val="007C0317"/>
    <w:rsid w:val="007C60C3"/>
    <w:rsid w:val="007D5002"/>
    <w:rsid w:val="007D62A3"/>
    <w:rsid w:val="007E1390"/>
    <w:rsid w:val="007E218B"/>
    <w:rsid w:val="007E4610"/>
    <w:rsid w:val="007E4A0D"/>
    <w:rsid w:val="007F20FB"/>
    <w:rsid w:val="007F5E63"/>
    <w:rsid w:val="00804E13"/>
    <w:rsid w:val="0080792D"/>
    <w:rsid w:val="008119EA"/>
    <w:rsid w:val="0082435F"/>
    <w:rsid w:val="008247F7"/>
    <w:rsid w:val="008256AA"/>
    <w:rsid w:val="00826D79"/>
    <w:rsid w:val="008272CD"/>
    <w:rsid w:val="00830A93"/>
    <w:rsid w:val="00833255"/>
    <w:rsid w:val="008361ED"/>
    <w:rsid w:val="008369AD"/>
    <w:rsid w:val="00845784"/>
    <w:rsid w:val="0084594F"/>
    <w:rsid w:val="00846390"/>
    <w:rsid w:val="00854AD5"/>
    <w:rsid w:val="00855D5B"/>
    <w:rsid w:val="008653F0"/>
    <w:rsid w:val="008755E7"/>
    <w:rsid w:val="00881CDA"/>
    <w:rsid w:val="00882A1E"/>
    <w:rsid w:val="00883FB2"/>
    <w:rsid w:val="0088552C"/>
    <w:rsid w:val="008936AD"/>
    <w:rsid w:val="008A1ADD"/>
    <w:rsid w:val="008A6EFE"/>
    <w:rsid w:val="008A7DDE"/>
    <w:rsid w:val="008C0ECD"/>
    <w:rsid w:val="008D0214"/>
    <w:rsid w:val="008D559D"/>
    <w:rsid w:val="008D6F69"/>
    <w:rsid w:val="008E45F4"/>
    <w:rsid w:val="008E49DF"/>
    <w:rsid w:val="008E52C7"/>
    <w:rsid w:val="008F47D8"/>
    <w:rsid w:val="0091404C"/>
    <w:rsid w:val="00916ABF"/>
    <w:rsid w:val="00917D8C"/>
    <w:rsid w:val="00930332"/>
    <w:rsid w:val="0093161F"/>
    <w:rsid w:val="00931C96"/>
    <w:rsid w:val="00933334"/>
    <w:rsid w:val="00942367"/>
    <w:rsid w:val="00946914"/>
    <w:rsid w:val="00952488"/>
    <w:rsid w:val="00952664"/>
    <w:rsid w:val="00953368"/>
    <w:rsid w:val="00961EBA"/>
    <w:rsid w:val="00962285"/>
    <w:rsid w:val="00964D6E"/>
    <w:rsid w:val="00966CA3"/>
    <w:rsid w:val="00967857"/>
    <w:rsid w:val="009755FF"/>
    <w:rsid w:val="00975E82"/>
    <w:rsid w:val="0098004B"/>
    <w:rsid w:val="0098243C"/>
    <w:rsid w:val="00982AB7"/>
    <w:rsid w:val="00986D6B"/>
    <w:rsid w:val="0099271C"/>
    <w:rsid w:val="0099739F"/>
    <w:rsid w:val="009A2359"/>
    <w:rsid w:val="009A38D2"/>
    <w:rsid w:val="009A4148"/>
    <w:rsid w:val="009A4588"/>
    <w:rsid w:val="009A51BC"/>
    <w:rsid w:val="009B234B"/>
    <w:rsid w:val="009C253D"/>
    <w:rsid w:val="009C5EB2"/>
    <w:rsid w:val="009C633E"/>
    <w:rsid w:val="009C688D"/>
    <w:rsid w:val="009D14F7"/>
    <w:rsid w:val="009D1863"/>
    <w:rsid w:val="009D59AD"/>
    <w:rsid w:val="009E18CD"/>
    <w:rsid w:val="009E2F7B"/>
    <w:rsid w:val="009E649F"/>
    <w:rsid w:val="009F0789"/>
    <w:rsid w:val="009F2AD6"/>
    <w:rsid w:val="009F399B"/>
    <w:rsid w:val="00A01BC9"/>
    <w:rsid w:val="00A020D3"/>
    <w:rsid w:val="00A03A04"/>
    <w:rsid w:val="00A03F7F"/>
    <w:rsid w:val="00A04F34"/>
    <w:rsid w:val="00A1078D"/>
    <w:rsid w:val="00A119F8"/>
    <w:rsid w:val="00A155FD"/>
    <w:rsid w:val="00A17CC2"/>
    <w:rsid w:val="00A204A3"/>
    <w:rsid w:val="00A255F1"/>
    <w:rsid w:val="00A32A14"/>
    <w:rsid w:val="00A33E6C"/>
    <w:rsid w:val="00A41C18"/>
    <w:rsid w:val="00A53C21"/>
    <w:rsid w:val="00A62F1D"/>
    <w:rsid w:val="00A64A96"/>
    <w:rsid w:val="00A655FB"/>
    <w:rsid w:val="00A85C87"/>
    <w:rsid w:val="00A90F8A"/>
    <w:rsid w:val="00AA25D6"/>
    <w:rsid w:val="00AB2257"/>
    <w:rsid w:val="00AC3257"/>
    <w:rsid w:val="00AD2A0D"/>
    <w:rsid w:val="00AE1105"/>
    <w:rsid w:val="00AE36F3"/>
    <w:rsid w:val="00AE6CAF"/>
    <w:rsid w:val="00AF0A5D"/>
    <w:rsid w:val="00B060FF"/>
    <w:rsid w:val="00B17719"/>
    <w:rsid w:val="00B20A88"/>
    <w:rsid w:val="00B21C0A"/>
    <w:rsid w:val="00B21E14"/>
    <w:rsid w:val="00B221C4"/>
    <w:rsid w:val="00B23716"/>
    <w:rsid w:val="00B261CD"/>
    <w:rsid w:val="00B26DEC"/>
    <w:rsid w:val="00B328F4"/>
    <w:rsid w:val="00B352FB"/>
    <w:rsid w:val="00B374C0"/>
    <w:rsid w:val="00B436B3"/>
    <w:rsid w:val="00B45200"/>
    <w:rsid w:val="00B476CD"/>
    <w:rsid w:val="00B50F39"/>
    <w:rsid w:val="00B61E8E"/>
    <w:rsid w:val="00B648D2"/>
    <w:rsid w:val="00B719E4"/>
    <w:rsid w:val="00B740FB"/>
    <w:rsid w:val="00B745E2"/>
    <w:rsid w:val="00B8242A"/>
    <w:rsid w:val="00B83FD9"/>
    <w:rsid w:val="00BB4F0A"/>
    <w:rsid w:val="00BC0FB2"/>
    <w:rsid w:val="00BC1588"/>
    <w:rsid w:val="00BC161F"/>
    <w:rsid w:val="00BC4A29"/>
    <w:rsid w:val="00BC4F45"/>
    <w:rsid w:val="00BD1E47"/>
    <w:rsid w:val="00BD564D"/>
    <w:rsid w:val="00BD62BB"/>
    <w:rsid w:val="00BE0E12"/>
    <w:rsid w:val="00BE1B1D"/>
    <w:rsid w:val="00BE2620"/>
    <w:rsid w:val="00BE2665"/>
    <w:rsid w:val="00BE6A08"/>
    <w:rsid w:val="00BE7417"/>
    <w:rsid w:val="00BF059B"/>
    <w:rsid w:val="00BF31F8"/>
    <w:rsid w:val="00C07260"/>
    <w:rsid w:val="00C07FF8"/>
    <w:rsid w:val="00C108F9"/>
    <w:rsid w:val="00C11D9B"/>
    <w:rsid w:val="00C12CB3"/>
    <w:rsid w:val="00C14AD0"/>
    <w:rsid w:val="00C16649"/>
    <w:rsid w:val="00C17061"/>
    <w:rsid w:val="00C254DE"/>
    <w:rsid w:val="00C26450"/>
    <w:rsid w:val="00C27456"/>
    <w:rsid w:val="00C40EBD"/>
    <w:rsid w:val="00C42864"/>
    <w:rsid w:val="00C43543"/>
    <w:rsid w:val="00C43AE6"/>
    <w:rsid w:val="00C55A2E"/>
    <w:rsid w:val="00C55FEF"/>
    <w:rsid w:val="00C56EED"/>
    <w:rsid w:val="00C71427"/>
    <w:rsid w:val="00C7614F"/>
    <w:rsid w:val="00C8696D"/>
    <w:rsid w:val="00C86C01"/>
    <w:rsid w:val="00C87A16"/>
    <w:rsid w:val="00C90F7E"/>
    <w:rsid w:val="00CA5643"/>
    <w:rsid w:val="00CB1D70"/>
    <w:rsid w:val="00CB2468"/>
    <w:rsid w:val="00CB53A6"/>
    <w:rsid w:val="00CB66D2"/>
    <w:rsid w:val="00CB6DAF"/>
    <w:rsid w:val="00CC0E5D"/>
    <w:rsid w:val="00CC2ABB"/>
    <w:rsid w:val="00CC6854"/>
    <w:rsid w:val="00CD115C"/>
    <w:rsid w:val="00CD19CD"/>
    <w:rsid w:val="00CD4B4B"/>
    <w:rsid w:val="00CE154C"/>
    <w:rsid w:val="00CF4461"/>
    <w:rsid w:val="00CF501A"/>
    <w:rsid w:val="00D07BF6"/>
    <w:rsid w:val="00D108AB"/>
    <w:rsid w:val="00D11A06"/>
    <w:rsid w:val="00D1645A"/>
    <w:rsid w:val="00D26D98"/>
    <w:rsid w:val="00D27D43"/>
    <w:rsid w:val="00D316E5"/>
    <w:rsid w:val="00D34920"/>
    <w:rsid w:val="00D36B65"/>
    <w:rsid w:val="00D40C19"/>
    <w:rsid w:val="00D41ECE"/>
    <w:rsid w:val="00D46AA9"/>
    <w:rsid w:val="00D4729D"/>
    <w:rsid w:val="00D477AE"/>
    <w:rsid w:val="00D50DB8"/>
    <w:rsid w:val="00D51395"/>
    <w:rsid w:val="00D52F6C"/>
    <w:rsid w:val="00D570D9"/>
    <w:rsid w:val="00D631DC"/>
    <w:rsid w:val="00D73192"/>
    <w:rsid w:val="00D7555E"/>
    <w:rsid w:val="00D819A2"/>
    <w:rsid w:val="00D85A8E"/>
    <w:rsid w:val="00DA2B10"/>
    <w:rsid w:val="00DB3004"/>
    <w:rsid w:val="00DB4495"/>
    <w:rsid w:val="00DB5152"/>
    <w:rsid w:val="00DC0B95"/>
    <w:rsid w:val="00DD0CD4"/>
    <w:rsid w:val="00DD1387"/>
    <w:rsid w:val="00DD349E"/>
    <w:rsid w:val="00DD74E9"/>
    <w:rsid w:val="00DE020B"/>
    <w:rsid w:val="00DE448D"/>
    <w:rsid w:val="00DE4911"/>
    <w:rsid w:val="00DF5689"/>
    <w:rsid w:val="00E001F4"/>
    <w:rsid w:val="00E021A4"/>
    <w:rsid w:val="00E11703"/>
    <w:rsid w:val="00E14A9C"/>
    <w:rsid w:val="00E14B43"/>
    <w:rsid w:val="00E2282C"/>
    <w:rsid w:val="00E22E94"/>
    <w:rsid w:val="00E27E84"/>
    <w:rsid w:val="00E337DC"/>
    <w:rsid w:val="00E41FBF"/>
    <w:rsid w:val="00E44535"/>
    <w:rsid w:val="00E52947"/>
    <w:rsid w:val="00E57AFD"/>
    <w:rsid w:val="00E57B96"/>
    <w:rsid w:val="00E609B1"/>
    <w:rsid w:val="00E6155E"/>
    <w:rsid w:val="00E617A6"/>
    <w:rsid w:val="00E64B6E"/>
    <w:rsid w:val="00E65A81"/>
    <w:rsid w:val="00E6766F"/>
    <w:rsid w:val="00E67760"/>
    <w:rsid w:val="00E73FB4"/>
    <w:rsid w:val="00E81B99"/>
    <w:rsid w:val="00E81C32"/>
    <w:rsid w:val="00E8367B"/>
    <w:rsid w:val="00E8491F"/>
    <w:rsid w:val="00E91E8F"/>
    <w:rsid w:val="00E92EA0"/>
    <w:rsid w:val="00E9704A"/>
    <w:rsid w:val="00E97DC4"/>
    <w:rsid w:val="00EA4851"/>
    <w:rsid w:val="00EA700D"/>
    <w:rsid w:val="00EB4C30"/>
    <w:rsid w:val="00EC2CA1"/>
    <w:rsid w:val="00EC3B1A"/>
    <w:rsid w:val="00EC6D28"/>
    <w:rsid w:val="00ED629E"/>
    <w:rsid w:val="00ED73F9"/>
    <w:rsid w:val="00EF48F1"/>
    <w:rsid w:val="00F011F9"/>
    <w:rsid w:val="00F01C62"/>
    <w:rsid w:val="00F05271"/>
    <w:rsid w:val="00F078EB"/>
    <w:rsid w:val="00F1072E"/>
    <w:rsid w:val="00F13FEE"/>
    <w:rsid w:val="00F15DA1"/>
    <w:rsid w:val="00F161E8"/>
    <w:rsid w:val="00F218DC"/>
    <w:rsid w:val="00F21A10"/>
    <w:rsid w:val="00F23309"/>
    <w:rsid w:val="00F2572F"/>
    <w:rsid w:val="00F300C7"/>
    <w:rsid w:val="00F30420"/>
    <w:rsid w:val="00F32D61"/>
    <w:rsid w:val="00F34C39"/>
    <w:rsid w:val="00F41F5B"/>
    <w:rsid w:val="00F42AD7"/>
    <w:rsid w:val="00F441BF"/>
    <w:rsid w:val="00F57851"/>
    <w:rsid w:val="00F6034A"/>
    <w:rsid w:val="00F6736E"/>
    <w:rsid w:val="00F72E08"/>
    <w:rsid w:val="00F747A9"/>
    <w:rsid w:val="00F80977"/>
    <w:rsid w:val="00F85232"/>
    <w:rsid w:val="00F864C9"/>
    <w:rsid w:val="00F90A56"/>
    <w:rsid w:val="00F91B53"/>
    <w:rsid w:val="00F97B41"/>
    <w:rsid w:val="00FA5AF8"/>
    <w:rsid w:val="00FA5C33"/>
    <w:rsid w:val="00FA6BD8"/>
    <w:rsid w:val="00FA7502"/>
    <w:rsid w:val="00FB0499"/>
    <w:rsid w:val="00FB523F"/>
    <w:rsid w:val="00FC0190"/>
    <w:rsid w:val="00FC6011"/>
    <w:rsid w:val="00FC67DC"/>
    <w:rsid w:val="00FD3695"/>
    <w:rsid w:val="00FD7855"/>
    <w:rsid w:val="00FE0538"/>
    <w:rsid w:val="00FE0F51"/>
    <w:rsid w:val="00FE4919"/>
    <w:rsid w:val="00FE719A"/>
    <w:rsid w:val="00FE73CD"/>
    <w:rsid w:val="00FF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0112D"/>
  <w15:docId w15:val="{47971610-751E-4A44-986B-2392D79A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278"/>
    <w:pPr>
      <w:ind w:left="720"/>
      <w:contextualSpacing/>
    </w:pPr>
  </w:style>
  <w:style w:type="character" w:styleId="a4">
    <w:name w:val="Hyperlink"/>
    <w:basedOn w:val="a0"/>
    <w:uiPriority w:val="99"/>
    <w:unhideWhenUsed/>
    <w:rsid w:val="0093161F"/>
    <w:rPr>
      <w:color w:val="0000FF"/>
      <w:u w:val="single"/>
    </w:rPr>
  </w:style>
  <w:style w:type="table" w:styleId="a5">
    <w:name w:val="Table Grid"/>
    <w:basedOn w:val="a1"/>
    <w:uiPriority w:val="59"/>
    <w:rsid w:val="0001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60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011"/>
    <w:rPr>
      <w:rFonts w:ascii="Tahoma" w:hAnsi="Tahoma" w:cs="Tahoma"/>
      <w:sz w:val="16"/>
      <w:szCs w:val="16"/>
    </w:rPr>
  </w:style>
  <w:style w:type="paragraph" w:styleId="a8">
    <w:name w:val="header"/>
    <w:basedOn w:val="a"/>
    <w:link w:val="a9"/>
    <w:uiPriority w:val="99"/>
    <w:unhideWhenUsed/>
    <w:rsid w:val="005B34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349B"/>
  </w:style>
  <w:style w:type="paragraph" w:styleId="aa">
    <w:name w:val="footer"/>
    <w:basedOn w:val="a"/>
    <w:link w:val="ab"/>
    <w:uiPriority w:val="99"/>
    <w:unhideWhenUsed/>
    <w:rsid w:val="005B34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349B"/>
  </w:style>
  <w:style w:type="paragraph" w:customStyle="1" w:styleId="Default">
    <w:name w:val="Default"/>
    <w:rsid w:val="003F35E4"/>
    <w:pPr>
      <w:autoSpaceDE w:val="0"/>
      <w:autoSpaceDN w:val="0"/>
      <w:adjustRightInd w:val="0"/>
      <w:spacing w:after="0" w:line="240" w:lineRule="auto"/>
    </w:pPr>
    <w:rPr>
      <w:rFonts w:ascii="STLBS W+ Humanist 777 BT" w:hAnsi="STLBS W+ Humanist 777 BT" w:cs="STLBS W+ Humanist 777 BT"/>
      <w:color w:val="000000"/>
      <w:sz w:val="24"/>
      <w:szCs w:val="24"/>
    </w:rPr>
  </w:style>
  <w:style w:type="character" w:customStyle="1" w:styleId="tlid-translation">
    <w:name w:val="tlid-translation"/>
    <w:basedOn w:val="a0"/>
    <w:rsid w:val="00243039"/>
  </w:style>
  <w:style w:type="character" w:customStyle="1" w:styleId="e24kjd">
    <w:name w:val="e24kjd"/>
    <w:basedOn w:val="a0"/>
    <w:rsid w:val="00C17061"/>
  </w:style>
  <w:style w:type="character" w:customStyle="1" w:styleId="A70">
    <w:name w:val="A7"/>
    <w:uiPriority w:val="99"/>
    <w:rsid w:val="009A2359"/>
    <w:rPr>
      <w:i/>
      <w:iCs/>
      <w:color w:val="000000"/>
      <w:sz w:val="18"/>
      <w:szCs w:val="18"/>
    </w:rPr>
  </w:style>
  <w:style w:type="paragraph" w:styleId="ac">
    <w:name w:val="footnote text"/>
    <w:basedOn w:val="a"/>
    <w:link w:val="ad"/>
    <w:uiPriority w:val="99"/>
    <w:semiHidden/>
    <w:unhideWhenUsed/>
    <w:rsid w:val="00792E7D"/>
    <w:pPr>
      <w:spacing w:after="0" w:line="240" w:lineRule="auto"/>
    </w:pPr>
    <w:rPr>
      <w:sz w:val="20"/>
      <w:szCs w:val="20"/>
    </w:rPr>
  </w:style>
  <w:style w:type="character" w:customStyle="1" w:styleId="ad">
    <w:name w:val="Текст сноски Знак"/>
    <w:basedOn w:val="a0"/>
    <w:link w:val="ac"/>
    <w:uiPriority w:val="99"/>
    <w:semiHidden/>
    <w:rsid w:val="00792E7D"/>
    <w:rPr>
      <w:sz w:val="20"/>
      <w:szCs w:val="20"/>
    </w:rPr>
  </w:style>
  <w:style w:type="character" w:styleId="ae">
    <w:name w:val="footnote reference"/>
    <w:basedOn w:val="a0"/>
    <w:uiPriority w:val="99"/>
    <w:semiHidden/>
    <w:unhideWhenUsed/>
    <w:rsid w:val="00792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2499">
      <w:bodyDiv w:val="1"/>
      <w:marLeft w:val="0"/>
      <w:marRight w:val="0"/>
      <w:marTop w:val="0"/>
      <w:marBottom w:val="0"/>
      <w:divBdr>
        <w:top w:val="none" w:sz="0" w:space="0" w:color="auto"/>
        <w:left w:val="none" w:sz="0" w:space="0" w:color="auto"/>
        <w:bottom w:val="none" w:sz="0" w:space="0" w:color="auto"/>
        <w:right w:val="none" w:sz="0" w:space="0" w:color="auto"/>
      </w:divBdr>
      <w:divsChild>
        <w:div w:id="957570678">
          <w:marLeft w:val="0"/>
          <w:marRight w:val="0"/>
          <w:marTop w:val="0"/>
          <w:marBottom w:val="0"/>
          <w:divBdr>
            <w:top w:val="none" w:sz="0" w:space="0" w:color="auto"/>
            <w:left w:val="none" w:sz="0" w:space="0" w:color="auto"/>
            <w:bottom w:val="none" w:sz="0" w:space="0" w:color="auto"/>
            <w:right w:val="none" w:sz="0" w:space="0" w:color="auto"/>
          </w:divBdr>
          <w:divsChild>
            <w:div w:id="1879664832">
              <w:marLeft w:val="0"/>
              <w:marRight w:val="0"/>
              <w:marTop w:val="0"/>
              <w:marBottom w:val="0"/>
              <w:divBdr>
                <w:top w:val="none" w:sz="0" w:space="0" w:color="auto"/>
                <w:left w:val="none" w:sz="0" w:space="0" w:color="auto"/>
                <w:bottom w:val="none" w:sz="0" w:space="0" w:color="auto"/>
                <w:right w:val="none" w:sz="0" w:space="0" w:color="auto"/>
              </w:divBdr>
              <w:divsChild>
                <w:div w:id="1221164180">
                  <w:marLeft w:val="0"/>
                  <w:marRight w:val="0"/>
                  <w:marTop w:val="0"/>
                  <w:marBottom w:val="0"/>
                  <w:divBdr>
                    <w:top w:val="none" w:sz="0" w:space="0" w:color="auto"/>
                    <w:left w:val="none" w:sz="0" w:space="0" w:color="auto"/>
                    <w:bottom w:val="none" w:sz="0" w:space="0" w:color="auto"/>
                    <w:right w:val="none" w:sz="0" w:space="0" w:color="auto"/>
                  </w:divBdr>
                  <w:divsChild>
                    <w:div w:id="1165972401">
                      <w:marLeft w:val="0"/>
                      <w:marRight w:val="0"/>
                      <w:marTop w:val="0"/>
                      <w:marBottom w:val="0"/>
                      <w:divBdr>
                        <w:top w:val="none" w:sz="0" w:space="0" w:color="auto"/>
                        <w:left w:val="none" w:sz="0" w:space="0" w:color="auto"/>
                        <w:bottom w:val="none" w:sz="0" w:space="0" w:color="auto"/>
                        <w:right w:val="none" w:sz="0" w:space="0" w:color="auto"/>
                      </w:divBdr>
                      <w:divsChild>
                        <w:div w:id="1471050945">
                          <w:marLeft w:val="0"/>
                          <w:marRight w:val="0"/>
                          <w:marTop w:val="0"/>
                          <w:marBottom w:val="0"/>
                          <w:divBdr>
                            <w:top w:val="none" w:sz="0" w:space="0" w:color="auto"/>
                            <w:left w:val="none" w:sz="0" w:space="0" w:color="auto"/>
                            <w:bottom w:val="none" w:sz="0" w:space="0" w:color="auto"/>
                            <w:right w:val="none" w:sz="0" w:space="0" w:color="auto"/>
                          </w:divBdr>
                          <w:divsChild>
                            <w:div w:id="739910954">
                              <w:marLeft w:val="0"/>
                              <w:marRight w:val="0"/>
                              <w:marTop w:val="0"/>
                              <w:marBottom w:val="0"/>
                              <w:divBdr>
                                <w:top w:val="none" w:sz="0" w:space="0" w:color="auto"/>
                                <w:left w:val="none" w:sz="0" w:space="0" w:color="auto"/>
                                <w:bottom w:val="none" w:sz="0" w:space="0" w:color="auto"/>
                                <w:right w:val="none" w:sz="0" w:space="0" w:color="auto"/>
                              </w:divBdr>
                              <w:divsChild>
                                <w:div w:id="1869828126">
                                  <w:marLeft w:val="0"/>
                                  <w:marRight w:val="0"/>
                                  <w:marTop w:val="0"/>
                                  <w:marBottom w:val="0"/>
                                  <w:divBdr>
                                    <w:top w:val="none" w:sz="0" w:space="0" w:color="auto"/>
                                    <w:left w:val="none" w:sz="0" w:space="0" w:color="auto"/>
                                    <w:bottom w:val="none" w:sz="0" w:space="0" w:color="auto"/>
                                    <w:right w:val="none" w:sz="0" w:space="0" w:color="auto"/>
                                  </w:divBdr>
                                  <w:divsChild>
                                    <w:div w:id="1420248629">
                                      <w:marLeft w:val="0"/>
                                      <w:marRight w:val="0"/>
                                      <w:marTop w:val="0"/>
                                      <w:marBottom w:val="0"/>
                                      <w:divBdr>
                                        <w:top w:val="none" w:sz="0" w:space="0" w:color="auto"/>
                                        <w:left w:val="none" w:sz="0" w:space="0" w:color="auto"/>
                                        <w:bottom w:val="none" w:sz="0" w:space="0" w:color="auto"/>
                                        <w:right w:val="none" w:sz="0" w:space="0" w:color="auto"/>
                                      </w:divBdr>
                                      <w:divsChild>
                                        <w:div w:id="729839737">
                                          <w:marLeft w:val="0"/>
                                          <w:marRight w:val="0"/>
                                          <w:marTop w:val="0"/>
                                          <w:marBottom w:val="0"/>
                                          <w:divBdr>
                                            <w:top w:val="none" w:sz="0" w:space="0" w:color="auto"/>
                                            <w:left w:val="none" w:sz="0" w:space="0" w:color="auto"/>
                                            <w:bottom w:val="none" w:sz="0" w:space="0" w:color="auto"/>
                                            <w:right w:val="none" w:sz="0" w:space="0" w:color="auto"/>
                                          </w:divBdr>
                                          <w:divsChild>
                                            <w:div w:id="1857310850">
                                              <w:marLeft w:val="0"/>
                                              <w:marRight w:val="0"/>
                                              <w:marTop w:val="0"/>
                                              <w:marBottom w:val="495"/>
                                              <w:divBdr>
                                                <w:top w:val="none" w:sz="0" w:space="0" w:color="auto"/>
                                                <w:left w:val="none" w:sz="0" w:space="0" w:color="auto"/>
                                                <w:bottom w:val="none" w:sz="0" w:space="0" w:color="auto"/>
                                                <w:right w:val="none" w:sz="0" w:space="0" w:color="auto"/>
                                              </w:divBdr>
                                              <w:divsChild>
                                                <w:div w:id="552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742304">
      <w:bodyDiv w:val="1"/>
      <w:marLeft w:val="0"/>
      <w:marRight w:val="0"/>
      <w:marTop w:val="0"/>
      <w:marBottom w:val="0"/>
      <w:divBdr>
        <w:top w:val="none" w:sz="0" w:space="0" w:color="auto"/>
        <w:left w:val="none" w:sz="0" w:space="0" w:color="auto"/>
        <w:bottom w:val="none" w:sz="0" w:space="0" w:color="auto"/>
        <w:right w:val="none" w:sz="0" w:space="0" w:color="auto"/>
      </w:divBdr>
      <w:divsChild>
        <w:div w:id="1101535996">
          <w:marLeft w:val="0"/>
          <w:marRight w:val="0"/>
          <w:marTop w:val="0"/>
          <w:marBottom w:val="0"/>
          <w:divBdr>
            <w:top w:val="none" w:sz="0" w:space="0" w:color="auto"/>
            <w:left w:val="none" w:sz="0" w:space="0" w:color="auto"/>
            <w:bottom w:val="none" w:sz="0" w:space="0" w:color="auto"/>
            <w:right w:val="none" w:sz="0" w:space="0" w:color="auto"/>
          </w:divBdr>
          <w:divsChild>
            <w:div w:id="625693857">
              <w:marLeft w:val="0"/>
              <w:marRight w:val="0"/>
              <w:marTop w:val="0"/>
              <w:marBottom w:val="0"/>
              <w:divBdr>
                <w:top w:val="none" w:sz="0" w:space="0" w:color="auto"/>
                <w:left w:val="none" w:sz="0" w:space="0" w:color="auto"/>
                <w:bottom w:val="none" w:sz="0" w:space="0" w:color="auto"/>
                <w:right w:val="none" w:sz="0" w:space="0" w:color="auto"/>
              </w:divBdr>
              <w:divsChild>
                <w:div w:id="964193755">
                  <w:marLeft w:val="0"/>
                  <w:marRight w:val="0"/>
                  <w:marTop w:val="0"/>
                  <w:marBottom w:val="0"/>
                  <w:divBdr>
                    <w:top w:val="none" w:sz="0" w:space="0" w:color="auto"/>
                    <w:left w:val="none" w:sz="0" w:space="0" w:color="auto"/>
                    <w:bottom w:val="none" w:sz="0" w:space="0" w:color="auto"/>
                    <w:right w:val="none" w:sz="0" w:space="0" w:color="auto"/>
                  </w:divBdr>
                  <w:divsChild>
                    <w:div w:id="14984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8EE9-05A1-4EEC-B9ED-1816D52C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Мазилов Евгений Александрович</dc:creator>
  <cp:keywords/>
  <dc:description/>
  <cp:lastModifiedBy>Евгений Александрович Мазилов</cp:lastModifiedBy>
  <cp:revision>3</cp:revision>
  <cp:lastPrinted>2020-03-27T08:08:00Z</cp:lastPrinted>
  <dcterms:created xsi:type="dcterms:W3CDTF">2020-06-09T21:57:00Z</dcterms:created>
  <dcterms:modified xsi:type="dcterms:W3CDTF">2020-06-09T22:05:00Z</dcterms:modified>
</cp:coreProperties>
</file>