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002D" w14:textId="77777777" w:rsidR="00896B1B" w:rsidRDefault="002B483F" w:rsidP="002B48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</w:t>
      </w:r>
      <w:r w:rsidRPr="002B483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ББК</w:t>
      </w:r>
      <w:r w:rsidR="00896B1B">
        <w:rPr>
          <w:rFonts w:ascii="Times New Roman" w:hAnsi="Times New Roman"/>
          <w:b/>
          <w:sz w:val="28"/>
          <w:szCs w:val="28"/>
        </w:rPr>
        <w:t xml:space="preserve"> 3.33.338.242.2                                 </w:t>
      </w:r>
    </w:p>
    <w:p w14:paraId="6D0372F2" w14:textId="77777777" w:rsidR="00896B1B" w:rsidRDefault="001066CB" w:rsidP="00896B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М.В.</w:t>
      </w:r>
    </w:p>
    <w:p w14:paraId="385D9B63" w14:textId="77777777" w:rsidR="001066CB" w:rsidRDefault="001066CB" w:rsidP="00896B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Федорович Т.В.</w:t>
      </w:r>
    </w:p>
    <w:p w14:paraId="7A1EE6F9" w14:textId="77777777" w:rsidR="000717C1" w:rsidRPr="000A588C" w:rsidRDefault="000717C1" w:rsidP="00896B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E8FDFA3" w14:textId="77777777" w:rsidR="000A588C" w:rsidRPr="00896B1B" w:rsidRDefault="000A0A2B" w:rsidP="00136F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ПРИМЕНЕНИЯ</w:t>
      </w:r>
      <w:r w:rsidR="000717C1">
        <w:rPr>
          <w:rFonts w:ascii="Times New Roman" w:hAnsi="Times New Roman"/>
          <w:b/>
          <w:sz w:val="24"/>
          <w:szCs w:val="24"/>
        </w:rPr>
        <w:t xml:space="preserve"> ТЕХНОЛОГИИ БЛОКЧЕЙН В ПРОМЫШЛЕННОСТИ</w:t>
      </w:r>
      <w:r>
        <w:rPr>
          <w:rFonts w:ascii="Times New Roman" w:hAnsi="Times New Roman"/>
          <w:b/>
          <w:sz w:val="24"/>
          <w:szCs w:val="24"/>
        </w:rPr>
        <w:t xml:space="preserve"> В УСЛОВИЯХ ЦИФРОВОЙ ТРАНСФОРМАЦИИ ЭКОНОМИКИ</w:t>
      </w:r>
      <w:r w:rsidR="000A588C" w:rsidRPr="00896B1B">
        <w:rPr>
          <w:rFonts w:ascii="Times New Roman" w:hAnsi="Times New Roman"/>
          <w:sz w:val="24"/>
          <w:szCs w:val="24"/>
        </w:rPr>
        <w:br/>
      </w:r>
      <w:r w:rsidR="000A588C" w:rsidRPr="00896B1B">
        <w:rPr>
          <w:rFonts w:ascii="Times New Roman" w:hAnsi="Times New Roman"/>
          <w:b/>
          <w:i/>
          <w:sz w:val="24"/>
          <w:szCs w:val="24"/>
        </w:rPr>
        <w:t>Аннотация</w:t>
      </w:r>
    </w:p>
    <w:p w14:paraId="40832963" w14:textId="1AB5946F" w:rsidR="000A588C" w:rsidRPr="00896B1B" w:rsidRDefault="007A7846" w:rsidP="00896B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</w:rPr>
        <w:t xml:space="preserve">В работе рассмотрены предпосылки развития цифровой экономики, направления использования технологии </w:t>
      </w:r>
      <w:proofErr w:type="spellStart"/>
      <w:r>
        <w:rPr>
          <w:rFonts w:ascii="Times New Roman" w:hAnsi="Times New Roman"/>
          <w:i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промышленности</w:t>
      </w:r>
      <w:r w:rsidR="002B483F" w:rsidRPr="00896B1B">
        <w:rPr>
          <w:rFonts w:ascii="Times New Roman" w:hAnsi="Times New Roman"/>
          <w:i/>
          <w:sz w:val="24"/>
          <w:szCs w:val="24"/>
        </w:rPr>
        <w:t>.</w:t>
      </w:r>
      <w:r w:rsidR="007C478F">
        <w:rPr>
          <w:rFonts w:ascii="Times New Roman" w:hAnsi="Times New Roman"/>
          <w:i/>
          <w:sz w:val="24"/>
          <w:szCs w:val="24"/>
        </w:rPr>
        <w:t xml:space="preserve"> </w:t>
      </w:r>
      <w:r w:rsidR="002B483F" w:rsidRPr="00896B1B">
        <w:rPr>
          <w:rFonts w:ascii="Times New Roman" w:hAnsi="Times New Roman"/>
          <w:i/>
          <w:sz w:val="24"/>
          <w:szCs w:val="24"/>
        </w:rPr>
        <w:t>Проанализирован</w:t>
      </w:r>
      <w:r>
        <w:rPr>
          <w:rFonts w:ascii="Times New Roman" w:hAnsi="Times New Roman"/>
          <w:i/>
          <w:sz w:val="24"/>
          <w:szCs w:val="24"/>
        </w:rPr>
        <w:t xml:space="preserve"> опыт внедрения </w:t>
      </w:r>
      <w:proofErr w:type="spellStart"/>
      <w:r>
        <w:rPr>
          <w:rFonts w:ascii="Times New Roman" w:hAnsi="Times New Roman"/>
          <w:i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i/>
          <w:sz w:val="24"/>
          <w:szCs w:val="24"/>
        </w:rPr>
        <w:t>-технологии различными промышленными предприятиями. Рассмотрены</w:t>
      </w:r>
      <w:r w:rsidR="00B92970">
        <w:rPr>
          <w:rFonts w:ascii="Times New Roman" w:hAnsi="Times New Roman"/>
          <w:i/>
          <w:sz w:val="24"/>
          <w:szCs w:val="24"/>
        </w:rPr>
        <w:t xml:space="preserve"> преимущес</w:t>
      </w:r>
      <w:r>
        <w:rPr>
          <w:rFonts w:ascii="Times New Roman" w:hAnsi="Times New Roman"/>
          <w:i/>
          <w:sz w:val="24"/>
          <w:szCs w:val="24"/>
        </w:rPr>
        <w:t xml:space="preserve">тва использования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i/>
          <w:sz w:val="24"/>
          <w:szCs w:val="24"/>
        </w:rPr>
        <w:t>-систем</w:t>
      </w:r>
      <w:r w:rsidR="00B92970">
        <w:rPr>
          <w:rFonts w:ascii="Times New Roman" w:hAnsi="Times New Roman"/>
          <w:i/>
          <w:sz w:val="24"/>
          <w:szCs w:val="24"/>
        </w:rPr>
        <w:t xml:space="preserve"> и основные проблемы в использовании </w:t>
      </w:r>
      <w:r w:rsidR="0061087A">
        <w:rPr>
          <w:rFonts w:ascii="Times New Roman" w:hAnsi="Times New Roman"/>
          <w:i/>
          <w:sz w:val="24"/>
          <w:szCs w:val="24"/>
        </w:rPr>
        <w:t>технологии</w:t>
      </w:r>
      <w:r w:rsidR="000A588C" w:rsidRPr="00896B1B">
        <w:rPr>
          <w:rFonts w:ascii="Times New Roman" w:hAnsi="Times New Roman"/>
          <w:i/>
          <w:sz w:val="24"/>
          <w:szCs w:val="24"/>
          <w:lang w:val="be-BY"/>
        </w:rPr>
        <w:t>.</w:t>
      </w:r>
    </w:p>
    <w:p w14:paraId="02D78526" w14:textId="544CA07C" w:rsidR="000A588C" w:rsidRDefault="000A588C" w:rsidP="0006162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6B1B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="007C47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970">
        <w:rPr>
          <w:rFonts w:ascii="Times New Roman" w:hAnsi="Times New Roman"/>
          <w:i/>
          <w:sz w:val="24"/>
          <w:szCs w:val="24"/>
        </w:rPr>
        <w:t xml:space="preserve">технология </w:t>
      </w:r>
      <w:proofErr w:type="spellStart"/>
      <w:r w:rsidR="00B92970">
        <w:rPr>
          <w:rFonts w:ascii="Times New Roman" w:hAnsi="Times New Roman"/>
          <w:i/>
          <w:sz w:val="24"/>
          <w:szCs w:val="24"/>
        </w:rPr>
        <w:t>блокчейн</w:t>
      </w:r>
      <w:proofErr w:type="spellEnd"/>
      <w:r w:rsidR="007C478F">
        <w:rPr>
          <w:rFonts w:ascii="Times New Roman" w:hAnsi="Times New Roman"/>
          <w:i/>
          <w:sz w:val="24"/>
          <w:szCs w:val="24"/>
        </w:rPr>
        <w:t>,</w:t>
      </w:r>
      <w:r w:rsidR="009B77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77AC">
        <w:rPr>
          <w:rFonts w:ascii="Times New Roman" w:hAnsi="Times New Roman"/>
          <w:i/>
          <w:sz w:val="24"/>
          <w:szCs w:val="24"/>
        </w:rPr>
        <w:t>блокчейн</w:t>
      </w:r>
      <w:proofErr w:type="spellEnd"/>
      <w:r w:rsidR="009B77AC">
        <w:rPr>
          <w:rFonts w:ascii="Times New Roman" w:hAnsi="Times New Roman"/>
          <w:i/>
          <w:sz w:val="24"/>
          <w:szCs w:val="24"/>
        </w:rPr>
        <w:t xml:space="preserve"> в промышленности</w:t>
      </w:r>
      <w:r w:rsidR="00D42DA2" w:rsidRPr="00896B1B">
        <w:rPr>
          <w:rFonts w:ascii="Times New Roman" w:hAnsi="Times New Roman"/>
          <w:i/>
          <w:sz w:val="24"/>
          <w:szCs w:val="24"/>
        </w:rPr>
        <w:t>,</w:t>
      </w:r>
      <w:r w:rsidR="009B77AC">
        <w:rPr>
          <w:rFonts w:ascii="Times New Roman" w:hAnsi="Times New Roman"/>
          <w:i/>
          <w:sz w:val="24"/>
          <w:szCs w:val="24"/>
        </w:rPr>
        <w:t xml:space="preserve"> цифровая </w:t>
      </w:r>
      <w:proofErr w:type="spellStart"/>
      <w:proofErr w:type="gramStart"/>
      <w:r w:rsidR="009B77AC">
        <w:rPr>
          <w:rFonts w:ascii="Times New Roman" w:hAnsi="Times New Roman"/>
          <w:i/>
          <w:sz w:val="24"/>
          <w:szCs w:val="24"/>
        </w:rPr>
        <w:t>экономика,</w:t>
      </w:r>
      <w:r w:rsidR="00D42DA2" w:rsidRPr="00896B1B">
        <w:rPr>
          <w:rFonts w:ascii="Times New Roman" w:hAnsi="Times New Roman"/>
          <w:i/>
          <w:sz w:val="24"/>
          <w:szCs w:val="24"/>
        </w:rPr>
        <w:t>иннов</w:t>
      </w:r>
      <w:r w:rsidR="009B77AC">
        <w:rPr>
          <w:rFonts w:ascii="Times New Roman" w:hAnsi="Times New Roman"/>
          <w:i/>
          <w:sz w:val="24"/>
          <w:szCs w:val="24"/>
        </w:rPr>
        <w:t>ации</w:t>
      </w:r>
      <w:proofErr w:type="spellEnd"/>
      <w:proofErr w:type="gramEnd"/>
      <w:r w:rsidR="009B77AC">
        <w:rPr>
          <w:rFonts w:ascii="Times New Roman" w:hAnsi="Times New Roman"/>
          <w:i/>
          <w:sz w:val="24"/>
          <w:szCs w:val="24"/>
        </w:rPr>
        <w:t>, технологии</w:t>
      </w:r>
      <w:r w:rsidRPr="00896B1B">
        <w:rPr>
          <w:rFonts w:ascii="Times New Roman" w:hAnsi="Times New Roman"/>
          <w:i/>
          <w:sz w:val="24"/>
          <w:szCs w:val="24"/>
        </w:rPr>
        <w:t>.</w:t>
      </w:r>
    </w:p>
    <w:p w14:paraId="211BAF8A" w14:textId="77777777" w:rsidR="00896B1B" w:rsidRDefault="00896B1B" w:rsidP="000616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2A0578" w14:textId="26DFC50B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Изначально предназначенная для обеспечения работы биткоина, технология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сегодня стала основой для многочисленных инноваций. </w:t>
      </w:r>
      <w:r w:rsidR="007C478F">
        <w:rPr>
          <w:rFonts w:ascii="Times New Roman" w:hAnsi="Times New Roman"/>
          <w:sz w:val="24"/>
          <w:szCs w:val="24"/>
        </w:rPr>
        <w:t xml:space="preserve">Проведен </w:t>
      </w:r>
      <w:r w:rsidRPr="009071A8">
        <w:rPr>
          <w:rFonts w:ascii="Times New Roman" w:hAnsi="Times New Roman"/>
          <w:sz w:val="24"/>
          <w:szCs w:val="24"/>
        </w:rPr>
        <w:t>анализ использования данной технологии</w:t>
      </w:r>
      <w:r w:rsidRPr="001D1008">
        <w:rPr>
          <w:rFonts w:ascii="Times New Roman" w:hAnsi="Times New Roman"/>
          <w:sz w:val="24"/>
          <w:szCs w:val="24"/>
        </w:rPr>
        <w:t xml:space="preserve"> в сфере экономики промышленности. </w:t>
      </w:r>
    </w:p>
    <w:p w14:paraId="6D20B03F" w14:textId="71970DD6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и биткоин уже успела стать мейнстримом огромных масштабов.</w:t>
      </w:r>
      <w:r w:rsidR="007C478F">
        <w:rPr>
          <w:rFonts w:ascii="Times New Roman" w:hAnsi="Times New Roman"/>
          <w:sz w:val="24"/>
          <w:szCs w:val="24"/>
        </w:rPr>
        <w:t xml:space="preserve"> </w:t>
      </w:r>
      <w:r w:rsidRPr="001D1008">
        <w:rPr>
          <w:rFonts w:ascii="Times New Roman" w:hAnsi="Times New Roman"/>
          <w:sz w:val="24"/>
          <w:szCs w:val="24"/>
        </w:rPr>
        <w:t xml:space="preserve">Технология затронула многие сферы, в частности финансовую, недвижимости, сервисы хранения информации. </w:t>
      </w:r>
    </w:p>
    <w:p w14:paraId="1A16510F" w14:textId="2ABE7ADE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Действительно, существует масса примеров о применении технологии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. Безопасность, прозрачность и скорость — это преимущества, которые </w:t>
      </w:r>
      <w:r w:rsidR="007C478F">
        <w:rPr>
          <w:rFonts w:ascii="Times New Roman" w:hAnsi="Times New Roman"/>
          <w:sz w:val="24"/>
          <w:szCs w:val="24"/>
        </w:rPr>
        <w:t xml:space="preserve">получает </w:t>
      </w:r>
      <w:r w:rsidRPr="001D1008">
        <w:rPr>
          <w:rFonts w:ascii="Times New Roman" w:hAnsi="Times New Roman"/>
          <w:sz w:val="24"/>
          <w:szCs w:val="24"/>
        </w:rPr>
        <w:t xml:space="preserve">любая компания, придерживающаяся этой технологии на волне ее популярности. </w:t>
      </w:r>
    </w:p>
    <w:p w14:paraId="65305CC7" w14:textId="77777777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— это так называемая «децентрализованная распределительная книга», которая представляет собой отчет о транзакциях, которые умножаются и распределяются между сетью пользователей. Эти пользователи могут быть отдельными компьютерами или целыми серверами по всему миру, которые подключены к ней и защищены посредством шифрования. </w:t>
      </w:r>
    </w:p>
    <w:p w14:paraId="0B641E34" w14:textId="77777777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Каждый блок содержит метку времени и данные транзакции всей книги. Это означает, что ни один человек не держит все данные. </w:t>
      </w:r>
    </w:p>
    <w:p w14:paraId="1AE7778D" w14:textId="687C68B1" w:rsidR="000A0A2B" w:rsidRPr="001D100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>Институциональная</w:t>
      </w:r>
      <w:r w:rsidR="007C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008">
        <w:rPr>
          <w:rFonts w:ascii="Times New Roman" w:hAnsi="Times New Roman"/>
          <w:sz w:val="24"/>
          <w:szCs w:val="24"/>
        </w:rPr>
        <w:t>криптоэкономика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помогает осознать, к чему </w:t>
      </w:r>
      <w:r>
        <w:rPr>
          <w:rFonts w:ascii="Times New Roman" w:hAnsi="Times New Roman"/>
          <w:sz w:val="24"/>
          <w:szCs w:val="24"/>
        </w:rPr>
        <w:t xml:space="preserve">ведёт </w:t>
      </w:r>
      <w:proofErr w:type="spellStart"/>
      <w:r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>-революция, и что</w:t>
      </w:r>
      <w:r w:rsidRPr="001D1008">
        <w:rPr>
          <w:rFonts w:ascii="Times New Roman" w:hAnsi="Times New Roman"/>
          <w:sz w:val="24"/>
          <w:szCs w:val="24"/>
        </w:rPr>
        <w:t xml:space="preserve"> именно мы не можем предсказать.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это экспериментальная технология. И где её применить — открытый, творческий, инженерный вопрос. В одних проектах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найдет свое успешное применение, в других не подойдет. </w:t>
      </w:r>
      <w:r w:rsidRPr="001D1008">
        <w:rPr>
          <w:rFonts w:ascii="Times New Roman" w:hAnsi="Times New Roman"/>
          <w:sz w:val="24"/>
          <w:szCs w:val="24"/>
        </w:rPr>
        <w:t xml:space="preserve">Наверное, ещё не существует такого проекта, в котором обязателен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и только он. </w:t>
      </w:r>
      <w:r>
        <w:rPr>
          <w:rFonts w:ascii="Times New Roman" w:hAnsi="Times New Roman"/>
          <w:sz w:val="24"/>
          <w:szCs w:val="24"/>
        </w:rPr>
        <w:t xml:space="preserve">До сих пор сложно предсказать, на сколько технология станет незаменима в будущем.  </w:t>
      </w:r>
      <w:r w:rsidRPr="001D1008">
        <w:rPr>
          <w:rFonts w:ascii="Times New Roman" w:hAnsi="Times New Roman"/>
          <w:sz w:val="24"/>
          <w:szCs w:val="24"/>
        </w:rPr>
        <w:t xml:space="preserve">Базы данных повсеместны и поэтому варианты для применения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блокчейна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в теории тоже обширны. Далее указаны несколько способов эффективного применения технологии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в экономике и бизнесе</w:t>
      </w:r>
      <w:r>
        <w:rPr>
          <w:rFonts w:ascii="Times New Roman" w:hAnsi="Times New Roman"/>
          <w:sz w:val="24"/>
          <w:szCs w:val="24"/>
        </w:rPr>
        <w:t>, а также рассмотрены и сравнены перспективы применения технологии в Российской Федерации и Республике Беларусь</w:t>
      </w:r>
      <w:r w:rsidRPr="001D1008">
        <w:rPr>
          <w:rFonts w:ascii="Times New Roman" w:hAnsi="Times New Roman"/>
          <w:sz w:val="24"/>
          <w:szCs w:val="24"/>
        </w:rPr>
        <w:t>.</w:t>
      </w:r>
    </w:p>
    <w:p w14:paraId="3CE21AB7" w14:textId="77777777" w:rsidR="000A0A2B" w:rsidRPr="009071A8" w:rsidRDefault="000A0A2B" w:rsidP="000A0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1A8">
        <w:rPr>
          <w:rFonts w:ascii="Times New Roman" w:hAnsi="Times New Roman"/>
          <w:sz w:val="24"/>
          <w:szCs w:val="24"/>
        </w:rPr>
        <w:t>Сегодня промышленность как за рубежом, так и в Беларус</w:t>
      </w:r>
      <w:r>
        <w:rPr>
          <w:rFonts w:ascii="Times New Roman" w:hAnsi="Times New Roman"/>
          <w:sz w:val="24"/>
          <w:szCs w:val="24"/>
        </w:rPr>
        <w:t>и</w:t>
      </w:r>
      <w:r w:rsidRPr="009071A8">
        <w:rPr>
          <w:rFonts w:ascii="Times New Roman" w:hAnsi="Times New Roman"/>
          <w:sz w:val="24"/>
          <w:szCs w:val="24"/>
        </w:rPr>
        <w:t xml:space="preserve"> активно осваивает новые технологии. Президент Республики Беларусь 21 декабря 2017 года подписал Декрет № 8 «О развитии цифровой экономики», направленный на развитие Парка высоких технологий (ПВТ), развитие инновационной сферы, построение современной цифровой экономики в Республике Беларусь, что может способствовать открытию высокотехнологичных компаний, которые, как ожидается, решат открывать свои офисы в Беларуси.  По </w:t>
      </w:r>
      <w:hyperlink r:id="rId7" w:tgtFrame="_blank" w:history="1">
        <w:r w:rsidRPr="009071A8">
          <w:rPr>
            <w:rFonts w:ascii="Times New Roman" w:hAnsi="Times New Roman"/>
            <w:sz w:val="24"/>
            <w:szCs w:val="24"/>
          </w:rPr>
          <w:t>прогнозам</w:t>
        </w:r>
      </w:hyperlink>
      <w:r w:rsidRPr="009071A8">
        <w:rPr>
          <w:rFonts w:ascii="Times New Roman" w:hAnsi="Times New Roman"/>
          <w:sz w:val="24"/>
          <w:szCs w:val="24"/>
        </w:rPr>
        <w:t> </w:t>
      </w:r>
      <w:proofErr w:type="spellStart"/>
      <w:r w:rsidRPr="009071A8">
        <w:rPr>
          <w:rFonts w:ascii="Times New Roman" w:hAnsi="Times New Roman"/>
          <w:sz w:val="24"/>
          <w:szCs w:val="24"/>
        </w:rPr>
        <w:t>InternationalDataCorporation</w:t>
      </w:r>
      <w:proofErr w:type="spellEnd"/>
      <w:r w:rsidRPr="009071A8">
        <w:rPr>
          <w:rFonts w:ascii="Times New Roman" w:hAnsi="Times New Roman"/>
          <w:sz w:val="24"/>
          <w:szCs w:val="24"/>
        </w:rPr>
        <w:t xml:space="preserve"> (IDC), к 2021 году по меньшей мере половина всего мирового ВВП будет </w:t>
      </w:r>
      <w:proofErr w:type="spellStart"/>
      <w:r w:rsidRPr="009071A8">
        <w:rPr>
          <w:rFonts w:ascii="Times New Roman" w:hAnsi="Times New Roman"/>
          <w:sz w:val="24"/>
          <w:szCs w:val="24"/>
        </w:rPr>
        <w:t>диджитализирована</w:t>
      </w:r>
      <w:proofErr w:type="spellEnd"/>
      <w:r w:rsidRPr="009071A8">
        <w:rPr>
          <w:rFonts w:ascii="Times New Roman" w:hAnsi="Times New Roman"/>
          <w:sz w:val="24"/>
          <w:szCs w:val="24"/>
        </w:rPr>
        <w:t xml:space="preserve">. Облачные вычисления, искусственный интеллект, </w:t>
      </w:r>
      <w:proofErr w:type="spellStart"/>
      <w:r w:rsidRPr="009071A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9071A8">
        <w:rPr>
          <w:rFonts w:ascii="Times New Roman" w:hAnsi="Times New Roman"/>
          <w:sz w:val="24"/>
          <w:szCs w:val="24"/>
        </w:rPr>
        <w:t xml:space="preserve">, дополненная реальность, интернет вещей — все это уже перестало быть </w:t>
      </w:r>
      <w:r w:rsidRPr="009071A8">
        <w:rPr>
          <w:rFonts w:ascii="Times New Roman" w:hAnsi="Times New Roman"/>
          <w:sz w:val="24"/>
          <w:szCs w:val="24"/>
        </w:rPr>
        <w:lastRenderedPageBreak/>
        <w:t xml:space="preserve">привилегией таких высокотехнологичных отраслей, как телеком, ИТ и финансы, и вышло на широкий рынок. </w:t>
      </w:r>
    </w:p>
    <w:p w14:paraId="4927A4B0" w14:textId="7E1402F6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D1008">
        <w:t xml:space="preserve">Главное преимущество </w:t>
      </w:r>
      <w:proofErr w:type="spellStart"/>
      <w:r w:rsidRPr="001D1008">
        <w:t>блокчейн</w:t>
      </w:r>
      <w:proofErr w:type="spellEnd"/>
      <w:r w:rsidRPr="001D1008">
        <w:t xml:space="preserve">-системы — крайне высокая степень надежности, которую обеспечивают ее децентрализация и криптографические алгоритмы. Информацию, которая была добавлена в реестр, невозможно подделать или исказить: ни намеренно, ни вследствие технического сбоя. Это наряду с другими преимуществами </w:t>
      </w:r>
      <w:proofErr w:type="spellStart"/>
      <w:r w:rsidRPr="001D1008">
        <w:t>блокчейна</w:t>
      </w:r>
      <w:proofErr w:type="spellEnd"/>
      <w:r w:rsidRPr="001D1008">
        <w:t xml:space="preserve"> — высокой скоростью работы и экономией на транзакционных издержках — превращает такую систему в эффективный инструмент для защиты данных. Так по </w:t>
      </w:r>
      <w:hyperlink r:id="rId8" w:tgtFrame="_blank" w:history="1">
        <w:r w:rsidRPr="000A0A2B">
          <w:t>прогнозам</w:t>
        </w:r>
      </w:hyperlink>
      <w:r w:rsidRPr="001D1008">
        <w:t xml:space="preserve"> IDC, уже в 2021 году </w:t>
      </w:r>
      <w:proofErr w:type="spellStart"/>
      <w:r w:rsidRPr="001D1008">
        <w:t>блокчейн</w:t>
      </w:r>
      <w:proofErr w:type="spellEnd"/>
      <w:r w:rsidRPr="001D1008">
        <w:t xml:space="preserve">-сети будут использовать в работе </w:t>
      </w:r>
      <w:r w:rsidR="007C478F">
        <w:t xml:space="preserve">25 </w:t>
      </w:r>
      <w:r w:rsidRPr="001D1008">
        <w:t>% ведущих глобальных транзакционных банков, около 30</w:t>
      </w:r>
      <w:r w:rsidR="00B55723">
        <w:t xml:space="preserve"> </w:t>
      </w:r>
      <w:r w:rsidRPr="001D1008">
        <w:t>% производителей и розничных продавцов и 20</w:t>
      </w:r>
      <w:r w:rsidR="00B55723">
        <w:t xml:space="preserve"> </w:t>
      </w:r>
      <w:r w:rsidRPr="001D1008">
        <w:t>% организаций здравоохранения.</w:t>
      </w:r>
    </w:p>
    <w:p w14:paraId="10E5D559" w14:textId="0C68A181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Рассмотрим, на сколько возросла популярность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 xml:space="preserve">-технологии </w:t>
      </w:r>
      <w:proofErr w:type="spellStart"/>
      <w:r w:rsidRPr="001D1008">
        <w:rPr>
          <w:bCs/>
          <w:shd w:val="clear" w:color="auto" w:fill="FFFFFF"/>
        </w:rPr>
        <w:t>вмире</w:t>
      </w:r>
      <w:proofErr w:type="spellEnd"/>
      <w:r w:rsidRPr="001D1008">
        <w:rPr>
          <w:bCs/>
          <w:shd w:val="clear" w:color="auto" w:fill="FFFFFF"/>
        </w:rPr>
        <w:t xml:space="preserve"> в 2019 году на примере фактический данных. Объём мирового рынка </w:t>
      </w:r>
      <w:proofErr w:type="spellStart"/>
      <w:r w:rsidR="00CC1A65">
        <w:fldChar w:fldCharType="begin"/>
      </w:r>
      <w:r w:rsidR="00CC1A65">
        <w:instrText xml:space="preserve"> HYPERLINK "http://www.tadviser.ru/index.php/%D0%91%D0%BB%D0%BE%D0%BA%D1%87%D0%B5%D0%B9%D0%BD" \o "Блокчейн" </w:instrText>
      </w:r>
      <w:r w:rsidR="00CC1A65">
        <w:fldChar w:fldCharType="separate"/>
      </w:r>
      <w:r w:rsidRPr="001D1008">
        <w:rPr>
          <w:bCs/>
          <w:shd w:val="clear" w:color="auto" w:fill="FFFFFF"/>
        </w:rPr>
        <w:t>блокчейн</w:t>
      </w:r>
      <w:proofErr w:type="spellEnd"/>
      <w:r w:rsidR="00CC1A65">
        <w:rPr>
          <w:bCs/>
          <w:shd w:val="clear" w:color="auto" w:fill="FFFFFF"/>
        </w:rPr>
        <w:fldChar w:fldCharType="end"/>
      </w:r>
      <w:r w:rsidRPr="001D1008">
        <w:rPr>
          <w:bCs/>
          <w:shd w:val="clear" w:color="auto" w:fill="FFFFFF"/>
        </w:rPr>
        <w:t>-технологий, предоставляемых в качестве услуги (</w:t>
      </w:r>
      <w:proofErr w:type="spellStart"/>
      <w:r w:rsidRPr="001D1008">
        <w:rPr>
          <w:bCs/>
          <w:shd w:val="clear" w:color="auto" w:fill="FFFFFF"/>
        </w:rPr>
        <w:t>BaaS</w:t>
      </w:r>
      <w:proofErr w:type="spellEnd"/>
      <w:r w:rsidRPr="001D1008">
        <w:rPr>
          <w:bCs/>
          <w:shd w:val="clear" w:color="auto" w:fill="FFFFFF"/>
        </w:rPr>
        <w:t xml:space="preserve">), в 2019 году составил $420,5 млрд, сообщает исследовательская компания </w:t>
      </w:r>
      <w:proofErr w:type="spellStart"/>
      <w:r w:rsidRPr="001D1008">
        <w:rPr>
          <w:bCs/>
          <w:shd w:val="clear" w:color="auto" w:fill="FFFFFF"/>
        </w:rPr>
        <w:t>ResearchAndMarket</w:t>
      </w:r>
      <w:proofErr w:type="spellEnd"/>
      <w:r w:rsidRPr="001D1008">
        <w:rPr>
          <w:bCs/>
          <w:shd w:val="clear" w:color="auto" w:fill="FFFFFF"/>
        </w:rPr>
        <w:t xml:space="preserve">. При этом Инвестиции в разработчиков корпоративных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>-решений взлетели на 62</w:t>
      </w:r>
      <w:r w:rsidR="00B55723">
        <w:rPr>
          <w:bCs/>
          <w:shd w:val="clear" w:color="auto" w:fill="FFFFFF"/>
        </w:rPr>
        <w:t xml:space="preserve"> </w:t>
      </w:r>
      <w:r w:rsidRPr="001D1008">
        <w:rPr>
          <w:bCs/>
          <w:shd w:val="clear" w:color="auto" w:fill="FFFFFF"/>
        </w:rPr>
        <w:t>%</w:t>
      </w:r>
      <w:r w:rsidR="00B55723">
        <w:rPr>
          <w:bCs/>
          <w:shd w:val="clear" w:color="auto" w:fill="FFFFFF"/>
        </w:rPr>
        <w:t>.</w:t>
      </w:r>
    </w:p>
    <w:p w14:paraId="5C366FE7" w14:textId="25088710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>Объём инвестиций в разработчиков </w:t>
      </w:r>
      <w:proofErr w:type="spellStart"/>
      <w:r w:rsidR="00CC1A65">
        <w:fldChar w:fldCharType="begin"/>
      </w:r>
      <w:r w:rsidR="00CC1A65">
        <w:instrText xml:space="preserve"> HYPERLINK "http://www.tadviser.ru/index.php/%D0%91%D0%BB%D0%BE%D0%BA%D1%87%D0%B5%D0%B9%D0%BD" \o "Блокчейн" </w:instrText>
      </w:r>
      <w:r w:rsidR="00CC1A65">
        <w:fldChar w:fldCharType="separate"/>
      </w:r>
      <w:r w:rsidRPr="001D1008">
        <w:rPr>
          <w:bCs/>
          <w:shd w:val="clear" w:color="auto" w:fill="FFFFFF"/>
        </w:rPr>
        <w:t>блокчейн</w:t>
      </w:r>
      <w:proofErr w:type="spellEnd"/>
      <w:r w:rsidR="00CC1A65">
        <w:rPr>
          <w:bCs/>
          <w:shd w:val="clear" w:color="auto" w:fill="FFFFFF"/>
        </w:rPr>
        <w:fldChar w:fldCharType="end"/>
      </w:r>
      <w:r w:rsidRPr="001D1008">
        <w:rPr>
          <w:bCs/>
          <w:shd w:val="clear" w:color="auto" w:fill="FFFFFF"/>
        </w:rPr>
        <w:t>-технологий корпоративного уровня в 2019 году достиг $434 млн, что на 62</w:t>
      </w:r>
      <w:r w:rsidR="00B55723">
        <w:rPr>
          <w:bCs/>
          <w:shd w:val="clear" w:color="auto" w:fill="FFFFFF"/>
        </w:rPr>
        <w:t xml:space="preserve"> </w:t>
      </w:r>
      <w:r w:rsidRPr="001D1008">
        <w:rPr>
          <w:bCs/>
          <w:shd w:val="clear" w:color="auto" w:fill="FFFFFF"/>
        </w:rPr>
        <w:t xml:space="preserve">% больше, чем годом ранее. Об этом свидетельствуют данные аналитической компании CB </w:t>
      </w:r>
      <w:proofErr w:type="spellStart"/>
      <w:r w:rsidRPr="001D1008">
        <w:rPr>
          <w:bCs/>
          <w:shd w:val="clear" w:color="auto" w:fill="FFFFFF"/>
        </w:rPr>
        <w:t>Insights</w:t>
      </w:r>
      <w:proofErr w:type="spellEnd"/>
      <w:r w:rsidRPr="001D1008">
        <w:rPr>
          <w:bCs/>
          <w:shd w:val="clear" w:color="auto" w:fill="FFFFFF"/>
        </w:rPr>
        <w:t>, специализирующейся на изучении рынка </w:t>
      </w:r>
      <w:hyperlink r:id="rId9" w:tooltip="Венчурное инвестирование" w:history="1">
        <w:r w:rsidRPr="001D1008">
          <w:rPr>
            <w:bCs/>
            <w:shd w:val="clear" w:color="auto" w:fill="FFFFFF"/>
          </w:rPr>
          <w:t>венчурного финансирования</w:t>
        </w:r>
      </w:hyperlink>
      <w:r w:rsidRPr="001D1008">
        <w:rPr>
          <w:bCs/>
          <w:shd w:val="clear" w:color="auto" w:fill="FFFFFF"/>
        </w:rPr>
        <w:t>.</w:t>
      </w:r>
    </w:p>
    <w:p w14:paraId="2F6FD014" w14:textId="7777777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В 2019 году произошёл всплеск активности инвесторов в сфере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 xml:space="preserve">-решений для бизнеса. В 2018-м инвестиции здесь сократились, в 2017 году рост был, но он оказался не настолько существенным по сравнению с 2019-м. </w:t>
      </w:r>
      <w:r>
        <w:rPr>
          <w:bCs/>
          <w:shd w:val="clear" w:color="auto" w:fill="FFFFFF"/>
        </w:rPr>
        <w:t>Однако</w:t>
      </w:r>
      <w:r w:rsidRPr="001D1008">
        <w:rPr>
          <w:bCs/>
          <w:shd w:val="clear" w:color="auto" w:fill="FFFFFF"/>
        </w:rPr>
        <w:t xml:space="preserve">, в 2019 году состоялась крупная сделка, при которой </w:t>
      </w:r>
      <w:proofErr w:type="spellStart"/>
      <w:r w:rsidRPr="001D1008">
        <w:rPr>
          <w:bCs/>
          <w:shd w:val="clear" w:color="auto" w:fill="FFFFFF"/>
        </w:rPr>
        <w:t>криптовалютная</w:t>
      </w:r>
      <w:proofErr w:type="spellEnd"/>
      <w:r w:rsidRPr="001D1008">
        <w:rPr>
          <w:bCs/>
          <w:shd w:val="clear" w:color="auto" w:fill="FFFFFF"/>
        </w:rPr>
        <w:t xml:space="preserve"> платформа </w:t>
      </w:r>
      <w:proofErr w:type="spellStart"/>
      <w:r w:rsidR="00CC1A65">
        <w:fldChar w:fldCharType="begin"/>
      </w:r>
      <w:r w:rsidR="00CC1A65">
        <w:instrText xml:space="preserve"> HYPERLINK "http://www.tadviser.ru/index.php/%D0%9A%D0%BE%D0%BC%D0%BF%D0%B0%D0%BD%D0%B8%D1%8F:Ripple_Labs" \o "Ripple Labs" </w:instrText>
      </w:r>
      <w:r w:rsidR="00CC1A65">
        <w:fldChar w:fldCharType="separate"/>
      </w:r>
      <w:r w:rsidRPr="001D1008">
        <w:rPr>
          <w:bCs/>
          <w:shd w:val="clear" w:color="auto" w:fill="FFFFFF"/>
        </w:rPr>
        <w:t>Ripple</w:t>
      </w:r>
      <w:proofErr w:type="spellEnd"/>
      <w:r w:rsidR="00CC1A65">
        <w:rPr>
          <w:bCs/>
          <w:shd w:val="clear" w:color="auto" w:fill="FFFFFF"/>
        </w:rPr>
        <w:fldChar w:fldCharType="end"/>
      </w:r>
      <w:r w:rsidRPr="001D1008">
        <w:rPr>
          <w:bCs/>
          <w:shd w:val="clear" w:color="auto" w:fill="FFFFFF"/>
        </w:rPr>
        <w:t> привлекла около $200 млн.</w:t>
      </w:r>
    </w:p>
    <w:p w14:paraId="6F8E5CF7" w14:textId="4B32FCAB" w:rsidR="000A0A2B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>По данным </w:t>
      </w:r>
      <w:hyperlink r:id="rId10" w:tooltip="IBM" w:history="1">
        <w:r w:rsidRPr="001D1008">
          <w:rPr>
            <w:bCs/>
            <w:shd w:val="clear" w:color="auto" w:fill="FFFFFF"/>
          </w:rPr>
          <w:t>IBM</w:t>
        </w:r>
      </w:hyperlink>
      <w:r w:rsidRPr="001D1008">
        <w:rPr>
          <w:bCs/>
          <w:shd w:val="clear" w:color="auto" w:fill="FFFFFF"/>
        </w:rPr>
        <w:t xml:space="preserve">, к 2024 году объем инвестиций в решения на базе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 xml:space="preserve"> достигнет 60 млрд </w:t>
      </w:r>
      <w:hyperlink r:id="rId11" w:tooltip="Доллар США" w:history="1">
        <w:r w:rsidRPr="001D1008">
          <w:rPr>
            <w:bCs/>
            <w:shd w:val="clear" w:color="auto" w:fill="FFFFFF"/>
          </w:rPr>
          <w:t>долларов</w:t>
        </w:r>
      </w:hyperlink>
      <w:r w:rsidRPr="001D1008">
        <w:rPr>
          <w:bCs/>
          <w:shd w:val="clear" w:color="auto" w:fill="FFFFFF"/>
        </w:rPr>
        <w:t>, прибавляя более чем на 230</w:t>
      </w:r>
      <w:r w:rsidR="00B55723">
        <w:rPr>
          <w:bCs/>
          <w:shd w:val="clear" w:color="auto" w:fill="FFFFFF"/>
        </w:rPr>
        <w:t xml:space="preserve"> </w:t>
      </w:r>
      <w:r w:rsidRPr="001D1008">
        <w:rPr>
          <w:bCs/>
          <w:shd w:val="clear" w:color="auto" w:fill="FFFFFF"/>
        </w:rPr>
        <w:t xml:space="preserve">% в год. Прогнозируемая динамика объема инвестиций в сферу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>-технологий представлена на графике</w:t>
      </w:r>
      <w:r>
        <w:rPr>
          <w:bCs/>
          <w:shd w:val="clear" w:color="auto" w:fill="FFFFFF"/>
        </w:rPr>
        <w:t>.</w:t>
      </w:r>
    </w:p>
    <w:p w14:paraId="4391576E" w14:textId="7777777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</w:p>
    <w:p w14:paraId="39D3FFC9" w14:textId="77777777" w:rsidR="000A0A2B" w:rsidRPr="000A0A2B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 w:rsidRPr="001D1008">
        <w:rPr>
          <w:noProof/>
        </w:rPr>
        <w:drawing>
          <wp:inline distT="0" distB="0" distL="0" distR="0" wp14:anchorId="29FBB5E3" wp14:editId="387D84A1">
            <wp:extent cx="3657600" cy="187449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9" t="1784" r="-133" b="11078"/>
                    <a:stretch/>
                  </pic:blipFill>
                  <pic:spPr bwMode="auto">
                    <a:xfrm>
                      <a:off x="0" y="0"/>
                      <a:ext cx="3681058" cy="18865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8A048" w14:textId="19DE6CF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Рисунок 1. Объем инвестиций в сферу </w:t>
      </w:r>
      <w:proofErr w:type="spellStart"/>
      <w:r w:rsidRPr="001D1008">
        <w:rPr>
          <w:bCs/>
          <w:shd w:val="clear" w:color="auto" w:fill="FFFFFF"/>
        </w:rPr>
        <w:t>блокчейн</w:t>
      </w:r>
      <w:r w:rsidR="007C478F">
        <w:rPr>
          <w:bCs/>
          <w:shd w:val="clear" w:color="auto" w:fill="FFFFFF"/>
        </w:rPr>
        <w:t>в</w:t>
      </w:r>
      <w:proofErr w:type="spellEnd"/>
      <w:r w:rsidR="007C478F">
        <w:rPr>
          <w:bCs/>
          <w:shd w:val="clear" w:color="auto" w:fill="FFFFFF"/>
        </w:rPr>
        <w:t xml:space="preserve"> мире</w:t>
      </w:r>
      <w:r w:rsidRPr="001D1008">
        <w:rPr>
          <w:bCs/>
          <w:shd w:val="clear" w:color="auto" w:fill="FFFFFF"/>
        </w:rPr>
        <w:t xml:space="preserve"> с 2018 до 2024 года</w:t>
      </w:r>
    </w:p>
    <w:p w14:paraId="06F9B0F8" w14:textId="77777777" w:rsidR="000A0A2B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  <w:lang w:val="en-US"/>
        </w:rPr>
      </w:pPr>
      <w:r w:rsidRPr="001D1008">
        <w:rPr>
          <w:bCs/>
          <w:shd w:val="clear" w:color="auto" w:fill="FFFFFF"/>
        </w:rPr>
        <w:t>Примечание</w:t>
      </w:r>
      <w:r w:rsidRPr="001D1008">
        <w:rPr>
          <w:bCs/>
          <w:shd w:val="clear" w:color="auto" w:fill="FFFFFF"/>
          <w:lang w:val="en-US"/>
        </w:rPr>
        <w:t xml:space="preserve">: </w:t>
      </w:r>
      <w:r>
        <w:rPr>
          <w:bCs/>
          <w:shd w:val="clear" w:color="auto" w:fill="FFFFFF"/>
        </w:rPr>
        <w:t>и</w:t>
      </w:r>
      <w:r w:rsidRPr="001D1008">
        <w:rPr>
          <w:bCs/>
          <w:shd w:val="clear" w:color="auto" w:fill="FFFFFF"/>
        </w:rPr>
        <w:t>сточник</w:t>
      </w:r>
      <w:r w:rsidRPr="001D1008">
        <w:rPr>
          <w:bCs/>
          <w:shd w:val="clear" w:color="auto" w:fill="FFFFFF"/>
          <w:lang w:val="en-US"/>
        </w:rPr>
        <w:t>-</w:t>
      </w:r>
      <w:proofErr w:type="spellStart"/>
      <w:r w:rsidRPr="001D1008">
        <w:rPr>
          <w:bCs/>
          <w:shd w:val="clear" w:color="auto" w:fill="FFFFFF"/>
          <w:lang w:val="en-US"/>
        </w:rPr>
        <w:t>WinterGreen</w:t>
      </w:r>
      <w:proofErr w:type="spellEnd"/>
      <w:r w:rsidRPr="001D1008">
        <w:rPr>
          <w:bCs/>
          <w:shd w:val="clear" w:color="auto" w:fill="FFFFFF"/>
          <w:lang w:val="en-US"/>
        </w:rPr>
        <w:t xml:space="preserve"> Research for IBM, 2018 </w:t>
      </w:r>
      <w:proofErr w:type="gramStart"/>
      <w:r w:rsidRPr="001D1008">
        <w:rPr>
          <w:bCs/>
          <w:shd w:val="clear" w:color="auto" w:fill="FFFFFF"/>
        </w:rPr>
        <w:t>год</w:t>
      </w:r>
      <w:r w:rsidR="0061087A">
        <w:rPr>
          <w:bCs/>
          <w:shd w:val="clear" w:color="auto" w:fill="FFFFFF"/>
          <w:lang w:val="en-US"/>
        </w:rPr>
        <w:t>[</w:t>
      </w:r>
      <w:proofErr w:type="gramEnd"/>
      <w:r w:rsidR="00AD5CBB" w:rsidRPr="00AD5CBB">
        <w:rPr>
          <w:bCs/>
          <w:shd w:val="clear" w:color="auto" w:fill="FFFFFF"/>
          <w:lang w:val="en-US"/>
        </w:rPr>
        <w:t>7</w:t>
      </w:r>
      <w:r w:rsidR="0061087A">
        <w:rPr>
          <w:bCs/>
          <w:shd w:val="clear" w:color="auto" w:fill="FFFFFF"/>
          <w:lang w:val="en-US"/>
        </w:rPr>
        <w:t>]</w:t>
      </w:r>
      <w:r w:rsidRPr="001D1008">
        <w:rPr>
          <w:bCs/>
          <w:shd w:val="clear" w:color="auto" w:fill="FFFFFF"/>
          <w:lang w:val="en-US"/>
        </w:rPr>
        <w:t>.</w:t>
      </w:r>
    </w:p>
    <w:p w14:paraId="3406C029" w14:textId="77777777" w:rsidR="008902FA" w:rsidRPr="001D1008" w:rsidRDefault="008902FA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  <w:lang w:val="en-US"/>
        </w:rPr>
      </w:pPr>
    </w:p>
    <w:p w14:paraId="0206A2DD" w14:textId="7777777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Чаще и больше всего в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 xml:space="preserve"> инвестируют представители финансовой отрасли, включая </w:t>
      </w:r>
      <w:hyperlink r:id="rId13" w:tooltip="Банки" w:history="1">
        <w:r w:rsidRPr="001D1008">
          <w:rPr>
            <w:bCs/>
            <w:shd w:val="clear" w:color="auto" w:fill="FFFFFF"/>
          </w:rPr>
          <w:t>банки</w:t>
        </w:r>
      </w:hyperlink>
      <w:r w:rsidRPr="001D1008">
        <w:rPr>
          <w:bCs/>
          <w:shd w:val="clear" w:color="auto" w:fill="FFFFFF"/>
        </w:rPr>
        <w:t>, страховые компании и поставщики услуг по управлению инвестициями и ценными бумагами.</w:t>
      </w:r>
    </w:p>
    <w:p w14:paraId="53A2B414" w14:textId="7777777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Второе место по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>-расходам занимают предприятия, представляющие </w:t>
      </w:r>
      <w:hyperlink r:id="rId14" w:tooltip="Промышленное производство" w:history="1">
        <w:r w:rsidRPr="001D1008">
          <w:rPr>
            <w:bCs/>
            <w:shd w:val="clear" w:color="auto" w:fill="FFFFFF"/>
          </w:rPr>
          <w:t>промышленное производство</w:t>
        </w:r>
      </w:hyperlink>
      <w:r w:rsidRPr="001D1008">
        <w:rPr>
          <w:bCs/>
          <w:shd w:val="clear" w:color="auto" w:fill="FFFFFF"/>
        </w:rPr>
        <w:t> и добывающую отрасль. В тройку лидеров входят рынки ритейла и профессиональных услуг.</w:t>
      </w:r>
    </w:p>
    <w:p w14:paraId="23E33B29" w14:textId="77777777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Объем инвестиций в развитие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 xml:space="preserve">-технологии в сфере промышленности по данным аналитической компании CB </w:t>
      </w:r>
      <w:proofErr w:type="spellStart"/>
      <w:r w:rsidRPr="001D1008">
        <w:rPr>
          <w:bCs/>
          <w:shd w:val="clear" w:color="auto" w:fill="FFFFFF"/>
        </w:rPr>
        <w:t>Insights</w:t>
      </w:r>
      <w:proofErr w:type="spellEnd"/>
      <w:r w:rsidRPr="001D1008">
        <w:rPr>
          <w:bCs/>
          <w:shd w:val="clear" w:color="auto" w:fill="FFFFFF"/>
        </w:rPr>
        <w:t xml:space="preserve"> представлен на графике</w:t>
      </w:r>
    </w:p>
    <w:p w14:paraId="5F6160D8" w14:textId="77777777" w:rsidR="000A0A2B" w:rsidRPr="001D1008" w:rsidRDefault="000A0A2B" w:rsidP="008902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 w:rsidRPr="001D1008">
        <w:rPr>
          <w:noProof/>
        </w:rPr>
        <w:lastRenderedPageBreak/>
        <w:drawing>
          <wp:inline distT="0" distB="0" distL="0" distR="0" wp14:anchorId="4255F30C" wp14:editId="7659F609">
            <wp:extent cx="3413760" cy="1882140"/>
            <wp:effectExtent l="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CD2D37" w14:textId="1695B4EE" w:rsidR="000A0A2B" w:rsidRPr="001D1008" w:rsidRDefault="000A0A2B" w:rsidP="000A0A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 w:rsidRPr="001D1008">
        <w:rPr>
          <w:bCs/>
          <w:shd w:val="clear" w:color="auto" w:fill="FFFFFF"/>
        </w:rPr>
        <w:t xml:space="preserve">Рисунок 2. Объем инвестиций в развитие </w:t>
      </w:r>
      <w:proofErr w:type="spellStart"/>
      <w:r w:rsidRPr="001D1008">
        <w:rPr>
          <w:bCs/>
          <w:shd w:val="clear" w:color="auto" w:fill="FFFFFF"/>
        </w:rPr>
        <w:t>блокчейн</w:t>
      </w:r>
      <w:proofErr w:type="spellEnd"/>
      <w:r w:rsidRPr="001D1008">
        <w:rPr>
          <w:bCs/>
          <w:shd w:val="clear" w:color="auto" w:fill="FFFFFF"/>
        </w:rPr>
        <w:t>-технологии в сфере промышленности</w:t>
      </w:r>
      <w:r w:rsidR="007C478F">
        <w:rPr>
          <w:bCs/>
          <w:shd w:val="clear" w:color="auto" w:fill="FFFFFF"/>
        </w:rPr>
        <w:t xml:space="preserve"> в мире</w:t>
      </w:r>
      <w:r w:rsidRPr="001D1008">
        <w:rPr>
          <w:bCs/>
          <w:shd w:val="clear" w:color="auto" w:fill="FFFFFF"/>
        </w:rPr>
        <w:t xml:space="preserve"> с 2015 до 2019 года</w:t>
      </w:r>
    </w:p>
    <w:p w14:paraId="1B4C5C4B" w14:textId="77777777" w:rsidR="000A0A2B" w:rsidRDefault="000A0A2B" w:rsidP="008902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Примечание: и</w:t>
      </w:r>
      <w:r w:rsidRPr="001D1008">
        <w:rPr>
          <w:bCs/>
          <w:shd w:val="clear" w:color="auto" w:fill="FFFFFF"/>
        </w:rPr>
        <w:t>сточник-</w:t>
      </w:r>
      <w:r>
        <w:rPr>
          <w:bCs/>
          <w:shd w:val="clear" w:color="auto" w:fill="FFFFFF"/>
        </w:rPr>
        <w:t>с</w:t>
      </w:r>
      <w:r w:rsidRPr="001D1008">
        <w:rPr>
          <w:bCs/>
          <w:shd w:val="clear" w:color="auto" w:fill="FFFFFF"/>
        </w:rPr>
        <w:t>обственная разработка</w:t>
      </w:r>
      <w:r>
        <w:rPr>
          <w:bCs/>
          <w:shd w:val="clear" w:color="auto" w:fill="FFFFFF"/>
        </w:rPr>
        <w:t xml:space="preserve"> на основе данных</w:t>
      </w:r>
      <w:r w:rsidRPr="001D1008">
        <w:rPr>
          <w:bCs/>
          <w:shd w:val="clear" w:color="auto" w:fill="FFFFFF"/>
        </w:rPr>
        <w:t xml:space="preserve"> аналитической компании CB </w:t>
      </w:r>
      <w:proofErr w:type="spellStart"/>
      <w:r w:rsidRPr="001D1008">
        <w:rPr>
          <w:bCs/>
          <w:shd w:val="clear" w:color="auto" w:fill="FFFFFF"/>
        </w:rPr>
        <w:t>Insights</w:t>
      </w:r>
      <w:proofErr w:type="spellEnd"/>
      <w:r>
        <w:rPr>
          <w:bCs/>
          <w:shd w:val="clear" w:color="auto" w:fill="FFFFFF"/>
        </w:rPr>
        <w:t xml:space="preserve"> [</w:t>
      </w:r>
      <w:r w:rsidR="00AD5CBB">
        <w:rPr>
          <w:bCs/>
          <w:shd w:val="clear" w:color="auto" w:fill="FFFFFF"/>
        </w:rPr>
        <w:t>8</w:t>
      </w:r>
      <w:r>
        <w:rPr>
          <w:bCs/>
          <w:shd w:val="clear" w:color="auto" w:fill="FFFFFF"/>
        </w:rPr>
        <w:t>]</w:t>
      </w:r>
      <w:r w:rsidRPr="001D1008">
        <w:rPr>
          <w:bCs/>
          <w:shd w:val="clear" w:color="auto" w:fill="FFFFFF"/>
        </w:rPr>
        <w:t>.</w:t>
      </w:r>
    </w:p>
    <w:p w14:paraId="5B7D5D65" w14:textId="77777777" w:rsidR="008902FA" w:rsidRPr="008902FA" w:rsidRDefault="008902FA" w:rsidP="008902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</w:p>
    <w:p w14:paraId="7374D5B6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>Что касается стран, то лидером по затратам на </w:t>
      </w:r>
      <w:proofErr w:type="spellStart"/>
      <w:r w:rsidR="00CC1A65">
        <w:fldChar w:fldCharType="begin"/>
      </w:r>
      <w:r w:rsidR="00CC1A65">
        <w:instrText xml:space="preserve"> HYPERLINK "http://www.tadviser.ru/index.php/%D0%91%D0%BB%D0%BE%D0%BA%D1%87%D0%B5%D0%B9%D0%BD" \o "Блокчейн" </w:instrText>
      </w:r>
      <w:r w:rsidR="00CC1A65">
        <w:fldChar w:fldCharType="separate"/>
      </w:r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>-решения</w:t>
      </w:r>
      <w:r w:rsidR="00CC1A65">
        <w:rPr>
          <w:rFonts w:ascii="Times New Roman" w:hAnsi="Times New Roman"/>
          <w:sz w:val="24"/>
          <w:szCs w:val="24"/>
        </w:rPr>
        <w:fldChar w:fldCharType="end"/>
      </w:r>
      <w:r w:rsidRPr="001D1008">
        <w:rPr>
          <w:rFonts w:ascii="Times New Roman" w:hAnsi="Times New Roman"/>
          <w:sz w:val="24"/>
          <w:szCs w:val="24"/>
        </w:rPr>
        <w:t> остаются </w:t>
      </w:r>
      <w:hyperlink r:id="rId16" w:tooltip="США" w:history="1">
        <w:r w:rsidRPr="001D1008">
          <w:rPr>
            <w:rFonts w:ascii="Times New Roman" w:hAnsi="Times New Roman"/>
            <w:sz w:val="24"/>
            <w:szCs w:val="24"/>
          </w:rPr>
          <w:t>США</w:t>
        </w:r>
      </w:hyperlink>
      <w:r w:rsidRPr="001D1008">
        <w:rPr>
          <w:rFonts w:ascii="Times New Roman" w:hAnsi="Times New Roman"/>
          <w:sz w:val="24"/>
          <w:szCs w:val="24"/>
        </w:rPr>
        <w:t>. Следом идут </w:t>
      </w:r>
      <w:hyperlink r:id="rId17" w:tooltip="Государство" w:history="1">
        <w:r w:rsidRPr="001D1008">
          <w:rPr>
            <w:rFonts w:ascii="Times New Roman" w:hAnsi="Times New Roman"/>
            <w:sz w:val="24"/>
            <w:szCs w:val="24"/>
          </w:rPr>
          <w:t>государства</w:t>
        </w:r>
      </w:hyperlink>
      <w:r w:rsidRPr="001D1008">
        <w:rPr>
          <w:rFonts w:ascii="Times New Roman" w:hAnsi="Times New Roman"/>
          <w:sz w:val="24"/>
          <w:szCs w:val="24"/>
        </w:rPr>
        <w:t> Западной </w:t>
      </w:r>
      <w:hyperlink r:id="rId18" w:tooltip="Европа" w:history="1">
        <w:r w:rsidRPr="001D1008">
          <w:rPr>
            <w:rFonts w:ascii="Times New Roman" w:hAnsi="Times New Roman"/>
            <w:sz w:val="24"/>
            <w:szCs w:val="24"/>
          </w:rPr>
          <w:t>Европы</w:t>
        </w:r>
      </w:hyperlink>
      <w:r w:rsidRPr="001D1008">
        <w:rPr>
          <w:rFonts w:ascii="Times New Roman" w:hAnsi="Times New Roman"/>
          <w:sz w:val="24"/>
          <w:szCs w:val="24"/>
        </w:rPr>
        <w:t> и </w:t>
      </w:r>
      <w:hyperlink r:id="rId19" w:tooltip="Китай" w:history="1">
        <w:r w:rsidRPr="001D1008">
          <w:rPr>
            <w:rFonts w:ascii="Times New Roman" w:hAnsi="Times New Roman"/>
            <w:sz w:val="24"/>
            <w:szCs w:val="24"/>
          </w:rPr>
          <w:t>Китай</w:t>
        </w:r>
      </w:hyperlink>
      <w:r w:rsidRPr="001D1008">
        <w:rPr>
          <w:rFonts w:ascii="Times New Roman" w:hAnsi="Times New Roman"/>
          <w:sz w:val="24"/>
          <w:szCs w:val="24"/>
        </w:rPr>
        <w:t>, но по темпам роста инвестиций лидируют </w:t>
      </w:r>
      <w:hyperlink r:id="rId20" w:tooltip="Япония" w:history="1">
        <w:r w:rsidRPr="001D1008">
          <w:rPr>
            <w:rFonts w:ascii="Times New Roman" w:hAnsi="Times New Roman"/>
            <w:sz w:val="24"/>
            <w:szCs w:val="24"/>
          </w:rPr>
          <w:t>Япония</w:t>
        </w:r>
      </w:hyperlink>
      <w:r w:rsidRPr="001D1008">
        <w:rPr>
          <w:rFonts w:ascii="Times New Roman" w:hAnsi="Times New Roman"/>
          <w:sz w:val="24"/>
          <w:szCs w:val="24"/>
        </w:rPr>
        <w:t> и Канада, говорится в исследовании.</w:t>
      </w:r>
    </w:p>
    <w:p w14:paraId="6437A824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>В марте 2019 года «Летучий университет» (</w:t>
      </w:r>
      <w:proofErr w:type="spellStart"/>
      <w:r w:rsidRPr="001D1008">
        <w:rPr>
          <w:rFonts w:ascii="Times New Roman" w:hAnsi="Times New Roman"/>
          <w:sz w:val="24"/>
          <w:szCs w:val="24"/>
        </w:rPr>
        <w:t>FlyingUniversity</w:t>
      </w:r>
      <w:proofErr w:type="spellEnd"/>
      <w:r w:rsidRPr="001D1008">
        <w:rPr>
          <w:rFonts w:ascii="Times New Roman" w:hAnsi="Times New Roman"/>
          <w:sz w:val="24"/>
          <w:szCs w:val="24"/>
        </w:rPr>
        <w:t>) опубликовал рейтинг стран, в которых, по мнению экспертов, имеются наиболее благоприятные условия для разработки и развития бизнес-проектов, связанных с </w:t>
      </w:r>
      <w:proofErr w:type="spellStart"/>
      <w:r w:rsidR="00CC1A65">
        <w:fldChar w:fldCharType="begin"/>
      </w:r>
      <w:r w:rsidR="00CC1A65">
        <w:instrText xml:space="preserve"> HYPERLINK "http://www.tadviser.ru/index.php/%D0%91%D0%BB%D0%BE%D0%BA%D1%87%D0%B5%D0%B9%D0%BD" \o "Блокчейн" </w:instrText>
      </w:r>
      <w:r w:rsidR="00CC1A65">
        <w:fldChar w:fldCharType="separate"/>
      </w:r>
      <w:r w:rsidRPr="001D1008">
        <w:rPr>
          <w:rFonts w:ascii="Times New Roman" w:hAnsi="Times New Roman"/>
          <w:sz w:val="24"/>
          <w:szCs w:val="24"/>
        </w:rPr>
        <w:t>блокчейном</w:t>
      </w:r>
      <w:proofErr w:type="spellEnd"/>
      <w:r w:rsidR="00CC1A65">
        <w:rPr>
          <w:rFonts w:ascii="Times New Roman" w:hAnsi="Times New Roman"/>
          <w:sz w:val="24"/>
          <w:szCs w:val="24"/>
        </w:rPr>
        <w:fldChar w:fldCharType="end"/>
      </w:r>
      <w:r w:rsidRPr="001D1008">
        <w:rPr>
          <w:rFonts w:ascii="Times New Roman" w:hAnsi="Times New Roman"/>
          <w:sz w:val="24"/>
          <w:szCs w:val="24"/>
        </w:rPr>
        <w:t> и </w:t>
      </w:r>
      <w:hyperlink r:id="rId21" w:tooltip="Криптовалюты в России" w:history="1">
        <w:r w:rsidRPr="001D1008">
          <w:rPr>
            <w:rFonts w:ascii="Times New Roman" w:hAnsi="Times New Roman"/>
            <w:sz w:val="24"/>
            <w:szCs w:val="24"/>
          </w:rPr>
          <w:t>криптовалютами</w:t>
        </w:r>
      </w:hyperlink>
      <w:r w:rsidRPr="001D1008">
        <w:rPr>
          <w:rFonts w:ascii="Times New Roman" w:hAnsi="Times New Roman"/>
          <w:sz w:val="24"/>
          <w:szCs w:val="24"/>
        </w:rPr>
        <w:t>. Да</w:t>
      </w:r>
      <w:r w:rsidR="008902FA">
        <w:rPr>
          <w:rFonts w:ascii="Times New Roman" w:hAnsi="Times New Roman"/>
          <w:sz w:val="24"/>
          <w:szCs w:val="24"/>
        </w:rPr>
        <w:t xml:space="preserve">нные исследования представлены </w:t>
      </w:r>
      <w:r>
        <w:rPr>
          <w:rFonts w:ascii="Times New Roman" w:hAnsi="Times New Roman"/>
          <w:sz w:val="24"/>
          <w:szCs w:val="24"/>
        </w:rPr>
        <w:t>на рисунке</w:t>
      </w:r>
    </w:p>
    <w:p w14:paraId="463A6530" w14:textId="77777777" w:rsidR="000A0A2B" w:rsidRPr="001D1008" w:rsidRDefault="000A0A2B" w:rsidP="008902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40BFF0" wp14:editId="73104003">
            <wp:extent cx="2933700" cy="4337745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7706" cy="43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C2CC" w14:textId="77777777" w:rsidR="000A0A2B" w:rsidRPr="001D1008" w:rsidRDefault="000A0A2B" w:rsidP="008902F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</w:t>
      </w:r>
      <w:r w:rsidRPr="001D1008">
        <w:rPr>
          <w:rFonts w:ascii="Times New Roman" w:hAnsi="Times New Roman"/>
          <w:sz w:val="24"/>
          <w:szCs w:val="24"/>
        </w:rPr>
        <w:t>. Рейтинг стран с наиболее благоприятными условиями развития бизнес-проектов, связанных с </w:t>
      </w:r>
      <w:proofErr w:type="spellStart"/>
      <w:r w:rsidR="00CC1A65">
        <w:fldChar w:fldCharType="begin"/>
      </w:r>
      <w:r w:rsidR="00CC1A65">
        <w:instrText xml:space="preserve"> HYPERLINK "http://www.tadviser.ru/index.php/%D0%91%D0%BB%D0%BE%D0%BA%D1%87%D0%B5%D0%B9%D0%BD" \o "Блокчейн" </w:instrText>
      </w:r>
      <w:r w:rsidR="00CC1A65">
        <w:fldChar w:fldCharType="separate"/>
      </w:r>
      <w:r w:rsidRPr="001D1008">
        <w:rPr>
          <w:rFonts w:ascii="Times New Roman" w:hAnsi="Times New Roman"/>
          <w:sz w:val="24"/>
          <w:szCs w:val="24"/>
        </w:rPr>
        <w:t>блокчейном</w:t>
      </w:r>
      <w:proofErr w:type="spellEnd"/>
      <w:r w:rsidR="00CC1A65">
        <w:rPr>
          <w:rFonts w:ascii="Times New Roman" w:hAnsi="Times New Roman"/>
          <w:sz w:val="24"/>
          <w:szCs w:val="24"/>
        </w:rPr>
        <w:fldChar w:fldCharType="end"/>
      </w:r>
      <w:r w:rsidRPr="001D1008">
        <w:rPr>
          <w:rFonts w:ascii="Times New Roman" w:hAnsi="Times New Roman"/>
          <w:sz w:val="24"/>
          <w:szCs w:val="24"/>
        </w:rPr>
        <w:t> и </w:t>
      </w:r>
      <w:hyperlink r:id="rId23" w:tooltip="Криптовалюты в России" w:history="1">
        <w:r w:rsidRPr="001D1008">
          <w:rPr>
            <w:rFonts w:ascii="Times New Roman" w:hAnsi="Times New Roman"/>
            <w:sz w:val="24"/>
            <w:szCs w:val="24"/>
          </w:rPr>
          <w:t>криптовалютами</w:t>
        </w:r>
      </w:hyperlink>
      <w:r w:rsidRPr="001D1008">
        <w:rPr>
          <w:rFonts w:ascii="Times New Roman" w:hAnsi="Times New Roman"/>
          <w:sz w:val="24"/>
          <w:szCs w:val="24"/>
        </w:rPr>
        <w:t>.</w:t>
      </w:r>
    </w:p>
    <w:p w14:paraId="0765D638" w14:textId="77777777" w:rsidR="000A0A2B" w:rsidRPr="007A1E74" w:rsidRDefault="000A0A2B" w:rsidP="008902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Примечание: и</w:t>
      </w:r>
      <w:r w:rsidRPr="001D1008">
        <w:rPr>
          <w:bCs/>
          <w:shd w:val="clear" w:color="auto" w:fill="FFFFFF"/>
        </w:rPr>
        <w:t>сточник-</w:t>
      </w:r>
      <w:r>
        <w:rPr>
          <w:bCs/>
          <w:shd w:val="clear" w:color="auto" w:fill="FFFFFF"/>
        </w:rPr>
        <w:t>и</w:t>
      </w:r>
      <w:r w:rsidRPr="001D1008">
        <w:rPr>
          <w:bCs/>
          <w:shd w:val="clear" w:color="auto" w:fill="FFFFFF"/>
        </w:rPr>
        <w:t xml:space="preserve">сследование </w:t>
      </w:r>
      <w:proofErr w:type="spellStart"/>
      <w:r w:rsidRPr="001D1008">
        <w:t>FlyingUniversity</w:t>
      </w:r>
      <w:proofErr w:type="spellEnd"/>
      <w:r w:rsidRPr="001D1008">
        <w:rPr>
          <w:bCs/>
          <w:shd w:val="clear" w:color="auto" w:fill="FFFFFF"/>
        </w:rPr>
        <w:t xml:space="preserve">, 2019 </w:t>
      </w:r>
      <w:proofErr w:type="gramStart"/>
      <w:r w:rsidRPr="001D1008">
        <w:rPr>
          <w:bCs/>
          <w:shd w:val="clear" w:color="auto" w:fill="FFFFFF"/>
        </w:rPr>
        <w:t>год</w:t>
      </w:r>
      <w:r w:rsidR="0061087A">
        <w:rPr>
          <w:bCs/>
          <w:shd w:val="clear" w:color="auto" w:fill="FFFFFF"/>
        </w:rPr>
        <w:t>[</w:t>
      </w:r>
      <w:proofErr w:type="gramEnd"/>
      <w:r w:rsidR="00AD5CBB">
        <w:rPr>
          <w:bCs/>
          <w:shd w:val="clear" w:color="auto" w:fill="FFFFFF"/>
        </w:rPr>
        <w:t>9</w:t>
      </w:r>
      <w:r w:rsidR="0061087A">
        <w:rPr>
          <w:bCs/>
          <w:shd w:val="clear" w:color="auto" w:fill="FFFFFF"/>
        </w:rPr>
        <w:t>]</w:t>
      </w:r>
      <w:r w:rsidR="007A1E74" w:rsidRPr="007A1E74">
        <w:rPr>
          <w:bCs/>
          <w:shd w:val="clear" w:color="auto" w:fill="FFFFFF"/>
        </w:rPr>
        <w:t>.</w:t>
      </w:r>
    </w:p>
    <w:p w14:paraId="68D7C81B" w14:textId="77777777" w:rsidR="000A0A2B" w:rsidRPr="001D1008" w:rsidRDefault="000038D8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4" w:tooltip="Россия" w:history="1">
        <w:r w:rsidR="000A0A2B" w:rsidRPr="001D1008">
          <w:rPr>
            <w:rFonts w:ascii="Times New Roman" w:hAnsi="Times New Roman"/>
            <w:sz w:val="24"/>
            <w:szCs w:val="24"/>
          </w:rPr>
          <w:t>Россия</w:t>
        </w:r>
      </w:hyperlink>
      <w:r w:rsidR="000A0A2B" w:rsidRPr="001D1008">
        <w:rPr>
          <w:rFonts w:ascii="Times New Roman" w:hAnsi="Times New Roman"/>
          <w:sz w:val="24"/>
          <w:szCs w:val="24"/>
        </w:rPr>
        <w:t> в этом списке расположилась на 18-м месте из 23-х, а Беларусь на 13-м месте. В тройку лидеров вошли </w:t>
      </w:r>
      <w:hyperlink r:id="rId25" w:tooltip="Эстония" w:history="1">
        <w:r w:rsidR="000A0A2B" w:rsidRPr="001D1008">
          <w:rPr>
            <w:rFonts w:ascii="Times New Roman" w:hAnsi="Times New Roman"/>
            <w:sz w:val="24"/>
            <w:szCs w:val="24"/>
          </w:rPr>
          <w:t>Эстония</w:t>
        </w:r>
      </w:hyperlink>
      <w:r w:rsidR="000A0A2B" w:rsidRPr="001D1008">
        <w:rPr>
          <w:rFonts w:ascii="Times New Roman" w:hAnsi="Times New Roman"/>
          <w:sz w:val="24"/>
          <w:szCs w:val="24"/>
        </w:rPr>
        <w:t>, </w:t>
      </w:r>
      <w:hyperlink r:id="rId26" w:tooltip="Австралия" w:history="1">
        <w:r w:rsidR="000A0A2B" w:rsidRPr="001D1008">
          <w:rPr>
            <w:rFonts w:ascii="Times New Roman" w:hAnsi="Times New Roman"/>
            <w:sz w:val="24"/>
            <w:szCs w:val="24"/>
          </w:rPr>
          <w:t>Австралия</w:t>
        </w:r>
      </w:hyperlink>
      <w:r w:rsidR="000A0A2B" w:rsidRPr="001D1008">
        <w:rPr>
          <w:rFonts w:ascii="Times New Roman" w:hAnsi="Times New Roman"/>
          <w:sz w:val="24"/>
          <w:szCs w:val="24"/>
        </w:rPr>
        <w:t> и </w:t>
      </w:r>
      <w:hyperlink r:id="rId27" w:tooltip="Сингапур" w:history="1">
        <w:r w:rsidR="000A0A2B" w:rsidRPr="001D1008">
          <w:rPr>
            <w:rFonts w:ascii="Times New Roman" w:hAnsi="Times New Roman"/>
            <w:sz w:val="24"/>
            <w:szCs w:val="24"/>
          </w:rPr>
          <w:t>Сингапур</w:t>
        </w:r>
      </w:hyperlink>
      <w:r w:rsidR="000A0A2B" w:rsidRPr="001D1008">
        <w:rPr>
          <w:rFonts w:ascii="Times New Roman" w:hAnsi="Times New Roman"/>
          <w:sz w:val="24"/>
          <w:szCs w:val="24"/>
        </w:rPr>
        <w:t>.</w:t>
      </w:r>
    </w:p>
    <w:p w14:paraId="3924A2A1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>Исследование проведено на основании методологии,</w:t>
      </w:r>
      <w:r>
        <w:rPr>
          <w:rFonts w:ascii="Times New Roman" w:hAnsi="Times New Roman"/>
          <w:sz w:val="24"/>
          <w:szCs w:val="24"/>
        </w:rPr>
        <w:t xml:space="preserve"> разработанной аналитиками </w:t>
      </w:r>
      <w:proofErr w:type="spellStart"/>
      <w:r w:rsidRPr="001D1008">
        <w:rPr>
          <w:rFonts w:ascii="Times New Roman" w:hAnsi="Times New Roman"/>
          <w:sz w:val="24"/>
          <w:szCs w:val="24"/>
        </w:rPr>
        <w:t>FlyingUniversity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D1008">
        <w:rPr>
          <w:rFonts w:ascii="Times New Roman" w:hAnsi="Times New Roman"/>
          <w:sz w:val="24"/>
          <w:szCs w:val="24"/>
        </w:rPr>
        <w:t xml:space="preserve"> которая включает оценку правовых, политических и инфраструктурных условий в различных странах с точки зрения дружественности к бизнесу, использующему технологии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блокчейна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и </w:t>
      </w:r>
      <w:hyperlink r:id="rId28" w:tooltip="Криптовалюты в России" w:history="1">
        <w:r w:rsidRPr="001D1008">
          <w:rPr>
            <w:rFonts w:ascii="Times New Roman" w:hAnsi="Times New Roman"/>
            <w:sz w:val="24"/>
            <w:szCs w:val="24"/>
          </w:rPr>
          <w:t>криптовалюты</w:t>
        </w:r>
      </w:hyperlink>
      <w:r w:rsidRPr="001D1008">
        <w:rPr>
          <w:rFonts w:ascii="Times New Roman" w:hAnsi="Times New Roman"/>
          <w:sz w:val="24"/>
          <w:szCs w:val="24"/>
        </w:rPr>
        <w:t xml:space="preserve">. Авторы доклада в первую очередь ориентировались на изменения, которым экономики разных стран подвергались под влиянием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блокчейна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и сопутствующих технологий.</w:t>
      </w:r>
    </w:p>
    <w:p w14:paraId="4D7FC6C4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Один из основных способов применения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в промышленности — создание безопасной системы платежей, главным элементом которой выступают смарт-контракты.</w:t>
      </w:r>
    </w:p>
    <w:p w14:paraId="39F92399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>Смарт-контракт — это цифровой протокол, способный самостоятельно выполнять транзакции без участия человека. Через такие контракты можно проводить различные сделки и договоры — например, между производителями и контрагентами.</w:t>
      </w:r>
    </w:p>
    <w:p w14:paraId="25D7689E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008">
        <w:rPr>
          <w:rFonts w:ascii="Times New Roman" w:hAnsi="Times New Roman"/>
          <w:sz w:val="24"/>
          <w:szCs w:val="24"/>
        </w:rPr>
        <w:t xml:space="preserve">Прозрачность технологии распределенного реестра позволяет, в частности, внести изменения в сложный и трудоемкий процесс сертификации товаров. Так, </w:t>
      </w:r>
      <w:r>
        <w:rPr>
          <w:rFonts w:ascii="Times New Roman" w:hAnsi="Times New Roman"/>
          <w:sz w:val="24"/>
          <w:szCs w:val="24"/>
        </w:rPr>
        <w:t xml:space="preserve">российская компания </w:t>
      </w:r>
      <w:r w:rsidRPr="001D1008">
        <w:rPr>
          <w:rFonts w:ascii="Times New Roman" w:hAnsi="Times New Roman"/>
          <w:sz w:val="24"/>
          <w:szCs w:val="24"/>
        </w:rPr>
        <w:t xml:space="preserve">«Северсталь» и Загорский трубный завод инициировали создание единого отраслевого реестра сертификатов на металлопродукцию на базе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блокчейна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. Этот реестр упрощает стандартизацию документооборота между поставщиками и заказчиками: все участники проекта получат равные права управления, а покупатели металла смогут проверить подлинность сертификата по номеру. </w:t>
      </w:r>
    </w:p>
    <w:p w14:paraId="53D54C8A" w14:textId="77777777" w:rsidR="000A0A2B" w:rsidRPr="001D1008" w:rsidRDefault="000A0A2B" w:rsidP="000A0A2B">
      <w:pPr>
        <w:pStyle w:val="stk-reset"/>
        <w:spacing w:before="0" w:beforeAutospacing="0" w:after="0" w:afterAutospacing="0"/>
        <w:ind w:firstLine="709"/>
        <w:contextualSpacing/>
        <w:jc w:val="both"/>
        <w:textAlignment w:val="baseline"/>
      </w:pPr>
      <w:r w:rsidRPr="001D1008">
        <w:t xml:space="preserve">На российском рынке </w:t>
      </w:r>
      <w:proofErr w:type="spellStart"/>
      <w:r w:rsidRPr="001D1008">
        <w:t>блокчейн</w:t>
      </w:r>
      <w:proofErr w:type="spellEnd"/>
      <w:r w:rsidRPr="001D1008">
        <w:t xml:space="preserve"> активно осваивает </w:t>
      </w:r>
      <w:r w:rsidRPr="008902FA">
        <w:rPr>
          <w:shd w:val="clear" w:color="auto" w:fill="FFFFFF"/>
        </w:rPr>
        <w:t>корпорация «Газпромнефть»: опробовав технологию в 2018 году на логистических процессах, компания </w:t>
      </w:r>
      <w:hyperlink r:id="rId29" w:tgtFrame="_blank" w:history="1">
        <w:r w:rsidRPr="008902FA">
          <w:rPr>
            <w:shd w:val="clear" w:color="auto" w:fill="FFFFFF"/>
          </w:rPr>
          <w:t>объявила</w:t>
        </w:r>
      </w:hyperlink>
      <w:r w:rsidRPr="008902FA">
        <w:rPr>
          <w:shd w:val="clear" w:color="auto" w:fill="FFFFFF"/>
        </w:rPr>
        <w:t> о планах использовать ее в дальнейшем для автоматизации сделок с подрядчиками, контроля</w:t>
      </w:r>
      <w:r w:rsidRPr="001D1008">
        <w:t xml:space="preserve"> качества и допуска на объекты.</w:t>
      </w:r>
    </w:p>
    <w:p w14:paraId="38E62D7D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1008">
        <w:rPr>
          <w:rFonts w:ascii="Times New Roman" w:hAnsi="Times New Roman"/>
          <w:sz w:val="24"/>
          <w:szCs w:val="24"/>
          <w:shd w:val="clear" w:color="auto" w:fill="FFFFFF"/>
        </w:rPr>
        <w:t xml:space="preserve">Еще одна важная и бесценная для любых крупных корпораций с разветвленной сетью процессов функция — автоматизация любых систем учета. Если </w:t>
      </w:r>
      <w:r w:rsidR="008902FA" w:rsidRPr="001D1008">
        <w:rPr>
          <w:rFonts w:ascii="Times New Roman" w:hAnsi="Times New Roman"/>
          <w:sz w:val="24"/>
          <w:szCs w:val="24"/>
          <w:shd w:val="clear" w:color="auto" w:fill="FFFFFF"/>
        </w:rPr>
        <w:t>взять пример</w:t>
      </w:r>
      <w:r w:rsidRPr="001D1008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 «</w:t>
      </w:r>
      <w:proofErr w:type="spellStart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>Норникель</w:t>
      </w:r>
      <w:proofErr w:type="spellEnd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 xml:space="preserve">», в этом году он совместно с компанией </w:t>
      </w:r>
      <w:proofErr w:type="spellStart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>Particle</w:t>
      </w:r>
      <w:proofErr w:type="spellEnd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реализовал проект по применению искусственного интеллекта в корпоративной системе нормативно-справочной информации (НСИ), охватывающей огромное количество операций: от бухгалтерского и налогового учета до заключения договоров и заведения заявок заказчиками. Благодаря ИИ-решениям «</w:t>
      </w:r>
      <w:proofErr w:type="spellStart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>Норникелю</w:t>
      </w:r>
      <w:proofErr w:type="spellEnd"/>
      <w:r w:rsidRPr="001D1008">
        <w:rPr>
          <w:rFonts w:ascii="Times New Roman" w:hAnsi="Times New Roman"/>
          <w:sz w:val="24"/>
          <w:szCs w:val="24"/>
          <w:shd w:val="clear" w:color="auto" w:fill="FFFFFF"/>
        </w:rPr>
        <w:t>» удалось сократить бюджет на подрядчиков при тиражировании системы НСИ на новые предприятия, передав работу умным системам, а также ускорить процессы закупок, повысить точность работы и минимизировать финансовые риски.</w:t>
      </w:r>
    </w:p>
    <w:p w14:paraId="716BE8B4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в качестве доверенной инфраструктуры в рамках промышленности может объединить комплексные индустриальные данные с бизнес-данными и раскрыть потенциал других передовых технологий. В теории кажется, что внедрение непрерывных и последовательных цепочек блоков оправдано практически на всех этапах производства: от цифровой оптимизации взаимодействия машин через проектирование сложных продуктов к сертификации. На практике </w:t>
      </w:r>
      <w:proofErr w:type="spellStart"/>
      <w:r w:rsidRPr="001D1008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-платформы продолжают эволюционировать и решать собственные технологические проблемы: улучшать взаимодействие с потоковыми данными и </w:t>
      </w:r>
      <w:proofErr w:type="spellStart"/>
      <w:r w:rsidRPr="001D1008">
        <w:rPr>
          <w:rFonts w:ascii="Times New Roman" w:hAnsi="Times New Roman"/>
          <w:sz w:val="24"/>
          <w:szCs w:val="24"/>
        </w:rPr>
        <w:t>постреляционными</w:t>
      </w:r>
      <w:proofErr w:type="spellEnd"/>
      <w:r w:rsidRPr="001D1008">
        <w:rPr>
          <w:rFonts w:ascii="Times New Roman" w:hAnsi="Times New Roman"/>
          <w:sz w:val="24"/>
          <w:szCs w:val="24"/>
        </w:rPr>
        <w:t xml:space="preserve"> базами данных, увеличивать пропускную способность. </w:t>
      </w:r>
    </w:p>
    <w:p w14:paraId="53CB287E" w14:textId="77777777" w:rsidR="000A0A2B" w:rsidRPr="001D1008" w:rsidRDefault="000A0A2B" w:rsidP="000A0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все перечисленные преимущества с внедрением технологии </w:t>
      </w:r>
      <w:proofErr w:type="spellStart"/>
      <w:r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связаны определенные риски, например</w:t>
      </w:r>
      <w:r w:rsidRPr="002F4743">
        <w:rPr>
          <w:rFonts w:ascii="Times New Roman" w:hAnsi="Times New Roman"/>
          <w:sz w:val="24"/>
          <w:szCs w:val="24"/>
        </w:rPr>
        <w:t xml:space="preserve">, ряд экспертов считает, что </w:t>
      </w:r>
      <w:proofErr w:type="spellStart"/>
      <w:r w:rsidRPr="002F4743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2F4743">
        <w:rPr>
          <w:rFonts w:ascii="Times New Roman" w:hAnsi="Times New Roman"/>
          <w:sz w:val="24"/>
          <w:szCs w:val="24"/>
        </w:rPr>
        <w:t>, как и другие системы автоматизации процессов, грозит потерей рабочих мест миллионам специалистов. Несмотря на то, что автоматизация выгодна в экономическом плане, с социальной точки зрения она является проблемой.</w:t>
      </w:r>
      <w:r w:rsidRPr="001D1008">
        <w:rPr>
          <w:rFonts w:ascii="Times New Roman" w:hAnsi="Times New Roman"/>
          <w:sz w:val="24"/>
          <w:szCs w:val="24"/>
        </w:rPr>
        <w:t xml:space="preserve"> Отдельный вопрос: как максимально безопасно извлечь данные из промышленных систем? Так на рынке начинает появляется отдельный класс решений, направленных на безопасное извлечение данных из промышленных сетей с сохранением безопасности их периметра.</w:t>
      </w:r>
    </w:p>
    <w:p w14:paraId="33DD4137" w14:textId="77777777" w:rsidR="000A0A2B" w:rsidRPr="001D1008" w:rsidRDefault="000A0A2B" w:rsidP="000A0A2B">
      <w:pPr>
        <w:pStyle w:val="stk-reset"/>
        <w:spacing w:before="0" w:beforeAutospacing="0" w:after="0" w:afterAutospacing="0"/>
        <w:ind w:firstLine="709"/>
        <w:contextualSpacing/>
        <w:jc w:val="both"/>
        <w:textAlignment w:val="baseline"/>
      </w:pPr>
      <w:r w:rsidRPr="001D1008">
        <w:rPr>
          <w:shd w:val="clear" w:color="auto" w:fill="FFFFFF"/>
        </w:rPr>
        <w:t xml:space="preserve">Переход промышленности на новый уровень неизбежен. Разработка и внедрение технологий, требует времени, полного пересмотра существующих систем работы, огромных усилий и финансовых вложений. Но результат их использования неизменно окупается, </w:t>
      </w:r>
      <w:r w:rsidRPr="001D1008">
        <w:rPr>
          <w:shd w:val="clear" w:color="auto" w:fill="FFFFFF"/>
        </w:rPr>
        <w:lastRenderedPageBreak/>
        <w:t xml:space="preserve">повышая </w:t>
      </w:r>
      <w:r w:rsidRPr="001D1008">
        <w:t>эффективность и производительность труда, увеличивая объемы производства и продаж, снижая издержки, нивелируя человеческий фактор. Все это многократно облегчает работу компании и дает ей весомое конкурентное преимущество на рынке.</w:t>
      </w:r>
    </w:p>
    <w:p w14:paraId="4A1BB3D8" w14:textId="77777777" w:rsidR="000A0A2B" w:rsidRPr="002F4743" w:rsidRDefault="000A0A2B" w:rsidP="000A0A2B">
      <w:pPr>
        <w:pStyle w:val="stk-reset"/>
        <w:spacing w:before="0" w:beforeAutospacing="0" w:after="0" w:afterAutospacing="0"/>
        <w:ind w:firstLine="709"/>
        <w:contextualSpacing/>
        <w:jc w:val="both"/>
        <w:textAlignment w:val="baseline"/>
      </w:pPr>
      <w:r w:rsidRPr="001D1008">
        <w:t xml:space="preserve">Таким образом, с помощью технологии </w:t>
      </w:r>
      <w:proofErr w:type="spellStart"/>
      <w:r w:rsidRPr="001D1008">
        <w:t>блокчейн</w:t>
      </w:r>
      <w:proofErr w:type="spellEnd"/>
      <w:r w:rsidRPr="001D1008">
        <w:t xml:space="preserve"> были переосмыслены подходы ко многим бизнес-процессам и внесен существенный вклад в трансформацию цифровой экономики. Следовательно, спрос на специалистов, владеющих знаниями о </w:t>
      </w:r>
      <w:proofErr w:type="spellStart"/>
      <w:r w:rsidRPr="001D1008">
        <w:t>блокчейне</w:t>
      </w:r>
      <w:proofErr w:type="spellEnd"/>
      <w:r w:rsidRPr="001D1008">
        <w:t xml:space="preserve"> и способными в ней работать, будет расти. И при правильном использовании технологии, она будет способствовать быстрому росту многих отраслей экономики, в том числе промышленности. </w:t>
      </w:r>
    </w:p>
    <w:p w14:paraId="23CF4FA5" w14:textId="77777777" w:rsidR="00061620" w:rsidRPr="006A3550" w:rsidRDefault="00061620" w:rsidP="0089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F2F2D" w14:textId="77777777" w:rsidR="00526863" w:rsidRPr="00526863" w:rsidRDefault="006A3550" w:rsidP="006A3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26863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526863" w:rsidRPr="00526863">
        <w:rPr>
          <w:rFonts w:ascii="Times New Roman" w:hAnsi="Times New Roman"/>
          <w:sz w:val="24"/>
          <w:szCs w:val="24"/>
          <w:lang w:val="en-US"/>
        </w:rPr>
        <w:t>Blockchain Market by Provider, Application (Payments, Exchanges, Smart Contracts, Documentation, Digital Identity, Supply Chain Management, and GRC Management), Organization Size, Industry Vertical, and Region - Global Forecast to 2022 [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="00526863" w:rsidRPr="00526863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="00526863" w:rsidRPr="00526863">
        <w:rPr>
          <w:rFonts w:ascii="Times New Roman" w:hAnsi="Times New Roman"/>
          <w:sz w:val="24"/>
          <w:szCs w:val="24"/>
          <w:lang w:val="en-US"/>
        </w:rPr>
        <w:t xml:space="preserve">: https://www.marketsandmarkets.com/Market-Reports/blockchain-technology-market-90100890.html. —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Датадоступа</w:t>
      </w:r>
      <w:proofErr w:type="spellEnd"/>
      <w:r w:rsidR="00526863">
        <w:rPr>
          <w:rFonts w:ascii="Times New Roman" w:hAnsi="Times New Roman"/>
          <w:sz w:val="24"/>
          <w:szCs w:val="24"/>
          <w:lang w:val="en-US"/>
        </w:rPr>
        <w:t>: 01.06.2020</w:t>
      </w:r>
    </w:p>
    <w:p w14:paraId="2431C111" w14:textId="77777777" w:rsidR="00526863" w:rsidRPr="00526863" w:rsidRDefault="006A3550" w:rsidP="006A3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863">
        <w:rPr>
          <w:rFonts w:ascii="Times New Roman" w:hAnsi="Times New Roman"/>
          <w:sz w:val="24"/>
          <w:szCs w:val="24"/>
        </w:rPr>
        <w:t xml:space="preserve">2 </w:t>
      </w:r>
      <w:r w:rsidR="00526863" w:rsidRPr="00526863">
        <w:rPr>
          <w:rFonts w:ascii="Times New Roman" w:hAnsi="Times New Roman"/>
          <w:sz w:val="24"/>
          <w:szCs w:val="24"/>
        </w:rPr>
        <w:t>Проект стратегии «Наука и технологии: 2018—2040» [Электронный ресурс]. — Режим доступа: http://nasb.gov.by/congress2/strategy_2018-2040</w:t>
      </w:r>
      <w:r w:rsidR="00526863">
        <w:rPr>
          <w:rFonts w:ascii="Times New Roman" w:hAnsi="Times New Roman"/>
          <w:sz w:val="24"/>
          <w:szCs w:val="24"/>
        </w:rPr>
        <w:t xml:space="preserve">.pdf. — Дата доступа: </w:t>
      </w:r>
      <w:r w:rsidR="00526863" w:rsidRPr="00526863">
        <w:rPr>
          <w:rFonts w:ascii="Times New Roman" w:hAnsi="Times New Roman"/>
          <w:sz w:val="24"/>
          <w:szCs w:val="24"/>
        </w:rPr>
        <w:t>01</w:t>
      </w:r>
      <w:r w:rsidR="00526863">
        <w:rPr>
          <w:rFonts w:ascii="Times New Roman" w:hAnsi="Times New Roman"/>
          <w:sz w:val="24"/>
          <w:szCs w:val="24"/>
        </w:rPr>
        <w:t>.0</w:t>
      </w:r>
      <w:r w:rsidR="00526863" w:rsidRPr="00526863">
        <w:rPr>
          <w:rFonts w:ascii="Times New Roman" w:hAnsi="Times New Roman"/>
          <w:sz w:val="24"/>
          <w:szCs w:val="24"/>
        </w:rPr>
        <w:t>6</w:t>
      </w:r>
      <w:r w:rsidR="00526863">
        <w:rPr>
          <w:rFonts w:ascii="Times New Roman" w:hAnsi="Times New Roman"/>
          <w:sz w:val="24"/>
          <w:szCs w:val="24"/>
        </w:rPr>
        <w:t>.20</w:t>
      </w:r>
      <w:r w:rsidR="00526863" w:rsidRPr="00526863">
        <w:rPr>
          <w:rFonts w:ascii="Times New Roman" w:hAnsi="Times New Roman"/>
          <w:sz w:val="24"/>
          <w:szCs w:val="24"/>
        </w:rPr>
        <w:t>20.</w:t>
      </w:r>
    </w:p>
    <w:p w14:paraId="23C87C59" w14:textId="77777777" w:rsidR="006A3550" w:rsidRPr="00526863" w:rsidRDefault="006A3550" w:rsidP="006A3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86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Industrial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IoT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Market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Size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Worth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$933.62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Billion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By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2025 [Электронный ресурс]. — Режим доступа: https://www.grandviewresearch.com/press-release/global-industrial-internet-of-things-iiot-ma</w:t>
      </w:r>
      <w:r w:rsidR="00526863">
        <w:rPr>
          <w:rFonts w:ascii="Times New Roman" w:hAnsi="Times New Roman"/>
          <w:sz w:val="24"/>
          <w:szCs w:val="24"/>
        </w:rPr>
        <w:t xml:space="preserve">rket. — Дата доступа: </w:t>
      </w:r>
      <w:r w:rsidR="00526863" w:rsidRPr="00526863">
        <w:rPr>
          <w:rFonts w:ascii="Times New Roman" w:hAnsi="Times New Roman"/>
          <w:sz w:val="24"/>
          <w:szCs w:val="24"/>
        </w:rPr>
        <w:t>01</w:t>
      </w:r>
      <w:r w:rsidR="00526863">
        <w:rPr>
          <w:rFonts w:ascii="Times New Roman" w:hAnsi="Times New Roman"/>
          <w:sz w:val="24"/>
          <w:szCs w:val="24"/>
        </w:rPr>
        <w:t>.0</w:t>
      </w:r>
      <w:r w:rsidR="00526863" w:rsidRPr="00526863">
        <w:rPr>
          <w:rFonts w:ascii="Times New Roman" w:hAnsi="Times New Roman"/>
          <w:sz w:val="24"/>
          <w:szCs w:val="24"/>
        </w:rPr>
        <w:t>6</w:t>
      </w:r>
      <w:r w:rsidR="00526863">
        <w:rPr>
          <w:rFonts w:ascii="Times New Roman" w:hAnsi="Times New Roman"/>
          <w:sz w:val="24"/>
          <w:szCs w:val="24"/>
        </w:rPr>
        <w:t>.20</w:t>
      </w:r>
      <w:r w:rsidR="00526863" w:rsidRPr="00526863">
        <w:rPr>
          <w:rFonts w:ascii="Times New Roman" w:hAnsi="Times New Roman"/>
          <w:sz w:val="24"/>
          <w:szCs w:val="24"/>
        </w:rPr>
        <w:t>20.</w:t>
      </w:r>
    </w:p>
    <w:p w14:paraId="5D572DA2" w14:textId="77777777" w:rsidR="00526863" w:rsidRPr="00526863" w:rsidRDefault="006A3550" w:rsidP="006A355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550">
        <w:rPr>
          <w:rFonts w:ascii="Times New Roman" w:hAnsi="Times New Roman"/>
          <w:sz w:val="24"/>
          <w:szCs w:val="24"/>
        </w:rPr>
        <w:t xml:space="preserve">4 </w:t>
      </w:r>
      <w:r w:rsidR="00526863" w:rsidRPr="00526863">
        <w:rPr>
          <w:rFonts w:ascii="Times New Roman" w:hAnsi="Times New Roman"/>
          <w:sz w:val="24"/>
          <w:szCs w:val="24"/>
        </w:rPr>
        <w:t xml:space="preserve">Бауэр В. П. </w:t>
      </w:r>
      <w:proofErr w:type="spellStart"/>
      <w:r w:rsidR="00526863" w:rsidRPr="00526863">
        <w:rPr>
          <w:rFonts w:ascii="Times New Roman" w:hAnsi="Times New Roman"/>
          <w:sz w:val="24"/>
          <w:szCs w:val="24"/>
        </w:rPr>
        <w:t>Блокчейн</w:t>
      </w:r>
      <w:proofErr w:type="spellEnd"/>
      <w:r w:rsidR="00526863" w:rsidRPr="00526863">
        <w:rPr>
          <w:rFonts w:ascii="Times New Roman" w:hAnsi="Times New Roman"/>
          <w:sz w:val="24"/>
          <w:szCs w:val="24"/>
        </w:rPr>
        <w:t xml:space="preserve"> как основа формирования дополненной реальности в цифровой экономике / В. П. Бауэр, С. Н. Сильвестров, П. Ю. Барышников // Информационное общество. – 2017. – № 3. – С. 30–40.</w:t>
      </w:r>
    </w:p>
    <w:p w14:paraId="747E8EBE" w14:textId="77777777" w:rsidR="00061620" w:rsidRPr="001066CB" w:rsidRDefault="006A3550" w:rsidP="006A355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550">
        <w:rPr>
          <w:rFonts w:ascii="Times New Roman" w:hAnsi="Times New Roman"/>
          <w:sz w:val="24"/>
          <w:szCs w:val="24"/>
        </w:rPr>
        <w:t>5</w:t>
      </w:r>
      <w:r w:rsidR="00C62ED7" w:rsidRPr="00C62ED7">
        <w:rPr>
          <w:rFonts w:ascii="Times New Roman" w:hAnsi="Times New Roman"/>
          <w:sz w:val="24"/>
          <w:szCs w:val="24"/>
        </w:rPr>
        <w:t>Кузнецова Л. Г. Криптовалюта p2p: безопасность или развитие // Финансы и кредит. – 2017. – № 47. – С. 2810–2822.</w:t>
      </w:r>
    </w:p>
    <w:p w14:paraId="363708A2" w14:textId="77777777" w:rsidR="00AD5CBB" w:rsidRDefault="00C62ED7" w:rsidP="00AD5CB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6 Поляков И. </w:t>
      </w:r>
      <w:proofErr w:type="spellStart"/>
      <w:r w:rsidRPr="00C62ED7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C62ED7">
        <w:rPr>
          <w:rFonts w:ascii="Times New Roman" w:hAnsi="Times New Roman"/>
          <w:sz w:val="24"/>
          <w:szCs w:val="24"/>
        </w:rPr>
        <w:t xml:space="preserve"> и инфраструктура // Рынок ценных бумаг. – 2017. – № 4. – С. 24–25.</w:t>
      </w:r>
    </w:p>
    <w:p w14:paraId="78530132" w14:textId="77777777" w:rsidR="00AD5CBB" w:rsidRPr="00AD5CBB" w:rsidRDefault="00AD5CBB" w:rsidP="00AD5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D5CBB">
        <w:rPr>
          <w:rFonts w:ascii="Times New Roman" w:hAnsi="Times New Roman"/>
          <w:sz w:val="24"/>
          <w:szCs w:val="24"/>
          <w:lang w:val="en-US"/>
        </w:rPr>
        <w:t xml:space="preserve">7 </w:t>
      </w:r>
      <w:r w:rsidRPr="00AD5CBB">
        <w:rPr>
          <w:rFonts w:ascii="Times New Roman" w:hAnsi="Times New Roman"/>
          <w:kern w:val="36"/>
          <w:sz w:val="24"/>
          <w:szCs w:val="24"/>
          <w:lang w:val="en-US"/>
        </w:rPr>
        <w:t>Blockchain: Market Shares, Strategies, and Forecasts, Worldwide, 2018 to 2024</w:t>
      </w:r>
      <w:r w:rsidRPr="00AD5CBB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0" w:history="1">
        <w:r w:rsidRPr="00AD5CBB">
          <w:rPr>
            <w:rFonts w:ascii="Times New Roman" w:hAnsi="Times New Roman"/>
            <w:sz w:val="24"/>
            <w:szCs w:val="24"/>
            <w:lang w:val="en-US"/>
          </w:rPr>
          <w:t>https://wintergreenresearch.com/blockchain</w:t>
        </w:r>
      </w:hyperlink>
      <w:r w:rsidRPr="00AD5CBB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/>
          <w:sz w:val="24"/>
          <w:szCs w:val="24"/>
        </w:rPr>
        <w:t>Датадоступа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2361CCE8" w14:textId="77777777" w:rsidR="00AD5CBB" w:rsidRPr="007A1E74" w:rsidRDefault="00AD5CBB" w:rsidP="00AD5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D5CBB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AD5CBB">
        <w:rPr>
          <w:rFonts w:ascii="Times New Roman" w:hAnsi="Times New Roman"/>
          <w:kern w:val="36"/>
          <w:sz w:val="24"/>
          <w:szCs w:val="24"/>
          <w:lang w:val="en-US"/>
        </w:rPr>
        <w:t xml:space="preserve">Trends in Blockchain and Digital </w:t>
      </w:r>
      <w:proofErr w:type="gramStart"/>
      <w:r w:rsidRPr="00AD5CBB">
        <w:rPr>
          <w:rFonts w:ascii="Times New Roman" w:hAnsi="Times New Roman"/>
          <w:kern w:val="36"/>
          <w:sz w:val="24"/>
          <w:szCs w:val="24"/>
          <w:lang w:val="en-US"/>
        </w:rPr>
        <w:t>Currency</w:t>
      </w:r>
      <w:r w:rsidR="00213B79" w:rsidRPr="00AD5CBB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proofErr w:type="gramEnd"/>
      <w:r w:rsidR="00213B79"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="00213B79" w:rsidRPr="00AD5CBB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="00213B79"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="00213B79" w:rsidRPr="00AD5CBB">
        <w:rPr>
          <w:rFonts w:ascii="Times New Roman" w:hAnsi="Times New Roman"/>
          <w:sz w:val="24"/>
          <w:szCs w:val="24"/>
          <w:lang w:val="en-US"/>
        </w:rPr>
        <w:t>:</w:t>
      </w:r>
      <w:hyperlink r:id="rId31" w:history="1">
        <w:r w:rsidR="00213B79" w:rsidRPr="00213B79">
          <w:rPr>
            <w:rFonts w:ascii="Times New Roman" w:hAnsi="Times New Roman"/>
            <w:sz w:val="24"/>
            <w:szCs w:val="24"/>
            <w:lang w:val="en-US"/>
          </w:rPr>
          <w:t>https://www.cbinsights.com/research/briefing/blockchain-trends/</w:t>
        </w:r>
      </w:hyperlink>
      <w:r w:rsidR="00213B79" w:rsidRPr="00AD5CBB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="00213B79">
        <w:rPr>
          <w:rFonts w:ascii="Times New Roman" w:hAnsi="Times New Roman"/>
          <w:sz w:val="24"/>
          <w:szCs w:val="24"/>
        </w:rPr>
        <w:t>Датадоступа</w:t>
      </w:r>
      <w:proofErr w:type="spellEnd"/>
      <w:r w:rsidR="00213B79" w:rsidRPr="00AD5CBB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79FEAFED" w14:textId="77777777" w:rsidR="00213B79" w:rsidRPr="00213B79" w:rsidRDefault="00213B79" w:rsidP="00213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13B79">
        <w:rPr>
          <w:rFonts w:ascii="Times New Roman" w:hAnsi="Times New Roman"/>
          <w:sz w:val="24"/>
          <w:szCs w:val="24"/>
          <w:lang w:val="en-US"/>
        </w:rPr>
        <w:t xml:space="preserve">9 </w:t>
      </w:r>
      <w:hyperlink r:id="rId32" w:history="1">
        <w:r w:rsidRPr="00213B79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Belarus has a favorable ecology for development of a blockchain</w:t>
        </w:r>
      </w:hyperlink>
      <w:r w:rsidRPr="00AD5CBB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>:</w:t>
      </w:r>
      <w:hyperlink r:id="rId33" w:history="1">
        <w:r w:rsidRPr="00213B79">
          <w:rPr>
            <w:rFonts w:ascii="Times New Roman" w:hAnsi="Times New Roman"/>
            <w:sz w:val="24"/>
            <w:szCs w:val="24"/>
            <w:lang w:val="en-US"/>
          </w:rPr>
          <w:t>http://coinfortoday.com/en/taxonomy/term/2178</w:t>
        </w:r>
      </w:hyperlink>
      <w:r w:rsidRPr="00AD5CBB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/>
          <w:sz w:val="24"/>
          <w:szCs w:val="24"/>
        </w:rPr>
        <w:t>Датадоступа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3AB01A86" w14:textId="77777777" w:rsidR="00896B1B" w:rsidRPr="00B55723" w:rsidRDefault="001066CB" w:rsidP="005B18D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066CB">
        <w:rPr>
          <w:rFonts w:ascii="Times New Roman" w:hAnsi="Times New Roman"/>
          <w:sz w:val="24"/>
          <w:szCs w:val="24"/>
        </w:rPr>
        <w:t>Кузнецова М</w:t>
      </w:r>
      <w:r>
        <w:rPr>
          <w:rFonts w:ascii="Times New Roman" w:hAnsi="Times New Roman"/>
          <w:sz w:val="24"/>
          <w:szCs w:val="24"/>
        </w:rPr>
        <w:t xml:space="preserve">арина </w:t>
      </w:r>
      <w:r w:rsidRPr="001066CB">
        <w:rPr>
          <w:rFonts w:ascii="Times New Roman" w:hAnsi="Times New Roman"/>
          <w:sz w:val="24"/>
          <w:szCs w:val="24"/>
        </w:rPr>
        <w:t xml:space="preserve">Владимировна, Федорович Татьяна Владимировна(Республика Беларусь, г. Минск) – студентки 2 курса факультета экономики и менеджмента, УО «Белорусский государственный экономический университет», Республика Беларусь, г. Минск, Партизанский проспект, д. 26. </w:t>
      </w:r>
      <w:hyperlink r:id="rId34" w:history="1"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mk</w:t>
        </w:r>
        <w:r w:rsidRPr="00B55723">
          <w:rPr>
            <w:rStyle w:val="ae"/>
            <w:rFonts w:ascii="Times New Roman" w:hAnsi="Times New Roman"/>
            <w:sz w:val="24"/>
            <w:szCs w:val="24"/>
            <w:lang w:val="en-US"/>
          </w:rPr>
          <w:t>221100@</w:t>
        </w:r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Pr="00B55723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B5572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5" w:history="1"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tatyanafedorovich</w:t>
        </w:r>
        <w:r w:rsidRPr="00B55723">
          <w:rPr>
            <w:rStyle w:val="ae"/>
            <w:rFonts w:ascii="Times New Roman" w:hAnsi="Times New Roman"/>
            <w:sz w:val="24"/>
            <w:szCs w:val="24"/>
            <w:lang w:val="en-US"/>
          </w:rPr>
          <w:t>200@</w:t>
        </w:r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Pr="00B55723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Pr="001066CB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10F6513D" w14:textId="77777777" w:rsidR="00896B1B" w:rsidRPr="00B55723" w:rsidRDefault="00896B1B" w:rsidP="00061620">
      <w:pPr>
        <w:pStyle w:val="Default"/>
        <w:ind w:firstLine="709"/>
        <w:jc w:val="both"/>
        <w:rPr>
          <w:lang w:val="en-US"/>
        </w:rPr>
      </w:pPr>
    </w:p>
    <w:p w14:paraId="54973A5F" w14:textId="77777777" w:rsidR="008902FA" w:rsidRPr="00AD5CBB" w:rsidRDefault="008902FA" w:rsidP="00061620">
      <w:pPr>
        <w:pStyle w:val="Default"/>
        <w:ind w:firstLine="709"/>
        <w:jc w:val="both"/>
        <w:rPr>
          <w:b/>
          <w:color w:val="auto"/>
          <w:lang w:val="en-US" w:eastAsia="ru-RU"/>
        </w:rPr>
      </w:pPr>
      <w:r w:rsidRPr="00AD5CBB">
        <w:rPr>
          <w:b/>
          <w:color w:val="auto"/>
          <w:lang w:val="en-US" w:eastAsia="ru-RU"/>
        </w:rPr>
        <w:t>THE ANALYSIS OF THE APPLICATION OF BLOCKCHAIN TECHNOLOGY IN THE INDUSTRY UNDER THE CONDITIONS OF DIGITAL TRANSFORMATION OF THE ECONOMY</w:t>
      </w:r>
    </w:p>
    <w:p w14:paraId="48A7249B" w14:textId="77777777" w:rsidR="001066CB" w:rsidRDefault="001066CB" w:rsidP="00061620">
      <w:pPr>
        <w:pStyle w:val="Default"/>
        <w:ind w:firstLine="709"/>
        <w:jc w:val="both"/>
        <w:rPr>
          <w:lang w:val="en-US"/>
        </w:rPr>
      </w:pPr>
    </w:p>
    <w:p w14:paraId="4F341CD5" w14:textId="77777777" w:rsidR="008902FA" w:rsidRPr="00896B1B" w:rsidRDefault="008902FA" w:rsidP="008902FA">
      <w:pPr>
        <w:pStyle w:val="Default"/>
        <w:ind w:firstLine="709"/>
        <w:jc w:val="center"/>
        <w:rPr>
          <w:b/>
          <w:i/>
          <w:lang w:val="en-US"/>
        </w:rPr>
      </w:pPr>
      <w:r w:rsidRPr="00896B1B">
        <w:rPr>
          <w:b/>
          <w:i/>
          <w:lang w:val="en-US"/>
        </w:rPr>
        <w:t>Abstract</w:t>
      </w:r>
    </w:p>
    <w:p w14:paraId="1D42FF02" w14:textId="77777777" w:rsidR="008902FA" w:rsidRDefault="0061087A" w:rsidP="00061620">
      <w:pPr>
        <w:pStyle w:val="Default"/>
        <w:ind w:firstLine="709"/>
        <w:jc w:val="both"/>
        <w:rPr>
          <w:i/>
          <w:color w:val="auto"/>
          <w:lang w:val="en-US"/>
        </w:rPr>
      </w:pPr>
      <w:r w:rsidRPr="0061087A">
        <w:rPr>
          <w:i/>
          <w:color w:val="auto"/>
          <w:lang w:val="en-US"/>
        </w:rPr>
        <w:t xml:space="preserve">The paper considers the prerequisites for the development of the digital economy, the use of blockchain technology in industry. </w:t>
      </w:r>
      <w:r w:rsidRPr="00896B1B">
        <w:rPr>
          <w:i/>
          <w:lang w:val="en-US"/>
        </w:rPr>
        <w:t xml:space="preserve">There is an analysis of </w:t>
      </w:r>
      <w:r>
        <w:rPr>
          <w:i/>
          <w:color w:val="auto"/>
          <w:lang w:val="en-US"/>
        </w:rPr>
        <w:t>t</w:t>
      </w:r>
      <w:r w:rsidRPr="0061087A">
        <w:rPr>
          <w:i/>
          <w:color w:val="auto"/>
          <w:lang w:val="en-US"/>
        </w:rPr>
        <w:t>he experience of implementing blockchain technology by various in</w:t>
      </w:r>
      <w:r>
        <w:rPr>
          <w:i/>
          <w:color w:val="auto"/>
          <w:lang w:val="en-US"/>
        </w:rPr>
        <w:t>dustrial enterprises</w:t>
      </w:r>
      <w:r w:rsidRPr="0061087A">
        <w:rPr>
          <w:i/>
          <w:color w:val="auto"/>
          <w:lang w:val="en-US"/>
        </w:rPr>
        <w:t xml:space="preserve">. The advantages of using blockchain </w:t>
      </w:r>
      <w:r>
        <w:rPr>
          <w:i/>
          <w:color w:val="auto"/>
          <w:lang w:val="en-US"/>
        </w:rPr>
        <w:t>systems and the main problems in</w:t>
      </w:r>
      <w:r w:rsidRPr="0061087A">
        <w:rPr>
          <w:i/>
          <w:color w:val="auto"/>
          <w:lang w:val="en-US"/>
        </w:rPr>
        <w:t xml:space="preserve"> using</w:t>
      </w:r>
      <w:r>
        <w:rPr>
          <w:i/>
          <w:color w:val="auto"/>
          <w:lang w:val="en-US"/>
        </w:rPr>
        <w:t xml:space="preserve"> of</w:t>
      </w:r>
      <w:r w:rsidRPr="0061087A">
        <w:rPr>
          <w:i/>
          <w:color w:val="auto"/>
          <w:lang w:val="en-US"/>
        </w:rPr>
        <w:t xml:space="preserve"> the technology are considered.</w:t>
      </w:r>
    </w:p>
    <w:p w14:paraId="2E3DAB39" w14:textId="77777777" w:rsidR="0061087A" w:rsidRDefault="0061087A" w:rsidP="00061620">
      <w:pPr>
        <w:pStyle w:val="Default"/>
        <w:ind w:firstLine="709"/>
        <w:jc w:val="both"/>
        <w:rPr>
          <w:i/>
          <w:color w:val="auto"/>
          <w:lang w:val="en-US"/>
        </w:rPr>
      </w:pPr>
      <w:proofErr w:type="spellStart"/>
      <w:proofErr w:type="gramStart"/>
      <w:r w:rsidRPr="00896B1B">
        <w:rPr>
          <w:b/>
          <w:i/>
          <w:lang w:val="en-US"/>
        </w:rPr>
        <w:t>Keywords:</w:t>
      </w:r>
      <w:r w:rsidRPr="0061087A">
        <w:rPr>
          <w:i/>
          <w:color w:val="auto"/>
          <w:lang w:val="en-US"/>
        </w:rPr>
        <w:t>blockchain</w:t>
      </w:r>
      <w:proofErr w:type="spellEnd"/>
      <w:proofErr w:type="gramEnd"/>
      <w:r w:rsidRPr="0061087A">
        <w:rPr>
          <w:i/>
          <w:color w:val="auto"/>
          <w:lang w:val="en-US"/>
        </w:rPr>
        <w:t xml:space="preserve"> technology, blockchain in industry, digital economy, innovation, technology.</w:t>
      </w:r>
    </w:p>
    <w:p w14:paraId="0EDE65BA" w14:textId="77777777" w:rsidR="0061087A" w:rsidRDefault="0061087A" w:rsidP="00061620">
      <w:pPr>
        <w:pStyle w:val="Default"/>
        <w:ind w:firstLine="709"/>
        <w:jc w:val="both"/>
        <w:rPr>
          <w:i/>
          <w:color w:val="auto"/>
          <w:lang w:val="en-US"/>
        </w:rPr>
      </w:pPr>
    </w:p>
    <w:p w14:paraId="04F15702" w14:textId="77777777" w:rsidR="005B18D4" w:rsidRPr="00526863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26863">
        <w:rPr>
          <w:rFonts w:ascii="Times New Roman" w:hAnsi="Times New Roman"/>
          <w:sz w:val="24"/>
          <w:szCs w:val="24"/>
          <w:lang w:val="en-US"/>
        </w:rPr>
        <w:t>1 Blockchain Market by Provider, Application (Payments, Exchanges, Smart Contracts, Documentation, Digital Identity, Supply Chain Management, and GRC Management), Organization Size, Industry Vertical, and Region - Global Forecast to 2022 [</w:t>
      </w:r>
      <w:proofErr w:type="spellStart"/>
      <w:r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Pr="00526863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Pr="00526863">
        <w:rPr>
          <w:rFonts w:ascii="Times New Roman" w:hAnsi="Times New Roman"/>
          <w:sz w:val="24"/>
          <w:szCs w:val="24"/>
          <w:lang w:val="en-US"/>
        </w:rPr>
        <w:t xml:space="preserve">: https://www.marketsandmarkets.com/Market-Reports/blockchain-technology-market-90100890.html. — </w:t>
      </w:r>
      <w:r w:rsidRPr="00061620">
        <w:rPr>
          <w:rFonts w:ascii="Times New Roman" w:hAnsi="Times New Roman"/>
          <w:sz w:val="24"/>
          <w:szCs w:val="24"/>
          <w:lang w:val="en-US"/>
        </w:rPr>
        <w:t xml:space="preserve">Date of access: </w:t>
      </w:r>
      <w:r>
        <w:rPr>
          <w:rFonts w:ascii="Times New Roman" w:hAnsi="Times New Roman"/>
          <w:sz w:val="24"/>
          <w:szCs w:val="24"/>
          <w:lang w:val="en-US"/>
        </w:rPr>
        <w:t>01.06.2020</w:t>
      </w:r>
    </w:p>
    <w:p w14:paraId="39A39150" w14:textId="77777777" w:rsidR="005B18D4" w:rsidRPr="005B18D4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B18D4">
        <w:rPr>
          <w:rFonts w:ascii="Times New Roman" w:hAnsi="Times New Roman"/>
          <w:sz w:val="24"/>
          <w:szCs w:val="24"/>
          <w:lang w:val="en-US"/>
        </w:rPr>
        <w:t xml:space="preserve">2 The draft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5B18D4">
        <w:rPr>
          <w:rFonts w:ascii="Times New Roman" w:hAnsi="Times New Roman"/>
          <w:sz w:val="24"/>
          <w:szCs w:val="24"/>
          <w:lang w:val="en-US"/>
        </w:rPr>
        <w:t xml:space="preserve">strategy "Science and Technology: 2018-2040" [Electronic resource]. - Access </w:t>
      </w:r>
      <w:proofErr w:type="spellStart"/>
      <w:proofErr w:type="gramStart"/>
      <w:r w:rsidRPr="005B18D4">
        <w:rPr>
          <w:rFonts w:ascii="Times New Roman" w:hAnsi="Times New Roman"/>
          <w:sz w:val="24"/>
          <w:szCs w:val="24"/>
          <w:lang w:val="en-US"/>
        </w:rPr>
        <w:t>mode:http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://nasb.gov.by/congress2/strategy_2018-2040.pdf</w:t>
      </w:r>
      <w:proofErr w:type="gramEnd"/>
      <w:r w:rsidRPr="005B18D4">
        <w:rPr>
          <w:rFonts w:ascii="Times New Roman" w:hAnsi="Times New Roman"/>
          <w:sz w:val="24"/>
          <w:szCs w:val="24"/>
          <w:lang w:val="en-US"/>
        </w:rPr>
        <w:t xml:space="preserve">. — </w:t>
      </w:r>
      <w:proofErr w:type="spellStart"/>
      <w:r w:rsidRPr="00061620">
        <w:rPr>
          <w:rFonts w:ascii="Times New Roman" w:hAnsi="Times New Roman"/>
          <w:sz w:val="24"/>
          <w:szCs w:val="24"/>
          <w:lang w:val="en-US"/>
        </w:rPr>
        <w:t>Dateofaccess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530A7CA2" w14:textId="77777777" w:rsidR="005B18D4" w:rsidRPr="005B18D4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B18D4">
        <w:rPr>
          <w:rFonts w:ascii="Times New Roman" w:hAnsi="Times New Roman"/>
          <w:sz w:val="24"/>
          <w:szCs w:val="24"/>
          <w:lang w:val="en-US"/>
        </w:rPr>
        <w:t>3 Industrial IoT Market Size Worth $933.62 Billion By 2025 [</w:t>
      </w:r>
      <w:proofErr w:type="spellStart"/>
      <w:r w:rsidRPr="00526863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 xml:space="preserve">]. — </w:t>
      </w:r>
      <w:proofErr w:type="spellStart"/>
      <w:r w:rsidRPr="00526863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 xml:space="preserve">: https://www.grandviewresearch.com/press-release/global-industrial-internet-of-things-iiot-market. — </w:t>
      </w:r>
      <w:r w:rsidRPr="00061620">
        <w:rPr>
          <w:rFonts w:ascii="Times New Roman" w:hAnsi="Times New Roman"/>
          <w:sz w:val="24"/>
          <w:szCs w:val="24"/>
          <w:lang w:val="en-US"/>
        </w:rPr>
        <w:t xml:space="preserve">Date of access: </w:t>
      </w:r>
      <w:r w:rsidRPr="005B18D4">
        <w:rPr>
          <w:rFonts w:ascii="Times New Roman" w:hAnsi="Times New Roman"/>
          <w:sz w:val="24"/>
          <w:szCs w:val="24"/>
          <w:lang w:val="en-US"/>
        </w:rPr>
        <w:t>01.06.2020.</w:t>
      </w:r>
    </w:p>
    <w:p w14:paraId="545C3322" w14:textId="77777777" w:rsidR="005B18D4" w:rsidRPr="005B18D4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B18D4">
        <w:rPr>
          <w:rFonts w:ascii="Times New Roman" w:hAnsi="Times New Roman"/>
          <w:sz w:val="24"/>
          <w:szCs w:val="24"/>
          <w:lang w:val="en-US"/>
        </w:rPr>
        <w:t xml:space="preserve">4 Bauer V.P. Blockchain as the basis for the formation of augmented reality in the digital economy / V.P. Bauer, S.N. </w:t>
      </w:r>
      <w:proofErr w:type="spellStart"/>
      <w:r w:rsidRPr="005B18D4">
        <w:rPr>
          <w:rFonts w:ascii="Times New Roman" w:hAnsi="Times New Roman"/>
          <w:sz w:val="24"/>
          <w:szCs w:val="24"/>
          <w:lang w:val="en-US"/>
        </w:rPr>
        <w:t>Silvestrov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 xml:space="preserve">, P. Yu. Baryshnikov // Information </w:t>
      </w:r>
      <w:proofErr w:type="gramStart"/>
      <w:r w:rsidRPr="005B18D4">
        <w:rPr>
          <w:rFonts w:ascii="Times New Roman" w:hAnsi="Times New Roman"/>
          <w:sz w:val="24"/>
          <w:szCs w:val="24"/>
          <w:lang w:val="en-US"/>
        </w:rPr>
        <w:t>Society.–</w:t>
      </w:r>
      <w:proofErr w:type="gramEnd"/>
      <w:r w:rsidRPr="005B18D4">
        <w:rPr>
          <w:rFonts w:ascii="Times New Roman" w:hAnsi="Times New Roman"/>
          <w:sz w:val="24"/>
          <w:szCs w:val="24"/>
          <w:lang w:val="en-US"/>
        </w:rPr>
        <w:t xml:space="preserve"> 2017. – № 3.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B18D4">
        <w:rPr>
          <w:rFonts w:ascii="Times New Roman" w:hAnsi="Times New Roman"/>
          <w:sz w:val="24"/>
          <w:szCs w:val="24"/>
          <w:lang w:val="en-US"/>
        </w:rPr>
        <w:t>. 30–40.</w:t>
      </w:r>
    </w:p>
    <w:p w14:paraId="702288D9" w14:textId="77777777" w:rsidR="005B18D4" w:rsidRPr="005B18D4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B18D4">
        <w:rPr>
          <w:rFonts w:ascii="Times New Roman" w:hAnsi="Times New Roman"/>
          <w:sz w:val="24"/>
          <w:szCs w:val="24"/>
          <w:lang w:val="en-US"/>
        </w:rPr>
        <w:t xml:space="preserve">5 Kuznetsova L.G. Cryptocurrency p2p: security or development // Finance and </w:t>
      </w:r>
      <w:proofErr w:type="gramStart"/>
      <w:r w:rsidRPr="005B18D4">
        <w:rPr>
          <w:rFonts w:ascii="Times New Roman" w:hAnsi="Times New Roman"/>
          <w:sz w:val="24"/>
          <w:szCs w:val="24"/>
          <w:lang w:val="en-US"/>
        </w:rPr>
        <w:t>Credit.–</w:t>
      </w:r>
      <w:proofErr w:type="gramEnd"/>
      <w:r w:rsidRPr="005B18D4">
        <w:rPr>
          <w:rFonts w:ascii="Times New Roman" w:hAnsi="Times New Roman"/>
          <w:sz w:val="24"/>
          <w:szCs w:val="24"/>
          <w:lang w:val="en-US"/>
        </w:rPr>
        <w:t xml:space="preserve"> 2017. – № 47.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B18D4">
        <w:rPr>
          <w:rFonts w:ascii="Times New Roman" w:hAnsi="Times New Roman"/>
          <w:sz w:val="24"/>
          <w:szCs w:val="24"/>
          <w:lang w:val="en-US"/>
        </w:rPr>
        <w:t xml:space="preserve">. 2810–2822. </w:t>
      </w:r>
    </w:p>
    <w:p w14:paraId="77E8E371" w14:textId="77777777" w:rsidR="005B18D4" w:rsidRPr="007A1E74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B18D4">
        <w:rPr>
          <w:rFonts w:ascii="Times New Roman" w:hAnsi="Times New Roman"/>
          <w:sz w:val="24"/>
          <w:szCs w:val="24"/>
          <w:lang w:val="en-US"/>
        </w:rPr>
        <w:t xml:space="preserve">6 Polyakov I. Blockchain and infrastructure // Securities </w:t>
      </w:r>
      <w:proofErr w:type="gramStart"/>
      <w:r w:rsidRPr="005B18D4">
        <w:rPr>
          <w:rFonts w:ascii="Times New Roman" w:hAnsi="Times New Roman"/>
          <w:sz w:val="24"/>
          <w:szCs w:val="24"/>
          <w:lang w:val="en-US"/>
        </w:rPr>
        <w:t>Market.–</w:t>
      </w:r>
      <w:proofErr w:type="gramEnd"/>
      <w:r w:rsidRPr="005B18D4">
        <w:rPr>
          <w:rFonts w:ascii="Times New Roman" w:hAnsi="Times New Roman"/>
          <w:sz w:val="24"/>
          <w:szCs w:val="24"/>
          <w:lang w:val="en-US"/>
        </w:rPr>
        <w:t xml:space="preserve"> 2017. – № 4. –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B18D4">
        <w:rPr>
          <w:rFonts w:ascii="Times New Roman" w:hAnsi="Times New Roman"/>
          <w:sz w:val="24"/>
          <w:szCs w:val="24"/>
          <w:lang w:val="en-US"/>
        </w:rPr>
        <w:t>. 24–25.</w:t>
      </w:r>
    </w:p>
    <w:p w14:paraId="3C6A5492" w14:textId="77777777" w:rsidR="00213B79" w:rsidRPr="00213B79" w:rsidRDefault="00213B79" w:rsidP="00213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D5CBB">
        <w:rPr>
          <w:rFonts w:ascii="Times New Roman" w:hAnsi="Times New Roman"/>
          <w:sz w:val="24"/>
          <w:szCs w:val="24"/>
          <w:lang w:val="en-US"/>
        </w:rPr>
        <w:t xml:space="preserve">7 </w:t>
      </w:r>
      <w:r w:rsidRPr="00AD5CBB">
        <w:rPr>
          <w:rFonts w:ascii="Times New Roman" w:hAnsi="Times New Roman"/>
          <w:kern w:val="36"/>
          <w:sz w:val="24"/>
          <w:szCs w:val="24"/>
          <w:lang w:val="en-US"/>
        </w:rPr>
        <w:t xml:space="preserve">Blockchain: Market Shares, Strategies, and Forecasts, Worldwide, 2018 to 2024 </w:t>
      </w:r>
      <w:r w:rsidRPr="005B18D4">
        <w:rPr>
          <w:rFonts w:ascii="Times New Roman" w:hAnsi="Times New Roman"/>
          <w:sz w:val="24"/>
          <w:szCs w:val="24"/>
          <w:lang w:val="en-US"/>
        </w:rPr>
        <w:t xml:space="preserve">[Electronic resource]. - Access </w:t>
      </w:r>
      <w:proofErr w:type="spellStart"/>
      <w:r w:rsidRPr="005B18D4">
        <w:rPr>
          <w:rFonts w:ascii="Times New Roman" w:hAnsi="Times New Roman"/>
          <w:sz w:val="24"/>
          <w:szCs w:val="24"/>
          <w:lang w:val="en-US"/>
        </w:rPr>
        <w:t>mode:</w:t>
      </w:r>
      <w:hyperlink r:id="rId36" w:history="1">
        <w:r w:rsidRPr="00AD5CBB">
          <w:rPr>
            <w:rFonts w:ascii="Times New Roman" w:hAnsi="Times New Roman"/>
            <w:sz w:val="24"/>
            <w:szCs w:val="24"/>
            <w:lang w:val="en-US"/>
          </w:rPr>
          <w:t>https</w:t>
        </w:r>
        <w:proofErr w:type="spellEnd"/>
        <w:r w:rsidRPr="00AD5CBB">
          <w:rPr>
            <w:rFonts w:ascii="Times New Roman" w:hAnsi="Times New Roman"/>
            <w:sz w:val="24"/>
            <w:szCs w:val="24"/>
            <w:lang w:val="en-US"/>
          </w:rPr>
          <w:t>://wintergreenresearch.com/blockchain</w:t>
        </w:r>
      </w:hyperlink>
      <w:r w:rsidRPr="00AD5CBB">
        <w:rPr>
          <w:rFonts w:ascii="Times New Roman" w:hAnsi="Times New Roman"/>
          <w:sz w:val="24"/>
          <w:szCs w:val="24"/>
          <w:lang w:val="en-US"/>
        </w:rPr>
        <w:t>—</w:t>
      </w:r>
      <w:proofErr w:type="spellStart"/>
      <w:r w:rsidRPr="00061620">
        <w:rPr>
          <w:rFonts w:ascii="Times New Roman" w:hAnsi="Times New Roman"/>
          <w:sz w:val="24"/>
          <w:szCs w:val="24"/>
          <w:lang w:val="en-US"/>
        </w:rPr>
        <w:t>Dateofaccess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563B3BE1" w14:textId="77777777" w:rsidR="00213B79" w:rsidRPr="00213B79" w:rsidRDefault="00213B79" w:rsidP="00213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13B79"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spellStart"/>
      <w:proofErr w:type="gramStart"/>
      <w:r w:rsidRPr="00AD5CBB">
        <w:rPr>
          <w:rFonts w:ascii="Times New Roman" w:hAnsi="Times New Roman"/>
          <w:kern w:val="36"/>
          <w:sz w:val="24"/>
          <w:szCs w:val="24"/>
          <w:lang w:val="en-US"/>
        </w:rPr>
        <w:t>TrendsinBlockchainandDigitalCurrency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[</w:t>
      </w:r>
      <w:proofErr w:type="gramEnd"/>
      <w:r w:rsidRPr="005B18D4">
        <w:rPr>
          <w:rFonts w:ascii="Times New Roman" w:hAnsi="Times New Roman"/>
          <w:sz w:val="24"/>
          <w:szCs w:val="24"/>
          <w:lang w:val="en-US"/>
        </w:rPr>
        <w:t>Electronic resource]. - Access mode:</w:t>
      </w:r>
      <w:hyperlink r:id="rId37" w:history="1">
        <w:r w:rsidRPr="00213B79">
          <w:rPr>
            <w:rFonts w:ascii="Times New Roman" w:hAnsi="Times New Roman"/>
            <w:sz w:val="24"/>
            <w:szCs w:val="24"/>
            <w:lang w:val="en-US"/>
          </w:rPr>
          <w:t>https://www.cbinsights.com/research/briefing/blockchain-trends/</w:t>
        </w:r>
      </w:hyperlink>
      <w:r w:rsidRPr="00213B79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061620">
        <w:rPr>
          <w:rFonts w:ascii="Times New Roman" w:hAnsi="Times New Roman"/>
          <w:sz w:val="24"/>
          <w:szCs w:val="24"/>
          <w:lang w:val="en-US"/>
        </w:rPr>
        <w:t>Dateofaccess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39751495" w14:textId="084AD99E" w:rsidR="00213B79" w:rsidRPr="00213B79" w:rsidRDefault="00213B79" w:rsidP="00213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13B79">
        <w:rPr>
          <w:rFonts w:ascii="Times New Roman" w:hAnsi="Times New Roman"/>
          <w:sz w:val="24"/>
          <w:szCs w:val="24"/>
          <w:lang w:val="en-US"/>
        </w:rPr>
        <w:t xml:space="preserve">9 </w:t>
      </w:r>
      <w:hyperlink r:id="rId38" w:history="1">
        <w:r w:rsidRPr="00213B79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Belarus has a favorable ecology for development of  blockchain</w:t>
        </w:r>
      </w:hyperlink>
      <w:r w:rsidRPr="005B18D4">
        <w:rPr>
          <w:rFonts w:ascii="Times New Roman" w:hAnsi="Times New Roman"/>
          <w:sz w:val="24"/>
          <w:szCs w:val="24"/>
          <w:lang w:val="en-US"/>
        </w:rPr>
        <w:t xml:space="preserve">[Electronic resource]. - Access </w:t>
      </w:r>
      <w:proofErr w:type="spellStart"/>
      <w:r w:rsidRPr="005B18D4">
        <w:rPr>
          <w:rFonts w:ascii="Times New Roman" w:hAnsi="Times New Roman"/>
          <w:sz w:val="24"/>
          <w:szCs w:val="24"/>
          <w:lang w:val="en-US"/>
        </w:rPr>
        <w:t>mode:</w:t>
      </w:r>
      <w:hyperlink r:id="rId39" w:history="1">
        <w:r w:rsidRPr="00213B79">
          <w:rPr>
            <w:rFonts w:ascii="Times New Roman" w:hAnsi="Times New Roman"/>
            <w:sz w:val="24"/>
            <w:szCs w:val="24"/>
            <w:lang w:val="en-US"/>
          </w:rPr>
          <w:t>http</w:t>
        </w:r>
        <w:proofErr w:type="spellEnd"/>
        <w:r w:rsidRPr="00213B79">
          <w:rPr>
            <w:rFonts w:ascii="Times New Roman" w:hAnsi="Times New Roman"/>
            <w:sz w:val="24"/>
            <w:szCs w:val="24"/>
            <w:lang w:val="en-US"/>
          </w:rPr>
          <w:t>://coinfortoday.com/</w:t>
        </w:r>
        <w:proofErr w:type="spellStart"/>
        <w:r w:rsidRPr="00213B79">
          <w:rPr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Pr="00213B79">
          <w:rPr>
            <w:rFonts w:ascii="Times New Roman" w:hAnsi="Times New Roman"/>
            <w:sz w:val="24"/>
            <w:szCs w:val="24"/>
            <w:lang w:val="en-US"/>
          </w:rPr>
          <w:t>/taxonomy/term/2178</w:t>
        </w:r>
      </w:hyperlink>
      <w:r w:rsidRPr="00AD5CBB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061620">
        <w:rPr>
          <w:rFonts w:ascii="Times New Roman" w:hAnsi="Times New Roman"/>
          <w:sz w:val="24"/>
          <w:szCs w:val="24"/>
          <w:lang w:val="en-US"/>
        </w:rPr>
        <w:t>Dateofaccess</w:t>
      </w:r>
      <w:proofErr w:type="spellEnd"/>
      <w:r w:rsidRPr="005B18D4">
        <w:rPr>
          <w:rFonts w:ascii="Times New Roman" w:hAnsi="Times New Roman"/>
          <w:sz w:val="24"/>
          <w:szCs w:val="24"/>
          <w:lang w:val="en-US"/>
        </w:rPr>
        <w:t>: 01.06.2020.</w:t>
      </w:r>
    </w:p>
    <w:p w14:paraId="5BA37CE8" w14:textId="375861C2" w:rsidR="0061087A" w:rsidRPr="00213B79" w:rsidRDefault="005B18D4" w:rsidP="005B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D5CBB">
        <w:rPr>
          <w:rFonts w:ascii="Times New Roman" w:hAnsi="Times New Roman"/>
          <w:sz w:val="24"/>
          <w:szCs w:val="24"/>
          <w:lang w:val="en-US"/>
        </w:rPr>
        <w:t xml:space="preserve">Kuznetsova Marina Vladimirovna, </w:t>
      </w:r>
      <w:proofErr w:type="spellStart"/>
      <w:r w:rsidRPr="00AD5CBB">
        <w:rPr>
          <w:rFonts w:ascii="Times New Roman" w:hAnsi="Times New Roman"/>
          <w:sz w:val="24"/>
          <w:szCs w:val="24"/>
          <w:lang w:val="en-US"/>
        </w:rPr>
        <w:t>Fedorovich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 xml:space="preserve"> Tatyana Vladimirovna (Republic of Belarus, Minsk) - 2nd year students of the School of Economics and Management, Belarusian State Economic University, Republic of Belarus, Minsk, </w:t>
      </w:r>
      <w:proofErr w:type="spellStart"/>
      <w:r w:rsidRPr="00AD5CBB">
        <w:rPr>
          <w:rFonts w:ascii="Times New Roman" w:hAnsi="Times New Roman"/>
          <w:sz w:val="24"/>
          <w:szCs w:val="24"/>
          <w:lang w:val="en-US"/>
        </w:rPr>
        <w:t>Partizansky</w:t>
      </w:r>
      <w:proofErr w:type="spellEnd"/>
      <w:r w:rsidRPr="00AD5CBB">
        <w:rPr>
          <w:rFonts w:ascii="Times New Roman" w:hAnsi="Times New Roman"/>
          <w:sz w:val="24"/>
          <w:szCs w:val="24"/>
          <w:lang w:val="en-US"/>
        </w:rPr>
        <w:t xml:space="preserve"> Avenue, d.26. </w:t>
      </w:r>
      <w:hyperlink r:id="rId40" w:history="1">
        <w:r w:rsidRPr="00213B79">
          <w:rPr>
            <w:rFonts w:ascii="Times New Roman" w:hAnsi="Times New Roman"/>
            <w:sz w:val="24"/>
            <w:szCs w:val="24"/>
            <w:lang w:val="en-US"/>
          </w:rPr>
          <w:t>mk221100@gmail.com</w:t>
        </w:r>
      </w:hyperlink>
      <w:r w:rsidRPr="00213B79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1" w:history="1">
        <w:r w:rsidRPr="00213B79">
          <w:rPr>
            <w:rFonts w:ascii="Times New Roman" w:hAnsi="Times New Roman"/>
            <w:sz w:val="24"/>
            <w:szCs w:val="24"/>
            <w:lang w:val="en-US"/>
          </w:rPr>
          <w:t>tatyanafedorovich200@gmail.com</w:t>
        </w:r>
      </w:hyperlink>
    </w:p>
    <w:sectPr w:rsidR="0061087A" w:rsidRPr="00213B79" w:rsidSect="00D42DA2">
      <w:footerReference w:type="default" r:id="rId4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F2D8" w14:textId="77777777" w:rsidR="000038D8" w:rsidRDefault="000038D8" w:rsidP="00547AE0">
      <w:pPr>
        <w:spacing w:after="0" w:line="240" w:lineRule="auto"/>
      </w:pPr>
      <w:r>
        <w:separator/>
      </w:r>
    </w:p>
  </w:endnote>
  <w:endnote w:type="continuationSeparator" w:id="0">
    <w:p w14:paraId="583B2DC4" w14:textId="77777777" w:rsidR="000038D8" w:rsidRDefault="000038D8" w:rsidP="0054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9372" w14:textId="77777777" w:rsidR="001066CB" w:rsidRDefault="00A97CD1">
    <w:pPr>
      <w:pStyle w:val="aa"/>
      <w:jc w:val="center"/>
    </w:pPr>
    <w:r>
      <w:fldChar w:fldCharType="begin"/>
    </w:r>
    <w:r w:rsidR="001066CB">
      <w:instrText xml:space="preserve"> PAGE   \* MERGEFORMAT </w:instrText>
    </w:r>
    <w:r>
      <w:fldChar w:fldCharType="separate"/>
    </w:r>
    <w:r w:rsidR="007A1E74">
      <w:rPr>
        <w:noProof/>
      </w:rPr>
      <w:t>2</w:t>
    </w:r>
    <w:r>
      <w:rPr>
        <w:noProof/>
      </w:rPr>
      <w:fldChar w:fldCharType="end"/>
    </w:r>
  </w:p>
  <w:p w14:paraId="09C268D7" w14:textId="77777777" w:rsidR="001066CB" w:rsidRDefault="001066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9B08" w14:textId="77777777" w:rsidR="000038D8" w:rsidRDefault="000038D8" w:rsidP="00547AE0">
      <w:pPr>
        <w:spacing w:after="0" w:line="240" w:lineRule="auto"/>
      </w:pPr>
      <w:r>
        <w:separator/>
      </w:r>
    </w:p>
  </w:footnote>
  <w:footnote w:type="continuationSeparator" w:id="0">
    <w:p w14:paraId="58F5508A" w14:textId="77777777" w:rsidR="000038D8" w:rsidRDefault="000038D8" w:rsidP="0054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538"/>
    <w:multiLevelType w:val="hybridMultilevel"/>
    <w:tmpl w:val="428EC658"/>
    <w:lvl w:ilvl="0" w:tplc="08727EB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A292FCB"/>
    <w:multiLevelType w:val="hybridMultilevel"/>
    <w:tmpl w:val="4AE6C74A"/>
    <w:lvl w:ilvl="0" w:tplc="56A8F9D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F3737"/>
    <w:multiLevelType w:val="hybridMultilevel"/>
    <w:tmpl w:val="02886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9083C"/>
    <w:multiLevelType w:val="hybridMultilevel"/>
    <w:tmpl w:val="137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F241A3"/>
    <w:multiLevelType w:val="hybridMultilevel"/>
    <w:tmpl w:val="EA6CE67A"/>
    <w:lvl w:ilvl="0" w:tplc="B1A204B4">
      <w:start w:val="17"/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D6"/>
    <w:rsid w:val="000038D8"/>
    <w:rsid w:val="00061620"/>
    <w:rsid w:val="000717C1"/>
    <w:rsid w:val="00075262"/>
    <w:rsid w:val="000A0A2B"/>
    <w:rsid w:val="000A588C"/>
    <w:rsid w:val="001066CB"/>
    <w:rsid w:val="00136F20"/>
    <w:rsid w:val="0014400A"/>
    <w:rsid w:val="00164507"/>
    <w:rsid w:val="00213B79"/>
    <w:rsid w:val="002B483F"/>
    <w:rsid w:val="002B518E"/>
    <w:rsid w:val="003C79F4"/>
    <w:rsid w:val="003D6FBE"/>
    <w:rsid w:val="0044357A"/>
    <w:rsid w:val="00444622"/>
    <w:rsid w:val="004C64CC"/>
    <w:rsid w:val="005041DA"/>
    <w:rsid w:val="00526863"/>
    <w:rsid w:val="00547AE0"/>
    <w:rsid w:val="005B18D4"/>
    <w:rsid w:val="005D6D06"/>
    <w:rsid w:val="0061087A"/>
    <w:rsid w:val="006435B7"/>
    <w:rsid w:val="006A3550"/>
    <w:rsid w:val="006F2300"/>
    <w:rsid w:val="00716B1E"/>
    <w:rsid w:val="0074738D"/>
    <w:rsid w:val="0077782C"/>
    <w:rsid w:val="007A1E74"/>
    <w:rsid w:val="007A7846"/>
    <w:rsid w:val="007C478F"/>
    <w:rsid w:val="007E4CA3"/>
    <w:rsid w:val="00801EC8"/>
    <w:rsid w:val="008902FA"/>
    <w:rsid w:val="00896B1B"/>
    <w:rsid w:val="008A283B"/>
    <w:rsid w:val="00907291"/>
    <w:rsid w:val="009427E0"/>
    <w:rsid w:val="009A068A"/>
    <w:rsid w:val="009B77AC"/>
    <w:rsid w:val="009C7EDD"/>
    <w:rsid w:val="00A001F9"/>
    <w:rsid w:val="00A50378"/>
    <w:rsid w:val="00A51060"/>
    <w:rsid w:val="00A97CD1"/>
    <w:rsid w:val="00AC18A4"/>
    <w:rsid w:val="00AD54DF"/>
    <w:rsid w:val="00AD5CBB"/>
    <w:rsid w:val="00B07A9A"/>
    <w:rsid w:val="00B169DB"/>
    <w:rsid w:val="00B55723"/>
    <w:rsid w:val="00B92970"/>
    <w:rsid w:val="00B9624A"/>
    <w:rsid w:val="00BB1FE8"/>
    <w:rsid w:val="00BD0D56"/>
    <w:rsid w:val="00BD2C47"/>
    <w:rsid w:val="00C41BB1"/>
    <w:rsid w:val="00C421D5"/>
    <w:rsid w:val="00C43F02"/>
    <w:rsid w:val="00C62ED7"/>
    <w:rsid w:val="00CA4CB1"/>
    <w:rsid w:val="00CC1A65"/>
    <w:rsid w:val="00D227EE"/>
    <w:rsid w:val="00D42DA2"/>
    <w:rsid w:val="00D66FB3"/>
    <w:rsid w:val="00DD1B4D"/>
    <w:rsid w:val="00DE6247"/>
    <w:rsid w:val="00E31A1D"/>
    <w:rsid w:val="00EB7CD6"/>
    <w:rsid w:val="00EC6EBD"/>
    <w:rsid w:val="00F56571"/>
    <w:rsid w:val="00F71B9A"/>
    <w:rsid w:val="00FC6DFC"/>
    <w:rsid w:val="00FC7B3F"/>
    <w:rsid w:val="00FD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D13A"/>
  <w15:docId w15:val="{89105F0E-978D-4898-A73B-5606467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D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D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0D5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BD0D56"/>
    <w:pPr>
      <w:spacing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BD0D5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0378"/>
    <w:pPr>
      <w:spacing w:after="160" w:line="259" w:lineRule="auto"/>
      <w:ind w:left="720"/>
      <w:contextualSpacing/>
    </w:pPr>
    <w:rPr>
      <w:lang w:eastAsia="en-US"/>
    </w:rPr>
  </w:style>
  <w:style w:type="paragraph" w:styleId="a8">
    <w:name w:val="header"/>
    <w:basedOn w:val="a"/>
    <w:link w:val="a9"/>
    <w:uiPriority w:val="99"/>
    <w:semiHidden/>
    <w:rsid w:val="0054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47AE0"/>
    <w:rPr>
      <w:rFonts w:cs="Times New Roman"/>
    </w:rPr>
  </w:style>
  <w:style w:type="paragraph" w:styleId="aa">
    <w:name w:val="footer"/>
    <w:basedOn w:val="a"/>
    <w:link w:val="ab"/>
    <w:uiPriority w:val="99"/>
    <w:rsid w:val="0054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47AE0"/>
    <w:rPr>
      <w:rFonts w:cs="Times New Roman"/>
    </w:rPr>
  </w:style>
  <w:style w:type="paragraph" w:styleId="ac">
    <w:name w:val="No Spacing"/>
    <w:link w:val="ad"/>
    <w:uiPriority w:val="99"/>
    <w:qFormat/>
    <w:rsid w:val="00EC6EBD"/>
    <w:rPr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EC6EBD"/>
    <w:rPr>
      <w:sz w:val="22"/>
      <w:szCs w:val="22"/>
      <w:lang w:val="ru-RU" w:eastAsia="ru-RU" w:bidi="ar-SA"/>
    </w:rPr>
  </w:style>
  <w:style w:type="paragraph" w:customStyle="1" w:styleId="Pa13">
    <w:name w:val="Pa13"/>
    <w:basedOn w:val="a"/>
    <w:next w:val="a"/>
    <w:uiPriority w:val="99"/>
    <w:rsid w:val="002B518E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2B5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A588C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061620"/>
    <w:rPr>
      <w:color w:val="0000FF" w:themeColor="hyperlink"/>
      <w:u w:val="single"/>
    </w:rPr>
  </w:style>
  <w:style w:type="table" w:styleId="af">
    <w:name w:val="Table Grid"/>
    <w:basedOn w:val="a1"/>
    <w:uiPriority w:val="59"/>
    <w:locked/>
    <w:rsid w:val="006A3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-reset">
    <w:name w:val="stk-reset"/>
    <w:basedOn w:val="a"/>
    <w:rsid w:val="000A0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A0A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0A2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0A2B"/>
    <w:rPr>
      <w:rFonts w:asciiTheme="minorHAnsi" w:eastAsiaTheme="minorHAnsi" w:hAnsiTheme="minorHAnsi" w:cstheme="minorBidi"/>
      <w:lang w:eastAsia="en-US"/>
    </w:rPr>
  </w:style>
  <w:style w:type="character" w:customStyle="1" w:styleId="tlid-translation">
    <w:name w:val="tlid-translation"/>
    <w:basedOn w:val="a0"/>
    <w:rsid w:val="008902FA"/>
  </w:style>
  <w:style w:type="character" w:customStyle="1" w:styleId="10">
    <w:name w:val="Заголовок 1 Знак"/>
    <w:basedOn w:val="a0"/>
    <w:link w:val="1"/>
    <w:rsid w:val="00AD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1E74"/>
    <w:rPr>
      <w:rFonts w:ascii="Calibri" w:eastAsia="Times New Roman" w:hAnsi="Calibri"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A1E7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c.com/research/viewtoc.jsp?containerId=US43171317" TargetMode="External"/><Relationship Id="rId13" Type="http://schemas.openxmlformats.org/officeDocument/2006/relationships/hyperlink" Target="http://www.tadviser.ru/index.php/%D0%91%D0%B0%D0%BD%D0%BA%D0%B8" TargetMode="External"/><Relationship Id="rId18" Type="http://schemas.openxmlformats.org/officeDocument/2006/relationships/hyperlink" Target="http://www.tadviser.ru/index.php/%D0%95%D0%B2%D1%80%D0%BE%D0%BF%D0%B0" TargetMode="External"/><Relationship Id="rId26" Type="http://schemas.openxmlformats.org/officeDocument/2006/relationships/hyperlink" Target="http://www.tadviser.ru/index.php/%D0%90%D0%B2%D1%81%D1%82%D1%80%D0%B0%D0%BB%D0%B8%D1%8F" TargetMode="External"/><Relationship Id="rId39" Type="http://schemas.openxmlformats.org/officeDocument/2006/relationships/hyperlink" Target="http://coinfortoday.com/en/taxonomy/term/2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dviser.ru/index.php/%D0%A1%D1%82%D0%B0%D1%82%D1%8C%D1%8F:%D0%9A%D1%80%D0%B8%D0%BF%D1%82%D0%BE%D0%B2%D0%B0%D0%BB%D1%8E%D1%82%D1%8B_%D0%B2_%D0%A0%D0%BE%D1%81%D1%81%D0%B8%D0%B8" TargetMode="External"/><Relationship Id="rId34" Type="http://schemas.openxmlformats.org/officeDocument/2006/relationships/hyperlink" Target="mailto:mk221100@gmail.com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idc.com/research/viewtoc.jsp?containerId=US43171317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tadviser.ru/index.php/%D0%93%D0%BE%D1%81%D1%83%D0%B4%D0%B0%D1%80%D1%81%D1%82%D0%B2%D0%BE" TargetMode="External"/><Relationship Id="rId25" Type="http://schemas.openxmlformats.org/officeDocument/2006/relationships/hyperlink" Target="http://www.tadviser.ru/index.php/%D0%AD%D1%81%D1%82%D0%BE%D0%BD%D0%B8%D1%8F" TargetMode="External"/><Relationship Id="rId33" Type="http://schemas.openxmlformats.org/officeDocument/2006/relationships/hyperlink" Target="http://coinfortoday.com/en/taxonomy/term/2178" TargetMode="External"/><Relationship Id="rId38" Type="http://schemas.openxmlformats.org/officeDocument/2006/relationships/hyperlink" Target="http://coinfortoday.com/en/belarus-has-favorable-ecology-development-blockch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dviser.ru/index.php/%D0%A1%D0%A8%D0%90" TargetMode="External"/><Relationship Id="rId20" Type="http://schemas.openxmlformats.org/officeDocument/2006/relationships/hyperlink" Target="http://www.tadviser.ru/index.php/%D0%AF%D0%BF%D0%BE%D0%BD%D0%B8%D1%8F" TargetMode="External"/><Relationship Id="rId29" Type="http://schemas.openxmlformats.org/officeDocument/2006/relationships/hyperlink" Target="https://www.gazprom-neft.ru/press-center/sibneft-online/archive/2018-april/1533012/" TargetMode="External"/><Relationship Id="rId41" Type="http://schemas.openxmlformats.org/officeDocument/2006/relationships/hyperlink" Target="mailto:tatyanafedorovich20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dviser.ru/index.php/%D0%A1%D1%82%D0%B0%D1%82%D1%8C%D1%8F:%D0%94%D0%BE%D0%BB%D0%BB%D0%B0%D1%80_%D0%A1%D0%A8%D0%90" TargetMode="External"/><Relationship Id="rId24" Type="http://schemas.openxmlformats.org/officeDocument/2006/relationships/hyperlink" Target="http://www.tadviser.ru/index.php/%D0%A1%D1%82%D0%B0%D1%82%D1%8C%D1%8F:%D0%A0%D0%BE%D1%81%D1%81%D0%B8%D1%8F" TargetMode="External"/><Relationship Id="rId32" Type="http://schemas.openxmlformats.org/officeDocument/2006/relationships/hyperlink" Target="http://coinfortoday.com/en/belarus-has-favorable-ecology-development-blockchain" TargetMode="External"/><Relationship Id="rId37" Type="http://schemas.openxmlformats.org/officeDocument/2006/relationships/hyperlink" Target="https://www.cbinsights.com/research/briefing/blockchain-trends/" TargetMode="External"/><Relationship Id="rId40" Type="http://schemas.openxmlformats.org/officeDocument/2006/relationships/hyperlink" Target="mailto:mk221100@gmail.com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://www.tadviser.ru/index.php/%D0%A1%D1%82%D0%B0%D1%82%D1%8C%D1%8F:%D0%9A%D1%80%D0%B8%D0%BF%D1%82%D0%BE%D0%B2%D0%B0%D0%BB%D1%8E%D1%82%D1%8B_%D0%B2_%D0%A0%D0%BE%D1%81%D1%81%D0%B8%D0%B8" TargetMode="External"/><Relationship Id="rId28" Type="http://schemas.openxmlformats.org/officeDocument/2006/relationships/hyperlink" Target="http://www.tadviser.ru/index.php/%D0%A1%D1%82%D0%B0%D1%82%D1%8C%D1%8F:%D0%9A%D1%80%D0%B8%D0%BF%D1%82%D0%BE%D0%B2%D0%B0%D0%BB%D1%8E%D1%82%D1%8B_%D0%B2_%D0%A0%D0%BE%D1%81%D1%81%D0%B8%D0%B8" TargetMode="External"/><Relationship Id="rId36" Type="http://schemas.openxmlformats.org/officeDocument/2006/relationships/hyperlink" Target="https://wintergreenresearch.com/blockchain" TargetMode="External"/><Relationship Id="rId10" Type="http://schemas.openxmlformats.org/officeDocument/2006/relationships/hyperlink" Target="http://www.tadviser.ru/index.php/%D0%9A%D0%BE%D0%BC%D0%BF%D0%B0%D0%BD%D0%B8%D1%8F:IBM" TargetMode="External"/><Relationship Id="rId19" Type="http://schemas.openxmlformats.org/officeDocument/2006/relationships/hyperlink" Target="http://www.tadviser.ru/index.php/%D0%9A%D0%B8%D1%82%D0%B0%D0%B9" TargetMode="External"/><Relationship Id="rId31" Type="http://schemas.openxmlformats.org/officeDocument/2006/relationships/hyperlink" Target="https://www.cbinsights.com/research/briefing/blockchain-trend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dviser.ru/index.php/%D0%A1%D1%82%D0%B0%D1%82%D1%8C%D1%8F:%D0%92%D0%B5%D0%BD%D1%87%D1%83%D1%80%D0%BD%D0%BE%D0%B5_%D0%B8%D0%BD%D0%B2%D0%B5%D1%81%D1%82%D0%B8%D1%80%D0%BE%D0%B2%D0%B0%D0%BD%D0%B8%D0%B5" TargetMode="External"/><Relationship Id="rId14" Type="http://schemas.openxmlformats.org/officeDocument/2006/relationships/hyperlink" Target="http://www.tadviser.ru/index.php/%D0%A1%D1%82%D0%B0%D1%82%D1%8C%D1%8F:%D0%9F%D1%80%D0%BE%D0%BC%D1%8B%D1%88%D0%BB%D0%B5%D0%BD%D0%BD%D0%BE%D0%B5_%D0%BF%D1%80%D0%BE%D0%B8%D0%B7%D0%B2%D0%BE%D0%B4%D1%81%D1%82%D0%B2%D0%BE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tadviser.ru/index.php/%D0%A1%D0%B8%D0%BD%D0%B3%D0%B0%D0%BF%D1%83%D1%80" TargetMode="External"/><Relationship Id="rId30" Type="http://schemas.openxmlformats.org/officeDocument/2006/relationships/hyperlink" Target="https://wintergreenresearch.com/blockchain" TargetMode="External"/><Relationship Id="rId35" Type="http://schemas.openxmlformats.org/officeDocument/2006/relationships/hyperlink" Target="mailto:tatyanafedorovich200@gmail.com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Лист1!$E$22</c:f>
              <c:strCache>
                <c:ptCount val="1"/>
                <c:pt idx="0">
                  <c:v>Объем инвестиций, млн.долл.США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Лист1!$D$23:$D$27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Лист1!$E$23:$E$27</c:f>
              <c:numCache>
                <c:formatCode>General</c:formatCode>
                <c:ptCount val="5"/>
                <c:pt idx="0">
                  <c:v>86</c:v>
                </c:pt>
                <c:pt idx="1">
                  <c:v>217</c:v>
                </c:pt>
                <c:pt idx="2">
                  <c:v>284</c:v>
                </c:pt>
                <c:pt idx="3">
                  <c:v>268</c:v>
                </c:pt>
                <c:pt idx="4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1-4B0D-8192-493CC58B6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61728"/>
        <c:axId val="857911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Лист1!$D$22</c15:sqref>
                        </c15:formulaRef>
                      </c:ext>
                    </c:extLst>
                    <c:strCache>
                      <c:ptCount val="1"/>
                      <c:pt idx="0">
                        <c:v>Год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Лист1!$D$23:$D$27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Лист1!$D$23:$D$27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  <c:pt idx="4">
                        <c:v>2019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601-4B0D-8192-493CC58B6066}"/>
                  </c:ext>
                </c:extLst>
              </c15:ser>
            </c15:filteredBarSeries>
          </c:ext>
        </c:extLst>
      </c:barChart>
      <c:catAx>
        <c:axId val="951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91104"/>
        <c:crosses val="autoZero"/>
        <c:auto val="1"/>
        <c:lblAlgn val="ctr"/>
        <c:lblOffset val="100"/>
        <c:noMultiLvlLbl val="0"/>
      </c:catAx>
      <c:valAx>
        <c:axId val="857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61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5</cp:revision>
  <cp:lastPrinted>2016-10-18T07:19:00Z</cp:lastPrinted>
  <dcterms:created xsi:type="dcterms:W3CDTF">2020-06-10T13:53:00Z</dcterms:created>
  <dcterms:modified xsi:type="dcterms:W3CDTF">2020-06-10T14:34:00Z</dcterms:modified>
</cp:coreProperties>
</file>