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32C5" w:rsidRPr="003032C5" w:rsidRDefault="003032C5" w:rsidP="003032C5">
      <w:pPr>
        <w:ind w:firstLine="0"/>
        <w:rPr>
          <w:b/>
          <w:sz w:val="24"/>
          <w:szCs w:val="24"/>
        </w:rPr>
      </w:pPr>
      <w:r w:rsidRPr="003032C5">
        <w:rPr>
          <w:b/>
          <w:sz w:val="24"/>
          <w:szCs w:val="24"/>
        </w:rPr>
        <w:t>УДК</w:t>
      </w:r>
      <w:r w:rsidR="00982BF8">
        <w:rPr>
          <w:b/>
          <w:sz w:val="24"/>
          <w:szCs w:val="24"/>
        </w:rPr>
        <w:t xml:space="preserve"> </w:t>
      </w:r>
      <w:r w:rsidR="00B26397" w:rsidRPr="00B26397">
        <w:rPr>
          <w:b/>
          <w:sz w:val="24"/>
          <w:szCs w:val="24"/>
        </w:rPr>
        <w:t>332.1: 330.3+001.895 (510)</w:t>
      </w:r>
    </w:p>
    <w:p w:rsidR="003032C5" w:rsidRDefault="003032C5" w:rsidP="003032C5">
      <w:pPr>
        <w:ind w:firstLine="0"/>
        <w:jc w:val="right"/>
        <w:rPr>
          <w:b/>
          <w:sz w:val="24"/>
          <w:szCs w:val="24"/>
        </w:rPr>
      </w:pPr>
      <w:r w:rsidRPr="003032C5">
        <w:rPr>
          <w:b/>
          <w:sz w:val="24"/>
          <w:szCs w:val="24"/>
        </w:rPr>
        <w:t>Примшиц Д.В.</w:t>
      </w:r>
    </w:p>
    <w:p w:rsidR="00982BF8" w:rsidRPr="003032C5" w:rsidRDefault="00982BF8" w:rsidP="003032C5">
      <w:pPr>
        <w:ind w:firstLine="0"/>
        <w:jc w:val="right"/>
        <w:rPr>
          <w:b/>
          <w:sz w:val="24"/>
          <w:szCs w:val="24"/>
        </w:rPr>
      </w:pPr>
    </w:p>
    <w:p w:rsidR="00BC05B0" w:rsidRPr="0001004F" w:rsidRDefault="00E33AA6" w:rsidP="003032C5">
      <w:pPr>
        <w:ind w:firstLine="0"/>
        <w:jc w:val="center"/>
        <w:rPr>
          <w:b/>
          <w:sz w:val="24"/>
          <w:szCs w:val="24"/>
        </w:rPr>
      </w:pPr>
      <w:r>
        <w:rPr>
          <w:b/>
          <w:sz w:val="24"/>
          <w:szCs w:val="24"/>
        </w:rPr>
        <w:t xml:space="preserve">РЕГИОНАЛЬНЫЕ </w:t>
      </w:r>
      <w:r w:rsidR="003032C5" w:rsidRPr="003032C5">
        <w:rPr>
          <w:b/>
          <w:sz w:val="24"/>
          <w:szCs w:val="24"/>
        </w:rPr>
        <w:t xml:space="preserve">ТРЕНДЫ ЭКОНОМИЧЕСКОГО И ТЕХНОЛОГИЧЕСКОГО РАЗВИТИЯ </w:t>
      </w:r>
      <w:r w:rsidR="0001004F">
        <w:rPr>
          <w:b/>
          <w:sz w:val="24"/>
          <w:szCs w:val="24"/>
        </w:rPr>
        <w:t>КИТАЙСКОЙ НАРОДНОЙ РЕСПУБЛИКИ</w:t>
      </w:r>
    </w:p>
    <w:p w:rsidR="003032C5" w:rsidRDefault="003032C5" w:rsidP="003032C5">
      <w:pPr>
        <w:jc w:val="center"/>
        <w:rPr>
          <w:b/>
          <w:sz w:val="24"/>
          <w:szCs w:val="24"/>
        </w:rPr>
      </w:pPr>
    </w:p>
    <w:p w:rsidR="003032C5" w:rsidRPr="00376A48" w:rsidRDefault="00982BF8" w:rsidP="003032C5">
      <w:pPr>
        <w:jc w:val="both"/>
        <w:rPr>
          <w:i/>
          <w:sz w:val="24"/>
          <w:szCs w:val="24"/>
        </w:rPr>
      </w:pPr>
      <w:r w:rsidRPr="00376A48">
        <w:rPr>
          <w:b/>
          <w:i/>
          <w:sz w:val="24"/>
          <w:szCs w:val="24"/>
        </w:rPr>
        <w:t>Аннотация.</w:t>
      </w:r>
      <w:r w:rsidRPr="00376A48">
        <w:rPr>
          <w:i/>
          <w:sz w:val="24"/>
          <w:szCs w:val="24"/>
        </w:rPr>
        <w:t xml:space="preserve"> </w:t>
      </w:r>
      <w:r w:rsidR="0001004F" w:rsidRPr="00376A48">
        <w:rPr>
          <w:i/>
          <w:sz w:val="24"/>
          <w:szCs w:val="24"/>
        </w:rPr>
        <w:t>В статье рассматриваются актуальные тренды социально-экономического и</w:t>
      </w:r>
      <w:r w:rsidR="008C763E" w:rsidRPr="00376A48">
        <w:rPr>
          <w:i/>
          <w:sz w:val="24"/>
          <w:szCs w:val="24"/>
          <w:lang w:val="en-US"/>
        </w:rPr>
        <w:t> </w:t>
      </w:r>
      <w:r w:rsidR="0001004F" w:rsidRPr="00376A48">
        <w:rPr>
          <w:i/>
          <w:sz w:val="24"/>
          <w:szCs w:val="24"/>
        </w:rPr>
        <w:t xml:space="preserve">технологического развития провинций и городов прямого подчинения Китайской Народной Республики, </w:t>
      </w:r>
      <w:r w:rsidR="005B6C0E" w:rsidRPr="00376A48">
        <w:rPr>
          <w:i/>
          <w:sz w:val="24"/>
          <w:szCs w:val="24"/>
        </w:rPr>
        <w:t xml:space="preserve">отмечаются ключевые конкурентные преимущества отдельных регионов, </w:t>
      </w:r>
      <w:r w:rsidR="0001004F" w:rsidRPr="00376A48">
        <w:rPr>
          <w:i/>
          <w:sz w:val="24"/>
          <w:szCs w:val="24"/>
        </w:rPr>
        <w:t>делается вывод о сокращении регионального неравенства и активизации технологического развития на мезоуровне.</w:t>
      </w:r>
    </w:p>
    <w:p w:rsidR="00982BF8" w:rsidRPr="00376A48" w:rsidRDefault="00982BF8" w:rsidP="00982BF8">
      <w:pPr>
        <w:widowControl w:val="0"/>
        <w:jc w:val="both"/>
        <w:rPr>
          <w:rFonts w:cs="Times New Roman"/>
          <w:i/>
          <w:sz w:val="24"/>
          <w:szCs w:val="24"/>
        </w:rPr>
      </w:pPr>
      <w:r w:rsidRPr="00376A48">
        <w:rPr>
          <w:rFonts w:cs="Times New Roman"/>
          <w:b/>
          <w:i/>
          <w:sz w:val="24"/>
          <w:szCs w:val="24"/>
        </w:rPr>
        <w:t>Ключевые слова</w:t>
      </w:r>
      <w:r w:rsidRPr="00376A48">
        <w:rPr>
          <w:rFonts w:cs="Times New Roman"/>
          <w:i/>
          <w:sz w:val="24"/>
          <w:szCs w:val="24"/>
        </w:rPr>
        <w:t xml:space="preserve">. </w:t>
      </w:r>
      <w:r w:rsidR="0001004F" w:rsidRPr="00376A48">
        <w:rPr>
          <w:rFonts w:cs="Times New Roman"/>
          <w:i/>
          <w:sz w:val="24"/>
          <w:szCs w:val="24"/>
        </w:rPr>
        <w:t>Китай, провинции, социально-экономическое развитие, технологическое развитие.</w:t>
      </w:r>
    </w:p>
    <w:p w:rsidR="003032C5" w:rsidRPr="00376A48" w:rsidRDefault="003032C5" w:rsidP="003032C5">
      <w:pPr>
        <w:jc w:val="both"/>
        <w:rPr>
          <w:i/>
          <w:sz w:val="24"/>
          <w:szCs w:val="24"/>
        </w:rPr>
      </w:pPr>
    </w:p>
    <w:p w:rsidR="00431015" w:rsidRPr="00AD4ADD" w:rsidRDefault="00431015" w:rsidP="00A33427">
      <w:pPr>
        <w:jc w:val="both"/>
        <w:rPr>
          <w:sz w:val="24"/>
          <w:szCs w:val="24"/>
        </w:rPr>
      </w:pPr>
      <w:r w:rsidRPr="00AD4ADD">
        <w:rPr>
          <w:sz w:val="24"/>
          <w:szCs w:val="24"/>
        </w:rPr>
        <w:t>Системный подход к последовательному развитию белорусско-китайского сотрудничества [</w:t>
      </w:r>
      <w:r w:rsidR="008C763E" w:rsidRPr="00AD4ADD">
        <w:rPr>
          <w:sz w:val="24"/>
          <w:szCs w:val="24"/>
        </w:rPr>
        <w:t>1</w:t>
      </w:r>
      <w:r w:rsidRPr="00AD4ADD">
        <w:rPr>
          <w:sz w:val="24"/>
          <w:szCs w:val="24"/>
        </w:rPr>
        <w:t xml:space="preserve">] предполагает углубление взаимодействия в том числе на межрегиональном уровне и формирует императив исследования конкурентных преимуществ отдельных регионов, </w:t>
      </w:r>
      <w:r w:rsidR="00215F18" w:rsidRPr="00AD4ADD">
        <w:rPr>
          <w:sz w:val="24"/>
          <w:szCs w:val="24"/>
        </w:rPr>
        <w:t xml:space="preserve">а также </w:t>
      </w:r>
      <w:r w:rsidRPr="00AD4ADD">
        <w:rPr>
          <w:sz w:val="24"/>
          <w:szCs w:val="24"/>
        </w:rPr>
        <w:t>определения текущего состояния, тенденций и перспектив социально-экономического развития.</w:t>
      </w:r>
    </w:p>
    <w:p w:rsidR="00A33427" w:rsidRPr="00AD4ADD" w:rsidRDefault="00A33427" w:rsidP="00A33427">
      <w:pPr>
        <w:jc w:val="both"/>
        <w:rPr>
          <w:sz w:val="24"/>
          <w:szCs w:val="24"/>
        </w:rPr>
      </w:pPr>
      <w:r w:rsidRPr="00AD4ADD">
        <w:rPr>
          <w:sz w:val="24"/>
          <w:szCs w:val="24"/>
        </w:rPr>
        <w:t>В</w:t>
      </w:r>
      <w:r w:rsidRPr="00AD4ADD">
        <w:rPr>
          <w:sz w:val="24"/>
          <w:szCs w:val="24"/>
        </w:rPr>
        <w:t xml:space="preserve"> авангарде опережающего социально-экономического и технологического развития Китая</w:t>
      </w:r>
      <w:r w:rsidRPr="00AD4ADD">
        <w:rPr>
          <w:sz w:val="24"/>
          <w:szCs w:val="24"/>
        </w:rPr>
        <w:t xml:space="preserve"> находятся восточные регионы Китая (</w:t>
      </w:r>
      <w:r w:rsidRPr="00AD4ADD">
        <w:rPr>
          <w:sz w:val="24"/>
          <w:szCs w:val="24"/>
        </w:rPr>
        <w:t>Пекин, Фуцзянь, Гуандун, Хайнань, Хэбэй, Цзянсу, Шаньдун, Шанхай, Тяньцзинь, Чжэцзян</w:t>
      </w:r>
      <w:r w:rsidRPr="00AD4ADD">
        <w:rPr>
          <w:sz w:val="24"/>
          <w:szCs w:val="24"/>
        </w:rPr>
        <w:t>)</w:t>
      </w:r>
      <w:r w:rsidRPr="00AD4ADD">
        <w:rPr>
          <w:sz w:val="24"/>
          <w:szCs w:val="24"/>
        </w:rPr>
        <w:t>, обеспечивая более 50 % ВВП Китая.</w:t>
      </w:r>
      <w:r w:rsidRPr="00AD4ADD">
        <w:rPr>
          <w:sz w:val="24"/>
          <w:szCs w:val="24"/>
        </w:rPr>
        <w:t xml:space="preserve"> О</w:t>
      </w:r>
      <w:r w:rsidRPr="00AD4ADD">
        <w:rPr>
          <w:sz w:val="24"/>
          <w:szCs w:val="24"/>
        </w:rPr>
        <w:t xml:space="preserve">тличительной особенностью </w:t>
      </w:r>
      <w:r w:rsidR="00213E7E" w:rsidRPr="00AD4ADD">
        <w:rPr>
          <w:sz w:val="24"/>
          <w:szCs w:val="24"/>
        </w:rPr>
        <w:t xml:space="preserve">макрорегиона </w:t>
      </w:r>
      <w:r w:rsidRPr="00AD4ADD">
        <w:rPr>
          <w:sz w:val="24"/>
          <w:szCs w:val="24"/>
        </w:rPr>
        <w:t xml:space="preserve">выступает высокий экспортный </w:t>
      </w:r>
      <w:r w:rsidR="00213E7E" w:rsidRPr="00AD4ADD">
        <w:rPr>
          <w:sz w:val="24"/>
          <w:szCs w:val="24"/>
        </w:rPr>
        <w:t>провинций</w:t>
      </w:r>
      <w:r w:rsidRPr="00AD4ADD">
        <w:rPr>
          <w:sz w:val="24"/>
          <w:szCs w:val="24"/>
        </w:rPr>
        <w:t>, обусловленный географической концентрацией экспортоориентированных производств обрабатывающей промышленности. Если в среднем по Китаю отношение объемов экспорта к величине ВРП составляет 16,7 %, в центральных и западных провинциях –</w:t>
      </w:r>
      <w:r w:rsidR="00213E7E" w:rsidRPr="00AD4ADD">
        <w:rPr>
          <w:sz w:val="24"/>
          <w:szCs w:val="24"/>
        </w:rPr>
        <w:t xml:space="preserve"> </w:t>
      </w:r>
      <w:r w:rsidRPr="00AD4ADD">
        <w:rPr>
          <w:sz w:val="24"/>
          <w:szCs w:val="24"/>
        </w:rPr>
        <w:t>10–12 %, то в восточных регионах данный показатель длительное время превышает 20 %. Восточный макрорегион продолжают обеспечивать более 80 % общенационального экспорта товаров, выступая, по сути, внешнеторговым локомотивом экономического развития Китайской Народной Республики.</w:t>
      </w:r>
    </w:p>
    <w:p w:rsidR="00A33427" w:rsidRPr="00AD4ADD" w:rsidRDefault="00A33427" w:rsidP="00A33427">
      <w:pPr>
        <w:jc w:val="both"/>
        <w:rPr>
          <w:sz w:val="24"/>
          <w:szCs w:val="24"/>
        </w:rPr>
      </w:pPr>
      <w:r w:rsidRPr="00AD4ADD">
        <w:rPr>
          <w:sz w:val="24"/>
          <w:szCs w:val="24"/>
        </w:rPr>
        <w:t>Исторически именно восточные провинции сыграли ведущую роль в становлении Китая в качестве мировой «фабрики товаров» и глобальной производственной державы. До сих пор провинция Гуандун, стремительное развитие которой было вызвано близостью к Гонконгу и доступом к иностранному капиталу, остается промышленным гигантом и крупнейшей провинциальной экономикой Китая, обеспечивая 32 % общекитайского экспорта продукции. Другие восточные провинции – Фуцзянь, Чжэцзян, Цзянсу и Шаньдун – продолжают сохранять позиции тяжеловесов обрабатывающей промышленности, ориентированных на внешние рынки. Их производственные мощности, специализирующиеся на выпуске потребительской электроники, персональных компьютеров, ИТ-оборудования, бытовой техники, нефтехимической и фармацевтической продукции, формируют свыше 52 % экспортного потенциала макрорегиона.</w:t>
      </w:r>
    </w:p>
    <w:p w:rsidR="00A33427" w:rsidRPr="00AD4ADD" w:rsidRDefault="00A33427" w:rsidP="00A33427">
      <w:pPr>
        <w:jc w:val="both"/>
        <w:rPr>
          <w:sz w:val="24"/>
          <w:szCs w:val="24"/>
        </w:rPr>
      </w:pPr>
      <w:r w:rsidRPr="00AD4ADD">
        <w:rPr>
          <w:sz w:val="24"/>
          <w:szCs w:val="24"/>
        </w:rPr>
        <w:t xml:space="preserve">Мегаполисы восточного побережья Пекин и Шанхай как города с постиндустриальной экономикой являются национальными лидерами по доминированию сектора </w:t>
      </w:r>
      <w:r w:rsidRPr="00AD4ADD">
        <w:rPr>
          <w:sz w:val="24"/>
          <w:szCs w:val="24"/>
        </w:rPr>
        <w:t xml:space="preserve">услуг </w:t>
      </w:r>
      <w:r w:rsidRPr="00AD4ADD">
        <w:rPr>
          <w:sz w:val="24"/>
          <w:szCs w:val="24"/>
        </w:rPr>
        <w:t>в структуре экономики, который создает свыше 74 % ВРП (для сравнения, в целом по Китаю на долю третичного сектора экономики приходилось 52,2 % ВВП страны). Особенно быстрыми темпами в Пекине и Шанхае развива</w:t>
      </w:r>
      <w:r w:rsidR="00215F18" w:rsidRPr="00AD4ADD">
        <w:rPr>
          <w:sz w:val="24"/>
          <w:szCs w:val="24"/>
        </w:rPr>
        <w:t xml:space="preserve">ются </w:t>
      </w:r>
      <w:r w:rsidRPr="00AD4ADD">
        <w:rPr>
          <w:sz w:val="24"/>
          <w:szCs w:val="24"/>
        </w:rPr>
        <w:t>так называемые «новые современные услуги», в том числе связанные с интернетом и цифровой экономикой. Вторичный сектор (производство и строительство) обеспечивает долю не выше 20–22 %, а первичный (сельское хозяйство и добыча полезных ископаемых) – порядка 0,6–0,8 %.</w:t>
      </w:r>
    </w:p>
    <w:p w:rsidR="00A33427" w:rsidRPr="00AD4ADD" w:rsidRDefault="00A33427" w:rsidP="00A33427">
      <w:pPr>
        <w:jc w:val="both"/>
        <w:rPr>
          <w:sz w:val="24"/>
          <w:szCs w:val="24"/>
        </w:rPr>
      </w:pPr>
      <w:r w:rsidRPr="00AD4ADD">
        <w:rPr>
          <w:sz w:val="24"/>
          <w:szCs w:val="24"/>
        </w:rPr>
        <w:t xml:space="preserve">Указанные мегаполисы, являясь признанными финансовыми центрами Юго-Восточной Азии, закономерно лидируют по экспорту финансовых услуг среди провинций Китая. </w:t>
      </w:r>
      <w:r w:rsidRPr="00AD4ADD">
        <w:rPr>
          <w:sz w:val="24"/>
          <w:szCs w:val="24"/>
        </w:rPr>
        <w:t xml:space="preserve">В этой связи восточный </w:t>
      </w:r>
      <w:r w:rsidRPr="00AD4ADD">
        <w:rPr>
          <w:sz w:val="24"/>
          <w:szCs w:val="24"/>
        </w:rPr>
        <w:t>макрорегион остается наиболее привлекательным для иностранных инвесторов, привлекая более 75 % всех прямых иностранных инвестиций (ПИИ). Если общий объем ПИИ в Китай в 2017 г. составлял 4,03 % от уровня ВВП, то объем ПИИ в провинциях Хайнань, Гуандун, Фуцзянь, Цзянсу, Тяньцзинь, городах Шанхай и Пекин составлял 6,5–7,9 % от уровня номинального ВРП.</w:t>
      </w:r>
      <w:r w:rsidR="00215F18" w:rsidRPr="00AD4ADD">
        <w:rPr>
          <w:sz w:val="24"/>
          <w:szCs w:val="24"/>
        </w:rPr>
        <w:t xml:space="preserve"> </w:t>
      </w:r>
      <w:r w:rsidRPr="00AD4ADD">
        <w:rPr>
          <w:sz w:val="24"/>
          <w:szCs w:val="24"/>
        </w:rPr>
        <w:t xml:space="preserve">Если учесть, что аналогичные параметры в подавляющем большинстве </w:t>
      </w:r>
      <w:r w:rsidRPr="00AD4ADD">
        <w:rPr>
          <w:sz w:val="24"/>
          <w:szCs w:val="24"/>
        </w:rPr>
        <w:t xml:space="preserve">китайских </w:t>
      </w:r>
      <w:r w:rsidRPr="00AD4ADD">
        <w:rPr>
          <w:sz w:val="24"/>
          <w:szCs w:val="24"/>
        </w:rPr>
        <w:t xml:space="preserve">провинций не превышали уровень 3 %, то можно заключить, что восточные регионы, прежде всего города </w:t>
      </w:r>
      <w:r w:rsidRPr="00AD4ADD">
        <w:rPr>
          <w:sz w:val="24"/>
          <w:szCs w:val="24"/>
        </w:rPr>
        <w:lastRenderedPageBreak/>
        <w:t>центрального подчинения Пекин и Шанхай, остаются локомотивом привлечения иностранных инвестиций в китайскую экономику. Во многом это объясняется тем, что раньше высокая инвестиционная привлекательность была обусловлена внешним спросом на продукцию обрабатывающей промышленности, а в настоящее время рост внутреннего спроса привлекает интерес иностранных инвесторов к стремительному развитию высокотехнологичных услуг в регионах Гуандун, Пекин, Чжэцзян и Шанхай.</w:t>
      </w:r>
    </w:p>
    <w:p w:rsidR="00A33427" w:rsidRPr="00AD4ADD" w:rsidRDefault="00A33427" w:rsidP="00A33427">
      <w:pPr>
        <w:jc w:val="both"/>
        <w:rPr>
          <w:sz w:val="24"/>
          <w:szCs w:val="24"/>
        </w:rPr>
      </w:pPr>
      <w:r w:rsidRPr="00AD4ADD">
        <w:rPr>
          <w:sz w:val="24"/>
          <w:szCs w:val="24"/>
        </w:rPr>
        <w:t>Механизм становления высокотехнологичного сектора обусловлен тем, что значительный объем иностранных инвестиций привел к повышению объемов производства и уровня производительности труда на промышленных предприятиях восточных провинций, заработной платы работников и их покупательной способности. В результате начали появляться организации электронной коммерции, информационных технологий и цифровых развлечений, который предлагают потребителям беспрецедентный выбор востребованных высокотехнологичных услуг.</w:t>
      </w:r>
    </w:p>
    <w:p w:rsidR="00A33427" w:rsidRPr="00AD4ADD" w:rsidRDefault="00A33427" w:rsidP="00A33427">
      <w:pPr>
        <w:jc w:val="both"/>
        <w:rPr>
          <w:sz w:val="24"/>
          <w:szCs w:val="24"/>
        </w:rPr>
      </w:pPr>
      <w:r w:rsidRPr="00AD4ADD">
        <w:rPr>
          <w:sz w:val="24"/>
          <w:szCs w:val="24"/>
        </w:rPr>
        <w:t>В</w:t>
      </w:r>
      <w:r w:rsidRPr="00AD4ADD">
        <w:rPr>
          <w:sz w:val="24"/>
          <w:szCs w:val="24"/>
        </w:rPr>
        <w:t xml:space="preserve"> сфере программного обеспечения и информационных технологий колыбелью высокотехнологичного сектора экономики Китая является провинция Гуандун и ее крупнейший город – Шэньчжень. Исторически сложившийся там режим широкой автономии для хозяйствующих субъектов (сначала на условиях «особых экспортных районов», а затем специальных экономических зон), обусловленный соседством с международной финансовой столицей Гонконгом и расположенными в нем представительствами глобальных инвесторов, способствовал восхождению таких технологических титанов как Tencent, ZTE и Huawei. Одновременно с этим стали создаваться множественные фирмы, обслуживающие деятельность технологических компаний, что привело к стремительному экономическому развитию ряда городов в провинции Гуандун. Например, столица этой провинции город Гуанчжоу благодаря территориальной близости к Шэньчжэню и более низким производственным затратам, связанным с арендой помещений и наймом работников, получила импульс в развитии в качестве хаба многих китайских технологических стартапов [</w:t>
      </w:r>
      <w:r w:rsidR="008C763E" w:rsidRPr="00AD4ADD">
        <w:rPr>
          <w:sz w:val="24"/>
          <w:szCs w:val="24"/>
        </w:rPr>
        <w:t>2</w:t>
      </w:r>
      <w:r w:rsidRPr="00AD4ADD">
        <w:rPr>
          <w:sz w:val="24"/>
          <w:szCs w:val="24"/>
        </w:rPr>
        <w:t>].</w:t>
      </w:r>
    </w:p>
    <w:p w:rsidR="00A33427" w:rsidRPr="00AD4ADD" w:rsidRDefault="00A33427" w:rsidP="00A33427">
      <w:pPr>
        <w:jc w:val="both"/>
        <w:rPr>
          <w:sz w:val="24"/>
          <w:szCs w:val="24"/>
        </w:rPr>
      </w:pPr>
      <w:r w:rsidRPr="00AD4ADD">
        <w:rPr>
          <w:sz w:val="24"/>
          <w:szCs w:val="24"/>
        </w:rPr>
        <w:t>По такому косвенному критерию уровня технологичности как объем валовой добавленной стоимости, созданной в секторе разработки программного обеспечения и создания информационных технологий, Пекин практически не уступает провинции Гуандун (</w:t>
      </w:r>
      <w:r w:rsidR="00213E7E" w:rsidRPr="00AD4ADD">
        <w:rPr>
          <w:sz w:val="24"/>
          <w:szCs w:val="24"/>
        </w:rPr>
        <w:t>более 160 млрд юаней в 2018 г.</w:t>
      </w:r>
      <w:r w:rsidRPr="00AD4ADD">
        <w:rPr>
          <w:sz w:val="24"/>
          <w:szCs w:val="24"/>
        </w:rPr>
        <w:t>).</w:t>
      </w:r>
      <w:r w:rsidR="0012401A" w:rsidRPr="00AD4ADD">
        <w:rPr>
          <w:sz w:val="24"/>
          <w:szCs w:val="24"/>
        </w:rPr>
        <w:t xml:space="preserve"> </w:t>
      </w:r>
      <w:r w:rsidRPr="00AD4ADD">
        <w:rPr>
          <w:sz w:val="24"/>
          <w:szCs w:val="24"/>
        </w:rPr>
        <w:t xml:space="preserve">Лидерами в области разработки программного обеспечения и создания информационных технологий являются регионы Гуандун, Чжэцзян, Цзянсу, Шаньдун и Пекин, каждый из которых обеспечивает свыше 23,5 млрд долл. США валовой добавленной </w:t>
      </w:r>
      <w:r w:rsidR="0012401A" w:rsidRPr="00AD4ADD">
        <w:rPr>
          <w:sz w:val="24"/>
          <w:szCs w:val="24"/>
        </w:rPr>
        <w:t xml:space="preserve">стоимости </w:t>
      </w:r>
      <w:r w:rsidRPr="00AD4ADD">
        <w:rPr>
          <w:sz w:val="24"/>
          <w:szCs w:val="24"/>
        </w:rPr>
        <w:t>в указанном секторе экономики.</w:t>
      </w:r>
    </w:p>
    <w:p w:rsidR="00E33AA6" w:rsidRPr="00AD4ADD" w:rsidRDefault="00E33AA6" w:rsidP="00E33AA6">
      <w:pPr>
        <w:jc w:val="both"/>
        <w:rPr>
          <w:sz w:val="24"/>
          <w:szCs w:val="24"/>
        </w:rPr>
      </w:pPr>
      <w:r w:rsidRPr="00AD4ADD">
        <w:rPr>
          <w:sz w:val="24"/>
          <w:szCs w:val="24"/>
        </w:rPr>
        <w:t>По данным отчета о развитии технологий искусственного интеллекта в Китае в 2018 г., подготовленного Китайским институтом науки и инновационной политики Университета Циньхуа, эти же регионы лидируют по количеству предприятий, осуществляющих разработки в сфере искусственного интеллекта. Так, в Пекине расположено 395 таких компаний, Шанхае – 210, Гуандун – 165, Чжэцзян – 66, Цзяньсу – 42, Сычуань – 20, Шэньси – 17, Фуцзянь – 16, Хубэй – 15, Аньхой – 12, Шаньдун – 10, Ляонин – 5, Чунцин – 5, Хэнань – 3, Хэйлунцзян – 3, Цзянси – 3</w:t>
      </w:r>
      <w:r w:rsidR="00B31202" w:rsidRPr="00AD4ADD">
        <w:rPr>
          <w:sz w:val="24"/>
          <w:szCs w:val="24"/>
        </w:rPr>
        <w:t xml:space="preserve"> </w:t>
      </w:r>
      <w:r w:rsidR="00B31202" w:rsidRPr="00AD4ADD">
        <w:rPr>
          <w:sz w:val="24"/>
          <w:szCs w:val="24"/>
        </w:rPr>
        <w:t>[</w:t>
      </w:r>
      <w:r w:rsidR="008C763E" w:rsidRPr="00AD4ADD">
        <w:rPr>
          <w:sz w:val="24"/>
          <w:szCs w:val="24"/>
        </w:rPr>
        <w:t>3</w:t>
      </w:r>
      <w:r w:rsidR="00B31202" w:rsidRPr="00AD4ADD">
        <w:rPr>
          <w:sz w:val="24"/>
          <w:szCs w:val="24"/>
        </w:rPr>
        <w:t>]</w:t>
      </w:r>
      <w:r w:rsidR="00B31202" w:rsidRPr="00AD4ADD">
        <w:rPr>
          <w:sz w:val="24"/>
          <w:szCs w:val="24"/>
        </w:rPr>
        <w:t>.</w:t>
      </w:r>
    </w:p>
    <w:p w:rsidR="00E33AA6" w:rsidRPr="00AD4ADD" w:rsidRDefault="00E33AA6" w:rsidP="00E33AA6">
      <w:pPr>
        <w:jc w:val="both"/>
        <w:rPr>
          <w:sz w:val="24"/>
          <w:szCs w:val="24"/>
        </w:rPr>
      </w:pPr>
      <w:r w:rsidRPr="00AD4ADD">
        <w:rPr>
          <w:sz w:val="24"/>
          <w:szCs w:val="24"/>
        </w:rPr>
        <w:t>Лидирующие позиции Пекина в сфере разработок искусственного интеллекта подтверждаются тем, что по итогам 2015–2018 г. мегаполис занимал первое место среди китайских регионов по совокупному объему финансирования и количеству финансовых операций на разработку технологий искусственного интеллекта (свыше 37,5 млрд долл. США и не менее 460 траншей). Регионы Шанхай (2 место, 7,35</w:t>
      </w:r>
      <w:r w:rsidRPr="00AD4ADD">
        <w:rPr>
          <w:sz w:val="24"/>
          <w:szCs w:val="24"/>
          <w:lang w:val="en-US"/>
        </w:rPr>
        <w:t> </w:t>
      </w:r>
      <w:r w:rsidRPr="00AD4ADD">
        <w:rPr>
          <w:sz w:val="24"/>
          <w:szCs w:val="24"/>
        </w:rPr>
        <w:t>млрд долл. США и 190 траншей), Чжэцзян (3 место, 7,2 млрд долл. США и 55 траншей), Цзянсу (4 место, 7,06 млрд долл. США и 44 траншей) и Гуандун (5 место, 3,68 млрд долл. США и 145 траншей) также являются высокоразвитыми по уровню разработки технологий искусственного интеллекта</w:t>
      </w:r>
      <w:r w:rsidR="00B31202" w:rsidRPr="00AD4ADD">
        <w:rPr>
          <w:sz w:val="24"/>
          <w:szCs w:val="24"/>
        </w:rPr>
        <w:t xml:space="preserve"> </w:t>
      </w:r>
      <w:r w:rsidR="00B31202" w:rsidRPr="00AD4ADD">
        <w:rPr>
          <w:sz w:val="24"/>
          <w:szCs w:val="24"/>
        </w:rPr>
        <w:t>[</w:t>
      </w:r>
      <w:r w:rsidR="008C763E" w:rsidRPr="00AD4ADD">
        <w:rPr>
          <w:sz w:val="24"/>
          <w:szCs w:val="24"/>
        </w:rPr>
        <w:t>4</w:t>
      </w:r>
      <w:r w:rsidR="00B31202" w:rsidRPr="00AD4ADD">
        <w:rPr>
          <w:sz w:val="24"/>
          <w:szCs w:val="24"/>
        </w:rPr>
        <w:t>]</w:t>
      </w:r>
      <w:r w:rsidRPr="00AD4ADD">
        <w:rPr>
          <w:sz w:val="24"/>
          <w:szCs w:val="24"/>
        </w:rPr>
        <w:t>.</w:t>
      </w:r>
    </w:p>
    <w:p w:rsidR="00E33AA6" w:rsidRPr="00AD4ADD" w:rsidRDefault="00E33AA6" w:rsidP="00E33AA6">
      <w:pPr>
        <w:jc w:val="both"/>
        <w:rPr>
          <w:sz w:val="24"/>
          <w:szCs w:val="24"/>
        </w:rPr>
      </w:pPr>
      <w:r w:rsidRPr="00AD4ADD">
        <w:rPr>
          <w:sz w:val="24"/>
          <w:szCs w:val="24"/>
        </w:rPr>
        <w:t>Таким образом, регионы с самым высоким уровнем технологического развития по параметрам освоения информационно-коммуникационных технологий и решений искусственного интеллекта расположены преимущественно вдоль восточного побережья Китая.</w:t>
      </w:r>
    </w:p>
    <w:p w:rsidR="00E33AA6" w:rsidRPr="00AD4ADD" w:rsidRDefault="00E33AA6" w:rsidP="0012401A">
      <w:pPr>
        <w:jc w:val="both"/>
        <w:rPr>
          <w:sz w:val="24"/>
          <w:szCs w:val="24"/>
        </w:rPr>
      </w:pPr>
      <w:r w:rsidRPr="00AD4ADD">
        <w:rPr>
          <w:sz w:val="24"/>
          <w:szCs w:val="24"/>
        </w:rPr>
        <w:t xml:space="preserve">Реализация государственных программ регионального развития «Идти на Запад», «Возрождение старых промышленных баз Северо-Востока», «Подъем Центрального Китая», «Семилетняя программа сокращения бедности», «Программа переноса промышленности» создала устойчивые предпосылки для динамичного экономического развития </w:t>
      </w:r>
      <w:r w:rsidR="00E64A8C" w:rsidRPr="00AD4ADD">
        <w:rPr>
          <w:sz w:val="24"/>
          <w:szCs w:val="24"/>
        </w:rPr>
        <w:t xml:space="preserve">западного </w:t>
      </w:r>
      <w:r w:rsidR="00E64A8C" w:rsidRPr="00AD4ADD">
        <w:rPr>
          <w:sz w:val="24"/>
          <w:szCs w:val="24"/>
        </w:rPr>
        <w:t xml:space="preserve">(Чунцин, Ганьсу, Гуанси, Гуйчжоу, Внутренняя Монголия, Нинся, Цинхай, Шэньси, Сычуань, Тибет, Синьцзян, </w:t>
      </w:r>
      <w:r w:rsidR="00E64A8C" w:rsidRPr="00AD4ADD">
        <w:rPr>
          <w:sz w:val="24"/>
          <w:szCs w:val="24"/>
        </w:rPr>
        <w:lastRenderedPageBreak/>
        <w:t>Юньнань)</w:t>
      </w:r>
      <w:r w:rsidR="00E64A8C" w:rsidRPr="00AD4ADD">
        <w:rPr>
          <w:sz w:val="24"/>
          <w:szCs w:val="24"/>
        </w:rPr>
        <w:t xml:space="preserve">, центрального </w:t>
      </w:r>
      <w:r w:rsidR="00E64A8C" w:rsidRPr="00AD4ADD">
        <w:rPr>
          <w:sz w:val="24"/>
          <w:szCs w:val="24"/>
        </w:rPr>
        <w:t>(Аньхой, Хубэй, Хэнань, Хунань, Цзянси, Шаньси)</w:t>
      </w:r>
      <w:r w:rsidR="00E64A8C" w:rsidRPr="00AD4ADD">
        <w:rPr>
          <w:sz w:val="24"/>
          <w:szCs w:val="24"/>
        </w:rPr>
        <w:t xml:space="preserve"> и северо-восточного </w:t>
      </w:r>
      <w:r w:rsidR="00E64A8C" w:rsidRPr="00AD4ADD">
        <w:rPr>
          <w:sz w:val="24"/>
          <w:szCs w:val="24"/>
        </w:rPr>
        <w:t>(Хэйлунцзян, Дзилинь, Ляонин)</w:t>
      </w:r>
      <w:r w:rsidR="00E64A8C" w:rsidRPr="00AD4ADD">
        <w:rPr>
          <w:sz w:val="24"/>
          <w:szCs w:val="24"/>
        </w:rPr>
        <w:t xml:space="preserve"> </w:t>
      </w:r>
      <w:r w:rsidRPr="00AD4ADD">
        <w:rPr>
          <w:sz w:val="24"/>
          <w:szCs w:val="24"/>
        </w:rPr>
        <w:t>макрорегионов в 2002–2007 гг., сближения темпов роста реального ВРП регионов и значительному нивелированию регионального неравенства к 2009 г.</w:t>
      </w:r>
      <w:r w:rsidR="0012401A" w:rsidRPr="00AD4ADD">
        <w:rPr>
          <w:sz w:val="24"/>
          <w:szCs w:val="24"/>
        </w:rPr>
        <w:t xml:space="preserve"> </w:t>
      </w:r>
      <w:r w:rsidRPr="00AD4ADD">
        <w:rPr>
          <w:sz w:val="24"/>
          <w:szCs w:val="24"/>
        </w:rPr>
        <w:t xml:space="preserve">Более того, налоговые стимулы для привлечения инвестиций и размещения производств в западных, центральных и северо-восточных провинциях, а также рост заработных плат и стоимости аренды в восточных регионах обеспечили в 2009–2014 гг. опережающие темпы экономического роста </w:t>
      </w:r>
      <w:r w:rsidR="0012401A" w:rsidRPr="00AD4ADD">
        <w:rPr>
          <w:sz w:val="24"/>
          <w:szCs w:val="24"/>
        </w:rPr>
        <w:t xml:space="preserve">центральных, западных и северо-восточных регионов </w:t>
      </w:r>
      <w:r w:rsidRPr="00AD4ADD">
        <w:rPr>
          <w:sz w:val="24"/>
          <w:szCs w:val="24"/>
        </w:rPr>
        <w:t>по сравнению с аналогичными параметрами развития восточных провинций</w:t>
      </w:r>
      <w:r w:rsidR="0012401A" w:rsidRPr="00AD4ADD">
        <w:rPr>
          <w:sz w:val="24"/>
          <w:szCs w:val="24"/>
        </w:rPr>
        <w:t>.</w:t>
      </w:r>
    </w:p>
    <w:p w:rsidR="00E33AA6" w:rsidRPr="00AD4ADD" w:rsidRDefault="00E33AA6" w:rsidP="00E33AA6">
      <w:pPr>
        <w:jc w:val="both"/>
        <w:rPr>
          <w:sz w:val="24"/>
          <w:szCs w:val="24"/>
        </w:rPr>
      </w:pPr>
      <w:r w:rsidRPr="00AD4ADD">
        <w:rPr>
          <w:sz w:val="24"/>
          <w:szCs w:val="24"/>
        </w:rPr>
        <w:t>В центральных провинциях Хэнань и Аньхой благодаря географическому положению в непосредственной близости к экспортоориентрованным восточным провинциям обладают логистическими преимуществами по транспортировке продукции в порты восточного побережья, по сравнению с другими центральными и западными регионами Китая.</w:t>
      </w:r>
    </w:p>
    <w:p w:rsidR="00E33AA6" w:rsidRPr="00AD4ADD" w:rsidRDefault="00E33AA6" w:rsidP="00E33AA6">
      <w:pPr>
        <w:jc w:val="both"/>
        <w:rPr>
          <w:sz w:val="24"/>
          <w:szCs w:val="24"/>
        </w:rPr>
      </w:pPr>
      <w:r w:rsidRPr="00AD4ADD">
        <w:rPr>
          <w:sz w:val="24"/>
          <w:szCs w:val="24"/>
        </w:rPr>
        <w:t>В 2000-х гг. лидер в области сборки электронных устройств Foxconn, производители чипов Intel и персональных компьютеров Hewlett-Packard переместили свои производства в провинции Хэнань, Сычуань и Чунцин соответственно. В поисках более дешевой рабочей силы и оптимального пространственного размещения своих предприятий их примеру последовали многие другие национальные и мировые производители, организовав новые производства в центральных, южных и западных провинциях, что привело к наращиванию доли промышленного производства в традиционно аграрных регионах.</w:t>
      </w:r>
    </w:p>
    <w:p w:rsidR="00E33AA6" w:rsidRPr="00AD4ADD" w:rsidRDefault="00E33AA6" w:rsidP="00E33AA6">
      <w:pPr>
        <w:jc w:val="both"/>
        <w:rPr>
          <w:sz w:val="24"/>
          <w:szCs w:val="24"/>
        </w:rPr>
      </w:pPr>
      <w:r w:rsidRPr="00AD4ADD">
        <w:rPr>
          <w:sz w:val="24"/>
          <w:szCs w:val="24"/>
        </w:rPr>
        <w:t>В итоге в 2005–2015 гг. в западных провинциях Синьцзян, Цинхай, Ганьсу, Внутренняя Монголия, Юньнань, Гуйчжоу, центральных провинциях Хубэй, Хунань, Шаньси, а также северо-восточной Хэйлунцзян доля промышленного производства в ВРП увеличилась более чем на 70 %. Наибольший прирост (более 80 %) отмечался в западных регионах, богатых полезными ископаемыми, поскольку повышение мировых цен на нефть и природный газ ускорили добычу углеводородного сырья в Синьцзяне, Ганьсу и Цинхае. Рост спроса на литий-ионные аккумуляторы в мире и технологическая конкуренция в освоении более совершенных техпроцессов при производстве микрочипов повысили цены на редкоземельные элементы привели к активизации их добычи во Внутренней Монголии.</w:t>
      </w:r>
    </w:p>
    <w:p w:rsidR="0012401A" w:rsidRPr="00AD4ADD" w:rsidRDefault="00E33AA6" w:rsidP="00666D1B">
      <w:pPr>
        <w:jc w:val="both"/>
        <w:rPr>
          <w:sz w:val="24"/>
          <w:szCs w:val="24"/>
        </w:rPr>
      </w:pPr>
      <w:r w:rsidRPr="00AD4ADD">
        <w:rPr>
          <w:sz w:val="24"/>
          <w:szCs w:val="24"/>
        </w:rPr>
        <w:t xml:space="preserve">Сложившаяся ситуация обусловила приток инвестиций в указанные районы Китая, что привело к росту объемов промышленного производства, </w:t>
      </w:r>
      <w:r w:rsidR="00E64A8C" w:rsidRPr="00AD4ADD">
        <w:rPr>
          <w:sz w:val="24"/>
          <w:szCs w:val="24"/>
        </w:rPr>
        <w:t xml:space="preserve">уровню </w:t>
      </w:r>
      <w:r w:rsidRPr="00AD4ADD">
        <w:rPr>
          <w:sz w:val="24"/>
          <w:szCs w:val="24"/>
        </w:rPr>
        <w:t>производительности труда</w:t>
      </w:r>
      <w:r w:rsidR="00E64A8C" w:rsidRPr="00AD4ADD">
        <w:rPr>
          <w:sz w:val="24"/>
          <w:szCs w:val="24"/>
        </w:rPr>
        <w:t xml:space="preserve"> и </w:t>
      </w:r>
      <w:r w:rsidRPr="00AD4ADD">
        <w:rPr>
          <w:sz w:val="24"/>
          <w:szCs w:val="24"/>
        </w:rPr>
        <w:t>увеличению доходов населения. Особенно стремительно эти параметры выросли во Внутренней Монголии.</w:t>
      </w:r>
    </w:p>
    <w:p w:rsidR="00666D1B" w:rsidRPr="00AD4ADD" w:rsidRDefault="00E64A8C" w:rsidP="00666D1B">
      <w:pPr>
        <w:jc w:val="both"/>
        <w:rPr>
          <w:sz w:val="24"/>
          <w:szCs w:val="24"/>
        </w:rPr>
      </w:pPr>
      <w:r w:rsidRPr="00AD4ADD">
        <w:rPr>
          <w:sz w:val="24"/>
          <w:szCs w:val="24"/>
        </w:rPr>
        <w:t xml:space="preserve">Отмеченные тенденции </w:t>
      </w:r>
      <w:r w:rsidR="00666D1B" w:rsidRPr="00AD4ADD">
        <w:rPr>
          <w:sz w:val="24"/>
          <w:szCs w:val="24"/>
        </w:rPr>
        <w:t xml:space="preserve">не в полной мере характерны для </w:t>
      </w:r>
      <w:r w:rsidR="0012401A" w:rsidRPr="00AD4ADD">
        <w:rPr>
          <w:sz w:val="24"/>
          <w:szCs w:val="24"/>
        </w:rPr>
        <w:t xml:space="preserve">северо-восточного макрорегиона, экономика которого </w:t>
      </w:r>
      <w:r w:rsidR="00666D1B" w:rsidRPr="00AD4ADD">
        <w:rPr>
          <w:sz w:val="24"/>
          <w:szCs w:val="24"/>
        </w:rPr>
        <w:t>стагнирует с 2008</w:t>
      </w:r>
      <w:r w:rsidR="0012401A" w:rsidRPr="00AD4ADD">
        <w:rPr>
          <w:sz w:val="24"/>
          <w:szCs w:val="24"/>
        </w:rPr>
        <w:t> </w:t>
      </w:r>
      <w:r w:rsidR="00666D1B" w:rsidRPr="00AD4ADD">
        <w:rPr>
          <w:sz w:val="24"/>
          <w:szCs w:val="24"/>
        </w:rPr>
        <w:t>г.</w:t>
      </w:r>
      <w:r w:rsidR="0012401A" w:rsidRPr="00AD4ADD">
        <w:rPr>
          <w:sz w:val="24"/>
          <w:szCs w:val="24"/>
        </w:rPr>
        <w:t xml:space="preserve"> </w:t>
      </w:r>
      <w:r w:rsidR="00666D1B" w:rsidRPr="00AD4ADD">
        <w:rPr>
          <w:sz w:val="24"/>
          <w:szCs w:val="24"/>
        </w:rPr>
        <w:t xml:space="preserve">Богатые запасами железной руды, угля и нефти, северо-восточные провинции были локомотивом развития добывающей, металлургической и машиностроительной промышленности Китая в 1960–1970-х гг. Однако высокая материалоемкость производства и необходимость регулярной замены дорогостоящего технологического оборудования на фоне роста мировых цен на сырье и материалы привели к значительному замедлению экономического развития в регионе, начиная с 2010 г. Государственная собственность, распространенная на большинстве предприятий региона, не позволила своевременно перейти к эффективным методам управления. </w:t>
      </w:r>
    </w:p>
    <w:p w:rsidR="00666D1B" w:rsidRPr="00AD4ADD" w:rsidRDefault="00666D1B" w:rsidP="00666D1B">
      <w:pPr>
        <w:jc w:val="both"/>
        <w:rPr>
          <w:sz w:val="24"/>
          <w:szCs w:val="24"/>
        </w:rPr>
      </w:pPr>
      <w:r w:rsidRPr="00AD4ADD">
        <w:rPr>
          <w:sz w:val="24"/>
          <w:szCs w:val="24"/>
        </w:rPr>
        <w:t>Снижение темпов экономического роста северо-восточных провинций в 2010–2018 гг. усугубляется тем, что макрорегион является крупнейшим центром металлургической промышленности Китая и поэтому крайне зависим от изменения мировых цен на алюминий, сталь и другие металлы.</w:t>
      </w:r>
      <w:r w:rsidR="0012401A" w:rsidRPr="00AD4ADD">
        <w:rPr>
          <w:sz w:val="24"/>
          <w:szCs w:val="24"/>
        </w:rPr>
        <w:t xml:space="preserve"> </w:t>
      </w:r>
      <w:r w:rsidRPr="00AD4ADD">
        <w:rPr>
          <w:sz w:val="24"/>
          <w:szCs w:val="24"/>
        </w:rPr>
        <w:t>Справочно отметим, что металлургические производства, расположенные в северо-восточном регионе, обеспечивают Китаю мировое лидерство в металлургической отрасли. Доля произведенной в стране стали в мировом объеме производства повысилась с 15,2 % в 2000 г. до 49,5</w:t>
      </w:r>
      <w:r w:rsidR="00E64A8C" w:rsidRPr="00AD4ADD">
        <w:rPr>
          <w:sz w:val="24"/>
          <w:szCs w:val="24"/>
        </w:rPr>
        <w:t> </w:t>
      </w:r>
      <w:r w:rsidRPr="00AD4ADD">
        <w:rPr>
          <w:sz w:val="24"/>
          <w:szCs w:val="24"/>
        </w:rPr>
        <w:t>% в 2015 г. Китай экспортирует стальной продукции больше, чем любая другая страна мира [</w:t>
      </w:r>
      <w:r w:rsidR="008C763E" w:rsidRPr="00AD4ADD">
        <w:rPr>
          <w:sz w:val="24"/>
          <w:szCs w:val="24"/>
        </w:rPr>
        <w:t>5</w:t>
      </w:r>
      <w:r w:rsidRPr="00AD4ADD">
        <w:rPr>
          <w:sz w:val="24"/>
          <w:szCs w:val="24"/>
        </w:rPr>
        <w:t>].</w:t>
      </w:r>
    </w:p>
    <w:p w:rsidR="00666D1B" w:rsidRPr="00AD4ADD" w:rsidRDefault="00666D1B" w:rsidP="00666D1B">
      <w:pPr>
        <w:jc w:val="both"/>
        <w:rPr>
          <w:sz w:val="24"/>
          <w:szCs w:val="24"/>
        </w:rPr>
      </w:pPr>
      <w:r w:rsidRPr="00AD4ADD">
        <w:rPr>
          <w:sz w:val="24"/>
          <w:szCs w:val="24"/>
        </w:rPr>
        <w:t xml:space="preserve">Сегодня Китай и особенно северо-восточные провинции сталкиваются с проблемой избыточных производственных мощностей в металлургической отрасли. Трудности ее решения связаны с тем, что постепенный отказ от избыточных мощностей приведет к массовым увольнениям в регионе, </w:t>
      </w:r>
      <w:r w:rsidR="00E64A8C" w:rsidRPr="00AD4ADD">
        <w:rPr>
          <w:sz w:val="24"/>
          <w:szCs w:val="24"/>
        </w:rPr>
        <w:t xml:space="preserve">что </w:t>
      </w:r>
      <w:r w:rsidRPr="00AD4ADD">
        <w:rPr>
          <w:sz w:val="24"/>
          <w:szCs w:val="24"/>
        </w:rPr>
        <w:t xml:space="preserve">противоречит государственной цели «сохранения стабильности». Вторая причина – долговые обязательства. В настоящее время доля долгов металлургических компаний достигает </w:t>
      </w:r>
      <w:r w:rsidRPr="00AD4ADD">
        <w:rPr>
          <w:sz w:val="24"/>
          <w:szCs w:val="24"/>
        </w:rPr>
        <w:lastRenderedPageBreak/>
        <w:t>70 % от общей суммы кредитов</w:t>
      </w:r>
      <w:r w:rsidR="00AD4ADD" w:rsidRPr="00AD4ADD">
        <w:rPr>
          <w:sz w:val="24"/>
          <w:szCs w:val="24"/>
        </w:rPr>
        <w:t xml:space="preserve"> реального сектора</w:t>
      </w:r>
      <w:r w:rsidRPr="00AD4ADD">
        <w:rPr>
          <w:sz w:val="24"/>
          <w:szCs w:val="24"/>
        </w:rPr>
        <w:t xml:space="preserve">, объем которых составляет порядка 1,3 трлн долл. США. Постепенный отказ от избыточных мощностей неизбежно приведет к обострению экономической ситуации в </w:t>
      </w:r>
      <w:r w:rsidR="0012401A" w:rsidRPr="00AD4ADD">
        <w:rPr>
          <w:sz w:val="24"/>
          <w:szCs w:val="24"/>
        </w:rPr>
        <w:t xml:space="preserve">северо-восточном </w:t>
      </w:r>
      <w:r w:rsidRPr="00AD4ADD">
        <w:rPr>
          <w:sz w:val="24"/>
          <w:szCs w:val="24"/>
        </w:rPr>
        <w:t>макрорегионе</w:t>
      </w:r>
      <w:r w:rsidR="005B6C0E" w:rsidRPr="00AD4ADD">
        <w:rPr>
          <w:sz w:val="24"/>
          <w:szCs w:val="24"/>
        </w:rPr>
        <w:t xml:space="preserve"> </w:t>
      </w:r>
      <w:r w:rsidR="005B6C0E" w:rsidRPr="00AD4ADD">
        <w:rPr>
          <w:sz w:val="24"/>
          <w:szCs w:val="24"/>
        </w:rPr>
        <w:t>[</w:t>
      </w:r>
      <w:r w:rsidR="008C763E" w:rsidRPr="00AD4ADD">
        <w:rPr>
          <w:sz w:val="24"/>
          <w:szCs w:val="24"/>
        </w:rPr>
        <w:t>6</w:t>
      </w:r>
      <w:r w:rsidR="005B6C0E" w:rsidRPr="00AD4ADD">
        <w:rPr>
          <w:sz w:val="24"/>
          <w:szCs w:val="24"/>
        </w:rPr>
        <w:t>]</w:t>
      </w:r>
      <w:r w:rsidRPr="00AD4ADD">
        <w:rPr>
          <w:sz w:val="24"/>
          <w:szCs w:val="24"/>
        </w:rPr>
        <w:t>.</w:t>
      </w:r>
    </w:p>
    <w:p w:rsidR="00666D1B" w:rsidRPr="00AD4ADD" w:rsidRDefault="00666D1B" w:rsidP="00666D1B">
      <w:pPr>
        <w:jc w:val="both"/>
        <w:rPr>
          <w:sz w:val="24"/>
          <w:szCs w:val="24"/>
        </w:rPr>
      </w:pPr>
      <w:r w:rsidRPr="00AD4ADD">
        <w:rPr>
          <w:sz w:val="24"/>
          <w:szCs w:val="24"/>
        </w:rPr>
        <w:t xml:space="preserve">С целью нивелирования избыточных мощностей и высокой зависимости темпов экономического развития провинций Хэйлунцзян, Дзилинь и Ляонин от изменения мировой конъюнктуры на металлургическую продукцию государство административно стимулирует спрос на металл, активно размещая внутренние и внешние государственные заказы на добывающих и металлургических предприятиях северо-восточных провинций. Государственная поддержка и связанные с ней дополнительные заказы, по сути, сохраняют доминирование отраслей тяжелой промышленности в структуре экономики </w:t>
      </w:r>
      <w:r w:rsidR="00AD4ADD" w:rsidRPr="00AD4ADD">
        <w:rPr>
          <w:sz w:val="24"/>
          <w:szCs w:val="24"/>
        </w:rPr>
        <w:t xml:space="preserve">северо-восточного </w:t>
      </w:r>
      <w:r w:rsidRPr="00AD4ADD">
        <w:rPr>
          <w:sz w:val="24"/>
          <w:szCs w:val="24"/>
        </w:rPr>
        <w:t>макрорегиона и во-многом замедляют эволюционное становление других быстрорастущих секторов.</w:t>
      </w:r>
    </w:p>
    <w:p w:rsidR="00666D1B" w:rsidRPr="00AD4ADD" w:rsidRDefault="00666D1B" w:rsidP="00666D1B">
      <w:pPr>
        <w:jc w:val="both"/>
        <w:rPr>
          <w:sz w:val="24"/>
          <w:szCs w:val="24"/>
        </w:rPr>
      </w:pPr>
      <w:r w:rsidRPr="00AD4ADD">
        <w:rPr>
          <w:sz w:val="24"/>
          <w:szCs w:val="24"/>
        </w:rPr>
        <w:t>Ключевым фактором дальнейшего экономического развития китайских провинций является производительность труда и резервы ее дальнейшего повышения, поскольку фактор предложения рабочей силы за счет внутренней миграции и изменения возрастной структуры китайского общества во многом себя исчерпал.</w:t>
      </w:r>
      <w:r w:rsidR="00AD4ADD" w:rsidRPr="00AD4ADD">
        <w:rPr>
          <w:sz w:val="24"/>
          <w:szCs w:val="24"/>
        </w:rPr>
        <w:t xml:space="preserve"> </w:t>
      </w:r>
      <w:r w:rsidRPr="00AD4ADD">
        <w:rPr>
          <w:sz w:val="24"/>
          <w:szCs w:val="24"/>
        </w:rPr>
        <w:t xml:space="preserve">Анализ темпов изменения производительности труда в макрорегионах Китая в 2000–2018 гг. позволяет отметить несколько ключевых тенденций. Во-первых, в 2001–2008 гг. во всех регионах Китая за исключением северо-восточных провинций наблюдался устойчивый рост уровня производительности труда. Так, в центральных и западных провинциях его </w:t>
      </w:r>
      <w:r w:rsidR="00B31202" w:rsidRPr="00AD4ADD">
        <w:rPr>
          <w:sz w:val="24"/>
          <w:szCs w:val="24"/>
        </w:rPr>
        <w:t xml:space="preserve">ежегодный </w:t>
      </w:r>
      <w:r w:rsidRPr="00AD4ADD">
        <w:rPr>
          <w:sz w:val="24"/>
          <w:szCs w:val="24"/>
        </w:rPr>
        <w:t>прирост достигал 6–8 п.п., что было обусловлено внутренней миграцией трудовых ресурсов к вновь создаваемым рабочим местам в этих провинциях в поиске более высокой заработной платы. Мультипликативный эффект обеспечивался двумя факторами – предложением рабочей силы и наращиванием объемов производства под влиянием высокого спроса.</w:t>
      </w:r>
    </w:p>
    <w:p w:rsidR="00666D1B" w:rsidRPr="00AD4ADD" w:rsidRDefault="00666D1B" w:rsidP="00666D1B">
      <w:pPr>
        <w:jc w:val="both"/>
        <w:rPr>
          <w:sz w:val="24"/>
          <w:szCs w:val="24"/>
        </w:rPr>
      </w:pPr>
      <w:r w:rsidRPr="00AD4ADD">
        <w:rPr>
          <w:sz w:val="24"/>
          <w:szCs w:val="24"/>
        </w:rPr>
        <w:t>Во-вторых, начиная с 2011 г., в самый разгар бума экономического развития 2005–2015 гг., рост производительности труда во всех регионах Китая начал замедляться, что было обусловлено сокращением предложения рабочей силы в результате исчерпания резервов внутренней миграции трудовых ресурсов [</w:t>
      </w:r>
      <w:r w:rsidR="008C763E" w:rsidRPr="00AD4ADD">
        <w:rPr>
          <w:sz w:val="24"/>
          <w:szCs w:val="24"/>
        </w:rPr>
        <w:t>7</w:t>
      </w:r>
      <w:r w:rsidRPr="00AD4ADD">
        <w:rPr>
          <w:sz w:val="24"/>
          <w:szCs w:val="24"/>
        </w:rPr>
        <w:t>] и снижения доли трудоспособного населения. Особенно остро данная тенденция проявляется в провинциях Хэйлунцзян, Дзилинь и Ляонин, где с 2013 г. отток населения в восточные, центральные и западные провинции привел к сокращению работников в трудоспособном возрасте за последние пять лет более, чем на 16,7 %.</w:t>
      </w:r>
    </w:p>
    <w:p w:rsidR="00666D1B" w:rsidRPr="00AD4ADD" w:rsidRDefault="00666D1B" w:rsidP="00666D1B">
      <w:pPr>
        <w:jc w:val="both"/>
        <w:rPr>
          <w:sz w:val="24"/>
          <w:szCs w:val="24"/>
        </w:rPr>
      </w:pPr>
      <w:r w:rsidRPr="00AD4ADD">
        <w:rPr>
          <w:sz w:val="24"/>
          <w:szCs w:val="24"/>
        </w:rPr>
        <w:t>Сложившаяся структура экономики большинства китайских провинций (за исключением высокотехнологичных регионов Гуандун, Пекин, Шанхай, Чжэцзян, Шэньчжэнь, Ханчжоу, Цзянсу) сдерживает не только дальнейший рост уровня производительности труда</w:t>
      </w:r>
      <w:r w:rsidR="00B31202" w:rsidRPr="00AD4ADD">
        <w:rPr>
          <w:sz w:val="24"/>
          <w:szCs w:val="24"/>
        </w:rPr>
        <w:t>, но</w:t>
      </w:r>
      <w:r w:rsidRPr="00AD4ADD">
        <w:rPr>
          <w:sz w:val="24"/>
          <w:szCs w:val="24"/>
        </w:rPr>
        <w:t xml:space="preserve"> и отдачи от использования авансированного капитала, что подтверждается результатами анализа капиталоемкости экономического роста регионов Китая.</w:t>
      </w:r>
      <w:r w:rsidR="00AD4ADD" w:rsidRPr="00AD4ADD">
        <w:rPr>
          <w:sz w:val="24"/>
          <w:szCs w:val="24"/>
        </w:rPr>
        <w:t xml:space="preserve"> </w:t>
      </w:r>
      <w:r w:rsidRPr="00AD4ADD">
        <w:rPr>
          <w:sz w:val="24"/>
          <w:szCs w:val="24"/>
        </w:rPr>
        <w:t>Плавный рост значений капиталоемкости ВРП в 2008–2013 гг. и стремительный в 2013–2017</w:t>
      </w:r>
      <w:r w:rsidR="00B41F36" w:rsidRPr="00AD4ADD">
        <w:rPr>
          <w:sz w:val="24"/>
          <w:szCs w:val="24"/>
        </w:rPr>
        <w:t> </w:t>
      </w:r>
      <w:r w:rsidRPr="00AD4ADD">
        <w:rPr>
          <w:sz w:val="24"/>
          <w:szCs w:val="24"/>
        </w:rPr>
        <w:t>гг. свидетельствует о соответствующем снижении доходности инвестиций в основной капитал предприятий китайских регионов, поскольку при прочих равных условиях увеличение показателя означает, что для производства каждой дополнительной единицы регионального продукта требуется больше капитала.</w:t>
      </w:r>
      <w:r w:rsidR="00B31202" w:rsidRPr="00AD4ADD">
        <w:rPr>
          <w:sz w:val="24"/>
          <w:szCs w:val="24"/>
        </w:rPr>
        <w:t xml:space="preserve"> </w:t>
      </w:r>
      <w:r w:rsidRPr="00AD4ADD">
        <w:rPr>
          <w:sz w:val="24"/>
          <w:szCs w:val="24"/>
        </w:rPr>
        <w:t>За минувшие 10 лет в северо-восточных провинциях этот параметр возрос в 5,67 раза, восточных – 3,32, западных – 4,1, центральных – 3,24, а в целом по Китаю – 3,68. Это значит, что региональным компаниям в среднем требуется в 3,2–5,7 раз больший объем инвестиций в основной капитал для обеспечения такого же уровня экономического развития регионов, чем 10 лет назад.</w:t>
      </w:r>
    </w:p>
    <w:p w:rsidR="00666D1B" w:rsidRPr="00AD4ADD" w:rsidRDefault="00666D1B" w:rsidP="00666D1B">
      <w:pPr>
        <w:jc w:val="both"/>
        <w:rPr>
          <w:sz w:val="24"/>
          <w:szCs w:val="24"/>
        </w:rPr>
      </w:pPr>
      <w:r w:rsidRPr="00AD4ADD">
        <w:rPr>
          <w:sz w:val="24"/>
          <w:szCs w:val="24"/>
        </w:rPr>
        <w:t>Если доходность капитала за последние 10 лет в китайских регионах упала в 3,2–5,7 раз, то доходность внеоборотных активов сократилась почти вдвое, о чем свидетельствует отношение стоимости основного капитала к ВРП провинций.</w:t>
      </w:r>
      <w:r w:rsidR="00AD4ADD" w:rsidRPr="00AD4ADD">
        <w:rPr>
          <w:sz w:val="24"/>
          <w:szCs w:val="24"/>
        </w:rPr>
        <w:t xml:space="preserve"> </w:t>
      </w:r>
      <w:r w:rsidRPr="00AD4ADD">
        <w:rPr>
          <w:sz w:val="24"/>
          <w:szCs w:val="24"/>
        </w:rPr>
        <w:t xml:space="preserve">С одной стороны, наращивание стоимости авансированного в производство капитала на фоне сокращения объемов предложения рабочей силы свидетельствует о замещении в китайской экономике труда капиталом как фактором производства. С другой стороны, снижение доходности капитала связано с активным инвестированием в основные средства предприятий, социальную и производственную инфраструктуру регионов, что привело к дальнейшему наращиванию производственных мощностей в регионах страны. Особенно в отношении продукции, востребованной в ходе строительства – цемента, сталелитейных конструкций, стекла, строительной техники, технологического оборудования для производства подвижного железнодорожного состава, машиностроительной техники, комплектующих к ним и т.п. </w:t>
      </w:r>
    </w:p>
    <w:p w:rsidR="00666D1B" w:rsidRPr="00AD4ADD" w:rsidRDefault="00666D1B" w:rsidP="00666D1B">
      <w:pPr>
        <w:jc w:val="both"/>
        <w:rPr>
          <w:sz w:val="24"/>
          <w:szCs w:val="24"/>
        </w:rPr>
      </w:pPr>
      <w:r w:rsidRPr="00AD4ADD">
        <w:rPr>
          <w:sz w:val="24"/>
          <w:szCs w:val="24"/>
        </w:rPr>
        <w:lastRenderedPageBreak/>
        <w:t>Однако внутренний спрос на инфраструктурные объекты носит конечный характер, поскольку срок их эксплуатация исчисляется многими десятилетиями и постоянно возводить в стране новые объекты в таких объёмах крайне сложно, что создает известные трудности с окупаемостью инвестированных средств и эффективным использованием избыточных производственных мощностей.</w:t>
      </w:r>
      <w:r w:rsidR="00B31202" w:rsidRPr="00AD4ADD">
        <w:rPr>
          <w:sz w:val="24"/>
          <w:szCs w:val="24"/>
        </w:rPr>
        <w:t xml:space="preserve"> </w:t>
      </w:r>
      <w:r w:rsidRPr="00AD4ADD">
        <w:rPr>
          <w:sz w:val="24"/>
          <w:szCs w:val="24"/>
        </w:rPr>
        <w:t>Проблема настолько актуальна, что 10 ноября 2015 г. на заседании Руководящей группы ЦК КПК по финансам и экономике Си Цзиньпин впервые отметил [</w:t>
      </w:r>
      <w:r w:rsidR="008C763E" w:rsidRPr="00AD4ADD">
        <w:rPr>
          <w:sz w:val="24"/>
          <w:szCs w:val="24"/>
        </w:rPr>
        <w:t>8</w:t>
      </w:r>
      <w:r w:rsidRPr="00AD4ADD">
        <w:rPr>
          <w:sz w:val="24"/>
          <w:szCs w:val="24"/>
        </w:rPr>
        <w:t>] необходимость реализации «структурной реформы предложения», нацеленной на сокращение избыточных производственных мощностей, уменьшение запасов (прежде всего решение проблемы нереализованной жилой недвижимости), реструктуризацию долгов, снижение издержек и ликвидацию слабых мест. Неотложной задачей реформы признано также устранение утративших жизнеспособность «предприятий-зомби», что позволит высвободить ресурсы и расчистить рыночное пространство [</w:t>
      </w:r>
      <w:r w:rsidR="008C763E" w:rsidRPr="00AD4ADD">
        <w:rPr>
          <w:sz w:val="24"/>
          <w:szCs w:val="24"/>
        </w:rPr>
        <w:t>9</w:t>
      </w:r>
      <w:r w:rsidRPr="00AD4ADD">
        <w:rPr>
          <w:sz w:val="24"/>
          <w:szCs w:val="24"/>
        </w:rPr>
        <w:t>].</w:t>
      </w:r>
    </w:p>
    <w:p w:rsidR="00666D1B" w:rsidRPr="00AD4ADD" w:rsidRDefault="00666D1B" w:rsidP="00666D1B">
      <w:pPr>
        <w:jc w:val="both"/>
        <w:rPr>
          <w:sz w:val="24"/>
          <w:szCs w:val="24"/>
        </w:rPr>
      </w:pPr>
      <w:r w:rsidRPr="00AD4ADD">
        <w:rPr>
          <w:sz w:val="24"/>
          <w:szCs w:val="24"/>
        </w:rPr>
        <w:t>В настоящее время перед Госсоветом КНР стоит дилемма: продолжить политику стимулирования спроса (т.е. административно загружать избыточные производственные мощности и сохранять рабочие места) в интересах сохранения позитивных ожиданий экономического роста или придерживаться ортодоксальной монетарной политики, допускающей замедление темпов ради ликвидации неэффективных предприятий и необоснованных инвестиционных проектов.</w:t>
      </w:r>
    </w:p>
    <w:p w:rsidR="00666D1B" w:rsidRPr="00AD4ADD" w:rsidRDefault="00666D1B" w:rsidP="00666D1B">
      <w:pPr>
        <w:jc w:val="both"/>
        <w:rPr>
          <w:sz w:val="24"/>
          <w:szCs w:val="24"/>
        </w:rPr>
      </w:pPr>
      <w:r w:rsidRPr="00AD4ADD">
        <w:rPr>
          <w:sz w:val="24"/>
          <w:szCs w:val="24"/>
        </w:rPr>
        <w:t>Несмотря на то, что китайские власти на высшем уровне признали невозможность поддержания устойчивого роста на основе расширения спроса, практика его стимулирования продолжается, но уже не только за счет внутренних факторов, но и внешних, основанных на экспорте продукции и услуг «избыточных мощностей» для реализации инфраструктурных проектов в других странах в рамках реализации инициативы «Пояс и путь»</w:t>
      </w:r>
      <w:r w:rsidR="006D07C4" w:rsidRPr="00AD4ADD">
        <w:rPr>
          <w:sz w:val="24"/>
          <w:szCs w:val="24"/>
        </w:rPr>
        <w:t xml:space="preserve"> [</w:t>
      </w:r>
      <w:r w:rsidR="008C763E" w:rsidRPr="00AD4ADD">
        <w:rPr>
          <w:sz w:val="24"/>
          <w:szCs w:val="24"/>
        </w:rPr>
        <w:t>10</w:t>
      </w:r>
      <w:r w:rsidR="006D07C4" w:rsidRPr="00AD4ADD">
        <w:rPr>
          <w:sz w:val="24"/>
          <w:szCs w:val="24"/>
        </w:rPr>
        <w:t>]</w:t>
      </w:r>
      <w:r w:rsidRPr="00AD4ADD">
        <w:rPr>
          <w:sz w:val="24"/>
          <w:szCs w:val="24"/>
        </w:rPr>
        <w:t>.</w:t>
      </w:r>
    </w:p>
    <w:p w:rsidR="003F254F" w:rsidRPr="00376A48" w:rsidRDefault="003F254F" w:rsidP="003F254F">
      <w:pPr>
        <w:jc w:val="both"/>
        <w:rPr>
          <w:sz w:val="24"/>
          <w:szCs w:val="24"/>
        </w:rPr>
      </w:pPr>
    </w:p>
    <w:p w:rsidR="00982BF8" w:rsidRPr="00376A48" w:rsidRDefault="00982BF8" w:rsidP="00982BF8">
      <w:pPr>
        <w:widowControl w:val="0"/>
        <w:jc w:val="center"/>
        <w:rPr>
          <w:rFonts w:cs="Times New Roman"/>
          <w:b/>
          <w:sz w:val="24"/>
          <w:szCs w:val="24"/>
        </w:rPr>
      </w:pPr>
      <w:r w:rsidRPr="00376A48">
        <w:rPr>
          <w:rFonts w:cs="Times New Roman"/>
          <w:b/>
          <w:sz w:val="24"/>
          <w:szCs w:val="24"/>
        </w:rPr>
        <w:t>Библиографический список</w:t>
      </w:r>
    </w:p>
    <w:p w:rsidR="006D07C4" w:rsidRPr="00376A48" w:rsidRDefault="006D07C4" w:rsidP="006D07C4">
      <w:pPr>
        <w:jc w:val="both"/>
        <w:rPr>
          <w:sz w:val="24"/>
          <w:szCs w:val="24"/>
        </w:rPr>
      </w:pPr>
      <w:r w:rsidRPr="00376A48">
        <w:rPr>
          <w:sz w:val="24"/>
          <w:szCs w:val="24"/>
        </w:rPr>
        <w:t>1.</w:t>
      </w:r>
      <w:r w:rsidRPr="00376A48">
        <w:rPr>
          <w:sz w:val="24"/>
          <w:szCs w:val="24"/>
          <w:lang w:val="en-US"/>
        </w:rPr>
        <w:t> </w:t>
      </w:r>
      <w:r w:rsidRPr="00376A48">
        <w:rPr>
          <w:sz w:val="24"/>
          <w:szCs w:val="24"/>
        </w:rPr>
        <w:t>Бельский, В.И. Состояние, тенденции и перспективы развития белорусско-китайского сотрудничества в условиях усиления протекционизма в системе международных отношений / В.И. Бельский [и др.] // Журнал Белорусского государственного университета. Экономика. – 2019. – № 1. – С. 58–67.</w:t>
      </w:r>
    </w:p>
    <w:p w:rsidR="006D07C4" w:rsidRPr="00376A48" w:rsidRDefault="006D07C4" w:rsidP="006D07C4">
      <w:pPr>
        <w:jc w:val="both"/>
        <w:rPr>
          <w:sz w:val="24"/>
          <w:szCs w:val="24"/>
        </w:rPr>
      </w:pPr>
      <w:r w:rsidRPr="00376A48">
        <w:rPr>
          <w:sz w:val="24"/>
          <w:szCs w:val="24"/>
        </w:rPr>
        <w:t>2.</w:t>
      </w:r>
      <w:r w:rsidRPr="00376A48">
        <w:rPr>
          <w:sz w:val="24"/>
          <w:szCs w:val="24"/>
          <w:lang w:val="en-US"/>
        </w:rPr>
        <w:t> </w:t>
      </w:r>
      <w:r w:rsidRPr="00376A48">
        <w:rPr>
          <w:sz w:val="24"/>
          <w:szCs w:val="24"/>
        </w:rPr>
        <w:t>Лю, Цз. Государственное регулирование процессов модернизации национальной экономики : анализ китайского опыта начала XXI века : автореф. дис. ... канд. экон. наук : 08.00.05 / Цзэпин Лю; Белорус. гос. ун-т. – Минск, 2012. – 21 с.</w:t>
      </w:r>
    </w:p>
    <w:p w:rsidR="006D07C4" w:rsidRPr="00376A48" w:rsidRDefault="006D07C4" w:rsidP="006D07C4">
      <w:pPr>
        <w:jc w:val="both"/>
        <w:rPr>
          <w:sz w:val="24"/>
          <w:szCs w:val="24"/>
          <w:lang w:val="en-US"/>
        </w:rPr>
      </w:pPr>
      <w:r w:rsidRPr="00376A48">
        <w:rPr>
          <w:sz w:val="24"/>
          <w:szCs w:val="24"/>
          <w:lang w:val="en-US"/>
        </w:rPr>
        <w:t>3. China AI Development Report 2018 / China Institute for Science and Technology Policy at Tsinghua University 2018. – URL: http://www.sppm.tsinghua.edu.cn/eWebEditor/UploadFile/ China_AI_development_report_2018.pdf (date of request – 28.10.2019).</w:t>
      </w:r>
    </w:p>
    <w:p w:rsidR="006D07C4" w:rsidRPr="00376A48" w:rsidRDefault="006D07C4" w:rsidP="006D07C4">
      <w:pPr>
        <w:jc w:val="both"/>
        <w:rPr>
          <w:sz w:val="24"/>
          <w:szCs w:val="24"/>
        </w:rPr>
      </w:pPr>
      <w:r w:rsidRPr="00376A48">
        <w:rPr>
          <w:sz w:val="24"/>
          <w:szCs w:val="24"/>
        </w:rPr>
        <w:t>3.</w:t>
      </w:r>
      <w:r w:rsidRPr="00376A48">
        <w:rPr>
          <w:sz w:val="24"/>
          <w:szCs w:val="24"/>
          <w:lang w:val="en-US"/>
        </w:rPr>
        <w:t> </w:t>
      </w:r>
      <w:r w:rsidRPr="00376A48">
        <w:rPr>
          <w:sz w:val="24"/>
          <w:szCs w:val="24"/>
        </w:rPr>
        <w:t>Примшиц, Д.В. Китайский подход к ускоренному освоению технологий искусственного интеллекта / Д.В. Примшиц, С.Г. Голубев // Наука и инновации. – 2019. – №</w:t>
      </w:r>
      <w:r w:rsidRPr="00376A48">
        <w:rPr>
          <w:sz w:val="24"/>
          <w:szCs w:val="24"/>
          <w:lang w:val="en-US"/>
        </w:rPr>
        <w:t> </w:t>
      </w:r>
      <w:r w:rsidRPr="00376A48">
        <w:rPr>
          <w:sz w:val="24"/>
          <w:szCs w:val="24"/>
        </w:rPr>
        <w:t>4. – С. 43–50.</w:t>
      </w:r>
    </w:p>
    <w:p w:rsidR="006D07C4" w:rsidRPr="00376A48" w:rsidRDefault="006D07C4" w:rsidP="006D07C4">
      <w:pPr>
        <w:jc w:val="both"/>
        <w:rPr>
          <w:sz w:val="24"/>
          <w:szCs w:val="24"/>
        </w:rPr>
      </w:pPr>
      <w:r w:rsidRPr="00376A48">
        <w:rPr>
          <w:sz w:val="24"/>
          <w:szCs w:val="24"/>
        </w:rPr>
        <w:t>4. Коледенкова, Н.Н. Проблемы развития черной металлургии КНР в годы 12-й пятилетки (2011–2015) // Итоги 12-й пятилетки (2011-2015 годы) и перспективы развития экономики КНР до 2020 года. – Институт Дальнего Востока РАН, М., 2017. – С. 197–210.</w:t>
      </w:r>
    </w:p>
    <w:p w:rsidR="006D07C4" w:rsidRPr="00376A48" w:rsidRDefault="006D07C4" w:rsidP="006D07C4">
      <w:pPr>
        <w:jc w:val="both"/>
        <w:rPr>
          <w:sz w:val="24"/>
          <w:szCs w:val="24"/>
        </w:rPr>
      </w:pPr>
      <w:r w:rsidRPr="00376A48">
        <w:rPr>
          <w:sz w:val="24"/>
          <w:szCs w:val="24"/>
        </w:rPr>
        <w:t>5. Рекомендации по использованию в Республике Беларусь опыта Китайской Народной Республики в области регионального развития и интеграции провинций и городов в мировую экономику : научный доклад / Т.С. Вертинская [и др.] ; под науч. ред. Д.В. Примшица, Т.С. Вертинской; Ин-т экономики НАН Беларуси. – Мн.: Право и экономика, 2020. — 60 с.</w:t>
      </w:r>
    </w:p>
    <w:p w:rsidR="006D07C4" w:rsidRPr="00376A48" w:rsidRDefault="006D07C4" w:rsidP="006D07C4">
      <w:pPr>
        <w:jc w:val="both"/>
        <w:rPr>
          <w:sz w:val="24"/>
          <w:szCs w:val="24"/>
          <w:lang w:val="en-US"/>
        </w:rPr>
      </w:pPr>
      <w:r w:rsidRPr="00376A48">
        <w:rPr>
          <w:sz w:val="24"/>
          <w:szCs w:val="24"/>
          <w:lang w:val="en-US"/>
        </w:rPr>
        <w:t>6. See, K. Migration and Development in China: Trends, Geography and Current Issues / K. See, C. Wing // Migration and Development. – Volume 1. – No. 2 (2012). – P. 12–18.</w:t>
      </w:r>
    </w:p>
    <w:p w:rsidR="006D07C4" w:rsidRPr="00376A48" w:rsidRDefault="006D07C4" w:rsidP="006D07C4">
      <w:pPr>
        <w:jc w:val="both"/>
        <w:rPr>
          <w:sz w:val="24"/>
          <w:szCs w:val="24"/>
        </w:rPr>
      </w:pPr>
      <w:r w:rsidRPr="00376A48">
        <w:rPr>
          <w:sz w:val="24"/>
          <w:szCs w:val="24"/>
        </w:rPr>
        <w:t>7. Расшифровка политической экономии Си Цзиньпина. – URL: http://www.china.com.cn/lianghui/news/2016-03/13/content_38013100.htm (дата обращения 28.10.2019).</w:t>
      </w:r>
    </w:p>
    <w:p w:rsidR="006D07C4" w:rsidRPr="00376A48" w:rsidRDefault="006D07C4" w:rsidP="006D07C4">
      <w:pPr>
        <w:jc w:val="both"/>
        <w:rPr>
          <w:sz w:val="24"/>
          <w:szCs w:val="24"/>
        </w:rPr>
      </w:pPr>
      <w:r w:rsidRPr="00376A48">
        <w:rPr>
          <w:sz w:val="24"/>
          <w:szCs w:val="24"/>
        </w:rPr>
        <w:t>8. Рабочее совещание ЦК по экономическим вопросам определило задачи на следующий год // Жэньминь жибао. 22.12.2016.</w:t>
      </w:r>
    </w:p>
    <w:p w:rsidR="006D07C4" w:rsidRPr="00376A48" w:rsidRDefault="006D07C4" w:rsidP="006D07C4">
      <w:pPr>
        <w:jc w:val="both"/>
        <w:rPr>
          <w:sz w:val="24"/>
          <w:szCs w:val="24"/>
        </w:rPr>
      </w:pPr>
      <w:r w:rsidRPr="00376A48">
        <w:rPr>
          <w:sz w:val="24"/>
          <w:szCs w:val="24"/>
        </w:rPr>
        <w:t>9. Кітайскі вопыт экспертна-аналітычнага суправаджэння дзейнасці органаў дзяржаўнага кіравання / Д.В. Прымшыц [i iнш.] ; пад рэд. С.Р. Голубева; Нац. акад. навук Беларусі, Ін-т эканомікі. – Мінск: Беларуская навука, 2020. – 269 с.</w:t>
      </w:r>
    </w:p>
    <w:p w:rsidR="00B41F36" w:rsidRDefault="00B41F36" w:rsidP="00982BF8">
      <w:pPr>
        <w:widowControl w:val="0"/>
        <w:jc w:val="center"/>
        <w:rPr>
          <w:rFonts w:cs="Times New Roman"/>
          <w:b/>
          <w:sz w:val="24"/>
          <w:szCs w:val="24"/>
        </w:rPr>
      </w:pPr>
    </w:p>
    <w:p w:rsidR="00982BF8" w:rsidRPr="00376A48" w:rsidRDefault="00982BF8" w:rsidP="00982BF8">
      <w:pPr>
        <w:widowControl w:val="0"/>
        <w:jc w:val="center"/>
        <w:rPr>
          <w:rFonts w:cs="Times New Roman"/>
          <w:b/>
          <w:sz w:val="24"/>
          <w:szCs w:val="24"/>
        </w:rPr>
      </w:pPr>
      <w:r w:rsidRPr="00376A48">
        <w:rPr>
          <w:rFonts w:cs="Times New Roman"/>
          <w:b/>
          <w:sz w:val="24"/>
          <w:szCs w:val="24"/>
        </w:rPr>
        <w:lastRenderedPageBreak/>
        <w:t>Информация об авторе</w:t>
      </w:r>
    </w:p>
    <w:p w:rsidR="00982BF8" w:rsidRPr="00376A48" w:rsidRDefault="00982BF8" w:rsidP="00982BF8">
      <w:pPr>
        <w:widowControl w:val="0"/>
        <w:jc w:val="both"/>
        <w:rPr>
          <w:rFonts w:cs="Times New Roman"/>
          <w:sz w:val="24"/>
          <w:szCs w:val="24"/>
        </w:rPr>
      </w:pPr>
      <w:r w:rsidRPr="00376A48">
        <w:rPr>
          <w:rFonts w:cs="Times New Roman"/>
          <w:sz w:val="24"/>
          <w:szCs w:val="24"/>
        </w:rPr>
        <w:t xml:space="preserve">Примшиц Дмитрий Витольдович (Республика Беларусь, Минск) – кандидат экономических наук, заместитель директора по научной и инновационной работе, Институт экономики Национальной академии наук Беларуси, 220072 г. Минск, ул. Сурганова, д. 1/2, </w:t>
      </w:r>
      <w:r w:rsidRPr="00376A48">
        <w:rPr>
          <w:rFonts w:cs="Times New Roman"/>
          <w:sz w:val="24"/>
          <w:szCs w:val="24"/>
          <w:lang w:val="en-US"/>
        </w:rPr>
        <w:t>e</w:t>
      </w:r>
      <w:r w:rsidRPr="00376A48">
        <w:rPr>
          <w:rFonts w:cs="Times New Roman"/>
          <w:sz w:val="24"/>
          <w:szCs w:val="24"/>
        </w:rPr>
        <w:t>-</w:t>
      </w:r>
      <w:r w:rsidRPr="00376A48">
        <w:rPr>
          <w:rFonts w:cs="Times New Roman"/>
          <w:sz w:val="24"/>
          <w:szCs w:val="24"/>
          <w:lang w:val="en-US"/>
        </w:rPr>
        <w:t>mail</w:t>
      </w:r>
      <w:r w:rsidRPr="00376A48">
        <w:rPr>
          <w:rFonts w:cs="Times New Roman"/>
          <w:sz w:val="24"/>
          <w:szCs w:val="24"/>
        </w:rPr>
        <w:t xml:space="preserve">: </w:t>
      </w:r>
      <w:r w:rsidRPr="00376A48">
        <w:rPr>
          <w:rFonts w:cs="Times New Roman"/>
          <w:sz w:val="24"/>
          <w:szCs w:val="24"/>
          <w:lang w:val="en-US"/>
        </w:rPr>
        <w:t>primschitz</w:t>
      </w:r>
      <w:r w:rsidRPr="00376A48">
        <w:rPr>
          <w:rFonts w:cs="Times New Roman"/>
          <w:sz w:val="24"/>
          <w:szCs w:val="24"/>
        </w:rPr>
        <w:t>@</w:t>
      </w:r>
      <w:r w:rsidRPr="00376A48">
        <w:rPr>
          <w:rFonts w:cs="Times New Roman"/>
          <w:sz w:val="24"/>
          <w:szCs w:val="24"/>
          <w:lang w:val="en-US"/>
        </w:rPr>
        <w:t>economics</w:t>
      </w:r>
      <w:r w:rsidRPr="00376A48">
        <w:rPr>
          <w:rFonts w:cs="Times New Roman"/>
          <w:sz w:val="24"/>
          <w:szCs w:val="24"/>
        </w:rPr>
        <w:t>.</w:t>
      </w:r>
      <w:r w:rsidRPr="00376A48">
        <w:rPr>
          <w:rFonts w:cs="Times New Roman"/>
          <w:sz w:val="24"/>
          <w:szCs w:val="24"/>
          <w:lang w:val="en-US"/>
        </w:rPr>
        <w:t>basnet</w:t>
      </w:r>
      <w:r w:rsidRPr="00376A48">
        <w:rPr>
          <w:rFonts w:cs="Times New Roman"/>
          <w:sz w:val="24"/>
          <w:szCs w:val="24"/>
        </w:rPr>
        <w:t>.</w:t>
      </w:r>
      <w:r w:rsidRPr="00376A48">
        <w:rPr>
          <w:rFonts w:cs="Times New Roman"/>
          <w:sz w:val="24"/>
          <w:szCs w:val="24"/>
          <w:lang w:val="en-US"/>
        </w:rPr>
        <w:t>by</w:t>
      </w:r>
    </w:p>
    <w:p w:rsidR="00982BF8" w:rsidRPr="00376A48" w:rsidRDefault="00982BF8" w:rsidP="003032C5">
      <w:pPr>
        <w:jc w:val="both"/>
        <w:rPr>
          <w:sz w:val="24"/>
          <w:szCs w:val="24"/>
        </w:rPr>
      </w:pPr>
    </w:p>
    <w:p w:rsidR="00982BF8" w:rsidRPr="00AD4ADD" w:rsidRDefault="00982BF8" w:rsidP="00982BF8">
      <w:pPr>
        <w:widowControl w:val="0"/>
        <w:jc w:val="right"/>
        <w:rPr>
          <w:rFonts w:cs="Times New Roman"/>
          <w:b/>
          <w:sz w:val="24"/>
          <w:szCs w:val="24"/>
        </w:rPr>
      </w:pPr>
      <w:r w:rsidRPr="00AD4ADD">
        <w:rPr>
          <w:rFonts w:cs="Times New Roman"/>
          <w:b/>
          <w:sz w:val="24"/>
          <w:szCs w:val="24"/>
          <w:lang w:val="en-US"/>
        </w:rPr>
        <w:t>Primschitz</w:t>
      </w:r>
      <w:r w:rsidRPr="00AD4ADD">
        <w:rPr>
          <w:rFonts w:cs="Times New Roman"/>
          <w:b/>
          <w:sz w:val="24"/>
          <w:szCs w:val="24"/>
        </w:rPr>
        <w:t xml:space="preserve"> </w:t>
      </w:r>
      <w:r w:rsidRPr="00AD4ADD">
        <w:rPr>
          <w:rFonts w:cs="Times New Roman"/>
          <w:b/>
          <w:sz w:val="24"/>
          <w:szCs w:val="24"/>
          <w:lang w:val="en-US"/>
        </w:rPr>
        <w:t>D</w:t>
      </w:r>
      <w:r w:rsidRPr="00AD4ADD">
        <w:rPr>
          <w:rFonts w:cs="Times New Roman"/>
          <w:b/>
          <w:sz w:val="24"/>
          <w:szCs w:val="24"/>
        </w:rPr>
        <w:t>.</w:t>
      </w:r>
      <w:r w:rsidRPr="00AD4ADD">
        <w:rPr>
          <w:rFonts w:cs="Times New Roman"/>
          <w:b/>
          <w:sz w:val="24"/>
          <w:szCs w:val="24"/>
          <w:lang w:val="en-US"/>
        </w:rPr>
        <w:t>V</w:t>
      </w:r>
      <w:r w:rsidRPr="00AD4ADD">
        <w:rPr>
          <w:rFonts w:cs="Times New Roman"/>
          <w:b/>
          <w:sz w:val="24"/>
          <w:szCs w:val="24"/>
        </w:rPr>
        <w:t>.</w:t>
      </w:r>
    </w:p>
    <w:p w:rsidR="00982BF8" w:rsidRPr="00376A48" w:rsidRDefault="00982BF8" w:rsidP="00982BF8">
      <w:pPr>
        <w:widowControl w:val="0"/>
        <w:jc w:val="right"/>
        <w:rPr>
          <w:rFonts w:cs="Times New Roman"/>
          <w:sz w:val="24"/>
          <w:szCs w:val="24"/>
        </w:rPr>
      </w:pPr>
    </w:p>
    <w:p w:rsidR="00982BF8" w:rsidRPr="00376A48" w:rsidRDefault="00231478" w:rsidP="00982BF8">
      <w:pPr>
        <w:widowControl w:val="0"/>
        <w:jc w:val="center"/>
        <w:rPr>
          <w:rFonts w:cs="Times New Roman"/>
          <w:b/>
          <w:sz w:val="24"/>
          <w:szCs w:val="24"/>
          <w:lang w:val="en-US"/>
        </w:rPr>
      </w:pPr>
      <w:r w:rsidRPr="00376A48">
        <w:rPr>
          <w:rFonts w:cs="Times New Roman"/>
          <w:b/>
          <w:sz w:val="24"/>
          <w:szCs w:val="24"/>
          <w:lang w:val="en-US"/>
        </w:rPr>
        <w:t>REGIONAL TRENDS IN ECONOMIC AND TECHNOLOGICAL DEVELOPMENT OF THE PEOPLE'S REPUBLIC OF CHINA</w:t>
      </w:r>
    </w:p>
    <w:p w:rsidR="00982BF8" w:rsidRPr="00376A48" w:rsidRDefault="00982BF8" w:rsidP="00982BF8">
      <w:pPr>
        <w:widowControl w:val="0"/>
        <w:jc w:val="both"/>
        <w:rPr>
          <w:rFonts w:cs="Times New Roman"/>
          <w:sz w:val="24"/>
          <w:szCs w:val="24"/>
          <w:lang w:val="en-US"/>
        </w:rPr>
      </w:pPr>
    </w:p>
    <w:p w:rsidR="006D07C4" w:rsidRPr="00376A48" w:rsidRDefault="006D07C4" w:rsidP="006D07C4">
      <w:pPr>
        <w:widowControl w:val="0"/>
        <w:jc w:val="both"/>
        <w:rPr>
          <w:rFonts w:cs="Times New Roman"/>
          <w:i/>
          <w:sz w:val="24"/>
          <w:szCs w:val="24"/>
          <w:lang w:val="en-US"/>
        </w:rPr>
      </w:pPr>
      <w:r w:rsidRPr="00376A48">
        <w:rPr>
          <w:rFonts w:cs="Times New Roman"/>
          <w:b/>
          <w:i/>
          <w:sz w:val="24"/>
          <w:szCs w:val="24"/>
          <w:lang w:val="en-US"/>
        </w:rPr>
        <w:t>Summary.</w:t>
      </w:r>
      <w:r w:rsidRPr="00376A48">
        <w:rPr>
          <w:rFonts w:cs="Times New Roman"/>
          <w:i/>
          <w:sz w:val="24"/>
          <w:szCs w:val="24"/>
          <w:lang w:val="en-US"/>
        </w:rPr>
        <w:t xml:space="preserve"> </w:t>
      </w:r>
      <w:r w:rsidRPr="00376A48">
        <w:rPr>
          <w:rFonts w:cs="Times New Roman"/>
          <w:i/>
          <w:sz w:val="24"/>
          <w:szCs w:val="24"/>
          <w:lang w:val="en-US"/>
        </w:rPr>
        <w:t xml:space="preserve">The article discusses current trends in economic and technological development of provinces and directly subordinated cities </w:t>
      </w:r>
      <w:r w:rsidRPr="00376A48">
        <w:rPr>
          <w:rFonts w:cs="Times New Roman"/>
          <w:i/>
          <w:sz w:val="24"/>
          <w:szCs w:val="24"/>
          <w:lang w:val="en-US"/>
        </w:rPr>
        <w:t>of</w:t>
      </w:r>
      <w:r w:rsidRPr="00376A48">
        <w:rPr>
          <w:rFonts w:cs="Times New Roman"/>
          <w:i/>
          <w:sz w:val="24"/>
          <w:szCs w:val="24"/>
          <w:lang w:val="en-US"/>
        </w:rPr>
        <w:t xml:space="preserve"> the </w:t>
      </w:r>
      <w:r w:rsidRPr="00376A48">
        <w:rPr>
          <w:rFonts w:cs="Times New Roman"/>
          <w:i/>
          <w:sz w:val="24"/>
          <w:szCs w:val="24"/>
          <w:lang w:val="en-US"/>
        </w:rPr>
        <w:t>P</w:t>
      </w:r>
      <w:r w:rsidRPr="00376A48">
        <w:rPr>
          <w:rFonts w:cs="Times New Roman"/>
          <w:i/>
          <w:sz w:val="24"/>
          <w:szCs w:val="24"/>
          <w:lang w:val="en-US"/>
        </w:rPr>
        <w:t>eople's Republic of China, highlights the key competitive advantages of individual regions, concludes that regional inequality is reduced an</w:t>
      </w:r>
      <w:bookmarkStart w:id="0" w:name="_GoBack"/>
      <w:bookmarkEnd w:id="0"/>
      <w:r w:rsidRPr="00376A48">
        <w:rPr>
          <w:rFonts w:cs="Times New Roman"/>
          <w:i/>
          <w:sz w:val="24"/>
          <w:szCs w:val="24"/>
          <w:lang w:val="en-US"/>
        </w:rPr>
        <w:t>d technological development is activated at the mesolevel.</w:t>
      </w:r>
    </w:p>
    <w:p w:rsidR="00982BF8" w:rsidRPr="00376A48" w:rsidRDefault="006D07C4" w:rsidP="006D07C4">
      <w:pPr>
        <w:widowControl w:val="0"/>
        <w:jc w:val="both"/>
        <w:rPr>
          <w:rFonts w:cs="Times New Roman"/>
          <w:i/>
          <w:sz w:val="24"/>
          <w:szCs w:val="24"/>
          <w:lang w:val="en-US"/>
        </w:rPr>
      </w:pPr>
      <w:r w:rsidRPr="00376A48">
        <w:rPr>
          <w:rFonts w:cs="Times New Roman"/>
          <w:b/>
          <w:i/>
          <w:sz w:val="24"/>
          <w:szCs w:val="24"/>
          <w:lang w:val="en-US"/>
        </w:rPr>
        <w:t>Keyword</w:t>
      </w:r>
      <w:r w:rsidRPr="00376A48">
        <w:rPr>
          <w:rFonts w:cs="Times New Roman"/>
          <w:b/>
          <w:i/>
          <w:sz w:val="24"/>
          <w:szCs w:val="24"/>
          <w:lang w:val="en-US"/>
        </w:rPr>
        <w:t>s</w:t>
      </w:r>
      <w:r w:rsidRPr="00376A48">
        <w:rPr>
          <w:rFonts w:cs="Times New Roman"/>
          <w:b/>
          <w:i/>
          <w:sz w:val="24"/>
          <w:szCs w:val="24"/>
          <w:lang w:val="en-US"/>
        </w:rPr>
        <w:t xml:space="preserve">. </w:t>
      </w:r>
      <w:r w:rsidRPr="00376A48">
        <w:rPr>
          <w:rFonts w:cs="Times New Roman"/>
          <w:i/>
          <w:sz w:val="24"/>
          <w:szCs w:val="24"/>
          <w:lang w:val="en-US"/>
        </w:rPr>
        <w:t>China, provinces, socio-economic development, technological development.</w:t>
      </w:r>
    </w:p>
    <w:p w:rsidR="00982BF8" w:rsidRPr="00376A48" w:rsidRDefault="00982BF8" w:rsidP="00982BF8">
      <w:pPr>
        <w:widowControl w:val="0"/>
        <w:jc w:val="both"/>
        <w:rPr>
          <w:rFonts w:cs="Times New Roman"/>
          <w:i/>
          <w:sz w:val="24"/>
          <w:szCs w:val="24"/>
          <w:lang w:val="en-US"/>
        </w:rPr>
      </w:pPr>
    </w:p>
    <w:p w:rsidR="00982BF8" w:rsidRPr="00376A48" w:rsidRDefault="00982BF8" w:rsidP="00982BF8">
      <w:pPr>
        <w:widowControl w:val="0"/>
        <w:jc w:val="center"/>
        <w:rPr>
          <w:rFonts w:cs="Times New Roman"/>
          <w:b/>
          <w:sz w:val="24"/>
          <w:szCs w:val="24"/>
          <w:lang w:val="en-US"/>
        </w:rPr>
      </w:pPr>
      <w:r w:rsidRPr="00376A48">
        <w:rPr>
          <w:rFonts w:cs="Times New Roman"/>
          <w:b/>
          <w:sz w:val="24"/>
          <w:szCs w:val="24"/>
          <w:lang w:val="en-US"/>
        </w:rPr>
        <w:t>Author information</w:t>
      </w:r>
    </w:p>
    <w:p w:rsidR="00982BF8" w:rsidRPr="00376A48" w:rsidRDefault="0001004F" w:rsidP="00982BF8">
      <w:pPr>
        <w:widowControl w:val="0"/>
        <w:jc w:val="both"/>
        <w:rPr>
          <w:rFonts w:cs="Times New Roman"/>
          <w:sz w:val="24"/>
          <w:szCs w:val="24"/>
          <w:lang w:val="en-US"/>
        </w:rPr>
      </w:pPr>
      <w:r w:rsidRPr="00376A48">
        <w:rPr>
          <w:rFonts w:cs="Times New Roman"/>
          <w:sz w:val="24"/>
          <w:szCs w:val="24"/>
          <w:lang w:val="en-US"/>
        </w:rPr>
        <w:t xml:space="preserve">Dmitry V. </w:t>
      </w:r>
      <w:r w:rsidR="00982BF8" w:rsidRPr="00376A48">
        <w:rPr>
          <w:rFonts w:cs="Times New Roman"/>
          <w:sz w:val="24"/>
          <w:szCs w:val="24"/>
          <w:lang w:val="en-US"/>
        </w:rPr>
        <w:t xml:space="preserve">Primschitz (Republic of Belarus, Minsk) – PhD in Economics, Deputy Director for Research and Innovation, Institute of Economics of the National Academy of Sciences, 220072, Minsk, Surganov str. 1/2, e-mail: </w:t>
      </w:r>
      <w:r w:rsidR="00245212" w:rsidRPr="00376A48">
        <w:rPr>
          <w:rFonts w:cs="Times New Roman"/>
          <w:sz w:val="24"/>
          <w:szCs w:val="24"/>
          <w:lang w:val="en-US"/>
        </w:rPr>
        <w:t>primschitz@economics.basnet.by</w:t>
      </w:r>
    </w:p>
    <w:p w:rsidR="00982BF8" w:rsidRPr="00376A48" w:rsidRDefault="00982BF8" w:rsidP="00982BF8">
      <w:pPr>
        <w:widowControl w:val="0"/>
        <w:jc w:val="both"/>
        <w:rPr>
          <w:rFonts w:cs="Times New Roman"/>
          <w:i/>
          <w:sz w:val="24"/>
          <w:szCs w:val="24"/>
          <w:lang w:val="en-US"/>
        </w:rPr>
      </w:pPr>
    </w:p>
    <w:p w:rsidR="00982BF8" w:rsidRPr="00376A48" w:rsidRDefault="00982BF8" w:rsidP="00982BF8">
      <w:pPr>
        <w:widowControl w:val="0"/>
        <w:jc w:val="center"/>
        <w:rPr>
          <w:rFonts w:cs="Times New Roman"/>
          <w:b/>
          <w:sz w:val="24"/>
          <w:szCs w:val="24"/>
          <w:lang w:val="en-US"/>
        </w:rPr>
      </w:pPr>
      <w:r w:rsidRPr="00376A48">
        <w:rPr>
          <w:rFonts w:cs="Times New Roman"/>
          <w:b/>
          <w:sz w:val="24"/>
          <w:szCs w:val="24"/>
          <w:lang w:val="en-US"/>
        </w:rPr>
        <w:t>References</w:t>
      </w:r>
    </w:p>
    <w:p w:rsidR="008C763E" w:rsidRPr="00376A48" w:rsidRDefault="008C763E" w:rsidP="008C763E">
      <w:pPr>
        <w:jc w:val="both"/>
        <w:rPr>
          <w:sz w:val="24"/>
          <w:szCs w:val="24"/>
          <w:lang w:val="en-US"/>
        </w:rPr>
      </w:pPr>
      <w:r w:rsidRPr="00376A48">
        <w:rPr>
          <w:sz w:val="24"/>
          <w:szCs w:val="24"/>
          <w:lang w:val="en-US"/>
        </w:rPr>
        <w:t>1. Belsk</w:t>
      </w:r>
      <w:r w:rsidR="00FF6BA0">
        <w:rPr>
          <w:sz w:val="24"/>
          <w:szCs w:val="24"/>
          <w:lang w:val="en-US"/>
        </w:rPr>
        <w:t>i</w:t>
      </w:r>
      <w:r w:rsidRPr="00376A48">
        <w:rPr>
          <w:sz w:val="24"/>
          <w:szCs w:val="24"/>
          <w:lang w:val="en-US"/>
        </w:rPr>
        <w:t>, V. I. State, Trends and Prospects of Development of the Belarusian-Chinese Cooperation in the Conditions of Increasing Protectionism in the System of International Relations / V. I. Belsk</w:t>
      </w:r>
      <w:r w:rsidR="00FF6BA0">
        <w:rPr>
          <w:sz w:val="24"/>
          <w:szCs w:val="24"/>
          <w:lang w:val="en-US"/>
        </w:rPr>
        <w:t>i</w:t>
      </w:r>
      <w:r w:rsidRPr="00376A48">
        <w:rPr>
          <w:sz w:val="24"/>
          <w:szCs w:val="24"/>
          <w:lang w:val="en-US"/>
        </w:rPr>
        <w:t xml:space="preserve"> [et al.] // Journal of the Belarusian State University. Economy. – 2019. – № 1. – p. 58–67.</w:t>
      </w:r>
    </w:p>
    <w:p w:rsidR="008C763E" w:rsidRPr="00376A48" w:rsidRDefault="008C763E" w:rsidP="008C763E">
      <w:pPr>
        <w:jc w:val="both"/>
        <w:rPr>
          <w:sz w:val="24"/>
          <w:szCs w:val="24"/>
          <w:lang w:val="en-US"/>
        </w:rPr>
      </w:pPr>
      <w:r w:rsidRPr="00376A48">
        <w:rPr>
          <w:sz w:val="24"/>
          <w:szCs w:val="24"/>
          <w:lang w:val="en-US"/>
        </w:rPr>
        <w:t xml:space="preserve">2. Liu, TS. State </w:t>
      </w:r>
      <w:r w:rsidR="00FF6BA0">
        <w:rPr>
          <w:sz w:val="24"/>
          <w:szCs w:val="24"/>
          <w:lang w:val="en-US"/>
        </w:rPr>
        <w:t>R</w:t>
      </w:r>
      <w:r w:rsidRPr="00376A48">
        <w:rPr>
          <w:sz w:val="24"/>
          <w:szCs w:val="24"/>
          <w:lang w:val="en-US"/>
        </w:rPr>
        <w:t xml:space="preserve">egulation of the </w:t>
      </w:r>
      <w:r w:rsidR="00FF6BA0">
        <w:rPr>
          <w:sz w:val="24"/>
          <w:szCs w:val="24"/>
          <w:lang w:val="en-US"/>
        </w:rPr>
        <w:t>P</w:t>
      </w:r>
      <w:r w:rsidRPr="00376A48">
        <w:rPr>
          <w:sz w:val="24"/>
          <w:szCs w:val="24"/>
          <w:lang w:val="en-US"/>
        </w:rPr>
        <w:t xml:space="preserve">rocesses of </w:t>
      </w:r>
      <w:r w:rsidR="00FF6BA0">
        <w:rPr>
          <w:sz w:val="24"/>
          <w:szCs w:val="24"/>
          <w:lang w:val="en-US"/>
        </w:rPr>
        <w:t>M</w:t>
      </w:r>
      <w:r w:rsidRPr="00376A48">
        <w:rPr>
          <w:sz w:val="24"/>
          <w:szCs w:val="24"/>
          <w:lang w:val="en-US"/>
        </w:rPr>
        <w:t xml:space="preserve">odernization of the </w:t>
      </w:r>
      <w:r w:rsidR="00FF6BA0">
        <w:rPr>
          <w:sz w:val="24"/>
          <w:szCs w:val="24"/>
          <w:lang w:val="en-US"/>
        </w:rPr>
        <w:t>N</w:t>
      </w:r>
      <w:r w:rsidRPr="00376A48">
        <w:rPr>
          <w:sz w:val="24"/>
          <w:szCs w:val="24"/>
          <w:lang w:val="en-US"/>
        </w:rPr>
        <w:t xml:space="preserve">ational </w:t>
      </w:r>
      <w:r w:rsidR="00FF6BA0">
        <w:rPr>
          <w:sz w:val="24"/>
          <w:szCs w:val="24"/>
          <w:lang w:val="en-US"/>
        </w:rPr>
        <w:t>E</w:t>
      </w:r>
      <w:r w:rsidRPr="00376A48">
        <w:rPr>
          <w:sz w:val="24"/>
          <w:szCs w:val="24"/>
          <w:lang w:val="en-US"/>
        </w:rPr>
        <w:t xml:space="preserve">conomy: an analysis of the Chinese experience of the beginning of the XXI century: author's abstract. ... </w:t>
      </w:r>
      <w:r w:rsidRPr="00376A48">
        <w:rPr>
          <w:sz w:val="24"/>
          <w:szCs w:val="24"/>
        </w:rPr>
        <w:t>С</w:t>
      </w:r>
      <w:r w:rsidRPr="00376A48">
        <w:rPr>
          <w:sz w:val="24"/>
          <w:szCs w:val="24"/>
          <w:lang w:val="en-US"/>
        </w:rPr>
        <w:t xml:space="preserve">and. Econ. Sc.: 08.00.05 / </w:t>
      </w:r>
      <w:r w:rsidR="00FF6BA0">
        <w:rPr>
          <w:sz w:val="24"/>
          <w:szCs w:val="24"/>
          <w:lang w:val="en-US"/>
        </w:rPr>
        <w:t>Ts</w:t>
      </w:r>
      <w:r w:rsidRPr="00376A48">
        <w:rPr>
          <w:sz w:val="24"/>
          <w:szCs w:val="24"/>
          <w:lang w:val="en-US"/>
        </w:rPr>
        <w:t>epin Liu; BSU. Minsk, 2012, – 21 P.</w:t>
      </w:r>
    </w:p>
    <w:p w:rsidR="008C763E" w:rsidRPr="00376A48" w:rsidRDefault="008C763E" w:rsidP="008C763E">
      <w:pPr>
        <w:jc w:val="both"/>
        <w:rPr>
          <w:sz w:val="24"/>
          <w:szCs w:val="24"/>
          <w:lang w:val="en-US"/>
        </w:rPr>
      </w:pPr>
      <w:r w:rsidRPr="00376A48">
        <w:rPr>
          <w:sz w:val="24"/>
          <w:szCs w:val="24"/>
          <w:lang w:val="en-US"/>
        </w:rPr>
        <w:t>3. China AI Development Report 2018 / China Institute for Science and Technology Policy at Tsinghua University 2018. – URL: http://www.sppm.tsinghua.edu.cn/eWebEditor/UploadFile/ China_AI_development_report_2018.pdf (date of request – 28.10.2019).</w:t>
      </w:r>
    </w:p>
    <w:p w:rsidR="008C763E" w:rsidRPr="00376A48" w:rsidRDefault="008C763E" w:rsidP="008C763E">
      <w:pPr>
        <w:jc w:val="both"/>
        <w:rPr>
          <w:sz w:val="24"/>
          <w:szCs w:val="24"/>
          <w:lang w:val="en-US"/>
        </w:rPr>
      </w:pPr>
      <w:r w:rsidRPr="00376A48">
        <w:rPr>
          <w:sz w:val="24"/>
          <w:szCs w:val="24"/>
          <w:lang w:val="en-US"/>
        </w:rPr>
        <w:t>3. Primschitz, D. V. Chinese Approach to Accelerated Development of Artificial Intelligence Technologies / D. V. Primschitz, S. G. Golubev // Science and Innovation. – 2019. – № 4. – p. 43–50.</w:t>
      </w:r>
    </w:p>
    <w:p w:rsidR="008C763E" w:rsidRPr="00376A48" w:rsidRDefault="008C763E" w:rsidP="008C763E">
      <w:pPr>
        <w:jc w:val="both"/>
        <w:rPr>
          <w:sz w:val="24"/>
          <w:szCs w:val="24"/>
          <w:lang w:val="en-US"/>
        </w:rPr>
      </w:pPr>
      <w:r w:rsidRPr="00376A48">
        <w:rPr>
          <w:sz w:val="24"/>
          <w:szCs w:val="24"/>
          <w:lang w:val="en-US"/>
        </w:rPr>
        <w:t>4. Koledenkova, N. N. Problems of development of ferrous metallurgy of the PRC in the years of the 12th five-year plan (2011-2015) // Results of the 12th five-year plan (2011-2015) and prospects for the development of the Chinese economy until 2020. - Institute of the Far East of the Russian Academy of Sciences, Moscow, 2017, pp. 197–210.</w:t>
      </w:r>
    </w:p>
    <w:p w:rsidR="008C763E" w:rsidRPr="00376A48" w:rsidRDefault="008C763E" w:rsidP="008C763E">
      <w:pPr>
        <w:jc w:val="both"/>
        <w:rPr>
          <w:sz w:val="24"/>
          <w:szCs w:val="24"/>
          <w:lang w:val="en-US"/>
        </w:rPr>
      </w:pPr>
      <w:r w:rsidRPr="00376A48">
        <w:rPr>
          <w:sz w:val="24"/>
          <w:szCs w:val="24"/>
          <w:lang w:val="en-US"/>
        </w:rPr>
        <w:t>5. Recommendations on the use in the Republic of Belarus of the Experience of the People's Republic of China in the Field of Regional Development and Integration of Provinces And Cities in the World Economy: scientific report / T. S. Vertinskaya [et al.]; Ed. by D. V. Primschitz, T. S. Vertinskaya; Institute of Economics of the national Academy of Sciences of Belarus.  – Minsk: Law and Economics, 2020. – 60 P.</w:t>
      </w:r>
    </w:p>
    <w:p w:rsidR="008C763E" w:rsidRPr="00376A48" w:rsidRDefault="008C763E" w:rsidP="008C763E">
      <w:pPr>
        <w:jc w:val="both"/>
        <w:rPr>
          <w:sz w:val="24"/>
          <w:szCs w:val="24"/>
          <w:lang w:val="en-US"/>
        </w:rPr>
      </w:pPr>
      <w:r w:rsidRPr="00376A48">
        <w:rPr>
          <w:sz w:val="24"/>
          <w:szCs w:val="24"/>
          <w:lang w:val="en-US"/>
        </w:rPr>
        <w:t>6. See, K. Migration and Development in China: Trends, Geography and Current Issues / K. See, C. Wing / / Migration and Development. - Volume 1 – - No. 2 (2012). - P. 12-18.</w:t>
      </w:r>
    </w:p>
    <w:p w:rsidR="008C763E" w:rsidRPr="00376A48" w:rsidRDefault="008C763E" w:rsidP="008C763E">
      <w:pPr>
        <w:jc w:val="both"/>
        <w:rPr>
          <w:sz w:val="24"/>
          <w:szCs w:val="24"/>
          <w:lang w:val="en-US"/>
        </w:rPr>
      </w:pPr>
      <w:r w:rsidRPr="00376A48">
        <w:rPr>
          <w:sz w:val="24"/>
          <w:szCs w:val="24"/>
          <w:lang w:val="en-US"/>
        </w:rPr>
        <w:t>7. Decoding the political economy of XI Jinping. - URL: http://www.china.com.cn/lianghui/news/2016-03/13/content_38013100.htm (accessed 28.10.2019).</w:t>
      </w:r>
    </w:p>
    <w:p w:rsidR="008C763E" w:rsidRPr="00376A48" w:rsidRDefault="008C763E" w:rsidP="008C763E">
      <w:pPr>
        <w:jc w:val="both"/>
        <w:rPr>
          <w:sz w:val="24"/>
          <w:szCs w:val="24"/>
          <w:lang w:val="en-US"/>
        </w:rPr>
      </w:pPr>
      <w:r w:rsidRPr="00376A48">
        <w:rPr>
          <w:sz w:val="24"/>
          <w:szCs w:val="24"/>
          <w:lang w:val="en-US"/>
        </w:rPr>
        <w:t>8. The Working meeting of the Central Committee on economic issues determined the tasks for the next year / / people's daily. 22.12.2016.</w:t>
      </w:r>
    </w:p>
    <w:p w:rsidR="00982BF8" w:rsidRPr="00376A48" w:rsidRDefault="008C763E" w:rsidP="003032C5">
      <w:pPr>
        <w:jc w:val="both"/>
        <w:rPr>
          <w:sz w:val="24"/>
          <w:szCs w:val="24"/>
          <w:lang w:val="en-US"/>
        </w:rPr>
      </w:pPr>
      <w:r w:rsidRPr="00376A48">
        <w:rPr>
          <w:sz w:val="24"/>
          <w:szCs w:val="24"/>
          <w:lang w:val="en-US"/>
        </w:rPr>
        <w:t xml:space="preserve">9. The Chinese experience of expert and analytical support for the activities of public administration / D. V. Primshits [et al.]; edited by S. R. Golubev; </w:t>
      </w:r>
      <w:r w:rsidRPr="00376A48">
        <w:rPr>
          <w:sz w:val="24"/>
          <w:szCs w:val="24"/>
          <w:lang w:val="en-US"/>
        </w:rPr>
        <w:t>National Academy of Sciences of Belarus</w:t>
      </w:r>
      <w:r w:rsidRPr="00376A48">
        <w:rPr>
          <w:sz w:val="24"/>
          <w:szCs w:val="24"/>
          <w:lang w:val="en-US"/>
        </w:rPr>
        <w:t xml:space="preserve">, Institute of Economics. </w:t>
      </w:r>
      <w:r w:rsidRPr="00376A48">
        <w:rPr>
          <w:sz w:val="24"/>
          <w:szCs w:val="24"/>
          <w:lang w:val="en-US"/>
        </w:rPr>
        <w:t>–</w:t>
      </w:r>
      <w:r w:rsidRPr="00376A48">
        <w:rPr>
          <w:sz w:val="24"/>
          <w:szCs w:val="24"/>
          <w:lang w:val="en-US"/>
        </w:rPr>
        <w:t xml:space="preserve"> Minsk: Belorusskaya Nauka, 2020. - 269 P.</w:t>
      </w:r>
    </w:p>
    <w:sectPr w:rsidR="00982BF8" w:rsidRPr="00376A48" w:rsidSect="00B41F36">
      <w:endnotePr>
        <w:numFmt w:val="decimal"/>
      </w:endnotePr>
      <w:pgSz w:w="11906" w:h="16838"/>
      <w:pgMar w:top="851" w:right="567" w:bottom="851"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3BF8" w:rsidRDefault="00173BF8" w:rsidP="003F254F">
      <w:r>
        <w:separator/>
      </w:r>
    </w:p>
  </w:endnote>
  <w:endnote w:type="continuationSeparator" w:id="0">
    <w:p w:rsidR="00173BF8" w:rsidRDefault="00173BF8" w:rsidP="003F25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3BF8" w:rsidRDefault="00173BF8" w:rsidP="003F254F">
      <w:r>
        <w:separator/>
      </w:r>
    </w:p>
  </w:footnote>
  <w:footnote w:type="continuationSeparator" w:id="0">
    <w:p w:rsidR="00173BF8" w:rsidRDefault="00173BF8" w:rsidP="003F254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08"/>
  <w:drawingGridHorizontalSpacing w:val="140"/>
  <w:drawingGridVerticalSpacing w:val="381"/>
  <w:displayHorizont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0325"/>
    <w:rsid w:val="0001004F"/>
    <w:rsid w:val="0010059B"/>
    <w:rsid w:val="0012401A"/>
    <w:rsid w:val="00173BF8"/>
    <w:rsid w:val="001A06D6"/>
    <w:rsid w:val="00213E7E"/>
    <w:rsid w:val="00215F18"/>
    <w:rsid w:val="00231478"/>
    <w:rsid w:val="00245212"/>
    <w:rsid w:val="003032C5"/>
    <w:rsid w:val="00376A48"/>
    <w:rsid w:val="003F254F"/>
    <w:rsid w:val="00431015"/>
    <w:rsid w:val="005B6C0E"/>
    <w:rsid w:val="0060515D"/>
    <w:rsid w:val="00666D1B"/>
    <w:rsid w:val="006D07C4"/>
    <w:rsid w:val="00827013"/>
    <w:rsid w:val="008C763E"/>
    <w:rsid w:val="00982BF8"/>
    <w:rsid w:val="00A33427"/>
    <w:rsid w:val="00A90325"/>
    <w:rsid w:val="00AD4ADD"/>
    <w:rsid w:val="00B26397"/>
    <w:rsid w:val="00B31202"/>
    <w:rsid w:val="00B41F36"/>
    <w:rsid w:val="00B757D0"/>
    <w:rsid w:val="00BC05B0"/>
    <w:rsid w:val="00C63AFC"/>
    <w:rsid w:val="00CF07CE"/>
    <w:rsid w:val="00E33AA6"/>
    <w:rsid w:val="00E64A8C"/>
    <w:rsid w:val="00FF6B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6D8EE"/>
  <w15:chartTrackingRefBased/>
  <w15:docId w15:val="{2947601D-FDDD-45C8-8B70-DA7C4BD1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3AFC"/>
    <w:pPr>
      <w:spacing w:after="0" w:line="240" w:lineRule="auto"/>
      <w:ind w:firstLine="709"/>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iPriority w:val="99"/>
    <w:unhideWhenUsed/>
    <w:rsid w:val="003F254F"/>
    <w:pPr>
      <w:jc w:val="both"/>
    </w:pPr>
    <w:rPr>
      <w:rFonts w:eastAsia="Calibri" w:cs="Times New Roman"/>
      <w:sz w:val="20"/>
      <w:szCs w:val="20"/>
    </w:rPr>
  </w:style>
  <w:style w:type="character" w:customStyle="1" w:styleId="a4">
    <w:name w:val="Текст концевой сноски Знак"/>
    <w:basedOn w:val="a0"/>
    <w:link w:val="a3"/>
    <w:uiPriority w:val="99"/>
    <w:rsid w:val="003F254F"/>
    <w:rPr>
      <w:rFonts w:ascii="Times New Roman" w:eastAsia="Calibri" w:hAnsi="Times New Roman" w:cs="Times New Roman"/>
      <w:sz w:val="20"/>
      <w:szCs w:val="20"/>
    </w:rPr>
  </w:style>
  <w:style w:type="character" w:styleId="a5">
    <w:name w:val="endnote reference"/>
    <w:basedOn w:val="a0"/>
    <w:uiPriority w:val="99"/>
    <w:semiHidden/>
    <w:unhideWhenUsed/>
    <w:rsid w:val="003F254F"/>
    <w:rPr>
      <w:vertAlign w:val="superscript"/>
    </w:rPr>
  </w:style>
  <w:style w:type="paragraph" w:customStyle="1" w:styleId="Default">
    <w:name w:val="Default"/>
    <w:rsid w:val="003F254F"/>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a6">
    <w:name w:val="Hyperlink"/>
    <w:basedOn w:val="a0"/>
    <w:uiPriority w:val="99"/>
    <w:unhideWhenUsed/>
    <w:rsid w:val="003F254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7952964">
      <w:bodyDiv w:val="1"/>
      <w:marLeft w:val="0"/>
      <w:marRight w:val="0"/>
      <w:marTop w:val="0"/>
      <w:marBottom w:val="0"/>
      <w:divBdr>
        <w:top w:val="none" w:sz="0" w:space="0" w:color="auto"/>
        <w:left w:val="none" w:sz="0" w:space="0" w:color="auto"/>
        <w:bottom w:val="none" w:sz="0" w:space="0" w:color="auto"/>
        <w:right w:val="none" w:sz="0" w:space="0" w:color="auto"/>
      </w:divBdr>
    </w:div>
    <w:div w:id="967318507">
      <w:bodyDiv w:val="1"/>
      <w:marLeft w:val="0"/>
      <w:marRight w:val="0"/>
      <w:marTop w:val="0"/>
      <w:marBottom w:val="0"/>
      <w:divBdr>
        <w:top w:val="none" w:sz="0" w:space="0" w:color="auto"/>
        <w:left w:val="none" w:sz="0" w:space="0" w:color="auto"/>
        <w:bottom w:val="none" w:sz="0" w:space="0" w:color="auto"/>
        <w:right w:val="none" w:sz="0" w:space="0" w:color="auto"/>
      </w:divBdr>
    </w:div>
    <w:div w:id="1468618940">
      <w:bodyDiv w:val="1"/>
      <w:marLeft w:val="0"/>
      <w:marRight w:val="0"/>
      <w:marTop w:val="0"/>
      <w:marBottom w:val="0"/>
      <w:divBdr>
        <w:top w:val="none" w:sz="0" w:space="0" w:color="auto"/>
        <w:left w:val="none" w:sz="0" w:space="0" w:color="auto"/>
        <w:bottom w:val="none" w:sz="0" w:space="0" w:color="auto"/>
        <w:right w:val="none" w:sz="0" w:space="0" w:color="auto"/>
      </w:divBdr>
    </w:div>
    <w:div w:id="1481533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F7E256-90E3-4E4A-9018-B11693A788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6</Pages>
  <Words>3704</Words>
  <Characters>21116</Characters>
  <Application>Microsoft Office Word</Application>
  <DocSecurity>0</DocSecurity>
  <Lines>175</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DV</dc:creator>
  <cp:keywords/>
  <dc:description/>
  <cp:lastModifiedBy>DV</cp:lastModifiedBy>
  <cp:revision>6</cp:revision>
  <dcterms:created xsi:type="dcterms:W3CDTF">2020-06-10T10:26:00Z</dcterms:created>
  <dcterms:modified xsi:type="dcterms:W3CDTF">2020-06-10T15:18:00Z</dcterms:modified>
</cp:coreProperties>
</file>