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19715A" w14:textId="46CFD3EA" w:rsidR="00205913" w:rsidRPr="00BA6019" w:rsidRDefault="00205913" w:rsidP="005A2236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782D91">
        <w:rPr>
          <w:rFonts w:ascii="Times New Roman" w:hAnsi="Times New Roman" w:cs="Times New Roman"/>
          <w:b/>
          <w:bCs/>
          <w:sz w:val="24"/>
          <w:szCs w:val="24"/>
        </w:rPr>
        <w:t xml:space="preserve"> 681.5.037.2</w:t>
      </w:r>
    </w:p>
    <w:p w14:paraId="471E2EC9" w14:textId="4AC0A56A" w:rsidR="00205913" w:rsidRPr="00205913" w:rsidRDefault="00205913" w:rsidP="00205913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Лесных В.В., Тимофеева Т.Б.</w:t>
      </w:r>
    </w:p>
    <w:p w14:paraId="01424817" w14:textId="1A76419D" w:rsidR="00FD26C8" w:rsidRPr="005A2236" w:rsidRDefault="00CD00AD" w:rsidP="0020591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2236">
        <w:rPr>
          <w:rFonts w:ascii="Times New Roman" w:hAnsi="Times New Roman" w:cs="Times New Roman"/>
          <w:b/>
          <w:bCs/>
          <w:sz w:val="24"/>
          <w:szCs w:val="24"/>
        </w:rPr>
        <w:t>АНАЛИЗ ПОДХОДОВ К ОЦЕНКЕ АДАПТИВНОЙ УСТОЙЧИВОСТИ ИНФРАСТРУКТУРНО-СЛОЖНЫХ ТЕРРИТОРИЙ</w:t>
      </w:r>
    </w:p>
    <w:p w14:paraId="7544B259" w14:textId="677AF585" w:rsidR="00CD00AD" w:rsidRPr="005A2236" w:rsidRDefault="00CD00AD" w:rsidP="005A22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5B2BEBF" w14:textId="719AB59B" w:rsidR="004D6713" w:rsidRPr="004D6713" w:rsidRDefault="00205913" w:rsidP="004D671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D6713">
        <w:rPr>
          <w:rFonts w:ascii="Times New Roman" w:hAnsi="Times New Roman" w:cs="Times New Roman"/>
          <w:b/>
          <w:i/>
          <w:sz w:val="24"/>
          <w:szCs w:val="24"/>
        </w:rPr>
        <w:t>Аннотация:</w:t>
      </w:r>
      <w:r w:rsidRPr="004D67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D6713" w:rsidRPr="004D6713">
        <w:rPr>
          <w:rFonts w:ascii="Times New Roman" w:hAnsi="Times New Roman" w:cs="Times New Roman"/>
          <w:i/>
          <w:sz w:val="24"/>
          <w:szCs w:val="24"/>
        </w:rPr>
        <w:t xml:space="preserve">Доклад посвящен анализу подходов к количественной оценке  адаптивной устойчивости инфраструктурно-сложных территории. </w:t>
      </w:r>
      <w:r w:rsidR="004D6713" w:rsidRPr="004D6713">
        <w:rPr>
          <w:rFonts w:ascii="Times New Roman" w:hAnsi="Times New Roman" w:cs="Times New Roman"/>
          <w:i/>
          <w:iCs/>
          <w:sz w:val="24"/>
          <w:szCs w:val="24"/>
        </w:rPr>
        <w:t>Выполнен анализ содержания понятия адаптивной устойчивости.</w:t>
      </w:r>
      <w:r w:rsidR="004D6713" w:rsidRPr="004D6713">
        <w:rPr>
          <w:rFonts w:ascii="Times New Roman" w:hAnsi="Times New Roman" w:cs="Times New Roman"/>
          <w:i/>
          <w:sz w:val="24"/>
          <w:szCs w:val="24"/>
        </w:rPr>
        <w:t xml:space="preserve"> Проведенный анализ российского и мирового опыта позволил выявить три подхода к оценке адаптивной устойчивости территорий. </w:t>
      </w:r>
    </w:p>
    <w:p w14:paraId="612AEC26" w14:textId="4952AC8D" w:rsidR="00205913" w:rsidRPr="004D6713" w:rsidRDefault="00205913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4D6713">
        <w:rPr>
          <w:b/>
          <w:i/>
          <w:sz w:val="24"/>
          <w:lang w:val="ru-RU"/>
        </w:rPr>
        <w:t>Ключевые слова</w:t>
      </w:r>
      <w:r w:rsidRPr="004D6713">
        <w:rPr>
          <w:i/>
          <w:sz w:val="24"/>
          <w:lang w:val="ru-RU"/>
        </w:rPr>
        <w:t>: инфраструктурно-сложная территория, адаптивная устойчивость, критерий, функциональные показатели, индексная оценка, бальная оценка</w:t>
      </w:r>
      <w:r w:rsidRPr="004D6713">
        <w:rPr>
          <w:sz w:val="24"/>
          <w:lang w:val="ru-RU"/>
        </w:rPr>
        <w:t>.</w:t>
      </w:r>
    </w:p>
    <w:p w14:paraId="064EEBCE" w14:textId="483C3E0A" w:rsidR="00D04345" w:rsidRPr="004D6713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4D6713">
        <w:rPr>
          <w:sz w:val="24"/>
          <w:lang w:val="ru-RU"/>
        </w:rPr>
        <w:tab/>
      </w:r>
      <w:r w:rsidRPr="004D6713">
        <w:rPr>
          <w:sz w:val="24"/>
          <w:lang w:val="ru-RU"/>
        </w:rPr>
        <w:tab/>
      </w:r>
      <w:r w:rsidR="00205913" w:rsidRPr="004D6713">
        <w:rPr>
          <w:sz w:val="24"/>
          <w:lang w:val="ru-RU"/>
        </w:rPr>
        <w:tab/>
      </w:r>
      <w:r w:rsidR="00205913" w:rsidRPr="004D6713">
        <w:rPr>
          <w:sz w:val="24"/>
          <w:lang w:val="ru-RU"/>
        </w:rPr>
        <w:tab/>
      </w:r>
    </w:p>
    <w:p w14:paraId="74D3C844" w14:textId="7B7B8FF6" w:rsidR="00D04345" w:rsidRPr="004D6713" w:rsidRDefault="00D04345" w:rsidP="004D6713">
      <w:pPr>
        <w:pStyle w:val="a7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3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последние несколько десятков лет процесс урбанизации развивался достаточно высокими темпами. В 2018 году около 55% населения мира (4.2 млрд. человек) проживало в городах, причем к 2030 году прогнозируется, что доля городского населения в таких регионах как Европа и Северная Америка составит 75% и 82%, соответственно [1</w:t>
      </w:r>
      <w:r w:rsidR="003E138C" w:rsidRPr="004D6713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3E138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D61E37E" w14:textId="3034C10A" w:rsidR="00D04345" w:rsidRDefault="00D04345" w:rsidP="004D6713">
      <w:pPr>
        <w:shd w:val="clear" w:color="auto" w:fill="FEFEFE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43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Российской Федерации в 2018 году  процент городского населения превысил 50% в 79 из 85 регионов страны [2]. Процесс урбанизации приводит к формированию территорий, на которых существенно возрастает не только плотность населения, но также количество и плотность систем жизнеобеспечения таких как системы энерго- и топливоснабжения, водоснабжения, транспортные и телекоммуникационные системы и т.д. Системы жизнеобеспечения не только имеют сложную структуру и пространственную распределенность, но также и значительно связаны между собой потоками энергии, материалов, информации и пр. Можно говорить о формировании инфраструктурно-сложных территорий, число и масштабы которых постоянно возрастают. Под инфраструктурно-сложной территорией (ИСТ) будем понимать территорию с высокой концентрацией и высоким уровнем взаимодействия систем жизнеобеспечения. Примерами таких территорий являются Москва и Московская обл., район Дюссельдорф-Кельн , Шанхай, Сингапур и др. </w:t>
      </w:r>
    </w:p>
    <w:p w14:paraId="2633F0D8" w14:textId="303F2897" w:rsidR="00D04345" w:rsidRPr="00D04345" w:rsidRDefault="00D04345" w:rsidP="004D6713">
      <w:pPr>
        <w:shd w:val="clear" w:color="auto" w:fill="FEFEFE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Аварии и чрезвычайные ситуации в ИСТ могут приводить к тяжелы</w:t>
      </w:r>
      <w:r w:rsidR="003E138C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социально-экономическим последствия</w:t>
      </w:r>
      <w:r w:rsidR="003E138C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A427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оценки уровня устойчивости ИСТ к внешним угрозам в последние годы используется понятие «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resilience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D043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адаптивной устойчивости. </w:t>
      </w:r>
    </w:p>
    <w:p w14:paraId="25954F84" w14:textId="03CBA330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Термин «resilience» начал использоваться в научных публикациях в конце 90-х годов прошлого столетия. Первоначально он применялся в достаточно узких областях психологии и экологии и прежде всего был связан с восстанавливаемостью (реабилитацией) человека или природной экосистемы после стрессовой ситуации. В последующее десятилетие существенно возрос объем публикаций, где использовался данный термин. Например, по данным </w:t>
      </w:r>
      <w:r w:rsidR="004D6713" w:rsidRPr="004D6713">
        <w:rPr>
          <w:sz w:val="24"/>
          <w:lang w:val="ru-RU"/>
        </w:rPr>
        <w:t>[3]</w:t>
      </w:r>
      <w:r w:rsidRPr="005A2236">
        <w:rPr>
          <w:sz w:val="24"/>
          <w:lang w:val="ru-RU"/>
        </w:rPr>
        <w:t xml:space="preserve"> в индексируемых научных журналах в разные периоды было опубликовано 93 статьи по экологии (1998-2017 гг.), 53 статьи по техническим наукам (2007-2017 гг.), 16 статей по бизнесу и менеджменту (2009-2017 гг.), в которых применялся термин «resilience». В последние годы (2015-2019) частота и области использования данного термина существенно возросли.</w:t>
      </w:r>
    </w:p>
    <w:p w14:paraId="6C18389E" w14:textId="43318F4E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Анализ определений, данных в ряде работ, например, </w:t>
      </w:r>
      <w:r w:rsidR="009E3F21" w:rsidRPr="009E3F21">
        <w:rPr>
          <w:sz w:val="24"/>
          <w:lang w:val="ru-RU"/>
        </w:rPr>
        <w:t>[4]</w:t>
      </w:r>
      <w:r w:rsidRPr="005A2236">
        <w:rPr>
          <w:sz w:val="24"/>
          <w:lang w:val="ru-RU"/>
        </w:rPr>
        <w:t xml:space="preserve">, позволяет выделить в качестве основных признаков «resilience» объекта или системы: способность противостоять внешним негативным воздействиям; способность восстанавливаться в приемлемый интервал времени и приемлемыми затратами (материальными, финансовыми, психологическими и пр.). </w:t>
      </w:r>
    </w:p>
    <w:p w14:paraId="7840F20B" w14:textId="2D1B92A2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Отдельное направление исследований связано с обоснованием количественной меры (критерия) адаптивной устойчивости. Как справедливо отмечено в работе </w:t>
      </w:r>
      <w:r w:rsidR="009E3F21" w:rsidRPr="009E3F21">
        <w:rPr>
          <w:sz w:val="24"/>
          <w:lang w:val="ru-RU"/>
        </w:rPr>
        <w:t>[5]</w:t>
      </w:r>
      <w:r w:rsidRPr="005A2236">
        <w:rPr>
          <w:sz w:val="24"/>
          <w:lang w:val="ru-RU"/>
        </w:rPr>
        <w:t xml:space="preserve">, конкретный </w:t>
      </w:r>
      <w:r w:rsidRPr="005A2236">
        <w:rPr>
          <w:sz w:val="24"/>
          <w:lang w:val="ru-RU"/>
        </w:rPr>
        <w:lastRenderedPageBreak/>
        <w:t xml:space="preserve">вид критерия должен учитывать следующие свойства: техническая и экономическая эффективность; устойчивость развития; безопасность социальных-экономических и экологических компонент. Необходимость использования количественной меры resilience связана с необходимостью решения задач оценки достаточности уровня адаптивной устойчивости системы (систем), выбором варианта развития систем (территорий) с учетом приемлемого уровня адаптивной устойчивости и т.д. </w:t>
      </w:r>
    </w:p>
    <w:p w14:paraId="19D12E49" w14:textId="3DD51285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>Анализ публикаций позволяет выделить три подхода к оценке уровня resilience системы или территории:</w:t>
      </w:r>
    </w:p>
    <w:p w14:paraId="08E96ED4" w14:textId="77777777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>- подход с использованием в качестве критерия функциональных показателей в абсолютном или относительном значении;</w:t>
      </w:r>
    </w:p>
    <w:p w14:paraId="7E4D795A" w14:textId="77777777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>- подход с использованием индексного критерия (критериев);</w:t>
      </w:r>
    </w:p>
    <w:p w14:paraId="7D3576B1" w14:textId="77777777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- комбинированный подход (с совместным использованием функциональных и индексных критериев). </w:t>
      </w:r>
    </w:p>
    <w:p w14:paraId="07174E07" w14:textId="16325E03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Подход с использованием функциональных показателей обычно используется для оценки resilience отдельной системы. Для таких систем жизнеобеспечения как электроэнергетическая система, система газоснабжения, система теплоснабжения в качестве уровне resilience могут быть использованы соотношения показателей мощности, расхода газа и тепла до аварии и после восстановления </w:t>
      </w:r>
      <w:r w:rsidR="00CE4F00" w:rsidRPr="00CE4F00">
        <w:rPr>
          <w:sz w:val="24"/>
          <w:lang w:val="ru-RU"/>
        </w:rPr>
        <w:t>[6]</w:t>
      </w:r>
      <w:r w:rsidRPr="005A2236">
        <w:rPr>
          <w:sz w:val="24"/>
          <w:lang w:val="ru-RU"/>
        </w:rPr>
        <w:t xml:space="preserve">. Для системы водоснабжения используется такой показатель, как давление воды в системе до аварии </w:t>
      </w:r>
      <w:r w:rsidR="00CE4F00" w:rsidRPr="00CE4F00">
        <w:rPr>
          <w:sz w:val="24"/>
          <w:lang w:val="ru-RU"/>
        </w:rPr>
        <w:t>[7]</w:t>
      </w:r>
      <w:r w:rsidRPr="005A2236">
        <w:rPr>
          <w:sz w:val="24"/>
          <w:lang w:val="ru-RU"/>
        </w:rPr>
        <w:t xml:space="preserve">. Для взаимодействующих систем электроснабжения и водоснабжения в качестве критерия предложено использовать отношение производительности систем после восстановления к суммарным потерям за период восстановления </w:t>
      </w:r>
      <w:r w:rsidR="00263019" w:rsidRPr="00263019">
        <w:rPr>
          <w:sz w:val="24"/>
          <w:lang w:val="ru-RU"/>
        </w:rPr>
        <w:t>[8].</w:t>
      </w:r>
    </w:p>
    <w:p w14:paraId="24192169" w14:textId="2ADCE0C2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Достаточно подробный анализ методов количественной оценки resilience применительно к транспортной системе выполнен в работе </w:t>
      </w:r>
      <w:r w:rsidR="00263019" w:rsidRPr="00263019">
        <w:rPr>
          <w:sz w:val="24"/>
          <w:lang w:val="ru-RU"/>
        </w:rPr>
        <w:t>[9]</w:t>
      </w:r>
      <w:r w:rsidRPr="005A2236">
        <w:rPr>
          <w:sz w:val="24"/>
          <w:lang w:val="ru-RU"/>
        </w:rPr>
        <w:t xml:space="preserve">. Там же предлагается учитывать функциональный и социо-экономический аспекты адаптивной устойчивости, а в качестве критерия оценки использовать такие показатели как производительность системы до аварии и после восстановления, длительность восстановления, социально-экономические потери в период восстановления. </w:t>
      </w:r>
    </w:p>
    <w:p w14:paraId="73237BD4" w14:textId="4CB739CC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Индикаторный (бальный) подход часто используется в том случае, когда оценка resilience осуществляется для нескольких взаимодействующих систем. В </w:t>
      </w:r>
      <w:r w:rsidR="005503D9">
        <w:rPr>
          <w:sz w:val="24"/>
        </w:rPr>
        <w:t>[10]</w:t>
      </w:r>
      <w:r w:rsidRPr="005A2236">
        <w:rPr>
          <w:rFonts w:eastAsia="Calibri"/>
          <w:spacing w:val="-2"/>
          <w:sz w:val="24"/>
          <w:lang w:val="ru-RU"/>
        </w:rPr>
        <w:t xml:space="preserve"> </w:t>
      </w:r>
      <w:r w:rsidRPr="005A2236">
        <w:rPr>
          <w:sz w:val="24"/>
          <w:lang w:val="ru-RU"/>
        </w:rPr>
        <w:t>предлагается использовать Disaster Resilience Index (DRI). Данный индекс был разработан в качестве инструмента самооценки с ранжированием, соответствующим пяти целевым уровням достижения показателей resilience урбанизированной территории. Предлагается рассматривать пять уровней DRI: 1) недостаточная осведомленность или отсутствие осведомленности, 2) осведомленность о потребностях, 3) вовлеченность и приверженность, 4) вовлечение в политику и разработка решений и 5) полная интеграция.</w:t>
      </w:r>
    </w:p>
    <w:p w14:paraId="3352672E" w14:textId="457F8457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Для оценки трех фаз развития аварий или катастроф (доаварийный, аварийный, послеаварийный) </w:t>
      </w:r>
      <w:r w:rsidR="005503D9" w:rsidRPr="005503D9">
        <w:rPr>
          <w:sz w:val="24"/>
          <w:lang w:val="ru-RU"/>
        </w:rPr>
        <w:t>[11]</w:t>
      </w:r>
      <w:r w:rsidRPr="005A2236">
        <w:rPr>
          <w:rFonts w:eastAsia="Calibri"/>
          <w:spacing w:val="-2"/>
          <w:sz w:val="24"/>
          <w:lang w:val="ru-RU"/>
        </w:rPr>
        <w:t xml:space="preserve"> </w:t>
      </w:r>
      <w:r w:rsidRPr="005A2236">
        <w:rPr>
          <w:sz w:val="24"/>
          <w:lang w:val="ru-RU"/>
        </w:rPr>
        <w:t xml:space="preserve">предлагает использовать три индекса. Первый индекс, относящийся к доаварийной фазе, рассматривает элементы, характеризующие физическую безопасность, управление безопасностью, силы безопасности, обмен информацией и внешнюю среду по обеспечению безопасности. Второй индекс характеризует устойчивость критической инфраструктуры и возможность смягчения максимальных последствий. Этот индекс является ключевым показателем эффективности, который характеризует устойчивость объекта (системы) и может быть использован для принятия решения владельцев/операторов критической инфраструктуры путем сравнения с аналогичными объектами. Этот индекс применим ко всем типам секторов/подсекторов критической инфраструктуры и учитывать все виды опасностей (антропогенные, природные и кибернетические), зависимости объектов и возможности объектов в отношении управления чрезвычайными ситуациями. Третий индекс связан с оценкой последствий, характеризует максимальные последствия, связанные с возможными неблагоприятными событиями на объекте (системе). Этот индекс включает информацию о здоровье и безопасности населения, экономических, </w:t>
      </w:r>
      <w:r w:rsidRPr="005A2236">
        <w:rPr>
          <w:sz w:val="24"/>
          <w:lang w:val="ru-RU"/>
        </w:rPr>
        <w:lastRenderedPageBreak/>
        <w:t>психологических и управленческих последствиях и последствиях в результате утраты объекта или части системы.</w:t>
      </w:r>
    </w:p>
    <w:p w14:paraId="7B4D3097" w14:textId="31D34897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>Два подхода к оценке уровня адаптивной устойчивости описаны в</w:t>
      </w:r>
      <w:r w:rsidRPr="005A2236">
        <w:rPr>
          <w:rFonts w:eastAsia="Calibri"/>
          <w:spacing w:val="-2"/>
          <w:sz w:val="24"/>
          <w:lang w:val="ru-RU"/>
        </w:rPr>
        <w:t xml:space="preserve"> </w:t>
      </w:r>
      <w:r w:rsidR="005503D9" w:rsidRPr="005503D9">
        <w:rPr>
          <w:rFonts w:eastAsia="Calibri"/>
          <w:spacing w:val="-2"/>
          <w:sz w:val="24"/>
          <w:lang w:val="ru-RU"/>
        </w:rPr>
        <w:t>[12].</w:t>
      </w:r>
      <w:r w:rsidRPr="005A2236">
        <w:rPr>
          <w:sz w:val="24"/>
          <w:lang w:val="ru-RU"/>
        </w:rPr>
        <w:t xml:space="preserve"> В первом методе цикл устойчивости рассматривается как концептуальная модель. Индикаторы используются для косвенного измерения устойчивости в каждой фазе, то есть без учета вида кривой восстановления. Текущие значения показателей (на момент измерения) представляют собой баллы показателей, которые агрегируются в шестиуровневой иерархической модели, заканчивающейся оценкой общего уровнем устойчивости критической инфраструктуры или всего района (например, города). Второй метод представляет собой прямое измерение (моделирование/прогнозирование) формы кривой восстановления или некоторых характеристик кривой, называемых «макроиндикаторами» (например, максимальная потеря функциональности, простои и т. д.) этот метод используется для стресс-тестирования путем сравнения кривой восстановления с приемлемым уровнем устойчивости.</w:t>
      </w:r>
    </w:p>
    <w:p w14:paraId="5B4E0BBD" w14:textId="68FAEFE4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В работе </w:t>
      </w:r>
      <w:r w:rsidR="005503D9" w:rsidRPr="005503D9">
        <w:rPr>
          <w:rFonts w:eastAsia="Calibri"/>
          <w:spacing w:val="-2"/>
          <w:sz w:val="24"/>
          <w:lang w:val="ru-RU"/>
        </w:rPr>
        <w:t xml:space="preserve">[13] </w:t>
      </w:r>
      <w:r w:rsidRPr="005A2236">
        <w:rPr>
          <w:sz w:val="24"/>
          <w:lang w:val="ru-RU"/>
        </w:rPr>
        <w:t xml:space="preserve">рассматривается индикативный подход к оценке resilience с учетом динамической составляющей. Предлагается оценивать соответствующие индексы для расширенного набора фаз жизненного цикла треугольника resilience (Risk assessment, prevention, preparedness, warning, response, recovery, leaning) и осуществлять свертку данных индексов для оценки интегрального уровня resilience для всего цикла. </w:t>
      </w:r>
    </w:p>
    <w:p w14:paraId="5C25274D" w14:textId="5A4D0C50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В ряде работ рассматриваются индексные подходы к оценке resilience критически важных систем. Например, в статье </w:t>
      </w:r>
      <w:r w:rsidR="005503D9" w:rsidRPr="005503D9">
        <w:rPr>
          <w:rFonts w:eastAsia="Calibri"/>
          <w:spacing w:val="-2"/>
          <w:sz w:val="24"/>
          <w:lang w:val="ru-RU"/>
        </w:rPr>
        <w:t>[14]</w:t>
      </w:r>
      <w:r w:rsidRPr="005A2236">
        <w:rPr>
          <w:sz w:val="24"/>
          <w:lang w:val="ru-RU"/>
        </w:rPr>
        <w:t xml:space="preserve"> предложен подход к оценке resilience системы как среднее арифметическое уровня resilience входящих в систему объектов (элементов).  При этом resilience элементов определяется как сумма взвешенных по 5-ти бальной шкале значения таких составляющих resilience как Robustness, Adaptability, Recoverability.</w:t>
      </w:r>
    </w:p>
    <w:p w14:paraId="1861A66B" w14:textId="69B4E0E1" w:rsidR="00CD00AD" w:rsidRPr="005A2236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 xml:space="preserve">Еще один подход включает совместное использование функциональных и индексных показателей для оценки уровня resilience. Например, в работе </w:t>
      </w:r>
      <w:r w:rsidR="005503D9" w:rsidRPr="005503D9">
        <w:rPr>
          <w:sz w:val="24"/>
          <w:lang w:val="ru-RU"/>
        </w:rPr>
        <w:t>[15]</w:t>
      </w:r>
      <w:r w:rsidRPr="005A2236">
        <w:rPr>
          <w:sz w:val="24"/>
          <w:lang w:val="ru-RU"/>
        </w:rPr>
        <w:t xml:space="preserve"> применительно к транспортной системе в сочетании с природными опасностями (землетрясение), совместно рассматривается система функциональных показателей и интегральный индекс resilience территории, подверженной землетрясениям. В качестве функциональных показателей используются относительные экономические потери; относительные потери. Связанные с потерей доступности жизненно важных объектов (больницы, электростанции, порты, административные здания и др.); относительный экологический ущерб. </w:t>
      </w:r>
    </w:p>
    <w:p w14:paraId="0165BD9C" w14:textId="11CFE200" w:rsidR="00CD00AD" w:rsidRPr="00D129F4" w:rsidRDefault="00CD00AD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 w:rsidRPr="005A2236">
        <w:rPr>
          <w:sz w:val="24"/>
          <w:lang w:val="ru-RU"/>
        </w:rPr>
        <w:t>Проведенный анализ показал, что в зависимости от типа и сложности рассматриваемой системы (систем) может быть выбран критерий количественной оценки адаптивной устойчивости. Следует также отметить, что рассмотренные подходы не в полной мере отражают свойства взаимодействующих систем, характерных для инфраструктурно-сложных территорий. Данная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проблема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представляет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собой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направление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современных</w:t>
      </w:r>
      <w:r w:rsidRPr="00D129F4">
        <w:rPr>
          <w:sz w:val="24"/>
          <w:lang w:val="ru-RU"/>
        </w:rPr>
        <w:t xml:space="preserve"> </w:t>
      </w:r>
      <w:r w:rsidRPr="005A2236">
        <w:rPr>
          <w:sz w:val="24"/>
          <w:lang w:val="ru-RU"/>
        </w:rPr>
        <w:t>исследований</w:t>
      </w:r>
      <w:r w:rsidRPr="00D129F4">
        <w:rPr>
          <w:sz w:val="24"/>
          <w:lang w:val="ru-RU"/>
        </w:rPr>
        <w:t>.</w:t>
      </w:r>
    </w:p>
    <w:p w14:paraId="07852F87" w14:textId="67B04C7C" w:rsidR="00CD00AD" w:rsidRPr="00C05CCE" w:rsidRDefault="00C05CCE" w:rsidP="004D6713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  <w:lang w:val="ru-RU"/>
        </w:rPr>
      </w:pPr>
      <w:r>
        <w:rPr>
          <w:sz w:val="24"/>
          <w:lang w:val="ru-RU"/>
        </w:rPr>
        <w:t>___________________</w:t>
      </w:r>
    </w:p>
    <w:p w14:paraId="256B4E80" w14:textId="7758975D" w:rsidR="00C05CCE" w:rsidRPr="00C05CCE" w:rsidRDefault="00C05CCE" w:rsidP="004D671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05CCE">
        <w:rPr>
          <w:rFonts w:ascii="Times New Roman" w:hAnsi="Times New Roman" w:cs="Times New Roman"/>
          <w:i/>
          <w:sz w:val="24"/>
          <w:szCs w:val="24"/>
        </w:rPr>
        <w:t>Статья подготовлена при поддержке гранта РФФИ «Разработка теоретических основ и практических методов анализа, прогнозирования и оценки безопасности при межсистемных взаимодействиях критических инфраструктур на урбанизированных территориях» №20-010-00812А.</w:t>
      </w:r>
    </w:p>
    <w:p w14:paraId="20AF52E1" w14:textId="77777777" w:rsidR="00C05CCE" w:rsidRPr="00A176D8" w:rsidRDefault="00C05CCE" w:rsidP="004D6713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4CE8BE1C" w14:textId="77777777" w:rsidR="00E93E24" w:rsidRPr="000F6F7A" w:rsidRDefault="00E93E24" w:rsidP="00E93E2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F6F7A">
        <w:rPr>
          <w:rFonts w:ascii="Times New Roman" w:hAnsi="Times New Roman" w:cs="Times New Roman"/>
          <w:b/>
          <w:bCs/>
          <w:sz w:val="24"/>
          <w:szCs w:val="24"/>
        </w:rPr>
        <w:t>Библиографический</w:t>
      </w:r>
      <w:r w:rsidRPr="000F6F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0F6F7A">
        <w:rPr>
          <w:rFonts w:ascii="Times New Roman" w:hAnsi="Times New Roman" w:cs="Times New Roman"/>
          <w:b/>
          <w:bCs/>
          <w:sz w:val="24"/>
          <w:szCs w:val="24"/>
        </w:rPr>
        <w:t>список</w:t>
      </w:r>
    </w:p>
    <w:p w14:paraId="17D20CB2" w14:textId="77777777" w:rsidR="00E93E24" w:rsidRPr="00770386" w:rsidRDefault="00E93E24" w:rsidP="00E93E24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770386">
        <w:rPr>
          <w:rFonts w:ascii="Times New Roman" w:hAnsi="Times New Roman"/>
          <w:sz w:val="24"/>
          <w:szCs w:val="24"/>
          <w:lang w:val="en-US" w:eastAsia="ru-RU"/>
        </w:rPr>
        <w:t>United Nations, Department of Economic and Social Affairs, Population Division. World Population Prospects 2019: Highlights (ST/ESA/SER.A/423). –  New York: United Nations, 2019. – 39 p.</w:t>
      </w:r>
    </w:p>
    <w:p w14:paraId="703DB7F1" w14:textId="77777777" w:rsidR="00E93E24" w:rsidRPr="00770386" w:rsidRDefault="00E93E24" w:rsidP="00E93E24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ru-RU"/>
        </w:rPr>
      </w:pPr>
      <w:r w:rsidRPr="00770386">
        <w:rPr>
          <w:rFonts w:ascii="Times New Roman" w:hAnsi="Times New Roman"/>
          <w:sz w:val="24"/>
          <w:szCs w:val="24"/>
          <w:lang w:eastAsia="ru-RU"/>
        </w:rPr>
        <w:t>Балабейкина О., Файбусович Е. Уровень урбанизации территорий Российской Федерации: региональный аспект // Географический вестник. – 2018. -  1(44). – С. 72-82.  doi: </w:t>
      </w:r>
      <w:hyperlink r:id="rId7" w:tgtFrame="_blank" w:history="1">
        <w:r w:rsidRPr="00770386">
          <w:rPr>
            <w:rFonts w:ascii="Times New Roman" w:hAnsi="Times New Roman"/>
            <w:sz w:val="24"/>
            <w:szCs w:val="24"/>
            <w:lang w:eastAsia="ru-RU"/>
          </w:rPr>
          <w:t>10.17072/2079-7877-2018-1-72-82</w:t>
        </w:r>
      </w:hyperlink>
    </w:p>
    <w:p w14:paraId="0AC689FF" w14:textId="77777777" w:rsidR="00E93E24" w:rsidRPr="00770386" w:rsidRDefault="00E93E24" w:rsidP="00E93E24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</w:rPr>
      </w:pPr>
      <w:hyperlink r:id="rId8" w:history="1"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Luca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Fraccascia</w:t>
        </w:r>
      </w:hyperlink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, </w:t>
      </w:r>
      <w:hyperlink r:id="rId9" w:history="1"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Ilaria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Giannoccaro</w:t>
        </w:r>
      </w:hyperlink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and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hyperlink r:id="rId10" w:history="1"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Vito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Albino</w:t>
        </w:r>
      </w:hyperlink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(2018)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Resilience of Complex Systems: State of the Art and Directions for Future Research // Complexity Volume 2018. </w:t>
      </w:r>
      <w:r w:rsidRPr="00770386">
        <w:rPr>
          <w:rFonts w:ascii="Times New Roman" w:hAnsi="Times New Roman"/>
          <w:sz w:val="24"/>
          <w:szCs w:val="24"/>
        </w:rPr>
        <w:t xml:space="preserve">[Электронный ресурс]. Режим доступа </w:t>
      </w:r>
      <w:hyperlink r:id="rId11" w:history="1"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https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://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www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.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hindawi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.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com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/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journals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/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complexity</w:t>
        </w:r>
        <w:r w:rsidRPr="00770386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</w:rPr>
          <w:t>/2018/3421529</w:t>
        </w:r>
      </w:hyperlink>
      <w:r w:rsidRPr="00770386">
        <w:rPr>
          <w:rStyle w:val="a8"/>
          <w:rFonts w:ascii="Times New Roman" w:hAnsi="Times New Roman"/>
          <w:color w:val="auto"/>
          <w:sz w:val="24"/>
          <w:szCs w:val="24"/>
          <w:u w:val="none"/>
        </w:rPr>
        <w:t xml:space="preserve"> (дата обращения 15.05.2020)</w:t>
      </w:r>
    </w:p>
    <w:p w14:paraId="7DA8AF69" w14:textId="77777777" w:rsidR="00E93E24" w:rsidRPr="00770386" w:rsidRDefault="00E93E24" w:rsidP="00E93E24">
      <w:pPr>
        <w:pStyle w:val="a7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ru-RU"/>
        </w:rPr>
      </w:pPr>
      <w:r w:rsidRPr="00770386">
        <w:rPr>
          <w:rFonts w:ascii="Times New Roman" w:hAnsi="Times New Roman"/>
          <w:sz w:val="24"/>
          <w:szCs w:val="24"/>
          <w:lang w:eastAsia="ru-RU"/>
        </w:rPr>
        <w:t xml:space="preserve">Малинецкий Г.Г., Кочкаров А.А. Управление безопасностью и стойкостью сложных систем к внешним воздействиям // Проблемы управления. – 2005. - №5. – </w:t>
      </w:r>
      <w:r w:rsidRPr="00770386">
        <w:rPr>
          <w:rFonts w:ascii="Times New Roman" w:hAnsi="Times New Roman"/>
          <w:sz w:val="24"/>
          <w:szCs w:val="24"/>
          <w:lang w:val="en-US" w:eastAsia="ru-RU"/>
        </w:rPr>
        <w:t>C</w:t>
      </w:r>
      <w:r w:rsidRPr="00770386">
        <w:rPr>
          <w:rFonts w:ascii="Times New Roman" w:hAnsi="Times New Roman"/>
          <w:sz w:val="24"/>
          <w:szCs w:val="24"/>
          <w:lang w:eastAsia="ru-RU"/>
        </w:rPr>
        <w:t>. 70-76.</w:t>
      </w:r>
    </w:p>
    <w:p w14:paraId="4B5E3CB0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Beyond Bouncing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Back: Roundtable on Critical Transportation Infrastructure Resilience, Volpe Center, 30 April, 2013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794B1B5A" w14:textId="77777777" w:rsidR="00E93E24" w:rsidRPr="00770386" w:rsidRDefault="00E93E24" w:rsidP="00E93E24">
      <w:pPr>
        <w:pStyle w:val="a7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770386">
        <w:rPr>
          <w:rFonts w:ascii="Times New Roman" w:hAnsi="Times New Roman"/>
          <w:sz w:val="24"/>
          <w:szCs w:val="24"/>
          <w:lang w:val="en-US" w:eastAsia="ru-RU"/>
        </w:rPr>
        <w:t xml:space="preserve">Francis R., Bekera B. A metric and frameworks for resilience analysis of engineered and infrastructure systems // Reliability Engineering &amp; System Safety. – 2014. - №121. P. 90–103.    </w:t>
      </w:r>
    </w:p>
    <w:p w14:paraId="51654FB8" w14:textId="77777777" w:rsidR="00E93E24" w:rsidRPr="00770386" w:rsidRDefault="00E93E24" w:rsidP="00E93E24">
      <w:pPr>
        <w:pStyle w:val="a7"/>
        <w:numPr>
          <w:ilvl w:val="0"/>
          <w:numId w:val="2"/>
        </w:numPr>
        <w:spacing w:after="0" w:line="240" w:lineRule="auto"/>
        <w:ind w:left="567" w:hanging="567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Beatrice Cassottana et al. A Quantitative Method to Identify Strategies for Enhancing the Resilience of Water Networks // Proceedings of the 29th European Safety and Reliability Conference. Edited byMichael Beer and Enrico Zio, 2019, pp.1301-1311.</w:t>
      </w:r>
    </w:p>
    <w:p w14:paraId="36B021C8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Jin-Zhu Yu, Hiba Baroud A Probabilistic Approach for Modelling the Resilience of Interdependent Power and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Water Infrastructure Networks // Proceedings of the 29th European Safety and Reliability Conference. Edited by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Michael Beer and Enrico Zio, 2019, pp.1298-1304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1E0CCAA1" w14:textId="77777777" w:rsidR="00E93E24" w:rsidRPr="00770386" w:rsidRDefault="00E93E24" w:rsidP="00E93E24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Wenjuan Sun, Paolo Bocchini, and Brian D. Davison Resilience metrics and measurement methods for transportation infrastructure: The state of the art. </w:t>
      </w:r>
      <w:r w:rsidRPr="00770386">
        <w:rPr>
          <w:rFonts w:ascii="Times New Roman" w:hAnsi="Times New Roman"/>
          <w:sz w:val="24"/>
          <w:szCs w:val="24"/>
        </w:rPr>
        <w:t xml:space="preserve">[Электронный ресурс]. Режим доступа </w:t>
      </w:r>
      <w:hyperlink r:id="rId12" w:history="1"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https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</w:rPr>
          <w:t>://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www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</w:rPr>
          <w:t>.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researchgate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</w:rPr>
          <w:t>.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net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</w:rPr>
          <w:t>/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publication</w:t>
        </w:r>
        <w:r w:rsidRPr="00770386">
          <w:rPr>
            <w:rFonts w:ascii="Times New Roman" w:eastAsia="Calibri" w:hAnsi="Times New Roman"/>
            <w:spacing w:val="-2"/>
            <w:sz w:val="24"/>
            <w:szCs w:val="24"/>
          </w:rPr>
          <w:t>/326920176</w:t>
        </w:r>
      </w:hyperlink>
      <w:r w:rsidRPr="00770386">
        <w:rPr>
          <w:rFonts w:ascii="Times New Roman" w:eastAsia="Calibri" w:hAnsi="Times New Roman"/>
          <w:spacing w:val="-2"/>
          <w:sz w:val="24"/>
          <w:szCs w:val="24"/>
        </w:rPr>
        <w:t xml:space="preserve">. </w:t>
      </w:r>
      <w:r w:rsidRPr="00770386">
        <w:rPr>
          <w:rStyle w:val="a8"/>
          <w:rFonts w:ascii="Times New Roman" w:hAnsi="Times New Roman"/>
          <w:color w:val="auto"/>
          <w:sz w:val="24"/>
          <w:szCs w:val="24"/>
          <w:u w:val="none"/>
        </w:rPr>
        <w:t>(дата обращения 15.05.2020)</w:t>
      </w:r>
    </w:p>
    <w:p w14:paraId="6BC63536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Khazai, Bijan &amp; Bendimeard, Fouad &amp; Cardona, Omar &amp; Tibaduiza, Martha &amp; Barbat, Alex &amp; Burton, Christopher. A Guide to Measuring Urban Resilience: Principles, Tools and Practice of Urban Indicators.</w:t>
      </w:r>
      <w:r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2015.</w:t>
      </w:r>
    </w:p>
    <w:p w14:paraId="2DF457B2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Resilience Measurement Index: An Indicator of Critical Infrastructure Resilience.  Technical Report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April 2013, ANL/DIS-13-01, 56 p.</w:t>
      </w:r>
    </w:p>
    <w:p w14:paraId="11D523E7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Guideline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for assessing, predicting and monitoring resilience of Smart Critical Infrastructures (SCIs), Trondheim, September 2019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– 128 p.</w:t>
      </w:r>
    </w:p>
    <w:p w14:paraId="38CF1F66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Goncalo Rodrigues Cadete  Report of criteria for evaluation resilience. Technical report, University of Lisbon, May 2016 – p.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37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7CF454A8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David Rehak et al.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Complex approach to assessing resilience of critical infrastructure elements // International Journal of Critical infrastructure Protection. – 2019. -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№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25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 P.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125-138.</w:t>
      </w:r>
    </w:p>
    <w:p w14:paraId="4460B19C" w14:textId="77777777" w:rsidR="00E93E24" w:rsidRPr="00770386" w:rsidRDefault="00E93E24" w:rsidP="00E93E24">
      <w:pPr>
        <w:pStyle w:val="a7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Ioannis Kilanitis, Anastasioa Sextos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(2019)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Integrated seismic risk and resilience assessment of roadway networks in earthquake prone areas // Bulletin of Earthquake Engineering. – 2019. - 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№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17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US"/>
        </w:rPr>
        <w:t>. P.</w:t>
      </w:r>
      <w:r w:rsidRPr="00770386">
        <w:rPr>
          <w:rFonts w:ascii="Times New Roman" w:eastAsia="Calibri" w:hAnsi="Times New Roman"/>
          <w:spacing w:val="-2"/>
          <w:sz w:val="24"/>
          <w:szCs w:val="24"/>
          <w:lang w:val="en-IN"/>
        </w:rPr>
        <w:t>181-210.</w:t>
      </w:r>
    </w:p>
    <w:p w14:paraId="7329CC73" w14:textId="77777777" w:rsidR="00CD00AD" w:rsidRDefault="00CD00AD" w:rsidP="005A2236">
      <w:pPr>
        <w:spacing w:line="240" w:lineRule="auto"/>
        <w:rPr>
          <w:rFonts w:ascii="Times New Roman" w:hAnsi="Times New Roman" w:cs="Times New Roman"/>
          <w:sz w:val="24"/>
          <w:szCs w:val="24"/>
          <w:lang w:val="en-IN"/>
        </w:rPr>
      </w:pPr>
    </w:p>
    <w:p w14:paraId="7AF9A1D1" w14:textId="372A59E2" w:rsidR="00E80A96" w:rsidRPr="003A31F9" w:rsidRDefault="00E80A96" w:rsidP="003A31F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A31F9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</w:t>
      </w:r>
    </w:p>
    <w:p w14:paraId="6EC70632" w14:textId="0EFECEAB" w:rsidR="00E80A96" w:rsidRPr="003A31F9" w:rsidRDefault="00E80A96" w:rsidP="003A31F9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31F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F6657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3A31F9">
        <w:rPr>
          <w:rFonts w:ascii="Times New Roman" w:eastAsia="Calibri" w:hAnsi="Times New Roman" w:cs="Times New Roman"/>
          <w:sz w:val="24"/>
          <w:szCs w:val="24"/>
        </w:rPr>
        <w:t xml:space="preserve">Лесных Валерий Витальевич (Россия, Москва) </w:t>
      </w:r>
      <w:r w:rsidRPr="003A31F9">
        <w:rPr>
          <w:rFonts w:ascii="Times New Roman" w:hAnsi="Times New Roman" w:cs="Times New Roman"/>
          <w:sz w:val="24"/>
          <w:szCs w:val="24"/>
        </w:rPr>
        <w:t xml:space="preserve"> – доктор технических наук, профессор, Заслуженный деятель науки РФ, ФГАОУВ «Российский университет дружбы народов» (РУДН)</w:t>
      </w:r>
      <w:r w:rsidR="003A31F9" w:rsidRPr="003A31F9">
        <w:rPr>
          <w:rFonts w:ascii="Times New Roman" w:hAnsi="Times New Roman" w:cs="Times New Roman"/>
          <w:sz w:val="24"/>
          <w:szCs w:val="24"/>
        </w:rPr>
        <w:t>;</w:t>
      </w:r>
      <w:r w:rsidRPr="003A31F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A31F9">
        <w:rPr>
          <w:rFonts w:ascii="Times New Roman" w:hAnsi="Times New Roman" w:cs="Times New Roman"/>
          <w:sz w:val="24"/>
          <w:szCs w:val="24"/>
        </w:rPr>
        <w:t xml:space="preserve"> Российская Федерация, 117198, г. Москва, ул. Миклухо-Маклая, дом 6, </w:t>
      </w:r>
      <w:r w:rsidR="003A31F9">
        <w:rPr>
          <w:rFonts w:ascii="Times New Roman" w:hAnsi="Times New Roman" w:cs="Times New Roman"/>
          <w:iCs/>
          <w:sz w:val="24"/>
          <w:szCs w:val="24"/>
          <w:lang w:val="en-US"/>
        </w:rPr>
        <w:t>e</w:t>
      </w:r>
      <w:r w:rsidRPr="003A31F9">
        <w:rPr>
          <w:rFonts w:ascii="Times New Roman" w:hAnsi="Times New Roman" w:cs="Times New Roman"/>
          <w:iCs/>
          <w:sz w:val="24"/>
          <w:szCs w:val="24"/>
        </w:rPr>
        <w:t xml:space="preserve">-mail: </w:t>
      </w:r>
      <w:hyperlink r:id="rId13" w:history="1">
        <w:r w:rsidRPr="003A31F9">
          <w:rPr>
            <w:rStyle w:val="a8"/>
            <w:rFonts w:ascii="Times New Roman" w:hAnsi="Times New Roman"/>
            <w:iCs/>
            <w:color w:val="auto"/>
            <w:sz w:val="24"/>
            <w:szCs w:val="24"/>
            <w:u w:val="none"/>
          </w:rPr>
          <w:t>vvlesnykh@gmail.com</w:t>
        </w:r>
      </w:hyperlink>
      <w:r w:rsidRPr="003A31F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2897CED" w14:textId="7071F654" w:rsidR="00F95CBC" w:rsidRPr="003A31F9" w:rsidRDefault="00E80A96" w:rsidP="003A31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A31F9">
        <w:rPr>
          <w:rFonts w:ascii="Times New Roman" w:eastAsia="Calibri" w:hAnsi="Times New Roman" w:cs="Times New Roman"/>
          <w:sz w:val="24"/>
          <w:szCs w:val="24"/>
        </w:rPr>
        <w:t xml:space="preserve">Тимофеева Татьяна Борисовна (Россия, Москва)  – </w:t>
      </w:r>
      <w:r w:rsidR="00F95CBC" w:rsidRPr="003A31F9">
        <w:rPr>
          <w:rFonts w:ascii="Times New Roman" w:hAnsi="Times New Roman" w:cs="Times New Roman"/>
          <w:sz w:val="24"/>
          <w:szCs w:val="24"/>
        </w:rPr>
        <w:t xml:space="preserve">кандидат технических наук, доцент; доцент, ФГБОУВО “Государственный университет управления” (ГУУ); Российская Федерация, 115432, г. Москва, Рязанский проспект, 99; e-mail: </w:t>
      </w:r>
      <w:hyperlink r:id="rId14" w:history="1">
        <w:r w:rsidR="00F95CBC" w:rsidRPr="003A31F9">
          <w:rPr>
            <w:rStyle w:val="a8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tanuta</w:t>
        </w:r>
        <w:r w:rsidR="00F95CBC" w:rsidRPr="003A31F9">
          <w:rPr>
            <w:rStyle w:val="a8"/>
            <w:rFonts w:ascii="Times New Roman" w:hAnsi="Times New Roman"/>
            <w:color w:val="auto"/>
            <w:sz w:val="24"/>
            <w:szCs w:val="24"/>
            <w:u w:val="none"/>
          </w:rPr>
          <w:t>75@</w:t>
        </w:r>
        <w:r w:rsidR="00F95CBC" w:rsidRPr="003A31F9">
          <w:rPr>
            <w:rStyle w:val="a8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mail</w:t>
        </w:r>
        <w:r w:rsidR="00F95CBC" w:rsidRPr="003A31F9">
          <w:rPr>
            <w:rStyle w:val="a8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r w:rsidR="00F95CBC" w:rsidRPr="003A31F9">
          <w:rPr>
            <w:rStyle w:val="a8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ru</w:t>
        </w:r>
      </w:hyperlink>
    </w:p>
    <w:p w14:paraId="51EA3F41" w14:textId="77777777" w:rsidR="00F95CBC" w:rsidRPr="00E80A96" w:rsidRDefault="00F95CBC" w:rsidP="00E80A96">
      <w:pPr>
        <w:spacing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</w:p>
    <w:p w14:paraId="6E201E18" w14:textId="26A3AC82" w:rsidR="00D30D5C" w:rsidRDefault="00D30D5C" w:rsidP="005A22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12F6359" w14:textId="77777777" w:rsidR="00D30D5C" w:rsidRDefault="00D30D5C" w:rsidP="005A22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DB21846" w14:textId="77777777" w:rsidR="00D30D5C" w:rsidRDefault="00D30D5C" w:rsidP="005A22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3C8599A" w14:textId="4B010272" w:rsidR="00D30D5C" w:rsidRPr="003A5768" w:rsidRDefault="00046B4B" w:rsidP="00D30D5C">
      <w:pPr>
        <w:spacing w:line="288" w:lineRule="auto"/>
        <w:ind w:firstLine="709"/>
        <w:jc w:val="right"/>
        <w:rPr>
          <w:rFonts w:ascii="Times New Roman" w:eastAsia="Calibri" w:hAnsi="Times New Roman"/>
          <w:b/>
          <w:sz w:val="24"/>
          <w:szCs w:val="24"/>
          <w:lang w:val="en-US"/>
        </w:rPr>
      </w:pPr>
      <w:r w:rsidRPr="003A5768">
        <w:rPr>
          <w:rFonts w:ascii="Times New Roman" w:eastAsia="Calibri" w:hAnsi="Times New Roman"/>
          <w:b/>
          <w:sz w:val="24"/>
          <w:szCs w:val="24"/>
          <w:lang w:val="en-US"/>
        </w:rPr>
        <w:lastRenderedPageBreak/>
        <w:t xml:space="preserve">Lesnykh V.V, Timofeeva T.B </w:t>
      </w:r>
      <w:r w:rsidR="00D30D5C" w:rsidRPr="003A5768">
        <w:rPr>
          <w:rFonts w:ascii="Times New Roman" w:eastAsia="Calibri" w:hAnsi="Times New Roman"/>
          <w:b/>
          <w:sz w:val="24"/>
          <w:szCs w:val="24"/>
          <w:lang w:val="en-US"/>
        </w:rPr>
        <w:t xml:space="preserve"> </w:t>
      </w:r>
    </w:p>
    <w:p w14:paraId="5338C4F1" w14:textId="44C67812" w:rsidR="00F66572" w:rsidRPr="0028194D" w:rsidRDefault="00F66572" w:rsidP="00046B4B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8194D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28194D">
        <w:rPr>
          <w:rFonts w:ascii="Times New Roman" w:hAnsi="Times New Roman" w:cs="Times New Roman"/>
          <w:b/>
          <w:bCs/>
          <w:sz w:val="24"/>
          <w:szCs w:val="24"/>
        </w:rPr>
        <w:t xml:space="preserve">NALYSIS OF APPROACHES TO ASSESSING OF INFRASTRUCTURE-COMPLEX TERRITORIES </w:t>
      </w:r>
      <w:r w:rsidRPr="0028194D">
        <w:rPr>
          <w:rFonts w:ascii="Times New Roman" w:hAnsi="Times New Roman" w:cs="Times New Roman"/>
          <w:b/>
          <w:bCs/>
          <w:sz w:val="24"/>
          <w:szCs w:val="24"/>
        </w:rPr>
        <w:t>RESILIENSE</w:t>
      </w:r>
    </w:p>
    <w:p w14:paraId="488358B7" w14:textId="77777777" w:rsidR="00046B4B" w:rsidRPr="00F66572" w:rsidRDefault="00046B4B" w:rsidP="00046B4B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284"/>
        <w:rPr>
          <w:b/>
          <w:i/>
          <w:sz w:val="24"/>
        </w:rPr>
      </w:pPr>
    </w:p>
    <w:p w14:paraId="33C1FEB6" w14:textId="75ECF51D" w:rsidR="00046B4B" w:rsidRPr="00BA6019" w:rsidRDefault="004D2C28" w:rsidP="00795657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i/>
          <w:sz w:val="24"/>
        </w:rPr>
      </w:pPr>
      <w:r>
        <w:rPr>
          <w:b/>
          <w:i/>
          <w:sz w:val="24"/>
        </w:rPr>
        <w:t>Abstract</w:t>
      </w:r>
      <w:r w:rsidR="00046B4B" w:rsidRPr="00BA6019">
        <w:rPr>
          <w:b/>
          <w:i/>
          <w:sz w:val="24"/>
        </w:rPr>
        <w:t>:</w:t>
      </w:r>
      <w:r w:rsidR="00046B4B" w:rsidRPr="00BA6019">
        <w:rPr>
          <w:i/>
          <w:sz w:val="24"/>
        </w:rPr>
        <w:t xml:space="preserve"> </w:t>
      </w:r>
      <w:r w:rsidR="00BA6019">
        <w:rPr>
          <w:i/>
          <w:sz w:val="24"/>
        </w:rPr>
        <w:t>T</w:t>
      </w:r>
      <w:r w:rsidR="00BA6019" w:rsidRPr="00BA6019">
        <w:rPr>
          <w:i/>
          <w:sz w:val="24"/>
        </w:rPr>
        <w:t xml:space="preserve">he report is devoted to the analysis of approaches to the quantitative assessment of  infrastructure-complex territories </w:t>
      </w:r>
      <w:r w:rsidR="00BA6019">
        <w:rPr>
          <w:i/>
          <w:sz w:val="24"/>
        </w:rPr>
        <w:t xml:space="preserve"> resilience. </w:t>
      </w:r>
      <w:r w:rsidR="00BA6019" w:rsidRPr="00BA6019">
        <w:rPr>
          <w:i/>
          <w:sz w:val="24"/>
        </w:rPr>
        <w:t>The content of the concept of a</w:t>
      </w:r>
      <w:r w:rsidR="00BA6019">
        <w:rPr>
          <w:i/>
          <w:sz w:val="24"/>
        </w:rPr>
        <w:t xml:space="preserve"> resilience </w:t>
      </w:r>
      <w:r w:rsidR="00BA6019" w:rsidRPr="00BA6019">
        <w:rPr>
          <w:i/>
          <w:sz w:val="24"/>
        </w:rPr>
        <w:t xml:space="preserve">is analyzed. The analysis of </w:t>
      </w:r>
      <w:r w:rsidR="00BA6019">
        <w:rPr>
          <w:i/>
          <w:sz w:val="24"/>
        </w:rPr>
        <w:t>r</w:t>
      </w:r>
      <w:r w:rsidR="00BA6019" w:rsidRPr="00BA6019">
        <w:rPr>
          <w:i/>
          <w:sz w:val="24"/>
        </w:rPr>
        <w:t xml:space="preserve">ussian and international experience has revealed three approaches to assessing the </w:t>
      </w:r>
      <w:r w:rsidR="00BA6019">
        <w:rPr>
          <w:i/>
          <w:sz w:val="24"/>
        </w:rPr>
        <w:t>resilience</w:t>
      </w:r>
      <w:r w:rsidR="00BA6019" w:rsidRPr="00BA6019">
        <w:rPr>
          <w:i/>
          <w:sz w:val="24"/>
        </w:rPr>
        <w:t xml:space="preserve"> of territories.</w:t>
      </w:r>
    </w:p>
    <w:p w14:paraId="345553F9" w14:textId="789E5E23" w:rsidR="00046B4B" w:rsidRPr="00BA6019" w:rsidRDefault="004D2C28" w:rsidP="00795657">
      <w:pPr>
        <w:pStyle w:val="Text"/>
        <w:tabs>
          <w:tab w:val="clear" w:pos="7200"/>
          <w:tab w:val="right" w:pos="284"/>
        </w:tabs>
        <w:spacing w:before="0" w:after="0" w:line="240" w:lineRule="auto"/>
        <w:ind w:right="0" w:firstLine="709"/>
        <w:rPr>
          <w:sz w:val="24"/>
        </w:rPr>
      </w:pPr>
      <w:r>
        <w:rPr>
          <w:b/>
          <w:i/>
          <w:sz w:val="24"/>
        </w:rPr>
        <w:t>Key</w:t>
      </w:r>
      <w:r w:rsidR="000C4C60" w:rsidRPr="00BA6019">
        <w:rPr>
          <w:b/>
          <w:i/>
          <w:sz w:val="24"/>
        </w:rPr>
        <w:t xml:space="preserve"> </w:t>
      </w:r>
      <w:r>
        <w:rPr>
          <w:b/>
          <w:i/>
          <w:sz w:val="24"/>
        </w:rPr>
        <w:t>words</w:t>
      </w:r>
      <w:r w:rsidR="00046B4B" w:rsidRPr="00BA6019">
        <w:rPr>
          <w:i/>
          <w:sz w:val="24"/>
        </w:rPr>
        <w:t xml:space="preserve">: </w:t>
      </w:r>
      <w:r w:rsidR="00BA6019" w:rsidRPr="00BA6019">
        <w:rPr>
          <w:i/>
          <w:sz w:val="24"/>
        </w:rPr>
        <w:t>infrastructure-complex territor</w:t>
      </w:r>
      <w:r w:rsidR="00BA6019">
        <w:rPr>
          <w:i/>
          <w:sz w:val="24"/>
        </w:rPr>
        <w:t>y</w:t>
      </w:r>
      <w:r w:rsidR="00046B4B" w:rsidRPr="00BA6019">
        <w:rPr>
          <w:i/>
          <w:sz w:val="24"/>
        </w:rPr>
        <w:t xml:space="preserve">, </w:t>
      </w:r>
      <w:r w:rsidR="00BA6019">
        <w:rPr>
          <w:i/>
          <w:sz w:val="24"/>
        </w:rPr>
        <w:t>resilience</w:t>
      </w:r>
      <w:r w:rsidR="00046B4B" w:rsidRPr="00BA6019">
        <w:rPr>
          <w:i/>
          <w:sz w:val="24"/>
        </w:rPr>
        <w:t xml:space="preserve">, </w:t>
      </w:r>
      <w:r w:rsidR="00BA6019">
        <w:rPr>
          <w:i/>
          <w:sz w:val="24"/>
        </w:rPr>
        <w:t>criterion</w:t>
      </w:r>
      <w:r w:rsidR="00046B4B" w:rsidRPr="00BA6019">
        <w:rPr>
          <w:i/>
          <w:sz w:val="24"/>
        </w:rPr>
        <w:t xml:space="preserve">, </w:t>
      </w:r>
      <w:r w:rsidR="00BA6019" w:rsidRPr="00BA6019">
        <w:rPr>
          <w:i/>
          <w:sz w:val="24"/>
        </w:rPr>
        <w:t>functional indicators, index score, point score</w:t>
      </w:r>
      <w:r w:rsidR="00046B4B" w:rsidRPr="00BA6019">
        <w:rPr>
          <w:sz w:val="24"/>
        </w:rPr>
        <w:t>.</w:t>
      </w:r>
    </w:p>
    <w:p w14:paraId="0D352D04" w14:textId="77777777" w:rsidR="00046B4B" w:rsidRPr="00BA6019" w:rsidRDefault="00046B4B" w:rsidP="00D30D5C">
      <w:pPr>
        <w:spacing w:line="288" w:lineRule="auto"/>
        <w:ind w:firstLine="360"/>
        <w:jc w:val="center"/>
        <w:rPr>
          <w:rFonts w:ascii="Times New Roman" w:hAnsi="Times New Roman"/>
          <w:b/>
          <w:lang w:val="en-US"/>
        </w:rPr>
      </w:pPr>
    </w:p>
    <w:p w14:paraId="295D374A" w14:textId="6EB1BB82" w:rsidR="009147E5" w:rsidRPr="000C4C60" w:rsidRDefault="009147E5" w:rsidP="000C4C60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C4C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Lesnykh Valery Vitalyevich (Russia, Moscow) </w:t>
      </w:r>
      <w:r w:rsidRPr="000C4C60">
        <w:rPr>
          <w:rFonts w:ascii="Times New Roman" w:hAnsi="Times New Roman" w:cs="Times New Roman"/>
          <w:sz w:val="24"/>
          <w:szCs w:val="24"/>
          <w:lang w:val="en-US"/>
        </w:rPr>
        <w:t xml:space="preserve"> – doctor of technical sciences, professor, </w:t>
      </w:r>
      <w:r w:rsidR="00BA6019" w:rsidRPr="00782D91">
        <w:rPr>
          <w:rFonts w:ascii="Times New Roman" w:hAnsi="Times New Roman" w:cs="Times New Roman"/>
          <w:sz w:val="24"/>
          <w:szCs w:val="24"/>
          <w:lang w:val="en-US"/>
        </w:rPr>
        <w:t>Peoples' friendship University of Russia</w:t>
      </w:r>
      <w:r w:rsidR="00BA6019" w:rsidRPr="00782D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C4C60">
        <w:rPr>
          <w:rFonts w:ascii="Times New Roman" w:hAnsi="Times New Roman" w:cs="Times New Roman"/>
          <w:sz w:val="24"/>
          <w:szCs w:val="24"/>
          <w:lang w:val="en-US"/>
        </w:rPr>
        <w:t>(RUDN), Russian Federation, 117198, Moscow, Miklukho-Maklaya Str. 6</w:t>
      </w:r>
      <w:r w:rsidR="00780334" w:rsidRPr="000C4C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0C4C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0334" w:rsidRPr="000C4C60">
        <w:rPr>
          <w:rFonts w:ascii="Times New Roman" w:hAnsi="Times New Roman" w:cs="Times New Roman"/>
          <w:iCs/>
          <w:sz w:val="24"/>
          <w:szCs w:val="24"/>
          <w:lang w:val="en-US"/>
        </w:rPr>
        <w:t>e</w:t>
      </w:r>
      <w:r w:rsidRPr="000C4C60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-mail: </w:t>
      </w:r>
      <w:hyperlink r:id="rId15" w:history="1">
        <w:r w:rsidRPr="000C4C60">
          <w:rPr>
            <w:rStyle w:val="a8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vvlesnykh@gmail.com</w:t>
        </w:r>
      </w:hyperlink>
      <w:r w:rsidRPr="000C4C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668F4A18" w14:textId="77A22C3D" w:rsidR="00780334" w:rsidRDefault="009147E5" w:rsidP="000C4C6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C4C6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Timofeeva Tatiana Borisovna (Russia, Moscow)  – </w:t>
      </w:r>
      <w:r w:rsidR="00780334" w:rsidRPr="000C4C60">
        <w:rPr>
          <w:rFonts w:ascii="Times New Roman" w:hAnsi="Times New Roman" w:cs="Times New Roman"/>
          <w:sz w:val="24"/>
          <w:szCs w:val="24"/>
          <w:lang w:val="en-US"/>
        </w:rPr>
        <w:t xml:space="preserve">candidate of technical science, assistant professor, State University of Management, Ryazansky pr., 99, Moscow, Russian Federation, 115432; e-mail: </w:t>
      </w:r>
      <w:hyperlink r:id="rId16" w:history="1">
        <w:r w:rsidR="00780334" w:rsidRPr="000C4C60">
          <w:rPr>
            <w:rFonts w:ascii="Times New Roman" w:hAnsi="Times New Roman" w:cs="Times New Roman"/>
            <w:sz w:val="24"/>
            <w:szCs w:val="24"/>
            <w:lang w:val="en-US"/>
          </w:rPr>
          <w:t>tanuta75@mail.ru</w:t>
        </w:r>
      </w:hyperlink>
      <w:r w:rsidR="00780334" w:rsidRPr="000C4C6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52F4A0F" w14:textId="77777777" w:rsidR="000C4C60" w:rsidRPr="000C4C60" w:rsidRDefault="000C4C60" w:rsidP="000C4C60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  <w:lang w:val="en-US"/>
        </w:rPr>
      </w:pPr>
    </w:p>
    <w:p w14:paraId="7FD59A92" w14:textId="221A5D54" w:rsidR="00D30D5C" w:rsidRPr="000C4C60" w:rsidRDefault="009147E5" w:rsidP="000C4C6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4C6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0DCF8D13" w14:textId="77777777" w:rsidR="00E20757" w:rsidRPr="000F6F7A" w:rsidRDefault="00E20757" w:rsidP="00E20757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val="en-US" w:eastAsia="ru-RU"/>
        </w:rPr>
      </w:pPr>
      <w:bookmarkStart w:id="0" w:name="_Hlk41138207"/>
      <w:r w:rsidRPr="000F6F7A">
        <w:rPr>
          <w:rFonts w:ascii="Times New Roman" w:hAnsi="Times New Roman"/>
          <w:sz w:val="24"/>
          <w:szCs w:val="24"/>
          <w:lang w:val="en-US" w:eastAsia="ru-RU"/>
        </w:rPr>
        <w:t xml:space="preserve">United Nations, Department of Economic and Social Affairs, Population Division (2019). World Population Prospects 2019: Highlights (ST/ESA/SER.A/423), </w:t>
      </w:r>
      <w:bookmarkEnd w:id="0"/>
      <w:r w:rsidRPr="000F6F7A">
        <w:rPr>
          <w:rFonts w:ascii="Times New Roman" w:hAnsi="Times New Roman"/>
          <w:sz w:val="24"/>
          <w:szCs w:val="24"/>
          <w:lang w:val="en-US" w:eastAsia="ru-RU"/>
        </w:rPr>
        <w:t>New York : United Nations, 39.</w:t>
      </w:r>
    </w:p>
    <w:p w14:paraId="6E63DC9A" w14:textId="77777777" w:rsidR="00E20757" w:rsidRPr="000F6F7A" w:rsidRDefault="00E20757" w:rsidP="00E20757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0F6F7A">
        <w:rPr>
          <w:rFonts w:ascii="Times New Roman" w:hAnsi="Times New Roman"/>
          <w:sz w:val="24"/>
          <w:szCs w:val="24"/>
          <w:lang w:val="en-US" w:eastAsia="ru-RU"/>
        </w:rPr>
        <w:t xml:space="preserve">Balabeikina, O., &amp; Faibusovich, E. (2018). Level of urbanization of the Russian Federation territories: regional aspect. Geographical Bulletin, 1(44), </w:t>
      </w:r>
      <w:r w:rsidRPr="000F6F7A">
        <w:rPr>
          <w:rFonts w:ascii="Times New Roman" w:hAnsi="Times New Roman"/>
          <w:sz w:val="24"/>
          <w:szCs w:val="24"/>
          <w:lang w:eastAsia="ru-RU"/>
        </w:rPr>
        <w:t>72-82</w:t>
      </w:r>
      <w:r w:rsidRPr="000F6F7A">
        <w:rPr>
          <w:rFonts w:ascii="Times New Roman" w:hAnsi="Times New Roman"/>
          <w:sz w:val="24"/>
          <w:szCs w:val="24"/>
          <w:lang w:val="en-US" w:eastAsia="ru-RU"/>
        </w:rPr>
        <w:t xml:space="preserve"> doi: </w:t>
      </w:r>
      <w:hyperlink r:id="rId17" w:tgtFrame="_blank" w:history="1">
        <w:r w:rsidRPr="000F6F7A">
          <w:rPr>
            <w:rFonts w:ascii="Times New Roman" w:hAnsi="Times New Roman"/>
            <w:sz w:val="24"/>
            <w:szCs w:val="24"/>
            <w:lang w:val="en-US" w:eastAsia="ru-RU"/>
          </w:rPr>
          <w:t>10.17072/2079-7877-2018-1-72-82</w:t>
        </w:r>
      </w:hyperlink>
      <w:r w:rsidRPr="000F6F7A">
        <w:rPr>
          <w:rFonts w:ascii="Times New Roman" w:hAnsi="Times New Roman"/>
          <w:sz w:val="24"/>
          <w:szCs w:val="24"/>
          <w:lang w:val="en-US" w:eastAsia="ru-RU"/>
        </w:rPr>
        <w:t>.</w:t>
      </w:r>
    </w:p>
    <w:p w14:paraId="081303D3" w14:textId="77777777" w:rsidR="00E20757" w:rsidRPr="000F6F7A" w:rsidRDefault="00E20757" w:rsidP="00E20757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hyperlink r:id="rId18" w:history="1"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Luca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Fraccascia</w:t>
        </w:r>
      </w:hyperlink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, </w:t>
      </w:r>
      <w:hyperlink r:id="rId19" w:history="1"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Ilaria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Giannoccaro</w:t>
        </w:r>
      </w:hyperlink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and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hyperlink r:id="rId20" w:history="1"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Vito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US"/>
          </w:rPr>
          <w:t xml:space="preserve"> </w:t>
        </w:r>
        <w:r w:rsidRPr="000F6F7A">
          <w:rPr>
            <w:rFonts w:ascii="Times New Roman" w:eastAsia="Calibri" w:hAnsi="Times New Roman"/>
            <w:spacing w:val="-2"/>
            <w:sz w:val="24"/>
            <w:szCs w:val="24"/>
            <w:lang w:val="en-IN"/>
          </w:rPr>
          <w:t>Albino</w:t>
        </w:r>
      </w:hyperlink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(2018)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Resilience of Complex Systems: State of the Art and Directions for Future Research // Complexity Volume 2018. </w:t>
      </w:r>
      <w:r w:rsidRPr="000F6F7A">
        <w:rPr>
          <w:rFonts w:ascii="Times New Roman" w:hAnsi="Times New Roman"/>
          <w:sz w:val="24"/>
          <w:szCs w:val="24"/>
          <w:lang w:val="en-US"/>
        </w:rPr>
        <w:t xml:space="preserve">UPL: </w:t>
      </w:r>
      <w:hyperlink r:id="rId21" w:history="1"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https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://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www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.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hindawi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.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com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/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journals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/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complexity</w:t>
        </w:r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US"/>
          </w:rPr>
          <w:t>/2018/3421529</w:t>
        </w:r>
      </w:hyperlink>
      <w:r w:rsidRPr="000F6F7A">
        <w:rPr>
          <w:rStyle w:val="a8"/>
          <w:rFonts w:ascii="Times New Roman" w:hAnsi="Times New Roman"/>
          <w:color w:val="auto"/>
          <w:sz w:val="24"/>
          <w:szCs w:val="24"/>
          <w:u w:val="none"/>
          <w:lang w:val="en-US"/>
        </w:rPr>
        <w:t xml:space="preserve"> (date of application 15.05.2020)</w:t>
      </w:r>
    </w:p>
    <w:p w14:paraId="5C865D23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pacing w:val="-2"/>
          <w:sz w:val="24"/>
          <w:szCs w:val="24"/>
          <w:lang w:val="en-US"/>
        </w:rPr>
      </w:pPr>
      <w:r w:rsidRPr="000F6F7A">
        <w:rPr>
          <w:rFonts w:ascii="Times New Roman" w:hAnsi="Times New Roman"/>
          <w:spacing w:val="-2"/>
          <w:sz w:val="24"/>
          <w:szCs w:val="24"/>
          <w:lang w:val="en-US"/>
        </w:rPr>
        <w:t xml:space="preserve">Malinetski, G.G., &amp; Kochkarov, A.A. (2005) Safety and resilience management of complex systems under external impact. </w:t>
      </w:r>
      <w:r w:rsidRPr="000F6F7A">
        <w:rPr>
          <w:rFonts w:ascii="Times New Roman" w:hAnsi="Times New Roman"/>
          <w:spacing w:val="-2"/>
          <w:sz w:val="24"/>
          <w:szCs w:val="24"/>
          <w:lang w:val="en-IN"/>
        </w:rPr>
        <w:t>Control</w:t>
      </w:r>
      <w:r w:rsidRPr="000F6F7A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hAnsi="Times New Roman"/>
          <w:spacing w:val="-2"/>
          <w:sz w:val="24"/>
          <w:szCs w:val="24"/>
          <w:lang w:val="en-IN"/>
        </w:rPr>
        <w:t>Science</w:t>
      </w:r>
      <w:r w:rsidRPr="000F6F7A">
        <w:rPr>
          <w:rFonts w:ascii="Times New Roman" w:hAnsi="Times New Roman"/>
          <w:spacing w:val="-2"/>
          <w:sz w:val="24"/>
          <w:szCs w:val="24"/>
          <w:lang w:val="en-US"/>
        </w:rPr>
        <w:t>, 5, 70-76.</w:t>
      </w:r>
    </w:p>
    <w:p w14:paraId="29AFFD5B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Beyond Bouncing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(2013)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Back: Roundtable on Critical Transportation Infrastructure Resilience, Volpe Center, 30 April, 2013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5F974647" w14:textId="77777777" w:rsidR="00E20757" w:rsidRPr="000F6F7A" w:rsidRDefault="00E20757" w:rsidP="00E20757">
      <w:pPr>
        <w:pStyle w:val="a7"/>
        <w:numPr>
          <w:ilvl w:val="0"/>
          <w:numId w:val="3"/>
        </w:num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ru-RU"/>
        </w:rPr>
      </w:pPr>
      <w:bookmarkStart w:id="1" w:name="_Hlk41138777"/>
      <w:r w:rsidRPr="000F6F7A">
        <w:rPr>
          <w:rFonts w:ascii="Times New Roman" w:hAnsi="Times New Roman"/>
          <w:sz w:val="24"/>
          <w:szCs w:val="24"/>
          <w:lang w:val="en-US" w:eastAsia="ru-RU"/>
        </w:rPr>
        <w:t xml:space="preserve">Francis, R. &amp; Bekera B. (2014). A metric and frameworks for resilience analysis of engineered and infrastructure systems. </w:t>
      </w:r>
      <w:r w:rsidRPr="000F6F7A">
        <w:rPr>
          <w:rFonts w:ascii="Times New Roman" w:hAnsi="Times New Roman"/>
          <w:sz w:val="24"/>
          <w:szCs w:val="24"/>
          <w:lang w:eastAsia="ru-RU"/>
        </w:rPr>
        <w:t xml:space="preserve">Reliability Engineering &amp; System Safety 121, 90–103.    </w:t>
      </w:r>
    </w:p>
    <w:bookmarkEnd w:id="1"/>
    <w:p w14:paraId="496FF0CD" w14:textId="77777777" w:rsidR="00E20757" w:rsidRPr="000F6F7A" w:rsidRDefault="00E20757" w:rsidP="00E20757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Beatrice Cassottana et al.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(2019)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A Quantitative Method to Identify Strategies for Enhancing the Resilience of Water Networks // Proceedings of the 29th European Safety and Reliability Conference. Edited byMichael Beer and Enrico Zio, 2019, pp.1301-1311.</w:t>
      </w:r>
    </w:p>
    <w:p w14:paraId="6675CE99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Jin-Zhu Yu, Hiba Baroud (2019) A Probabilistic Approach for Modelling the Resilience of Interdependent Power and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Water Infrastructure Networks // Proceedings of the 29th European Safety and Reliability Conference. Edited by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Michael Beer and Enrico Zio, 2019, pp.1298-1304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5083B386" w14:textId="77777777" w:rsidR="00E20757" w:rsidRPr="000F6F7A" w:rsidRDefault="00E20757" w:rsidP="00E20757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Wenjuan Sun, Paolo Bocchini, and Brian D. Davison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(2019)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Resilience metrics and measurement methods for transportation infrastructure: The state of the art. UPL </w:t>
      </w:r>
      <w:hyperlink r:id="rId22" w:history="1">
        <w:r w:rsidRPr="000F6F7A">
          <w:rPr>
            <w:rStyle w:val="a8"/>
            <w:rFonts w:ascii="Times New Roman" w:eastAsia="Calibri" w:hAnsi="Times New Roman"/>
            <w:color w:val="auto"/>
            <w:spacing w:val="-2"/>
            <w:sz w:val="24"/>
            <w:szCs w:val="24"/>
            <w:u w:val="none"/>
            <w:lang w:val="en-IN"/>
          </w:rPr>
          <w:t>https://www.researchgate.net/publication/326920176</w:t>
        </w:r>
      </w:hyperlink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. </w:t>
      </w:r>
      <w:r w:rsidRPr="000F6F7A">
        <w:rPr>
          <w:rStyle w:val="a8"/>
          <w:rFonts w:ascii="Times New Roman" w:hAnsi="Times New Roman"/>
          <w:color w:val="auto"/>
          <w:sz w:val="24"/>
          <w:szCs w:val="24"/>
          <w:u w:val="none"/>
          <w:lang w:val="en-US"/>
        </w:rPr>
        <w:t>(date of application 15.05.2020)</w:t>
      </w:r>
    </w:p>
    <w:p w14:paraId="678B03C1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Khazai, Bijan &amp; Bendimeard, Fouad &amp; Cardona, Omar &amp; Tibaduiza, Martha &amp; Barbat, Alex &amp; Burton, Christopher. (2015). A Guide to Measuring Urban Resilience: Principles, Tools and Practice of Urban Indicators.</w:t>
      </w:r>
    </w:p>
    <w:p w14:paraId="5B1BE86A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Resilience Measurement Index: An Indicator of Critical Infrastructure Resilience.  Technical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lastRenderedPageBreak/>
        <w:t>Report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(2013).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April 2013, ANL/DIS-13-01, 56 p.</w:t>
      </w:r>
    </w:p>
    <w:p w14:paraId="58B01A86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Guideline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(2019)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for assessing, predicting and monitoring resilience of Smart Critical Infrastructures (SCIs), Trondheim, September 2019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– 128 p.</w:t>
      </w:r>
    </w:p>
    <w:p w14:paraId="76F675B8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US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Goncalo Rodrigues Cadete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(2016)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Report of criteria for evaluation resilience. Technical report, University of Lisbon, May 2016 – p.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37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</w:p>
    <w:p w14:paraId="680F1B63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David Rehak et al.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(2019) 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Complex approach to assessing resilience of critical infrastructure elements // International Journal of Critical infrastructure Protection, 25, pp.125-138.</w:t>
      </w:r>
    </w:p>
    <w:p w14:paraId="269A956F" w14:textId="77777777" w:rsidR="00E20757" w:rsidRPr="000F6F7A" w:rsidRDefault="00E20757" w:rsidP="00E20757">
      <w:pPr>
        <w:pStyle w:val="a7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Calibri" w:hAnsi="Times New Roman"/>
          <w:spacing w:val="-2"/>
          <w:sz w:val="24"/>
          <w:szCs w:val="24"/>
          <w:lang w:val="en-IN"/>
        </w:rPr>
      </w:pP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Ioannis Kilanitis, Anastasioa Sextos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 xml:space="preserve"> (2019)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 xml:space="preserve"> Integrated seismic risk and resilience assessment of roadway networks in earthquake prone areas // Bulletin of Earthquake Engineering, 17, pp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US"/>
        </w:rPr>
        <w:t>.</w:t>
      </w:r>
      <w:r w:rsidRPr="000F6F7A">
        <w:rPr>
          <w:rFonts w:ascii="Times New Roman" w:eastAsia="Calibri" w:hAnsi="Times New Roman"/>
          <w:spacing w:val="-2"/>
          <w:sz w:val="24"/>
          <w:szCs w:val="24"/>
          <w:lang w:val="en-IN"/>
        </w:rPr>
        <w:t>181-210.</w:t>
      </w:r>
    </w:p>
    <w:p w14:paraId="345A35A2" w14:textId="77777777" w:rsidR="00D30D5C" w:rsidRPr="00E20757" w:rsidRDefault="00D30D5C" w:rsidP="005A2236">
      <w:pPr>
        <w:spacing w:line="240" w:lineRule="auto"/>
        <w:rPr>
          <w:rFonts w:ascii="Times New Roman" w:hAnsi="Times New Roman" w:cs="Times New Roman"/>
          <w:sz w:val="24"/>
          <w:szCs w:val="24"/>
          <w:lang w:val="en-IN"/>
        </w:rPr>
      </w:pPr>
    </w:p>
    <w:sectPr w:rsidR="00D30D5C" w:rsidRPr="00E207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D76F53" w14:textId="77777777" w:rsidR="00C479C5" w:rsidRDefault="00C479C5" w:rsidP="00205913">
      <w:pPr>
        <w:spacing w:after="0" w:line="240" w:lineRule="auto"/>
      </w:pPr>
      <w:r>
        <w:separator/>
      </w:r>
    </w:p>
  </w:endnote>
  <w:endnote w:type="continuationSeparator" w:id="0">
    <w:p w14:paraId="0DC79428" w14:textId="77777777" w:rsidR="00C479C5" w:rsidRDefault="00C479C5" w:rsidP="002059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9239C" w14:textId="77777777" w:rsidR="00C479C5" w:rsidRDefault="00C479C5" w:rsidP="00205913">
      <w:pPr>
        <w:spacing w:after="0" w:line="240" w:lineRule="auto"/>
      </w:pPr>
      <w:r>
        <w:separator/>
      </w:r>
    </w:p>
  </w:footnote>
  <w:footnote w:type="continuationSeparator" w:id="0">
    <w:p w14:paraId="45A211DA" w14:textId="77777777" w:rsidR="00C479C5" w:rsidRDefault="00C479C5" w:rsidP="002059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AB203A"/>
    <w:multiLevelType w:val="hybridMultilevel"/>
    <w:tmpl w:val="28AA44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A33DEA"/>
    <w:multiLevelType w:val="hybridMultilevel"/>
    <w:tmpl w:val="8042C27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9F027EE0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D72CE3"/>
    <w:multiLevelType w:val="hybridMultilevel"/>
    <w:tmpl w:val="87E831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0AD"/>
    <w:rsid w:val="00046B4B"/>
    <w:rsid w:val="000C4C60"/>
    <w:rsid w:val="00205913"/>
    <w:rsid w:val="00263019"/>
    <w:rsid w:val="0028194D"/>
    <w:rsid w:val="003A31F9"/>
    <w:rsid w:val="003A5768"/>
    <w:rsid w:val="003E138C"/>
    <w:rsid w:val="004D2C28"/>
    <w:rsid w:val="004D6713"/>
    <w:rsid w:val="005503D9"/>
    <w:rsid w:val="005A2236"/>
    <w:rsid w:val="006E49AA"/>
    <w:rsid w:val="0071086C"/>
    <w:rsid w:val="00780334"/>
    <w:rsid w:val="00782D91"/>
    <w:rsid w:val="00795657"/>
    <w:rsid w:val="007C4301"/>
    <w:rsid w:val="00820007"/>
    <w:rsid w:val="009147E5"/>
    <w:rsid w:val="0091487B"/>
    <w:rsid w:val="009E3F21"/>
    <w:rsid w:val="00A42706"/>
    <w:rsid w:val="00B4681E"/>
    <w:rsid w:val="00BA6019"/>
    <w:rsid w:val="00C05CCE"/>
    <w:rsid w:val="00C479C5"/>
    <w:rsid w:val="00CD00AD"/>
    <w:rsid w:val="00CE4F00"/>
    <w:rsid w:val="00D04345"/>
    <w:rsid w:val="00D129F4"/>
    <w:rsid w:val="00D30D5C"/>
    <w:rsid w:val="00E20757"/>
    <w:rsid w:val="00E60FC5"/>
    <w:rsid w:val="00E80A96"/>
    <w:rsid w:val="00E93E24"/>
    <w:rsid w:val="00F66572"/>
    <w:rsid w:val="00F95CBC"/>
    <w:rsid w:val="00FD2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F471F"/>
  <w15:chartTrackingRefBased/>
  <w15:docId w15:val="{41027D42-94B5-4FA6-8C73-CE9D4CE1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">
    <w:name w:val="Text"/>
    <w:basedOn w:val="a"/>
    <w:link w:val="TextChar"/>
    <w:rsid w:val="00CD00AD"/>
    <w:pPr>
      <w:tabs>
        <w:tab w:val="right" w:pos="7200"/>
      </w:tabs>
      <w:spacing w:before="240" w:after="120" w:line="260" w:lineRule="exact"/>
      <w:ind w:right="288"/>
      <w:jc w:val="both"/>
    </w:pPr>
    <w:rPr>
      <w:rFonts w:ascii="Times New Roman" w:eastAsia="SimSun" w:hAnsi="Times New Roman" w:cs="Times New Roman"/>
      <w:sz w:val="20"/>
      <w:szCs w:val="24"/>
      <w:lang w:val="en-US"/>
    </w:rPr>
  </w:style>
  <w:style w:type="character" w:customStyle="1" w:styleId="TextChar">
    <w:name w:val="Text Char"/>
    <w:basedOn w:val="a0"/>
    <w:link w:val="Text"/>
    <w:rsid w:val="00CD00AD"/>
    <w:rPr>
      <w:rFonts w:ascii="Times New Roman" w:eastAsia="SimSun" w:hAnsi="Times New Roman" w:cs="Times New Roman"/>
      <w:sz w:val="20"/>
      <w:szCs w:val="24"/>
      <w:lang w:val="en-US"/>
    </w:rPr>
  </w:style>
  <w:style w:type="paragraph" w:customStyle="1" w:styleId="Reference">
    <w:name w:val="Reference"/>
    <w:basedOn w:val="a"/>
    <w:autoRedefine/>
    <w:rsid w:val="00CD00AD"/>
    <w:pPr>
      <w:spacing w:after="0" w:line="240" w:lineRule="auto"/>
      <w:ind w:left="240" w:hanging="240"/>
      <w:jc w:val="both"/>
    </w:pPr>
    <w:rPr>
      <w:rFonts w:ascii="Times New Roman" w:eastAsia="SimSun" w:hAnsi="Times New Roman" w:cs="Times New Roman"/>
      <w:b/>
      <w:sz w:val="20"/>
      <w:szCs w:val="18"/>
      <w:lang w:val="en-US"/>
    </w:rPr>
  </w:style>
  <w:style w:type="paragraph" w:styleId="a3">
    <w:name w:val="header"/>
    <w:basedOn w:val="a"/>
    <w:link w:val="a4"/>
    <w:uiPriority w:val="99"/>
    <w:unhideWhenUsed/>
    <w:rsid w:val="002059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05913"/>
  </w:style>
  <w:style w:type="paragraph" w:styleId="a5">
    <w:name w:val="footer"/>
    <w:basedOn w:val="a"/>
    <w:link w:val="a6"/>
    <w:uiPriority w:val="99"/>
    <w:unhideWhenUsed/>
    <w:rsid w:val="002059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05913"/>
  </w:style>
  <w:style w:type="paragraph" w:styleId="a7">
    <w:name w:val="List Paragraph"/>
    <w:basedOn w:val="a"/>
    <w:uiPriority w:val="1"/>
    <w:qFormat/>
    <w:rsid w:val="00D04345"/>
    <w:pPr>
      <w:spacing w:after="200" w:line="276" w:lineRule="auto"/>
      <w:ind w:left="720"/>
      <w:contextualSpacing/>
    </w:pPr>
  </w:style>
  <w:style w:type="character" w:styleId="a8">
    <w:name w:val="Hyperlink"/>
    <w:uiPriority w:val="99"/>
    <w:unhideWhenUsed/>
    <w:rsid w:val="00E80A9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indawi.com/98729175/" TargetMode="External"/><Relationship Id="rId13" Type="http://schemas.openxmlformats.org/officeDocument/2006/relationships/hyperlink" Target="mailto:vvlesnykh@gmail.com" TargetMode="External"/><Relationship Id="rId18" Type="http://schemas.openxmlformats.org/officeDocument/2006/relationships/hyperlink" Target="https://www.hindawi.com/98729175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hindawi.com/journals/complexity/2018/3421529" TargetMode="External"/><Relationship Id="rId7" Type="http://schemas.openxmlformats.org/officeDocument/2006/relationships/hyperlink" Target="https://doi.org/10.17072/2079-7877-2018-1-72-82" TargetMode="External"/><Relationship Id="rId12" Type="http://schemas.openxmlformats.org/officeDocument/2006/relationships/hyperlink" Target="https://www.researchgate.net/publication/326920176" TargetMode="External"/><Relationship Id="rId17" Type="http://schemas.openxmlformats.org/officeDocument/2006/relationships/hyperlink" Target="https://doi.org/10.17072/2079-7877-2018-1-72-82" TargetMode="External"/><Relationship Id="rId2" Type="http://schemas.openxmlformats.org/officeDocument/2006/relationships/styles" Target="styles.xml"/><Relationship Id="rId16" Type="http://schemas.openxmlformats.org/officeDocument/2006/relationships/hyperlink" Target="mailto:tanuta75@mail.ru" TargetMode="External"/><Relationship Id="rId20" Type="http://schemas.openxmlformats.org/officeDocument/2006/relationships/hyperlink" Target="https://www.hindawi.com/70949172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hindawi.com/journals/complexity/2018/3421529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vvlesnykh@gmail.com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hindawi.com/70949172/" TargetMode="External"/><Relationship Id="rId19" Type="http://schemas.openxmlformats.org/officeDocument/2006/relationships/hyperlink" Target="https://www.hindawi.com/29398713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hindawi.com/29398713/" TargetMode="External"/><Relationship Id="rId14" Type="http://schemas.openxmlformats.org/officeDocument/2006/relationships/hyperlink" Target="mailto:tanuta75@mail.ru" TargetMode="External"/><Relationship Id="rId22" Type="http://schemas.openxmlformats.org/officeDocument/2006/relationships/hyperlink" Target="https://www.researchgate.net/publication/3269201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6</Pages>
  <Words>2776</Words>
  <Characters>15827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Тимофеева</dc:creator>
  <cp:keywords/>
  <dc:description/>
  <cp:lastModifiedBy>Тимофеева Татьяна Борисовна</cp:lastModifiedBy>
  <cp:revision>24</cp:revision>
  <dcterms:created xsi:type="dcterms:W3CDTF">2020-06-09T04:24:00Z</dcterms:created>
  <dcterms:modified xsi:type="dcterms:W3CDTF">2020-06-10T15:20:00Z</dcterms:modified>
</cp:coreProperties>
</file>