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19715A" w14:textId="46CFD3EA" w:rsidR="00205913" w:rsidRPr="00BA6019" w:rsidRDefault="00205913" w:rsidP="005A223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УДК</w:t>
      </w:r>
      <w:r w:rsidR="00782D91">
        <w:rPr>
          <w:rFonts w:ascii="Times New Roman" w:hAnsi="Times New Roman" w:cs="Times New Roman"/>
          <w:b/>
          <w:bCs/>
          <w:sz w:val="24"/>
          <w:szCs w:val="24"/>
        </w:rPr>
        <w:t xml:space="preserve"> 681.5.037.2</w:t>
      </w:r>
    </w:p>
    <w:p w14:paraId="471E2EC9" w14:textId="4AC0A56A" w:rsidR="00205913" w:rsidRPr="00205913" w:rsidRDefault="00205913" w:rsidP="00205913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Лесных В.В., Тимофеева Т.Б.</w:t>
      </w:r>
    </w:p>
    <w:p w14:paraId="01424817" w14:textId="1A76419D" w:rsidR="00FD26C8" w:rsidRPr="005A2236" w:rsidRDefault="00CD00AD" w:rsidP="00205913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2236">
        <w:rPr>
          <w:rFonts w:ascii="Times New Roman" w:hAnsi="Times New Roman" w:cs="Times New Roman"/>
          <w:b/>
          <w:bCs/>
          <w:sz w:val="24"/>
          <w:szCs w:val="24"/>
        </w:rPr>
        <w:t>АНАЛИЗ ПОДХОДОВ К ОЦЕНКЕ АДАПТИВНОЙ УСТОЙЧИВОСТИ ИНФРАСТРУКТУРНО-СЛОЖНЫХ ТЕРРИТОРИЙ</w:t>
      </w:r>
    </w:p>
    <w:p w14:paraId="7544B259" w14:textId="677AF585" w:rsidR="00CD00AD" w:rsidRPr="005A2236" w:rsidRDefault="00CD00AD" w:rsidP="005A22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5B2BEBF" w14:textId="719AB59B" w:rsidR="004D6713" w:rsidRPr="004D6713" w:rsidRDefault="00205913" w:rsidP="004D67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D6713">
        <w:rPr>
          <w:rFonts w:ascii="Times New Roman" w:hAnsi="Times New Roman" w:cs="Times New Roman"/>
          <w:b/>
          <w:i/>
          <w:sz w:val="24"/>
          <w:szCs w:val="24"/>
        </w:rPr>
        <w:t>Аннотация:</w:t>
      </w:r>
      <w:r w:rsidRPr="004D671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D6713" w:rsidRPr="004D6713">
        <w:rPr>
          <w:rFonts w:ascii="Times New Roman" w:hAnsi="Times New Roman" w:cs="Times New Roman"/>
          <w:i/>
          <w:sz w:val="24"/>
          <w:szCs w:val="24"/>
        </w:rPr>
        <w:t xml:space="preserve">Доклад посвящен анализу подходов к количественной оценке  адаптивной устойчивости инфраструктурно-сложных территории. </w:t>
      </w:r>
      <w:r w:rsidR="004D6713" w:rsidRPr="004D6713">
        <w:rPr>
          <w:rFonts w:ascii="Times New Roman" w:hAnsi="Times New Roman" w:cs="Times New Roman"/>
          <w:i/>
          <w:iCs/>
          <w:sz w:val="24"/>
          <w:szCs w:val="24"/>
        </w:rPr>
        <w:t>Выполнен анализ содержания понятия адаптивной устойчивости.</w:t>
      </w:r>
      <w:r w:rsidR="004D6713" w:rsidRPr="004D6713">
        <w:rPr>
          <w:rFonts w:ascii="Times New Roman" w:hAnsi="Times New Roman" w:cs="Times New Roman"/>
          <w:i/>
          <w:sz w:val="24"/>
          <w:szCs w:val="24"/>
        </w:rPr>
        <w:t xml:space="preserve"> Проведенный анализ российского и мирового опыта позволил выявить три подхода к оценке адаптивной устойчивости территорий. </w:t>
      </w:r>
    </w:p>
    <w:p w14:paraId="612AEC26" w14:textId="4952AC8D" w:rsidR="00205913" w:rsidRPr="004D6713" w:rsidRDefault="00205913" w:rsidP="004D6713">
      <w:pPr>
        <w:pStyle w:val="Text"/>
        <w:tabs>
          <w:tab w:val="clear" w:pos="7200"/>
          <w:tab w:val="right" w:pos="284"/>
        </w:tabs>
        <w:spacing w:before="0" w:after="0" w:line="240" w:lineRule="auto"/>
        <w:ind w:right="0" w:firstLine="709"/>
        <w:rPr>
          <w:sz w:val="24"/>
          <w:lang w:val="ru-RU"/>
        </w:rPr>
      </w:pPr>
      <w:r w:rsidRPr="004D6713">
        <w:rPr>
          <w:b/>
          <w:i/>
          <w:sz w:val="24"/>
          <w:lang w:val="ru-RU"/>
        </w:rPr>
        <w:t>Ключевые слова</w:t>
      </w:r>
      <w:r w:rsidRPr="004D6713">
        <w:rPr>
          <w:i/>
          <w:sz w:val="24"/>
          <w:lang w:val="ru-RU"/>
        </w:rPr>
        <w:t>: инфраструктурно-сложная территория, адаптивная устойчивость, критерий, функциональные показатели, индексная оценка, бальная оценка</w:t>
      </w:r>
      <w:r w:rsidRPr="004D6713">
        <w:rPr>
          <w:sz w:val="24"/>
          <w:lang w:val="ru-RU"/>
        </w:rPr>
        <w:t>.</w:t>
      </w:r>
    </w:p>
    <w:p w14:paraId="064EEBCE" w14:textId="483C3E0A" w:rsidR="00D04345" w:rsidRPr="004D6713" w:rsidRDefault="00CD00AD" w:rsidP="004D6713">
      <w:pPr>
        <w:pStyle w:val="Text"/>
        <w:tabs>
          <w:tab w:val="clear" w:pos="7200"/>
          <w:tab w:val="right" w:pos="284"/>
        </w:tabs>
        <w:spacing w:before="0" w:after="0" w:line="240" w:lineRule="auto"/>
        <w:ind w:right="0" w:firstLine="709"/>
        <w:rPr>
          <w:sz w:val="24"/>
          <w:lang w:val="ru-RU"/>
        </w:rPr>
      </w:pPr>
      <w:r w:rsidRPr="004D6713">
        <w:rPr>
          <w:sz w:val="24"/>
          <w:lang w:val="ru-RU"/>
        </w:rPr>
        <w:tab/>
      </w:r>
      <w:r w:rsidRPr="004D6713">
        <w:rPr>
          <w:sz w:val="24"/>
          <w:lang w:val="ru-RU"/>
        </w:rPr>
        <w:tab/>
      </w:r>
      <w:r w:rsidR="00205913" w:rsidRPr="004D6713">
        <w:rPr>
          <w:sz w:val="24"/>
          <w:lang w:val="ru-RU"/>
        </w:rPr>
        <w:tab/>
      </w:r>
      <w:r w:rsidR="00205913" w:rsidRPr="004D6713">
        <w:rPr>
          <w:sz w:val="24"/>
          <w:lang w:val="ru-RU"/>
        </w:rPr>
        <w:tab/>
      </w:r>
    </w:p>
    <w:p w14:paraId="74D3C844" w14:textId="7B7B8FF6" w:rsidR="00D04345" w:rsidRPr="004D6713" w:rsidRDefault="00D04345" w:rsidP="004D6713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345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последние несколько десятков лет процесс урбанизации развивался достаточно высокими темпами. В 2018 году около 55% населения мира (4.2 млрд. человек) проживало в городах, причем к 2030 году прогнозируется, что доля городского населения в таких регионах как Европа и Северная Америка составит 75% и 82%, соответственно [1</w:t>
      </w:r>
      <w:r w:rsidR="003E138C" w:rsidRPr="004D6713">
        <w:rPr>
          <w:rFonts w:ascii="Times New Roman" w:eastAsia="Times New Roman" w:hAnsi="Times New Roman" w:cs="Times New Roman"/>
          <w:sz w:val="24"/>
          <w:szCs w:val="24"/>
          <w:lang w:eastAsia="ru-RU"/>
        </w:rPr>
        <w:t>]</w:t>
      </w:r>
      <w:r w:rsidR="003E13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D61E37E" w14:textId="3034C10A" w:rsidR="00D04345" w:rsidRDefault="00D04345" w:rsidP="004D6713">
      <w:pPr>
        <w:shd w:val="clear" w:color="auto" w:fill="FEFEFE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3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Российской Федерации в 2018 году  процент городского населения превысил 50% в 79 из 85 регионов страны [2]. Процесс урбанизации приводит к формированию территорий, на которых существенно возрастает не только плотность населения, но также количество и плотность систем жизнеобеспечения таких как системы энерго- и топливоснабжения, водоснабжения, транспортные и телекоммуникационные системы и т.д. Системы жизнеобеспечения не только имеют сложную структуру и пространственную распределенность, но также и значительно связаны между собой потоками энергии, материалов, информации и пр. Можно говорить о формировании инфраструктурно-сложных территорий, число и масштабы которых постоянно возрастают. Под инфраструктурно-сложной территорией (ИСТ) будем понимать территорию с высокой концентрацией и высоким уровнем взаимодействия систем жизнеобеспечения. Примерами таких территорий являются Москва и Московская обл., район Дюссельдорф-Кельн , Шанхай, Сингапур и др. </w:t>
      </w:r>
    </w:p>
    <w:p w14:paraId="2633F0D8" w14:textId="303F2897" w:rsidR="00D04345" w:rsidRPr="00D04345" w:rsidRDefault="00D04345" w:rsidP="004D6713">
      <w:pPr>
        <w:shd w:val="clear" w:color="auto" w:fill="FEFEFE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Аварии и чрезвычайные ситуации в ИСТ могут приводить к тяжелы</w:t>
      </w:r>
      <w:r w:rsidR="003E138C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социально-экономическим последствия</w:t>
      </w:r>
      <w:r w:rsidR="003E138C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A42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Для оценки уровня устойчивости ИСТ к внешним угрозам в последние годы используется понятие «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resilience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D043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адаптивной устойчивости. </w:t>
      </w:r>
    </w:p>
    <w:p w14:paraId="25954F84" w14:textId="03CBA330" w:rsidR="00CD00AD" w:rsidRPr="005A2236" w:rsidRDefault="00CD00AD" w:rsidP="004D6713">
      <w:pPr>
        <w:pStyle w:val="Text"/>
        <w:tabs>
          <w:tab w:val="clear" w:pos="7200"/>
          <w:tab w:val="right" w:pos="284"/>
        </w:tabs>
        <w:spacing w:before="0" w:after="0" w:line="240" w:lineRule="auto"/>
        <w:ind w:right="0" w:firstLine="709"/>
        <w:rPr>
          <w:sz w:val="24"/>
          <w:lang w:val="ru-RU"/>
        </w:rPr>
      </w:pPr>
      <w:r w:rsidRPr="005A2236">
        <w:rPr>
          <w:sz w:val="24"/>
          <w:lang w:val="ru-RU"/>
        </w:rPr>
        <w:t xml:space="preserve">Термин «resilience» начал использоваться в научных публикациях в конце 90-х годов прошлого столетия. Первоначально он применялся в достаточно узких областях психологии и экологии и прежде всего был связан с восстанавливаемостью (реабилитацией) человека или природной экосистемы после стрессовой ситуации. В последующее десятилетие существенно возрос объем публикаций, где использовался данный термин. Например, по данным </w:t>
      </w:r>
      <w:r w:rsidR="004D6713" w:rsidRPr="004D6713">
        <w:rPr>
          <w:sz w:val="24"/>
          <w:lang w:val="ru-RU"/>
        </w:rPr>
        <w:t>[3]</w:t>
      </w:r>
      <w:r w:rsidRPr="005A2236">
        <w:rPr>
          <w:sz w:val="24"/>
          <w:lang w:val="ru-RU"/>
        </w:rPr>
        <w:t xml:space="preserve"> в индексируемых научных журналах в разные периоды было опубликовано 93 статьи по экологии (1998-2017 гг.), 53 статьи по техническим наукам (2007-2017 гг.), 16 статей по бизнесу и менеджменту (2009-2017 гг.), в которых применялся термин «resilience». В последние годы (2015-2019) частота и области использования данного термина существенно возросли.</w:t>
      </w:r>
    </w:p>
    <w:p w14:paraId="6C18389E" w14:textId="43318F4E" w:rsidR="00CD00AD" w:rsidRPr="005A2236" w:rsidRDefault="00CD00AD" w:rsidP="004D6713">
      <w:pPr>
        <w:pStyle w:val="Text"/>
        <w:tabs>
          <w:tab w:val="clear" w:pos="7200"/>
          <w:tab w:val="right" w:pos="284"/>
        </w:tabs>
        <w:spacing w:before="0" w:after="0" w:line="240" w:lineRule="auto"/>
        <w:ind w:right="0" w:firstLine="709"/>
        <w:rPr>
          <w:sz w:val="24"/>
          <w:lang w:val="ru-RU"/>
        </w:rPr>
      </w:pPr>
      <w:r w:rsidRPr="005A2236">
        <w:rPr>
          <w:sz w:val="24"/>
          <w:lang w:val="ru-RU"/>
        </w:rPr>
        <w:t xml:space="preserve">Анализ определений, данных в ряде работ, например, </w:t>
      </w:r>
      <w:r w:rsidR="009E3F21" w:rsidRPr="009E3F21">
        <w:rPr>
          <w:sz w:val="24"/>
          <w:lang w:val="ru-RU"/>
        </w:rPr>
        <w:t>[4]</w:t>
      </w:r>
      <w:r w:rsidRPr="005A2236">
        <w:rPr>
          <w:sz w:val="24"/>
          <w:lang w:val="ru-RU"/>
        </w:rPr>
        <w:t xml:space="preserve">, позволяет выделить в качестве основных признаков «resilience» объекта или системы: способность противостоять внешним негативным воздействиям; способность восстанавливаться в приемлемый интервал времени и приемлемыми затратами (материальными, финансовыми, психологическими и пр.). </w:t>
      </w:r>
    </w:p>
    <w:p w14:paraId="7840F20B" w14:textId="2D1B92A2" w:rsidR="00CD00AD" w:rsidRPr="005A2236" w:rsidRDefault="00CD00AD" w:rsidP="004D6713">
      <w:pPr>
        <w:pStyle w:val="Text"/>
        <w:tabs>
          <w:tab w:val="clear" w:pos="7200"/>
          <w:tab w:val="right" w:pos="284"/>
        </w:tabs>
        <w:spacing w:before="0" w:after="0" w:line="240" w:lineRule="auto"/>
        <w:ind w:right="0" w:firstLine="709"/>
        <w:rPr>
          <w:sz w:val="24"/>
          <w:lang w:val="ru-RU"/>
        </w:rPr>
      </w:pPr>
      <w:r w:rsidRPr="005A2236">
        <w:rPr>
          <w:sz w:val="24"/>
          <w:lang w:val="ru-RU"/>
        </w:rPr>
        <w:t xml:space="preserve">Отдельное направление исследований связано с обоснованием количественной меры (критерия) адаптивной устойчивости. Как справедливо отмечено в работе </w:t>
      </w:r>
      <w:r w:rsidR="009E3F21" w:rsidRPr="009E3F21">
        <w:rPr>
          <w:sz w:val="24"/>
          <w:lang w:val="ru-RU"/>
        </w:rPr>
        <w:t>[5]</w:t>
      </w:r>
      <w:r w:rsidRPr="005A2236">
        <w:rPr>
          <w:sz w:val="24"/>
          <w:lang w:val="ru-RU"/>
        </w:rPr>
        <w:t xml:space="preserve">, конкретный </w:t>
      </w:r>
      <w:r w:rsidRPr="005A2236">
        <w:rPr>
          <w:sz w:val="24"/>
          <w:lang w:val="ru-RU"/>
        </w:rPr>
        <w:lastRenderedPageBreak/>
        <w:t xml:space="preserve">вид критерия должен учитывать следующие свойства: техническая и экономическая эффективность; устойчивость развития; безопасность социальных-экономических и экологических компонент. Необходимость использования количественной меры resilience связана с необходимостью решения задач оценки достаточности уровня адаптивной устойчивости системы (систем), выбором варианта развития систем (территорий) с учетом приемлемого уровня адаптивной устойчивости и т.д. </w:t>
      </w:r>
    </w:p>
    <w:p w14:paraId="19D12E49" w14:textId="3DD51285" w:rsidR="00CD00AD" w:rsidRPr="005A2236" w:rsidRDefault="00CD00AD" w:rsidP="004D6713">
      <w:pPr>
        <w:pStyle w:val="Text"/>
        <w:tabs>
          <w:tab w:val="clear" w:pos="7200"/>
          <w:tab w:val="right" w:pos="284"/>
        </w:tabs>
        <w:spacing w:before="0" w:after="0" w:line="240" w:lineRule="auto"/>
        <w:ind w:right="0" w:firstLine="709"/>
        <w:rPr>
          <w:sz w:val="24"/>
          <w:lang w:val="ru-RU"/>
        </w:rPr>
      </w:pPr>
      <w:r w:rsidRPr="005A2236">
        <w:rPr>
          <w:sz w:val="24"/>
          <w:lang w:val="ru-RU"/>
        </w:rPr>
        <w:t>Анализ публикаций позволяет выделить три подхода к оценке уровня resilience системы или территории:</w:t>
      </w:r>
    </w:p>
    <w:p w14:paraId="08E96ED4" w14:textId="77777777" w:rsidR="00CD00AD" w:rsidRPr="005A2236" w:rsidRDefault="00CD00AD" w:rsidP="004D6713">
      <w:pPr>
        <w:pStyle w:val="Text"/>
        <w:tabs>
          <w:tab w:val="clear" w:pos="7200"/>
          <w:tab w:val="right" w:pos="284"/>
        </w:tabs>
        <w:spacing w:before="0" w:after="0" w:line="240" w:lineRule="auto"/>
        <w:ind w:right="0" w:firstLine="709"/>
        <w:rPr>
          <w:sz w:val="24"/>
          <w:lang w:val="ru-RU"/>
        </w:rPr>
      </w:pPr>
      <w:r w:rsidRPr="005A2236">
        <w:rPr>
          <w:sz w:val="24"/>
          <w:lang w:val="ru-RU"/>
        </w:rPr>
        <w:t>- подход с использованием в качестве критерия функциональных показателей в абсолютном или относительном значении;</w:t>
      </w:r>
    </w:p>
    <w:p w14:paraId="7E4D795A" w14:textId="77777777" w:rsidR="00CD00AD" w:rsidRPr="005A2236" w:rsidRDefault="00CD00AD" w:rsidP="004D6713">
      <w:pPr>
        <w:pStyle w:val="Text"/>
        <w:tabs>
          <w:tab w:val="clear" w:pos="7200"/>
          <w:tab w:val="right" w:pos="284"/>
        </w:tabs>
        <w:spacing w:before="0" w:after="0" w:line="240" w:lineRule="auto"/>
        <w:ind w:right="0" w:firstLine="709"/>
        <w:rPr>
          <w:sz w:val="24"/>
          <w:lang w:val="ru-RU"/>
        </w:rPr>
      </w:pPr>
      <w:r w:rsidRPr="005A2236">
        <w:rPr>
          <w:sz w:val="24"/>
          <w:lang w:val="ru-RU"/>
        </w:rPr>
        <w:t>- подход с использованием индексного критерия (критериев);</w:t>
      </w:r>
    </w:p>
    <w:p w14:paraId="7D3576B1" w14:textId="77777777" w:rsidR="00CD00AD" w:rsidRPr="005A2236" w:rsidRDefault="00CD00AD" w:rsidP="004D6713">
      <w:pPr>
        <w:pStyle w:val="Text"/>
        <w:tabs>
          <w:tab w:val="clear" w:pos="7200"/>
          <w:tab w:val="right" w:pos="284"/>
        </w:tabs>
        <w:spacing w:before="0" w:after="0" w:line="240" w:lineRule="auto"/>
        <w:ind w:right="0" w:firstLine="709"/>
        <w:rPr>
          <w:sz w:val="24"/>
          <w:lang w:val="ru-RU"/>
        </w:rPr>
      </w:pPr>
      <w:r w:rsidRPr="005A2236">
        <w:rPr>
          <w:sz w:val="24"/>
          <w:lang w:val="ru-RU"/>
        </w:rPr>
        <w:t xml:space="preserve">- комбинированный подход (с совместным использованием функциональных и индексных критериев). </w:t>
      </w:r>
    </w:p>
    <w:p w14:paraId="07174E07" w14:textId="16325E03" w:rsidR="00CD00AD" w:rsidRPr="005A2236" w:rsidRDefault="00CD00AD" w:rsidP="004D6713">
      <w:pPr>
        <w:pStyle w:val="Text"/>
        <w:tabs>
          <w:tab w:val="clear" w:pos="7200"/>
          <w:tab w:val="right" w:pos="284"/>
        </w:tabs>
        <w:spacing w:before="0" w:after="0" w:line="240" w:lineRule="auto"/>
        <w:ind w:right="0" w:firstLine="709"/>
        <w:rPr>
          <w:sz w:val="24"/>
          <w:lang w:val="ru-RU"/>
        </w:rPr>
      </w:pPr>
      <w:r w:rsidRPr="005A2236">
        <w:rPr>
          <w:sz w:val="24"/>
          <w:lang w:val="ru-RU"/>
        </w:rPr>
        <w:t xml:space="preserve">Подход с использованием функциональных показателей обычно используется для оценки resilience отдельной системы. Для таких систем жизнеобеспечения как электроэнергетическая система, система газоснабжения, система теплоснабжения в качестве уровне resilience могут быть использованы соотношения показателей мощности, расхода газа и тепла до аварии и после восстановления </w:t>
      </w:r>
      <w:r w:rsidR="00CE4F00" w:rsidRPr="00CE4F00">
        <w:rPr>
          <w:sz w:val="24"/>
          <w:lang w:val="ru-RU"/>
        </w:rPr>
        <w:t>[6]</w:t>
      </w:r>
      <w:r w:rsidRPr="005A2236">
        <w:rPr>
          <w:sz w:val="24"/>
          <w:lang w:val="ru-RU"/>
        </w:rPr>
        <w:t xml:space="preserve">. Для системы водоснабжения используется такой показатель, как давление воды в системе до аварии </w:t>
      </w:r>
      <w:r w:rsidR="00CE4F00" w:rsidRPr="00CE4F00">
        <w:rPr>
          <w:sz w:val="24"/>
          <w:lang w:val="ru-RU"/>
        </w:rPr>
        <w:t>[7]</w:t>
      </w:r>
      <w:r w:rsidRPr="005A2236">
        <w:rPr>
          <w:sz w:val="24"/>
          <w:lang w:val="ru-RU"/>
        </w:rPr>
        <w:t xml:space="preserve">. Для взаимодействующих систем электроснабжения и водоснабжения в качестве критерия предложено использовать отношение производительности систем после восстановления к суммарным потерям за период восстановления </w:t>
      </w:r>
      <w:r w:rsidR="00263019" w:rsidRPr="00263019">
        <w:rPr>
          <w:sz w:val="24"/>
          <w:lang w:val="ru-RU"/>
        </w:rPr>
        <w:t>[8].</w:t>
      </w:r>
    </w:p>
    <w:p w14:paraId="24192169" w14:textId="2ADCE0C2" w:rsidR="00CD00AD" w:rsidRPr="005A2236" w:rsidRDefault="00CD00AD" w:rsidP="004D6713">
      <w:pPr>
        <w:pStyle w:val="Text"/>
        <w:tabs>
          <w:tab w:val="clear" w:pos="7200"/>
          <w:tab w:val="right" w:pos="284"/>
        </w:tabs>
        <w:spacing w:before="0" w:after="0" w:line="240" w:lineRule="auto"/>
        <w:ind w:right="0" w:firstLine="709"/>
        <w:rPr>
          <w:sz w:val="24"/>
          <w:lang w:val="ru-RU"/>
        </w:rPr>
      </w:pPr>
      <w:r w:rsidRPr="005A2236">
        <w:rPr>
          <w:sz w:val="24"/>
          <w:lang w:val="ru-RU"/>
        </w:rPr>
        <w:t xml:space="preserve">Достаточно подробный анализ методов количественной оценки resilience применительно к транспортной системе выполнен в работе </w:t>
      </w:r>
      <w:r w:rsidR="00263019" w:rsidRPr="00263019">
        <w:rPr>
          <w:sz w:val="24"/>
          <w:lang w:val="ru-RU"/>
        </w:rPr>
        <w:t>[9]</w:t>
      </w:r>
      <w:r w:rsidRPr="005A2236">
        <w:rPr>
          <w:sz w:val="24"/>
          <w:lang w:val="ru-RU"/>
        </w:rPr>
        <w:t xml:space="preserve">. Там же предлагается учитывать функциональный и социо-экономический аспекты адаптивной устойчивости, а в качестве критерия оценки использовать такие показатели как производительность системы до аварии и после восстановления, длительность восстановления, социально-экономические потери в период восстановления. </w:t>
      </w:r>
    </w:p>
    <w:p w14:paraId="73237BD4" w14:textId="4CB739CC" w:rsidR="00CD00AD" w:rsidRPr="005A2236" w:rsidRDefault="00CD00AD" w:rsidP="004D6713">
      <w:pPr>
        <w:pStyle w:val="Text"/>
        <w:tabs>
          <w:tab w:val="clear" w:pos="7200"/>
          <w:tab w:val="right" w:pos="284"/>
        </w:tabs>
        <w:spacing w:before="0" w:after="0" w:line="240" w:lineRule="auto"/>
        <w:ind w:right="0" w:firstLine="709"/>
        <w:rPr>
          <w:sz w:val="24"/>
          <w:lang w:val="ru-RU"/>
        </w:rPr>
      </w:pPr>
      <w:r w:rsidRPr="005A2236">
        <w:rPr>
          <w:sz w:val="24"/>
          <w:lang w:val="ru-RU"/>
        </w:rPr>
        <w:t xml:space="preserve">Индикаторный (бальный) подход часто используется в том случае, когда оценка resilience осуществляется для нескольких взаимодействующих систем. В </w:t>
      </w:r>
      <w:r w:rsidR="005503D9">
        <w:rPr>
          <w:sz w:val="24"/>
        </w:rPr>
        <w:t>[10]</w:t>
      </w:r>
      <w:r w:rsidRPr="005A2236">
        <w:rPr>
          <w:rFonts w:eastAsia="Calibri"/>
          <w:spacing w:val="-2"/>
          <w:sz w:val="24"/>
          <w:lang w:val="ru-RU"/>
        </w:rPr>
        <w:t xml:space="preserve"> </w:t>
      </w:r>
      <w:r w:rsidRPr="005A2236">
        <w:rPr>
          <w:sz w:val="24"/>
          <w:lang w:val="ru-RU"/>
        </w:rPr>
        <w:t>предлагается использовать Disaster Resilience Index (DRI). Данный индекс был разработан в качестве инструмента самооценки с ранжированием, соответствующим пяти целевым уровням достижения показателей resilience урбанизированной территории. Предлагается рассматривать пять уровней DRI: 1) недостаточная осведомленность или отсутствие осведомленности, 2) осведомленность о потребностях, 3) вовлеченность и приверженность, 4) вовлечение в политику и разработка решений и 5) полная интеграция.</w:t>
      </w:r>
    </w:p>
    <w:p w14:paraId="3352672E" w14:textId="457F8457" w:rsidR="00CD00AD" w:rsidRPr="005A2236" w:rsidRDefault="00CD00AD" w:rsidP="004D6713">
      <w:pPr>
        <w:pStyle w:val="Text"/>
        <w:tabs>
          <w:tab w:val="clear" w:pos="7200"/>
          <w:tab w:val="right" w:pos="284"/>
        </w:tabs>
        <w:spacing w:before="0" w:after="0" w:line="240" w:lineRule="auto"/>
        <w:ind w:right="0" w:firstLine="709"/>
        <w:rPr>
          <w:sz w:val="24"/>
          <w:lang w:val="ru-RU"/>
        </w:rPr>
      </w:pPr>
      <w:r w:rsidRPr="005A2236">
        <w:rPr>
          <w:sz w:val="24"/>
          <w:lang w:val="ru-RU"/>
        </w:rPr>
        <w:t xml:space="preserve">Для оценки трех фаз развития аварий или катастроф (доаварийный, аварийный, послеаварийный) </w:t>
      </w:r>
      <w:r w:rsidR="005503D9" w:rsidRPr="005503D9">
        <w:rPr>
          <w:sz w:val="24"/>
          <w:lang w:val="ru-RU"/>
        </w:rPr>
        <w:t>[11]</w:t>
      </w:r>
      <w:r w:rsidRPr="005A2236">
        <w:rPr>
          <w:rFonts w:eastAsia="Calibri"/>
          <w:spacing w:val="-2"/>
          <w:sz w:val="24"/>
          <w:lang w:val="ru-RU"/>
        </w:rPr>
        <w:t xml:space="preserve"> </w:t>
      </w:r>
      <w:r w:rsidRPr="005A2236">
        <w:rPr>
          <w:sz w:val="24"/>
          <w:lang w:val="ru-RU"/>
        </w:rPr>
        <w:t xml:space="preserve">предлагает использовать три индекса. Первый индекс, относящийся к доаварийной фазе, рассматривает элементы, характеризующие физическую безопасность, управление безопасностью, силы безопасности, обмен информацией и внешнюю среду по обеспечению безопасности. Второй индекс характеризует устойчивость критической инфраструктуры и возможность смягчения максимальных последствий. Этот индекс является ключевым показателем эффективности, который характеризует устойчивость объекта (системы) и может быть использован для принятия решения владельцев/операторов критической инфраструктуры путем сравнения с аналогичными объектами. Этот индекс применим ко всем типам секторов/подсекторов критической инфраструктуры и учитывать все виды опасностей (антропогенные, природные и кибернетические), зависимости объектов и возможности объектов в отношении управления чрезвычайными ситуациями. Третий индекс связан с оценкой последствий, характеризует максимальные последствия, связанные с возможными неблагоприятными событиями на объекте (системе). Этот индекс включает информацию о здоровье и безопасности населения, экономических, </w:t>
      </w:r>
      <w:r w:rsidRPr="005A2236">
        <w:rPr>
          <w:sz w:val="24"/>
          <w:lang w:val="ru-RU"/>
        </w:rPr>
        <w:lastRenderedPageBreak/>
        <w:t>психологических и управленческих последствиях и последствиях в результате утраты объекта или части системы.</w:t>
      </w:r>
    </w:p>
    <w:p w14:paraId="7B4D3097" w14:textId="31D34897" w:rsidR="00CD00AD" w:rsidRPr="005A2236" w:rsidRDefault="00CD00AD" w:rsidP="004D6713">
      <w:pPr>
        <w:pStyle w:val="Text"/>
        <w:tabs>
          <w:tab w:val="clear" w:pos="7200"/>
          <w:tab w:val="right" w:pos="284"/>
        </w:tabs>
        <w:spacing w:before="0" w:after="0" w:line="240" w:lineRule="auto"/>
        <w:ind w:right="0" w:firstLine="709"/>
        <w:rPr>
          <w:sz w:val="24"/>
          <w:lang w:val="ru-RU"/>
        </w:rPr>
      </w:pPr>
      <w:r w:rsidRPr="005A2236">
        <w:rPr>
          <w:sz w:val="24"/>
          <w:lang w:val="ru-RU"/>
        </w:rPr>
        <w:t>Два подхода к оценке уровня адаптивной устойчивости описаны в</w:t>
      </w:r>
      <w:r w:rsidRPr="005A2236">
        <w:rPr>
          <w:rFonts w:eastAsia="Calibri"/>
          <w:spacing w:val="-2"/>
          <w:sz w:val="24"/>
          <w:lang w:val="ru-RU"/>
        </w:rPr>
        <w:t xml:space="preserve"> </w:t>
      </w:r>
      <w:r w:rsidR="005503D9" w:rsidRPr="005503D9">
        <w:rPr>
          <w:rFonts w:eastAsia="Calibri"/>
          <w:spacing w:val="-2"/>
          <w:sz w:val="24"/>
          <w:lang w:val="ru-RU"/>
        </w:rPr>
        <w:t>[12].</w:t>
      </w:r>
      <w:r w:rsidRPr="005A2236">
        <w:rPr>
          <w:sz w:val="24"/>
          <w:lang w:val="ru-RU"/>
        </w:rPr>
        <w:t xml:space="preserve"> В первом методе цикл устойчивости рассматривается как концептуальная модель. Индикаторы используются для косвенного измерения устойчивости в каждой фазе, то есть без учета вида кривой восстановления. Текущие значения показателей (на момент измерения) представляют собой баллы показателей, которые агрегируются в шестиуровневой иерархической модели, заканчивающейся оценкой общего уровнем устойчивости критической инфраструктуры или всего района (например, города). Второй метод представляет собой прямое измерение (моделирование/прогнозирование) формы кривой восстановления или некоторых характеристик кривой, называемых «макроиндикаторами» (например, максимальная потеря функциональности, простои и т. д.) этот метод используется для стресс-тестирования путем сравнения кривой восстановления с приемлемым уровнем устойчивости.</w:t>
      </w:r>
    </w:p>
    <w:p w14:paraId="5B4E0BBD" w14:textId="68FAEFE4" w:rsidR="00CD00AD" w:rsidRPr="005A2236" w:rsidRDefault="00CD00AD" w:rsidP="004D6713">
      <w:pPr>
        <w:pStyle w:val="Text"/>
        <w:tabs>
          <w:tab w:val="clear" w:pos="7200"/>
          <w:tab w:val="right" w:pos="284"/>
        </w:tabs>
        <w:spacing w:before="0" w:after="0" w:line="240" w:lineRule="auto"/>
        <w:ind w:right="0" w:firstLine="709"/>
        <w:rPr>
          <w:sz w:val="24"/>
          <w:lang w:val="ru-RU"/>
        </w:rPr>
      </w:pPr>
      <w:r w:rsidRPr="005A2236">
        <w:rPr>
          <w:sz w:val="24"/>
          <w:lang w:val="ru-RU"/>
        </w:rPr>
        <w:t xml:space="preserve">В работе </w:t>
      </w:r>
      <w:r w:rsidR="005503D9" w:rsidRPr="005503D9">
        <w:rPr>
          <w:rFonts w:eastAsia="Calibri"/>
          <w:spacing w:val="-2"/>
          <w:sz w:val="24"/>
          <w:lang w:val="ru-RU"/>
        </w:rPr>
        <w:t xml:space="preserve">[13] </w:t>
      </w:r>
      <w:r w:rsidRPr="005A2236">
        <w:rPr>
          <w:sz w:val="24"/>
          <w:lang w:val="ru-RU"/>
        </w:rPr>
        <w:t xml:space="preserve">рассматривается индикативный подход к оценке resilience с учетом динамической составляющей. Предлагается оценивать соответствующие индексы для расширенного набора фаз жизненного цикла треугольника resilience (Risk assessment, prevention, preparedness, warning, response, recovery, leaning) и осуществлять свертку данных индексов для оценки интегрального уровня resilience для всего цикла. </w:t>
      </w:r>
    </w:p>
    <w:p w14:paraId="5C25274D" w14:textId="5A4D0C50" w:rsidR="00CD00AD" w:rsidRPr="005A2236" w:rsidRDefault="00CD00AD" w:rsidP="004D6713">
      <w:pPr>
        <w:pStyle w:val="Text"/>
        <w:tabs>
          <w:tab w:val="clear" w:pos="7200"/>
          <w:tab w:val="right" w:pos="284"/>
        </w:tabs>
        <w:spacing w:before="0" w:after="0" w:line="240" w:lineRule="auto"/>
        <w:ind w:right="0" w:firstLine="709"/>
        <w:rPr>
          <w:sz w:val="24"/>
          <w:lang w:val="ru-RU"/>
        </w:rPr>
      </w:pPr>
      <w:r w:rsidRPr="005A2236">
        <w:rPr>
          <w:sz w:val="24"/>
          <w:lang w:val="ru-RU"/>
        </w:rPr>
        <w:t xml:space="preserve">В ряде работ рассматриваются индексные подходы к оценке resilience критически важных систем. Например, в статье </w:t>
      </w:r>
      <w:r w:rsidR="005503D9" w:rsidRPr="005503D9">
        <w:rPr>
          <w:rFonts w:eastAsia="Calibri"/>
          <w:spacing w:val="-2"/>
          <w:sz w:val="24"/>
          <w:lang w:val="ru-RU"/>
        </w:rPr>
        <w:t>[14]</w:t>
      </w:r>
      <w:r w:rsidRPr="005A2236">
        <w:rPr>
          <w:sz w:val="24"/>
          <w:lang w:val="ru-RU"/>
        </w:rPr>
        <w:t xml:space="preserve"> предложен подход к оценке resilience системы как среднее арифметическое уровня resilience входящих в систему объектов (элементов).  При этом resilience элементов определяется как сумма взвешенных по 5-ти бальной шкале значения таких составляющих resilience как Robustness, Adaptability, Recoverability.</w:t>
      </w:r>
    </w:p>
    <w:p w14:paraId="1861A66B" w14:textId="69B4E0E1" w:rsidR="00CD00AD" w:rsidRPr="005A2236" w:rsidRDefault="00CD00AD" w:rsidP="004D6713">
      <w:pPr>
        <w:pStyle w:val="Text"/>
        <w:tabs>
          <w:tab w:val="clear" w:pos="7200"/>
          <w:tab w:val="right" w:pos="284"/>
        </w:tabs>
        <w:spacing w:before="0" w:after="0" w:line="240" w:lineRule="auto"/>
        <w:ind w:right="0" w:firstLine="709"/>
        <w:rPr>
          <w:sz w:val="24"/>
          <w:lang w:val="ru-RU"/>
        </w:rPr>
      </w:pPr>
      <w:r w:rsidRPr="005A2236">
        <w:rPr>
          <w:sz w:val="24"/>
          <w:lang w:val="ru-RU"/>
        </w:rPr>
        <w:t xml:space="preserve">Еще один подход включает совместное использование функциональных и индексных показателей для оценки уровня resilience. Например, в работе </w:t>
      </w:r>
      <w:r w:rsidR="005503D9" w:rsidRPr="005503D9">
        <w:rPr>
          <w:sz w:val="24"/>
          <w:lang w:val="ru-RU"/>
        </w:rPr>
        <w:t>[15]</w:t>
      </w:r>
      <w:r w:rsidRPr="005A2236">
        <w:rPr>
          <w:sz w:val="24"/>
          <w:lang w:val="ru-RU"/>
        </w:rPr>
        <w:t xml:space="preserve"> применительно к транспортной системе в сочетании с природными опасностями (землетрясение), совместно рассматривается система функциональных показателей и интегральный индекс resilience территории, подверженной землетрясениям. В качестве функциональных показателей используются относительные экономические потери; относительные потери. Связанные с потерей доступности жизненно важных объектов (больницы, электростанции, порты, административные здания и др.); относительный экологический ущерб. </w:t>
      </w:r>
    </w:p>
    <w:p w14:paraId="0165BD9C" w14:textId="11CFE200" w:rsidR="00CD00AD" w:rsidRPr="00D129F4" w:rsidRDefault="00CD00AD" w:rsidP="004D6713">
      <w:pPr>
        <w:pStyle w:val="Text"/>
        <w:tabs>
          <w:tab w:val="clear" w:pos="7200"/>
          <w:tab w:val="right" w:pos="284"/>
        </w:tabs>
        <w:spacing w:before="0" w:after="0" w:line="240" w:lineRule="auto"/>
        <w:ind w:right="0" w:firstLine="709"/>
        <w:rPr>
          <w:sz w:val="24"/>
          <w:lang w:val="ru-RU"/>
        </w:rPr>
      </w:pPr>
      <w:r w:rsidRPr="005A2236">
        <w:rPr>
          <w:sz w:val="24"/>
          <w:lang w:val="ru-RU"/>
        </w:rPr>
        <w:t>Проведенный анализ показал, что в зависимости от типа и сложности рассматриваемой системы (систем) может быть выбран критерий количественной оценки адаптивной устойчивости. Следует также отметить, что рассмотренные подходы не в полной мере отражают свойства взаимодействующих систем, характерных для инфраструктурно-сложных территорий. Данная</w:t>
      </w:r>
      <w:r w:rsidRPr="00D129F4">
        <w:rPr>
          <w:sz w:val="24"/>
          <w:lang w:val="ru-RU"/>
        </w:rPr>
        <w:t xml:space="preserve"> </w:t>
      </w:r>
      <w:r w:rsidRPr="005A2236">
        <w:rPr>
          <w:sz w:val="24"/>
          <w:lang w:val="ru-RU"/>
        </w:rPr>
        <w:t>проблема</w:t>
      </w:r>
      <w:r w:rsidRPr="00D129F4">
        <w:rPr>
          <w:sz w:val="24"/>
          <w:lang w:val="ru-RU"/>
        </w:rPr>
        <w:t xml:space="preserve"> </w:t>
      </w:r>
      <w:r w:rsidRPr="005A2236">
        <w:rPr>
          <w:sz w:val="24"/>
          <w:lang w:val="ru-RU"/>
        </w:rPr>
        <w:t>представляет</w:t>
      </w:r>
      <w:r w:rsidRPr="00D129F4">
        <w:rPr>
          <w:sz w:val="24"/>
          <w:lang w:val="ru-RU"/>
        </w:rPr>
        <w:t xml:space="preserve"> </w:t>
      </w:r>
      <w:r w:rsidRPr="005A2236">
        <w:rPr>
          <w:sz w:val="24"/>
          <w:lang w:val="ru-RU"/>
        </w:rPr>
        <w:t>собой</w:t>
      </w:r>
      <w:r w:rsidRPr="00D129F4">
        <w:rPr>
          <w:sz w:val="24"/>
          <w:lang w:val="ru-RU"/>
        </w:rPr>
        <w:t xml:space="preserve"> </w:t>
      </w:r>
      <w:r w:rsidRPr="005A2236">
        <w:rPr>
          <w:sz w:val="24"/>
          <w:lang w:val="ru-RU"/>
        </w:rPr>
        <w:t>направление</w:t>
      </w:r>
      <w:r w:rsidRPr="00D129F4">
        <w:rPr>
          <w:sz w:val="24"/>
          <w:lang w:val="ru-RU"/>
        </w:rPr>
        <w:t xml:space="preserve"> </w:t>
      </w:r>
      <w:r w:rsidRPr="005A2236">
        <w:rPr>
          <w:sz w:val="24"/>
          <w:lang w:val="ru-RU"/>
        </w:rPr>
        <w:t>современных</w:t>
      </w:r>
      <w:r w:rsidRPr="00D129F4">
        <w:rPr>
          <w:sz w:val="24"/>
          <w:lang w:val="ru-RU"/>
        </w:rPr>
        <w:t xml:space="preserve"> </w:t>
      </w:r>
      <w:r w:rsidRPr="005A2236">
        <w:rPr>
          <w:sz w:val="24"/>
          <w:lang w:val="ru-RU"/>
        </w:rPr>
        <w:t>исследований</w:t>
      </w:r>
      <w:r w:rsidRPr="00D129F4">
        <w:rPr>
          <w:sz w:val="24"/>
          <w:lang w:val="ru-RU"/>
        </w:rPr>
        <w:t>.</w:t>
      </w:r>
    </w:p>
    <w:p w14:paraId="07852F87" w14:textId="67B04C7C" w:rsidR="00CD00AD" w:rsidRPr="00C05CCE" w:rsidRDefault="00C05CCE" w:rsidP="004D6713">
      <w:pPr>
        <w:pStyle w:val="Text"/>
        <w:tabs>
          <w:tab w:val="clear" w:pos="7200"/>
          <w:tab w:val="right" w:pos="284"/>
        </w:tabs>
        <w:spacing w:before="0" w:after="0" w:line="240" w:lineRule="auto"/>
        <w:ind w:right="0" w:firstLine="709"/>
        <w:rPr>
          <w:sz w:val="24"/>
          <w:lang w:val="ru-RU"/>
        </w:rPr>
      </w:pPr>
      <w:r>
        <w:rPr>
          <w:sz w:val="24"/>
          <w:lang w:val="ru-RU"/>
        </w:rPr>
        <w:t>___________________</w:t>
      </w:r>
    </w:p>
    <w:p w14:paraId="256B4E80" w14:textId="7758975D" w:rsidR="00C05CCE" w:rsidRPr="00C05CCE" w:rsidRDefault="00C05CCE" w:rsidP="004D671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05CCE">
        <w:rPr>
          <w:rFonts w:ascii="Times New Roman" w:hAnsi="Times New Roman" w:cs="Times New Roman"/>
          <w:i/>
          <w:sz w:val="24"/>
          <w:szCs w:val="24"/>
        </w:rPr>
        <w:t>Статья подготовлена при поддержке гранта РФФИ «Разработка теоретических основ и практических методов анализа, прогнозирования и оценки безопасности при межсистемных взаимодействиях критических инфраструктур на урбанизированных территориях» №20-010-00812А.</w:t>
      </w:r>
    </w:p>
    <w:p w14:paraId="20AF52E1" w14:textId="77777777" w:rsidR="00C05CCE" w:rsidRPr="00A176D8" w:rsidRDefault="00C05CCE" w:rsidP="004D671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CE8BE1C" w14:textId="77777777" w:rsidR="00E93E24" w:rsidRPr="000F6F7A" w:rsidRDefault="00E93E24" w:rsidP="00E93E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F6F7A">
        <w:rPr>
          <w:rFonts w:ascii="Times New Roman" w:hAnsi="Times New Roman" w:cs="Times New Roman"/>
          <w:b/>
          <w:bCs/>
          <w:sz w:val="24"/>
          <w:szCs w:val="24"/>
        </w:rPr>
        <w:t>Библиографический</w:t>
      </w:r>
      <w:r w:rsidRPr="000F6F7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0F6F7A">
        <w:rPr>
          <w:rFonts w:ascii="Times New Roman" w:hAnsi="Times New Roman" w:cs="Times New Roman"/>
          <w:b/>
          <w:bCs/>
          <w:sz w:val="24"/>
          <w:szCs w:val="24"/>
        </w:rPr>
        <w:t>список</w:t>
      </w:r>
    </w:p>
    <w:p w14:paraId="17D20CB2" w14:textId="77777777" w:rsidR="00E93E24" w:rsidRPr="00770386" w:rsidRDefault="00E93E24" w:rsidP="00E93E24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  <w:lang w:val="en-US" w:eastAsia="ru-RU"/>
        </w:rPr>
      </w:pPr>
      <w:r w:rsidRPr="00770386">
        <w:rPr>
          <w:rFonts w:ascii="Times New Roman" w:hAnsi="Times New Roman"/>
          <w:sz w:val="24"/>
          <w:szCs w:val="24"/>
          <w:lang w:val="en-US" w:eastAsia="ru-RU"/>
        </w:rPr>
        <w:t>United Nations, Department of Economic and Social Affairs, Population Division. World Population Prospects 2019: Highlights (ST/ESA/SER.A/423). –  New York: United Nations, 2019. – 39 p.</w:t>
      </w:r>
    </w:p>
    <w:p w14:paraId="703DB7F1" w14:textId="77777777" w:rsidR="00E93E24" w:rsidRPr="00770386" w:rsidRDefault="00E93E24" w:rsidP="00E93E24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70386">
        <w:rPr>
          <w:rFonts w:ascii="Times New Roman" w:hAnsi="Times New Roman"/>
          <w:sz w:val="24"/>
          <w:szCs w:val="24"/>
          <w:lang w:eastAsia="ru-RU"/>
        </w:rPr>
        <w:t>Балабейкина О., Файбусович Е. Уровень урбанизации территорий Российской Федерации: региональный аспект // Географический вестник. – 2018. -  1(44). – С. 72-82.  doi: </w:t>
      </w:r>
      <w:hyperlink r:id="rId7" w:tgtFrame="_blank" w:history="1">
        <w:r w:rsidRPr="00770386">
          <w:rPr>
            <w:rFonts w:ascii="Times New Roman" w:hAnsi="Times New Roman"/>
            <w:sz w:val="24"/>
            <w:szCs w:val="24"/>
            <w:lang w:eastAsia="ru-RU"/>
          </w:rPr>
          <w:t>10.17072/2079-7877-2018-1-72-82</w:t>
        </w:r>
      </w:hyperlink>
    </w:p>
    <w:p w14:paraId="0AC689FF" w14:textId="77777777" w:rsidR="00E93E24" w:rsidRPr="00770386" w:rsidRDefault="00E93E24" w:rsidP="00E93E24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Calibri" w:hAnsi="Times New Roman"/>
          <w:spacing w:val="-2"/>
          <w:sz w:val="24"/>
          <w:szCs w:val="24"/>
        </w:rPr>
      </w:pPr>
      <w:hyperlink r:id="rId8" w:history="1">
        <w:r w:rsidRPr="00770386">
          <w:rPr>
            <w:rFonts w:ascii="Times New Roman" w:eastAsia="Calibri" w:hAnsi="Times New Roman"/>
            <w:spacing w:val="-2"/>
            <w:sz w:val="24"/>
            <w:szCs w:val="24"/>
            <w:lang w:val="en-IN"/>
          </w:rPr>
          <w:t>Luca</w:t>
        </w:r>
        <w:r w:rsidRPr="00770386">
          <w:rPr>
            <w:rFonts w:ascii="Times New Roman" w:eastAsia="Calibri" w:hAnsi="Times New Roman"/>
            <w:spacing w:val="-2"/>
            <w:sz w:val="24"/>
            <w:szCs w:val="24"/>
            <w:lang w:val="en-US"/>
          </w:rPr>
          <w:t xml:space="preserve"> </w:t>
        </w:r>
        <w:r w:rsidRPr="00770386">
          <w:rPr>
            <w:rFonts w:ascii="Times New Roman" w:eastAsia="Calibri" w:hAnsi="Times New Roman"/>
            <w:spacing w:val="-2"/>
            <w:sz w:val="24"/>
            <w:szCs w:val="24"/>
            <w:lang w:val="en-IN"/>
          </w:rPr>
          <w:t>Fraccascia</w:t>
        </w:r>
      </w:hyperlink>
      <w:r w:rsidRPr="00770386">
        <w:rPr>
          <w:rFonts w:ascii="Times New Roman" w:eastAsia="Calibri" w:hAnsi="Times New Roman"/>
          <w:spacing w:val="-2"/>
          <w:sz w:val="24"/>
          <w:szCs w:val="24"/>
          <w:lang w:val="en-US"/>
        </w:rPr>
        <w:t xml:space="preserve">, </w:t>
      </w:r>
      <w:hyperlink r:id="rId9" w:history="1">
        <w:r w:rsidRPr="00770386">
          <w:rPr>
            <w:rFonts w:ascii="Times New Roman" w:eastAsia="Calibri" w:hAnsi="Times New Roman"/>
            <w:spacing w:val="-2"/>
            <w:sz w:val="24"/>
            <w:szCs w:val="24"/>
            <w:lang w:val="en-IN"/>
          </w:rPr>
          <w:t>Ilaria</w:t>
        </w:r>
        <w:r w:rsidRPr="00770386">
          <w:rPr>
            <w:rFonts w:ascii="Times New Roman" w:eastAsia="Calibri" w:hAnsi="Times New Roman"/>
            <w:spacing w:val="-2"/>
            <w:sz w:val="24"/>
            <w:szCs w:val="24"/>
            <w:lang w:val="en-US"/>
          </w:rPr>
          <w:t xml:space="preserve"> </w:t>
        </w:r>
        <w:r w:rsidRPr="00770386">
          <w:rPr>
            <w:rFonts w:ascii="Times New Roman" w:eastAsia="Calibri" w:hAnsi="Times New Roman"/>
            <w:spacing w:val="-2"/>
            <w:sz w:val="24"/>
            <w:szCs w:val="24"/>
            <w:lang w:val="en-IN"/>
          </w:rPr>
          <w:t>Giannoccaro</w:t>
        </w:r>
      </w:hyperlink>
      <w:r w:rsidRPr="00770386">
        <w:rPr>
          <w:rFonts w:ascii="Times New Roman" w:eastAsia="Calibri" w:hAnsi="Times New Roman"/>
          <w:spacing w:val="-2"/>
          <w:sz w:val="24"/>
          <w:szCs w:val="24"/>
          <w:lang w:val="en-US"/>
        </w:rPr>
        <w:t xml:space="preserve"> </w:t>
      </w:r>
      <w:r w:rsidRPr="00770386">
        <w:rPr>
          <w:rFonts w:ascii="Times New Roman" w:eastAsia="Calibri" w:hAnsi="Times New Roman"/>
          <w:spacing w:val="-2"/>
          <w:sz w:val="24"/>
          <w:szCs w:val="24"/>
          <w:lang w:val="en-IN"/>
        </w:rPr>
        <w:t>and</w:t>
      </w:r>
      <w:r w:rsidRPr="00770386">
        <w:rPr>
          <w:rFonts w:ascii="Times New Roman" w:eastAsia="Calibri" w:hAnsi="Times New Roman"/>
          <w:spacing w:val="-2"/>
          <w:sz w:val="24"/>
          <w:szCs w:val="24"/>
          <w:lang w:val="en-US"/>
        </w:rPr>
        <w:t xml:space="preserve"> </w:t>
      </w:r>
      <w:hyperlink r:id="rId10" w:history="1">
        <w:r w:rsidRPr="00770386">
          <w:rPr>
            <w:rFonts w:ascii="Times New Roman" w:eastAsia="Calibri" w:hAnsi="Times New Roman"/>
            <w:spacing w:val="-2"/>
            <w:sz w:val="24"/>
            <w:szCs w:val="24"/>
            <w:lang w:val="en-IN"/>
          </w:rPr>
          <w:t>Vito</w:t>
        </w:r>
        <w:r w:rsidRPr="00770386">
          <w:rPr>
            <w:rFonts w:ascii="Times New Roman" w:eastAsia="Calibri" w:hAnsi="Times New Roman"/>
            <w:spacing w:val="-2"/>
            <w:sz w:val="24"/>
            <w:szCs w:val="24"/>
            <w:lang w:val="en-US"/>
          </w:rPr>
          <w:t xml:space="preserve"> </w:t>
        </w:r>
        <w:r w:rsidRPr="00770386">
          <w:rPr>
            <w:rFonts w:ascii="Times New Roman" w:eastAsia="Calibri" w:hAnsi="Times New Roman"/>
            <w:spacing w:val="-2"/>
            <w:sz w:val="24"/>
            <w:szCs w:val="24"/>
            <w:lang w:val="en-IN"/>
          </w:rPr>
          <w:t>Albino</w:t>
        </w:r>
      </w:hyperlink>
      <w:r w:rsidRPr="00770386">
        <w:rPr>
          <w:rFonts w:ascii="Times New Roman" w:eastAsia="Calibri" w:hAnsi="Times New Roman"/>
          <w:spacing w:val="-2"/>
          <w:sz w:val="24"/>
          <w:szCs w:val="24"/>
          <w:lang w:val="en-IN"/>
        </w:rPr>
        <w:t xml:space="preserve"> (2018)</w:t>
      </w:r>
      <w:r w:rsidRPr="00770386">
        <w:rPr>
          <w:rFonts w:ascii="Times New Roman" w:eastAsia="Calibri" w:hAnsi="Times New Roman"/>
          <w:spacing w:val="-2"/>
          <w:sz w:val="24"/>
          <w:szCs w:val="24"/>
          <w:lang w:val="en-US"/>
        </w:rPr>
        <w:t xml:space="preserve"> </w:t>
      </w:r>
      <w:r w:rsidRPr="00770386">
        <w:rPr>
          <w:rFonts w:ascii="Times New Roman" w:eastAsia="Calibri" w:hAnsi="Times New Roman"/>
          <w:spacing w:val="-2"/>
          <w:sz w:val="24"/>
          <w:szCs w:val="24"/>
          <w:lang w:val="en-IN"/>
        </w:rPr>
        <w:t xml:space="preserve">Resilience of Complex Systems: State of the Art and Directions for Future Research // Complexity Volume 2018. </w:t>
      </w:r>
      <w:r w:rsidRPr="00770386">
        <w:rPr>
          <w:rFonts w:ascii="Times New Roman" w:hAnsi="Times New Roman"/>
          <w:sz w:val="24"/>
          <w:szCs w:val="24"/>
        </w:rPr>
        <w:t xml:space="preserve">[Электронный ресурс]. Режим доступа </w:t>
      </w:r>
      <w:hyperlink r:id="rId11" w:history="1">
        <w:r w:rsidRPr="00770386">
          <w:rPr>
            <w:rStyle w:val="a8"/>
            <w:rFonts w:ascii="Times New Roman" w:eastAsia="Calibri" w:hAnsi="Times New Roman"/>
            <w:color w:val="auto"/>
            <w:spacing w:val="-2"/>
            <w:sz w:val="24"/>
            <w:szCs w:val="24"/>
            <w:u w:val="none"/>
            <w:lang w:val="en-IN"/>
          </w:rPr>
          <w:t>https</w:t>
        </w:r>
        <w:r w:rsidRPr="00770386">
          <w:rPr>
            <w:rStyle w:val="a8"/>
            <w:rFonts w:ascii="Times New Roman" w:eastAsia="Calibri" w:hAnsi="Times New Roman"/>
            <w:color w:val="auto"/>
            <w:spacing w:val="-2"/>
            <w:sz w:val="24"/>
            <w:szCs w:val="24"/>
            <w:u w:val="none"/>
          </w:rPr>
          <w:t>://</w:t>
        </w:r>
        <w:r w:rsidRPr="00770386">
          <w:rPr>
            <w:rStyle w:val="a8"/>
            <w:rFonts w:ascii="Times New Roman" w:eastAsia="Calibri" w:hAnsi="Times New Roman"/>
            <w:color w:val="auto"/>
            <w:spacing w:val="-2"/>
            <w:sz w:val="24"/>
            <w:szCs w:val="24"/>
            <w:u w:val="none"/>
            <w:lang w:val="en-IN"/>
          </w:rPr>
          <w:t>www</w:t>
        </w:r>
        <w:r w:rsidRPr="00770386">
          <w:rPr>
            <w:rStyle w:val="a8"/>
            <w:rFonts w:ascii="Times New Roman" w:eastAsia="Calibri" w:hAnsi="Times New Roman"/>
            <w:color w:val="auto"/>
            <w:spacing w:val="-2"/>
            <w:sz w:val="24"/>
            <w:szCs w:val="24"/>
            <w:u w:val="none"/>
          </w:rPr>
          <w:t>.</w:t>
        </w:r>
        <w:r w:rsidRPr="00770386">
          <w:rPr>
            <w:rStyle w:val="a8"/>
            <w:rFonts w:ascii="Times New Roman" w:eastAsia="Calibri" w:hAnsi="Times New Roman"/>
            <w:color w:val="auto"/>
            <w:spacing w:val="-2"/>
            <w:sz w:val="24"/>
            <w:szCs w:val="24"/>
            <w:u w:val="none"/>
            <w:lang w:val="en-IN"/>
          </w:rPr>
          <w:t>hindawi</w:t>
        </w:r>
        <w:r w:rsidRPr="00770386">
          <w:rPr>
            <w:rStyle w:val="a8"/>
            <w:rFonts w:ascii="Times New Roman" w:eastAsia="Calibri" w:hAnsi="Times New Roman"/>
            <w:color w:val="auto"/>
            <w:spacing w:val="-2"/>
            <w:sz w:val="24"/>
            <w:szCs w:val="24"/>
            <w:u w:val="none"/>
          </w:rPr>
          <w:t>.</w:t>
        </w:r>
        <w:r w:rsidRPr="00770386">
          <w:rPr>
            <w:rStyle w:val="a8"/>
            <w:rFonts w:ascii="Times New Roman" w:eastAsia="Calibri" w:hAnsi="Times New Roman"/>
            <w:color w:val="auto"/>
            <w:spacing w:val="-2"/>
            <w:sz w:val="24"/>
            <w:szCs w:val="24"/>
            <w:u w:val="none"/>
            <w:lang w:val="en-IN"/>
          </w:rPr>
          <w:t>com</w:t>
        </w:r>
        <w:r w:rsidRPr="00770386">
          <w:rPr>
            <w:rStyle w:val="a8"/>
            <w:rFonts w:ascii="Times New Roman" w:eastAsia="Calibri" w:hAnsi="Times New Roman"/>
            <w:color w:val="auto"/>
            <w:spacing w:val="-2"/>
            <w:sz w:val="24"/>
            <w:szCs w:val="24"/>
            <w:u w:val="none"/>
          </w:rPr>
          <w:t>/</w:t>
        </w:r>
        <w:r w:rsidRPr="00770386">
          <w:rPr>
            <w:rStyle w:val="a8"/>
            <w:rFonts w:ascii="Times New Roman" w:eastAsia="Calibri" w:hAnsi="Times New Roman"/>
            <w:color w:val="auto"/>
            <w:spacing w:val="-2"/>
            <w:sz w:val="24"/>
            <w:szCs w:val="24"/>
            <w:u w:val="none"/>
            <w:lang w:val="en-IN"/>
          </w:rPr>
          <w:t>journals</w:t>
        </w:r>
        <w:r w:rsidRPr="00770386">
          <w:rPr>
            <w:rStyle w:val="a8"/>
            <w:rFonts w:ascii="Times New Roman" w:eastAsia="Calibri" w:hAnsi="Times New Roman"/>
            <w:color w:val="auto"/>
            <w:spacing w:val="-2"/>
            <w:sz w:val="24"/>
            <w:szCs w:val="24"/>
            <w:u w:val="none"/>
          </w:rPr>
          <w:t>/</w:t>
        </w:r>
        <w:r w:rsidRPr="00770386">
          <w:rPr>
            <w:rStyle w:val="a8"/>
            <w:rFonts w:ascii="Times New Roman" w:eastAsia="Calibri" w:hAnsi="Times New Roman"/>
            <w:color w:val="auto"/>
            <w:spacing w:val="-2"/>
            <w:sz w:val="24"/>
            <w:szCs w:val="24"/>
            <w:u w:val="none"/>
            <w:lang w:val="en-IN"/>
          </w:rPr>
          <w:t>complexity</w:t>
        </w:r>
        <w:r w:rsidRPr="00770386">
          <w:rPr>
            <w:rStyle w:val="a8"/>
            <w:rFonts w:ascii="Times New Roman" w:eastAsia="Calibri" w:hAnsi="Times New Roman"/>
            <w:color w:val="auto"/>
            <w:spacing w:val="-2"/>
            <w:sz w:val="24"/>
            <w:szCs w:val="24"/>
            <w:u w:val="none"/>
          </w:rPr>
          <w:t>/2018/3421529</w:t>
        </w:r>
      </w:hyperlink>
      <w:r w:rsidRPr="00770386">
        <w:rPr>
          <w:rStyle w:val="a8"/>
          <w:rFonts w:ascii="Times New Roman" w:hAnsi="Times New Roman"/>
          <w:color w:val="auto"/>
          <w:sz w:val="24"/>
          <w:szCs w:val="24"/>
          <w:u w:val="none"/>
        </w:rPr>
        <w:t xml:space="preserve"> (дата обращения 15.05.2020)</w:t>
      </w:r>
    </w:p>
    <w:p w14:paraId="7DA8AF69" w14:textId="77777777" w:rsidR="00E93E24" w:rsidRPr="00770386" w:rsidRDefault="00E93E24" w:rsidP="00E93E24">
      <w:pPr>
        <w:pStyle w:val="a7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70386">
        <w:rPr>
          <w:rFonts w:ascii="Times New Roman" w:hAnsi="Times New Roman"/>
          <w:sz w:val="24"/>
          <w:szCs w:val="24"/>
          <w:lang w:eastAsia="ru-RU"/>
        </w:rPr>
        <w:t xml:space="preserve">Малинецкий Г.Г., Кочкаров А.А. Управление безопасностью и стойкостью сложных систем к внешним воздействиям // Проблемы управления. – 2005. - №5. – </w:t>
      </w:r>
      <w:r w:rsidRPr="00770386">
        <w:rPr>
          <w:rFonts w:ascii="Times New Roman" w:hAnsi="Times New Roman"/>
          <w:sz w:val="24"/>
          <w:szCs w:val="24"/>
          <w:lang w:val="en-US" w:eastAsia="ru-RU"/>
        </w:rPr>
        <w:t>C</w:t>
      </w:r>
      <w:r w:rsidRPr="00770386">
        <w:rPr>
          <w:rFonts w:ascii="Times New Roman" w:hAnsi="Times New Roman"/>
          <w:sz w:val="24"/>
          <w:szCs w:val="24"/>
          <w:lang w:eastAsia="ru-RU"/>
        </w:rPr>
        <w:t>. 70-76.</w:t>
      </w:r>
    </w:p>
    <w:p w14:paraId="4B5E3CB0" w14:textId="77777777" w:rsidR="00E93E24" w:rsidRPr="00770386" w:rsidRDefault="00E93E24" w:rsidP="00E93E24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Calibri" w:hAnsi="Times New Roman"/>
          <w:spacing w:val="-2"/>
          <w:sz w:val="24"/>
          <w:szCs w:val="24"/>
          <w:lang w:val="en-US"/>
        </w:rPr>
      </w:pPr>
      <w:r w:rsidRPr="00770386">
        <w:rPr>
          <w:rFonts w:ascii="Times New Roman" w:eastAsia="Calibri" w:hAnsi="Times New Roman"/>
          <w:spacing w:val="-2"/>
          <w:sz w:val="24"/>
          <w:szCs w:val="24"/>
          <w:lang w:val="en-IN"/>
        </w:rPr>
        <w:t>Beyond Bouncing</w:t>
      </w:r>
      <w:r w:rsidRPr="00770386">
        <w:rPr>
          <w:rFonts w:ascii="Times New Roman" w:eastAsia="Calibri" w:hAnsi="Times New Roman"/>
          <w:spacing w:val="-2"/>
          <w:sz w:val="24"/>
          <w:szCs w:val="24"/>
          <w:lang w:val="en-US"/>
        </w:rPr>
        <w:t xml:space="preserve"> </w:t>
      </w:r>
      <w:r w:rsidRPr="00770386">
        <w:rPr>
          <w:rFonts w:ascii="Times New Roman" w:eastAsia="Calibri" w:hAnsi="Times New Roman"/>
          <w:spacing w:val="-2"/>
          <w:sz w:val="24"/>
          <w:szCs w:val="24"/>
          <w:lang w:val="en-IN"/>
        </w:rPr>
        <w:t>Back: Roundtable on Critical Transportation Infrastructure Resilience, Volpe Center, 30 April, 2013</w:t>
      </w:r>
      <w:r w:rsidRPr="00770386">
        <w:rPr>
          <w:rFonts w:ascii="Times New Roman" w:eastAsia="Calibri" w:hAnsi="Times New Roman"/>
          <w:spacing w:val="-2"/>
          <w:sz w:val="24"/>
          <w:szCs w:val="24"/>
          <w:lang w:val="en-US"/>
        </w:rPr>
        <w:t>.</w:t>
      </w:r>
    </w:p>
    <w:p w14:paraId="794B1B5A" w14:textId="77777777" w:rsidR="00E93E24" w:rsidRPr="00770386" w:rsidRDefault="00E93E24" w:rsidP="00E93E24">
      <w:pPr>
        <w:pStyle w:val="a7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  <w:lang w:val="en-US" w:eastAsia="ru-RU"/>
        </w:rPr>
      </w:pPr>
      <w:r w:rsidRPr="00770386">
        <w:rPr>
          <w:rFonts w:ascii="Times New Roman" w:hAnsi="Times New Roman"/>
          <w:sz w:val="24"/>
          <w:szCs w:val="24"/>
          <w:lang w:val="en-US" w:eastAsia="ru-RU"/>
        </w:rPr>
        <w:t xml:space="preserve">Francis R., Bekera B. A metric and frameworks for resilience analysis of engineered and infrastructure systems // Reliability Engineering &amp; System Safety. – 2014. - №121. P. 90–103.    </w:t>
      </w:r>
    </w:p>
    <w:p w14:paraId="51654FB8" w14:textId="77777777" w:rsidR="00E93E24" w:rsidRPr="00770386" w:rsidRDefault="00E93E24" w:rsidP="00E93E24">
      <w:pPr>
        <w:pStyle w:val="a7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770386">
        <w:rPr>
          <w:rFonts w:ascii="Times New Roman" w:eastAsia="Calibri" w:hAnsi="Times New Roman"/>
          <w:spacing w:val="-2"/>
          <w:sz w:val="24"/>
          <w:szCs w:val="24"/>
          <w:lang w:val="en-IN"/>
        </w:rPr>
        <w:t>Beatrice Cassottana et al. A Quantitative Method to Identify Strategies for Enhancing the Resilience of Water Networks // Proceedings of the 29th European Safety and Reliability Conference. Edited byMichael Beer and Enrico Zio, 2019, pp.1301-1311.</w:t>
      </w:r>
    </w:p>
    <w:p w14:paraId="36B021C8" w14:textId="77777777" w:rsidR="00E93E24" w:rsidRPr="00770386" w:rsidRDefault="00E93E24" w:rsidP="00E93E24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Calibri" w:hAnsi="Times New Roman"/>
          <w:spacing w:val="-2"/>
          <w:sz w:val="24"/>
          <w:szCs w:val="24"/>
          <w:lang w:val="en-US"/>
        </w:rPr>
      </w:pPr>
      <w:r w:rsidRPr="00770386">
        <w:rPr>
          <w:rFonts w:ascii="Times New Roman" w:eastAsia="Calibri" w:hAnsi="Times New Roman"/>
          <w:spacing w:val="-2"/>
          <w:sz w:val="24"/>
          <w:szCs w:val="24"/>
          <w:lang w:val="en-IN"/>
        </w:rPr>
        <w:t>Jin-Zhu Yu, Hiba Baroud A Probabilistic Approach for Modelling the Resilience of Interdependent Power and</w:t>
      </w:r>
      <w:r w:rsidRPr="00770386">
        <w:rPr>
          <w:rFonts w:ascii="Times New Roman" w:eastAsia="Calibri" w:hAnsi="Times New Roman"/>
          <w:spacing w:val="-2"/>
          <w:sz w:val="24"/>
          <w:szCs w:val="24"/>
          <w:lang w:val="en-US"/>
        </w:rPr>
        <w:t xml:space="preserve"> </w:t>
      </w:r>
      <w:r w:rsidRPr="00770386">
        <w:rPr>
          <w:rFonts w:ascii="Times New Roman" w:eastAsia="Calibri" w:hAnsi="Times New Roman"/>
          <w:spacing w:val="-2"/>
          <w:sz w:val="24"/>
          <w:szCs w:val="24"/>
          <w:lang w:val="en-IN"/>
        </w:rPr>
        <w:t>Water Infrastructure Networks // Proceedings of the 29th European Safety and Reliability Conference. Edited by</w:t>
      </w:r>
      <w:r w:rsidRPr="00770386">
        <w:rPr>
          <w:rFonts w:ascii="Times New Roman" w:eastAsia="Calibri" w:hAnsi="Times New Roman"/>
          <w:spacing w:val="-2"/>
          <w:sz w:val="24"/>
          <w:szCs w:val="24"/>
          <w:lang w:val="en-US"/>
        </w:rPr>
        <w:t xml:space="preserve"> </w:t>
      </w:r>
      <w:r w:rsidRPr="00770386">
        <w:rPr>
          <w:rFonts w:ascii="Times New Roman" w:eastAsia="Calibri" w:hAnsi="Times New Roman"/>
          <w:spacing w:val="-2"/>
          <w:sz w:val="24"/>
          <w:szCs w:val="24"/>
          <w:lang w:val="en-IN"/>
        </w:rPr>
        <w:t>Michael Beer and Enrico Zio, 2019, pp.1298-1304</w:t>
      </w:r>
      <w:r w:rsidRPr="00770386">
        <w:rPr>
          <w:rFonts w:ascii="Times New Roman" w:eastAsia="Calibri" w:hAnsi="Times New Roman"/>
          <w:spacing w:val="-2"/>
          <w:sz w:val="24"/>
          <w:szCs w:val="24"/>
          <w:lang w:val="en-US"/>
        </w:rPr>
        <w:t>.</w:t>
      </w:r>
    </w:p>
    <w:p w14:paraId="1E0CCAA1" w14:textId="77777777" w:rsidR="00E93E24" w:rsidRPr="00770386" w:rsidRDefault="00E93E24" w:rsidP="00E93E24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Calibri" w:hAnsi="Times New Roman"/>
          <w:spacing w:val="-2"/>
          <w:sz w:val="24"/>
          <w:szCs w:val="24"/>
        </w:rPr>
      </w:pPr>
      <w:r w:rsidRPr="00770386">
        <w:rPr>
          <w:rFonts w:ascii="Times New Roman" w:eastAsia="Calibri" w:hAnsi="Times New Roman"/>
          <w:spacing w:val="-2"/>
          <w:sz w:val="24"/>
          <w:szCs w:val="24"/>
          <w:lang w:val="en-IN"/>
        </w:rPr>
        <w:t xml:space="preserve">Wenjuan Sun, Paolo Bocchini, and Brian D. Davison Resilience metrics and measurement methods for transportation infrastructure: The state of the art. </w:t>
      </w:r>
      <w:r w:rsidRPr="00770386">
        <w:rPr>
          <w:rFonts w:ascii="Times New Roman" w:hAnsi="Times New Roman"/>
          <w:sz w:val="24"/>
          <w:szCs w:val="24"/>
        </w:rPr>
        <w:t xml:space="preserve">[Электронный ресурс]. Режим доступа </w:t>
      </w:r>
      <w:hyperlink r:id="rId12" w:history="1">
        <w:r w:rsidRPr="00770386">
          <w:rPr>
            <w:rFonts w:ascii="Times New Roman" w:eastAsia="Calibri" w:hAnsi="Times New Roman"/>
            <w:spacing w:val="-2"/>
            <w:sz w:val="24"/>
            <w:szCs w:val="24"/>
            <w:lang w:val="en-IN"/>
          </w:rPr>
          <w:t>https</w:t>
        </w:r>
        <w:r w:rsidRPr="00770386">
          <w:rPr>
            <w:rFonts w:ascii="Times New Roman" w:eastAsia="Calibri" w:hAnsi="Times New Roman"/>
            <w:spacing w:val="-2"/>
            <w:sz w:val="24"/>
            <w:szCs w:val="24"/>
          </w:rPr>
          <w:t>://</w:t>
        </w:r>
        <w:r w:rsidRPr="00770386">
          <w:rPr>
            <w:rFonts w:ascii="Times New Roman" w:eastAsia="Calibri" w:hAnsi="Times New Roman"/>
            <w:spacing w:val="-2"/>
            <w:sz w:val="24"/>
            <w:szCs w:val="24"/>
            <w:lang w:val="en-IN"/>
          </w:rPr>
          <w:t>www</w:t>
        </w:r>
        <w:r w:rsidRPr="00770386">
          <w:rPr>
            <w:rFonts w:ascii="Times New Roman" w:eastAsia="Calibri" w:hAnsi="Times New Roman"/>
            <w:spacing w:val="-2"/>
            <w:sz w:val="24"/>
            <w:szCs w:val="24"/>
          </w:rPr>
          <w:t>.</w:t>
        </w:r>
        <w:r w:rsidRPr="00770386">
          <w:rPr>
            <w:rFonts w:ascii="Times New Roman" w:eastAsia="Calibri" w:hAnsi="Times New Roman"/>
            <w:spacing w:val="-2"/>
            <w:sz w:val="24"/>
            <w:szCs w:val="24"/>
            <w:lang w:val="en-IN"/>
          </w:rPr>
          <w:t>researchgate</w:t>
        </w:r>
        <w:r w:rsidRPr="00770386">
          <w:rPr>
            <w:rFonts w:ascii="Times New Roman" w:eastAsia="Calibri" w:hAnsi="Times New Roman"/>
            <w:spacing w:val="-2"/>
            <w:sz w:val="24"/>
            <w:szCs w:val="24"/>
          </w:rPr>
          <w:t>.</w:t>
        </w:r>
        <w:r w:rsidRPr="00770386">
          <w:rPr>
            <w:rFonts w:ascii="Times New Roman" w:eastAsia="Calibri" w:hAnsi="Times New Roman"/>
            <w:spacing w:val="-2"/>
            <w:sz w:val="24"/>
            <w:szCs w:val="24"/>
            <w:lang w:val="en-IN"/>
          </w:rPr>
          <w:t>net</w:t>
        </w:r>
        <w:r w:rsidRPr="00770386">
          <w:rPr>
            <w:rFonts w:ascii="Times New Roman" w:eastAsia="Calibri" w:hAnsi="Times New Roman"/>
            <w:spacing w:val="-2"/>
            <w:sz w:val="24"/>
            <w:szCs w:val="24"/>
          </w:rPr>
          <w:t>/</w:t>
        </w:r>
        <w:r w:rsidRPr="00770386">
          <w:rPr>
            <w:rFonts w:ascii="Times New Roman" w:eastAsia="Calibri" w:hAnsi="Times New Roman"/>
            <w:spacing w:val="-2"/>
            <w:sz w:val="24"/>
            <w:szCs w:val="24"/>
            <w:lang w:val="en-IN"/>
          </w:rPr>
          <w:t>publication</w:t>
        </w:r>
        <w:r w:rsidRPr="00770386">
          <w:rPr>
            <w:rFonts w:ascii="Times New Roman" w:eastAsia="Calibri" w:hAnsi="Times New Roman"/>
            <w:spacing w:val="-2"/>
            <w:sz w:val="24"/>
            <w:szCs w:val="24"/>
          </w:rPr>
          <w:t>/326920176</w:t>
        </w:r>
      </w:hyperlink>
      <w:r w:rsidRPr="00770386">
        <w:rPr>
          <w:rFonts w:ascii="Times New Roman" w:eastAsia="Calibri" w:hAnsi="Times New Roman"/>
          <w:spacing w:val="-2"/>
          <w:sz w:val="24"/>
          <w:szCs w:val="24"/>
        </w:rPr>
        <w:t xml:space="preserve">. </w:t>
      </w:r>
      <w:r w:rsidRPr="00770386">
        <w:rPr>
          <w:rStyle w:val="a8"/>
          <w:rFonts w:ascii="Times New Roman" w:hAnsi="Times New Roman"/>
          <w:color w:val="auto"/>
          <w:sz w:val="24"/>
          <w:szCs w:val="24"/>
          <w:u w:val="none"/>
        </w:rPr>
        <w:t>(дата обращения 15.05.2020)</w:t>
      </w:r>
    </w:p>
    <w:p w14:paraId="6BC63536" w14:textId="77777777" w:rsidR="00E93E24" w:rsidRPr="00770386" w:rsidRDefault="00E93E24" w:rsidP="00E93E24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Calibri" w:hAnsi="Times New Roman"/>
          <w:spacing w:val="-2"/>
          <w:sz w:val="24"/>
          <w:szCs w:val="24"/>
          <w:lang w:val="en-IN"/>
        </w:rPr>
      </w:pPr>
      <w:r w:rsidRPr="000F6F7A">
        <w:rPr>
          <w:rFonts w:ascii="Times New Roman" w:eastAsia="Calibri" w:hAnsi="Times New Roman"/>
          <w:spacing w:val="-2"/>
          <w:sz w:val="24"/>
          <w:szCs w:val="24"/>
          <w:lang w:val="en-IN"/>
        </w:rPr>
        <w:t>Khazai, Bijan &amp; Bendimeard, Fouad &amp; Cardona, Omar &amp; Tibaduiza, Martha &amp; Barbat, Alex &amp; Burton, Christopher. A Guide to Measuring Urban Resilience: Principles, Tools and Practice of Urban Indicators.</w:t>
      </w:r>
      <w:r>
        <w:rPr>
          <w:rFonts w:ascii="Times New Roman" w:eastAsia="Calibri" w:hAnsi="Times New Roman"/>
          <w:spacing w:val="-2"/>
          <w:sz w:val="24"/>
          <w:szCs w:val="24"/>
          <w:lang w:val="en-IN"/>
        </w:rPr>
        <w:t xml:space="preserve"> 2015.</w:t>
      </w:r>
    </w:p>
    <w:p w14:paraId="2DF457B2" w14:textId="77777777" w:rsidR="00E93E24" w:rsidRPr="00770386" w:rsidRDefault="00E93E24" w:rsidP="00E93E24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Calibri" w:hAnsi="Times New Roman"/>
          <w:spacing w:val="-2"/>
          <w:sz w:val="24"/>
          <w:szCs w:val="24"/>
          <w:lang w:val="en-IN"/>
        </w:rPr>
      </w:pPr>
      <w:r w:rsidRPr="00770386">
        <w:rPr>
          <w:rFonts w:ascii="Times New Roman" w:eastAsia="Calibri" w:hAnsi="Times New Roman"/>
          <w:spacing w:val="-2"/>
          <w:sz w:val="24"/>
          <w:szCs w:val="24"/>
          <w:lang w:val="en-IN"/>
        </w:rPr>
        <w:t>Resilience Measurement Index: An Indicator of Critical Infrastructure Resilience.  Technical Report</w:t>
      </w:r>
      <w:r w:rsidRPr="00770386">
        <w:rPr>
          <w:rFonts w:ascii="Times New Roman" w:eastAsia="Calibri" w:hAnsi="Times New Roman"/>
          <w:spacing w:val="-2"/>
          <w:sz w:val="24"/>
          <w:szCs w:val="24"/>
          <w:lang w:val="en-US"/>
        </w:rPr>
        <w:t>.</w:t>
      </w:r>
      <w:r w:rsidRPr="00770386">
        <w:rPr>
          <w:rFonts w:ascii="Times New Roman" w:eastAsia="Calibri" w:hAnsi="Times New Roman"/>
          <w:spacing w:val="-2"/>
          <w:sz w:val="24"/>
          <w:szCs w:val="24"/>
          <w:lang w:val="en-IN"/>
        </w:rPr>
        <w:t xml:space="preserve"> April 2013, ANL/DIS-13-01, 56 p.</w:t>
      </w:r>
    </w:p>
    <w:p w14:paraId="11D523E7" w14:textId="77777777" w:rsidR="00E93E24" w:rsidRPr="00770386" w:rsidRDefault="00E93E24" w:rsidP="00E93E24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Calibri" w:hAnsi="Times New Roman"/>
          <w:spacing w:val="-2"/>
          <w:sz w:val="24"/>
          <w:szCs w:val="24"/>
          <w:lang w:val="en-IN"/>
        </w:rPr>
      </w:pPr>
      <w:r w:rsidRPr="00770386">
        <w:rPr>
          <w:rFonts w:ascii="Times New Roman" w:eastAsia="Calibri" w:hAnsi="Times New Roman"/>
          <w:spacing w:val="-2"/>
          <w:sz w:val="24"/>
          <w:szCs w:val="24"/>
          <w:lang w:val="en-IN"/>
        </w:rPr>
        <w:t>Guideline</w:t>
      </w:r>
      <w:r w:rsidRPr="00770386">
        <w:rPr>
          <w:rFonts w:ascii="Times New Roman" w:eastAsia="Calibri" w:hAnsi="Times New Roman"/>
          <w:spacing w:val="-2"/>
          <w:sz w:val="24"/>
          <w:szCs w:val="24"/>
          <w:lang w:val="en-US"/>
        </w:rPr>
        <w:t xml:space="preserve"> </w:t>
      </w:r>
      <w:r w:rsidRPr="00770386">
        <w:rPr>
          <w:rFonts w:ascii="Times New Roman" w:eastAsia="Calibri" w:hAnsi="Times New Roman"/>
          <w:spacing w:val="-2"/>
          <w:sz w:val="24"/>
          <w:szCs w:val="24"/>
          <w:lang w:val="en-IN"/>
        </w:rPr>
        <w:t>for assessing, predicting and monitoring resilience of Smart Critical Infrastructures (SCIs), Trondheim, September 2019</w:t>
      </w:r>
      <w:r w:rsidRPr="00770386">
        <w:rPr>
          <w:rFonts w:ascii="Times New Roman" w:eastAsia="Calibri" w:hAnsi="Times New Roman"/>
          <w:spacing w:val="-2"/>
          <w:sz w:val="24"/>
          <w:szCs w:val="24"/>
          <w:lang w:val="en-US"/>
        </w:rPr>
        <w:t>.</w:t>
      </w:r>
      <w:r w:rsidRPr="00770386">
        <w:rPr>
          <w:rFonts w:ascii="Times New Roman" w:eastAsia="Calibri" w:hAnsi="Times New Roman"/>
          <w:spacing w:val="-2"/>
          <w:sz w:val="24"/>
          <w:szCs w:val="24"/>
          <w:lang w:val="en-IN"/>
        </w:rPr>
        <w:t xml:space="preserve"> – 128 p.</w:t>
      </w:r>
    </w:p>
    <w:p w14:paraId="38CF1F66" w14:textId="77777777" w:rsidR="00E93E24" w:rsidRPr="00770386" w:rsidRDefault="00E93E24" w:rsidP="00E93E24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Calibri" w:hAnsi="Times New Roman"/>
          <w:spacing w:val="-2"/>
          <w:sz w:val="24"/>
          <w:szCs w:val="24"/>
          <w:lang w:val="en-US"/>
        </w:rPr>
      </w:pPr>
      <w:r w:rsidRPr="00770386">
        <w:rPr>
          <w:rFonts w:ascii="Times New Roman" w:eastAsia="Calibri" w:hAnsi="Times New Roman"/>
          <w:spacing w:val="-2"/>
          <w:sz w:val="24"/>
          <w:szCs w:val="24"/>
          <w:lang w:val="en-IN"/>
        </w:rPr>
        <w:t>Goncalo Rodrigues Cadete  Report of criteria for evaluation resilience. Technical report, University of Lisbon, May 2016 – p.</w:t>
      </w:r>
      <w:r w:rsidRPr="00770386">
        <w:rPr>
          <w:rFonts w:ascii="Times New Roman" w:eastAsia="Calibri" w:hAnsi="Times New Roman"/>
          <w:spacing w:val="-2"/>
          <w:sz w:val="24"/>
          <w:szCs w:val="24"/>
          <w:lang w:val="en-US"/>
        </w:rPr>
        <w:t xml:space="preserve"> </w:t>
      </w:r>
      <w:r w:rsidRPr="00770386">
        <w:rPr>
          <w:rFonts w:ascii="Times New Roman" w:eastAsia="Calibri" w:hAnsi="Times New Roman"/>
          <w:spacing w:val="-2"/>
          <w:sz w:val="24"/>
          <w:szCs w:val="24"/>
          <w:lang w:val="en-IN"/>
        </w:rPr>
        <w:t>37</w:t>
      </w:r>
      <w:r w:rsidRPr="00770386">
        <w:rPr>
          <w:rFonts w:ascii="Times New Roman" w:eastAsia="Calibri" w:hAnsi="Times New Roman"/>
          <w:spacing w:val="-2"/>
          <w:sz w:val="24"/>
          <w:szCs w:val="24"/>
          <w:lang w:val="en-US"/>
        </w:rPr>
        <w:t>.</w:t>
      </w:r>
    </w:p>
    <w:p w14:paraId="7CF454A8" w14:textId="77777777" w:rsidR="00E93E24" w:rsidRPr="00770386" w:rsidRDefault="00E93E24" w:rsidP="00E93E24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Calibri" w:hAnsi="Times New Roman"/>
          <w:spacing w:val="-2"/>
          <w:sz w:val="24"/>
          <w:szCs w:val="24"/>
          <w:lang w:val="en-IN"/>
        </w:rPr>
      </w:pPr>
      <w:r w:rsidRPr="00770386">
        <w:rPr>
          <w:rFonts w:ascii="Times New Roman" w:eastAsia="Calibri" w:hAnsi="Times New Roman"/>
          <w:spacing w:val="-2"/>
          <w:sz w:val="24"/>
          <w:szCs w:val="24"/>
          <w:lang w:val="en-IN"/>
        </w:rPr>
        <w:t xml:space="preserve">David Rehak et al. </w:t>
      </w:r>
      <w:r w:rsidRPr="00770386">
        <w:rPr>
          <w:rFonts w:ascii="Times New Roman" w:eastAsia="Calibri" w:hAnsi="Times New Roman"/>
          <w:spacing w:val="-2"/>
          <w:sz w:val="24"/>
          <w:szCs w:val="24"/>
          <w:lang w:val="en-US"/>
        </w:rPr>
        <w:t xml:space="preserve"> </w:t>
      </w:r>
      <w:r w:rsidRPr="00770386">
        <w:rPr>
          <w:rFonts w:ascii="Times New Roman" w:eastAsia="Calibri" w:hAnsi="Times New Roman"/>
          <w:spacing w:val="-2"/>
          <w:sz w:val="24"/>
          <w:szCs w:val="24"/>
          <w:lang w:val="en-IN"/>
        </w:rPr>
        <w:t xml:space="preserve">Complex approach to assessing resilience of critical infrastructure elements // International Journal of Critical infrastructure Protection. – 2019. - </w:t>
      </w:r>
      <w:r w:rsidRPr="00770386">
        <w:rPr>
          <w:rFonts w:ascii="Times New Roman" w:eastAsia="Calibri" w:hAnsi="Times New Roman"/>
          <w:spacing w:val="-2"/>
          <w:sz w:val="24"/>
          <w:szCs w:val="24"/>
          <w:lang w:val="en-US"/>
        </w:rPr>
        <w:t>№</w:t>
      </w:r>
      <w:r w:rsidRPr="00770386">
        <w:rPr>
          <w:rFonts w:ascii="Times New Roman" w:eastAsia="Calibri" w:hAnsi="Times New Roman"/>
          <w:spacing w:val="-2"/>
          <w:sz w:val="24"/>
          <w:szCs w:val="24"/>
          <w:lang w:val="en-IN"/>
        </w:rPr>
        <w:t xml:space="preserve"> 25</w:t>
      </w:r>
      <w:r w:rsidRPr="00770386">
        <w:rPr>
          <w:rFonts w:ascii="Times New Roman" w:eastAsia="Calibri" w:hAnsi="Times New Roman"/>
          <w:spacing w:val="-2"/>
          <w:sz w:val="24"/>
          <w:szCs w:val="24"/>
          <w:lang w:val="en-US"/>
        </w:rPr>
        <w:t>. P.</w:t>
      </w:r>
      <w:r w:rsidRPr="00770386">
        <w:rPr>
          <w:rFonts w:ascii="Times New Roman" w:eastAsia="Calibri" w:hAnsi="Times New Roman"/>
          <w:spacing w:val="-2"/>
          <w:sz w:val="24"/>
          <w:szCs w:val="24"/>
          <w:lang w:val="en-IN"/>
        </w:rPr>
        <w:t>125-138.</w:t>
      </w:r>
    </w:p>
    <w:p w14:paraId="4460B19C" w14:textId="77777777" w:rsidR="00E93E24" w:rsidRPr="00770386" w:rsidRDefault="00E93E24" w:rsidP="00E93E24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Calibri" w:hAnsi="Times New Roman"/>
          <w:spacing w:val="-2"/>
          <w:sz w:val="24"/>
          <w:szCs w:val="24"/>
          <w:lang w:val="en-IN"/>
        </w:rPr>
      </w:pPr>
      <w:r w:rsidRPr="00770386">
        <w:rPr>
          <w:rFonts w:ascii="Times New Roman" w:eastAsia="Calibri" w:hAnsi="Times New Roman"/>
          <w:spacing w:val="-2"/>
          <w:sz w:val="24"/>
          <w:szCs w:val="24"/>
          <w:lang w:val="en-IN"/>
        </w:rPr>
        <w:t>Ioannis Kilanitis, Anastasioa Sextos</w:t>
      </w:r>
      <w:r w:rsidRPr="00770386">
        <w:rPr>
          <w:rFonts w:ascii="Times New Roman" w:eastAsia="Calibri" w:hAnsi="Times New Roman"/>
          <w:spacing w:val="-2"/>
          <w:sz w:val="24"/>
          <w:szCs w:val="24"/>
          <w:lang w:val="en-US"/>
        </w:rPr>
        <w:t xml:space="preserve"> (2019)</w:t>
      </w:r>
      <w:r w:rsidRPr="00770386">
        <w:rPr>
          <w:rFonts w:ascii="Times New Roman" w:eastAsia="Calibri" w:hAnsi="Times New Roman"/>
          <w:spacing w:val="-2"/>
          <w:sz w:val="24"/>
          <w:szCs w:val="24"/>
          <w:lang w:val="en-IN"/>
        </w:rPr>
        <w:t xml:space="preserve"> Integrated seismic risk and resilience assessment of roadway networks in earthquake prone areas // Bulletin of Earthquake Engineering. – 2019. - </w:t>
      </w:r>
      <w:r w:rsidRPr="00770386">
        <w:rPr>
          <w:rFonts w:ascii="Times New Roman" w:eastAsia="Calibri" w:hAnsi="Times New Roman"/>
          <w:spacing w:val="-2"/>
          <w:sz w:val="24"/>
          <w:szCs w:val="24"/>
          <w:lang w:val="en-US"/>
        </w:rPr>
        <w:t>№</w:t>
      </w:r>
      <w:r w:rsidRPr="00770386">
        <w:rPr>
          <w:rFonts w:ascii="Times New Roman" w:eastAsia="Calibri" w:hAnsi="Times New Roman"/>
          <w:spacing w:val="-2"/>
          <w:sz w:val="24"/>
          <w:szCs w:val="24"/>
          <w:lang w:val="en-IN"/>
        </w:rPr>
        <w:t xml:space="preserve"> 17</w:t>
      </w:r>
      <w:r w:rsidRPr="00770386">
        <w:rPr>
          <w:rFonts w:ascii="Times New Roman" w:eastAsia="Calibri" w:hAnsi="Times New Roman"/>
          <w:spacing w:val="-2"/>
          <w:sz w:val="24"/>
          <w:szCs w:val="24"/>
          <w:lang w:val="en-US"/>
        </w:rPr>
        <w:t>. P.</w:t>
      </w:r>
      <w:r w:rsidRPr="00770386">
        <w:rPr>
          <w:rFonts w:ascii="Times New Roman" w:eastAsia="Calibri" w:hAnsi="Times New Roman"/>
          <w:spacing w:val="-2"/>
          <w:sz w:val="24"/>
          <w:szCs w:val="24"/>
          <w:lang w:val="en-IN"/>
        </w:rPr>
        <w:t>181-210.</w:t>
      </w:r>
    </w:p>
    <w:p w14:paraId="7329CC73" w14:textId="77777777" w:rsidR="00CD00AD" w:rsidRDefault="00CD00AD" w:rsidP="005A2236">
      <w:pPr>
        <w:spacing w:line="240" w:lineRule="auto"/>
        <w:rPr>
          <w:rFonts w:ascii="Times New Roman" w:hAnsi="Times New Roman" w:cs="Times New Roman"/>
          <w:sz w:val="24"/>
          <w:szCs w:val="24"/>
          <w:lang w:val="en-IN"/>
        </w:rPr>
      </w:pPr>
    </w:p>
    <w:p w14:paraId="7AF9A1D1" w14:textId="372A59E2" w:rsidR="00E80A96" w:rsidRPr="003A31F9" w:rsidRDefault="00E80A96" w:rsidP="003A31F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A31F9">
        <w:rPr>
          <w:rFonts w:ascii="Times New Roman" w:eastAsia="Calibri" w:hAnsi="Times New Roman" w:cs="Times New Roman"/>
          <w:b/>
          <w:sz w:val="24"/>
          <w:szCs w:val="24"/>
        </w:rPr>
        <w:t>Информация об авторах</w:t>
      </w:r>
    </w:p>
    <w:p w14:paraId="6EC70632" w14:textId="0EFECEAB" w:rsidR="00E80A96" w:rsidRPr="003A31F9" w:rsidRDefault="00E80A96" w:rsidP="003A31F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31F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F6657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A31F9">
        <w:rPr>
          <w:rFonts w:ascii="Times New Roman" w:eastAsia="Calibri" w:hAnsi="Times New Roman" w:cs="Times New Roman"/>
          <w:sz w:val="24"/>
          <w:szCs w:val="24"/>
        </w:rPr>
        <w:t xml:space="preserve">Лесных Валерий Витальевич (Россия, Москва) </w:t>
      </w:r>
      <w:r w:rsidRPr="003A31F9">
        <w:rPr>
          <w:rFonts w:ascii="Times New Roman" w:hAnsi="Times New Roman" w:cs="Times New Roman"/>
          <w:sz w:val="24"/>
          <w:szCs w:val="24"/>
        </w:rPr>
        <w:t xml:space="preserve"> – доктор технических наук, профессор, Заслуженный деятель науки РФ, ФГАОУВ «Российский университет дружбы народов» (РУДН)</w:t>
      </w:r>
      <w:r w:rsidR="003A31F9" w:rsidRPr="003A31F9">
        <w:rPr>
          <w:rFonts w:ascii="Times New Roman" w:hAnsi="Times New Roman" w:cs="Times New Roman"/>
          <w:sz w:val="24"/>
          <w:szCs w:val="24"/>
        </w:rPr>
        <w:t>;</w:t>
      </w:r>
      <w:r w:rsidRPr="003A31F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A31F9">
        <w:rPr>
          <w:rFonts w:ascii="Times New Roman" w:hAnsi="Times New Roman" w:cs="Times New Roman"/>
          <w:sz w:val="24"/>
          <w:szCs w:val="24"/>
        </w:rPr>
        <w:t xml:space="preserve"> Российская Федерация, 117198, г. Москва, ул. Миклухо-Маклая, дом 6, </w:t>
      </w:r>
      <w:r w:rsidR="003A31F9">
        <w:rPr>
          <w:rFonts w:ascii="Times New Roman" w:hAnsi="Times New Roman" w:cs="Times New Roman"/>
          <w:iCs/>
          <w:sz w:val="24"/>
          <w:szCs w:val="24"/>
          <w:lang w:val="en-US"/>
        </w:rPr>
        <w:t>e</w:t>
      </w:r>
      <w:r w:rsidRPr="003A31F9">
        <w:rPr>
          <w:rFonts w:ascii="Times New Roman" w:hAnsi="Times New Roman" w:cs="Times New Roman"/>
          <w:iCs/>
          <w:sz w:val="24"/>
          <w:szCs w:val="24"/>
        </w:rPr>
        <w:t xml:space="preserve">-mail: </w:t>
      </w:r>
      <w:hyperlink r:id="rId13" w:history="1">
        <w:r w:rsidRPr="003A31F9">
          <w:rPr>
            <w:rStyle w:val="a8"/>
            <w:rFonts w:ascii="Times New Roman" w:hAnsi="Times New Roman"/>
            <w:iCs/>
            <w:color w:val="auto"/>
            <w:sz w:val="24"/>
            <w:szCs w:val="24"/>
            <w:u w:val="none"/>
          </w:rPr>
          <w:t>vvlesnykh@gmail.com</w:t>
        </w:r>
      </w:hyperlink>
      <w:r w:rsidRPr="003A31F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2897CED" w14:textId="7071F654" w:rsidR="00F95CBC" w:rsidRPr="003A31F9" w:rsidRDefault="00E80A96" w:rsidP="003A31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1F9">
        <w:rPr>
          <w:rFonts w:ascii="Times New Roman" w:eastAsia="Calibri" w:hAnsi="Times New Roman" w:cs="Times New Roman"/>
          <w:sz w:val="24"/>
          <w:szCs w:val="24"/>
        </w:rPr>
        <w:t xml:space="preserve">Тимофеева Татьяна Борисовна (Россия, Москва)  – </w:t>
      </w:r>
      <w:r w:rsidR="00F95CBC" w:rsidRPr="003A31F9">
        <w:rPr>
          <w:rFonts w:ascii="Times New Roman" w:hAnsi="Times New Roman" w:cs="Times New Roman"/>
          <w:sz w:val="24"/>
          <w:szCs w:val="24"/>
        </w:rPr>
        <w:t xml:space="preserve">кандидат технических наук, доцент; доцент, ФГБОУВО “Государственный университет управления” (ГУУ); Российская Федерация, 115432, г. Москва, Рязанский проспект, 99; e-mail: </w:t>
      </w:r>
      <w:hyperlink r:id="rId14" w:history="1">
        <w:r w:rsidR="00F95CBC" w:rsidRPr="003A31F9">
          <w:rPr>
            <w:rStyle w:val="a8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tanuta</w:t>
        </w:r>
        <w:r w:rsidR="00F95CBC" w:rsidRPr="003A31F9">
          <w:rPr>
            <w:rStyle w:val="a8"/>
            <w:rFonts w:ascii="Times New Roman" w:hAnsi="Times New Roman"/>
            <w:color w:val="auto"/>
            <w:sz w:val="24"/>
            <w:szCs w:val="24"/>
            <w:u w:val="none"/>
          </w:rPr>
          <w:t>75@</w:t>
        </w:r>
        <w:r w:rsidR="00F95CBC" w:rsidRPr="003A31F9">
          <w:rPr>
            <w:rStyle w:val="a8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mail</w:t>
        </w:r>
        <w:r w:rsidR="00F95CBC" w:rsidRPr="003A31F9">
          <w:rPr>
            <w:rStyle w:val="a8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95CBC" w:rsidRPr="003A31F9">
          <w:rPr>
            <w:rStyle w:val="a8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</w:p>
    <w:p w14:paraId="51EA3F41" w14:textId="77777777" w:rsidR="00F95CBC" w:rsidRPr="00E80A96" w:rsidRDefault="00F95CBC" w:rsidP="00E80A96">
      <w:pPr>
        <w:spacing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14:paraId="6E201E18" w14:textId="26A3AC82" w:rsidR="00D30D5C" w:rsidRDefault="00D30D5C" w:rsidP="005A22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12F6359" w14:textId="77777777" w:rsidR="00D30D5C" w:rsidRDefault="00D30D5C" w:rsidP="005A22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DB21846" w14:textId="77777777" w:rsidR="00D30D5C" w:rsidRDefault="00D30D5C" w:rsidP="005A223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3C8599A" w14:textId="4B010272" w:rsidR="00D30D5C" w:rsidRPr="003A5768" w:rsidRDefault="00046B4B" w:rsidP="00D30D5C">
      <w:pPr>
        <w:spacing w:line="288" w:lineRule="auto"/>
        <w:ind w:firstLine="709"/>
        <w:jc w:val="right"/>
        <w:rPr>
          <w:rFonts w:ascii="Times New Roman" w:eastAsia="Calibri" w:hAnsi="Times New Roman"/>
          <w:b/>
          <w:sz w:val="24"/>
          <w:szCs w:val="24"/>
          <w:lang w:val="en-US"/>
        </w:rPr>
      </w:pPr>
      <w:r w:rsidRPr="003A5768">
        <w:rPr>
          <w:rFonts w:ascii="Times New Roman" w:eastAsia="Calibri" w:hAnsi="Times New Roman"/>
          <w:b/>
          <w:sz w:val="24"/>
          <w:szCs w:val="24"/>
          <w:lang w:val="en-US"/>
        </w:rPr>
        <w:lastRenderedPageBreak/>
        <w:t xml:space="preserve">Lesnykh V.V, Timofeeva T.B </w:t>
      </w:r>
      <w:r w:rsidR="00D30D5C" w:rsidRPr="003A5768">
        <w:rPr>
          <w:rFonts w:ascii="Times New Roman" w:eastAsia="Calibri" w:hAnsi="Times New Roman"/>
          <w:b/>
          <w:sz w:val="24"/>
          <w:szCs w:val="24"/>
          <w:lang w:val="en-US"/>
        </w:rPr>
        <w:t xml:space="preserve"> </w:t>
      </w:r>
    </w:p>
    <w:p w14:paraId="5338C4F1" w14:textId="44C67812" w:rsidR="00F66572" w:rsidRPr="0028194D" w:rsidRDefault="00F66572" w:rsidP="00046B4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194D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28194D">
        <w:rPr>
          <w:rFonts w:ascii="Times New Roman" w:hAnsi="Times New Roman" w:cs="Times New Roman"/>
          <w:b/>
          <w:bCs/>
          <w:sz w:val="24"/>
          <w:szCs w:val="24"/>
        </w:rPr>
        <w:t xml:space="preserve">NALYSIS OF APPROACHES TO ASSESSING OF INFRASTRUCTURE-COMPLEX TERRITORIES </w:t>
      </w:r>
      <w:r w:rsidRPr="0028194D">
        <w:rPr>
          <w:rFonts w:ascii="Times New Roman" w:hAnsi="Times New Roman" w:cs="Times New Roman"/>
          <w:b/>
          <w:bCs/>
          <w:sz w:val="24"/>
          <w:szCs w:val="24"/>
        </w:rPr>
        <w:t>RESILIENSE</w:t>
      </w:r>
    </w:p>
    <w:p w14:paraId="488358B7" w14:textId="77777777" w:rsidR="00046B4B" w:rsidRPr="00F66572" w:rsidRDefault="00046B4B" w:rsidP="00046B4B">
      <w:pPr>
        <w:pStyle w:val="Text"/>
        <w:tabs>
          <w:tab w:val="clear" w:pos="7200"/>
          <w:tab w:val="right" w:pos="284"/>
        </w:tabs>
        <w:spacing w:before="0" w:after="0" w:line="240" w:lineRule="auto"/>
        <w:ind w:right="0" w:firstLine="284"/>
        <w:rPr>
          <w:b/>
          <w:i/>
          <w:sz w:val="24"/>
        </w:rPr>
      </w:pPr>
    </w:p>
    <w:p w14:paraId="33C1FEB6" w14:textId="75ECF51D" w:rsidR="00046B4B" w:rsidRPr="00BA6019" w:rsidRDefault="004D2C28" w:rsidP="00795657">
      <w:pPr>
        <w:pStyle w:val="Text"/>
        <w:tabs>
          <w:tab w:val="clear" w:pos="7200"/>
          <w:tab w:val="right" w:pos="284"/>
        </w:tabs>
        <w:spacing w:before="0" w:after="0" w:line="240" w:lineRule="auto"/>
        <w:ind w:right="0" w:firstLine="709"/>
        <w:rPr>
          <w:i/>
          <w:sz w:val="24"/>
        </w:rPr>
      </w:pPr>
      <w:r>
        <w:rPr>
          <w:b/>
          <w:i/>
          <w:sz w:val="24"/>
        </w:rPr>
        <w:t>Abstract</w:t>
      </w:r>
      <w:r w:rsidR="00046B4B" w:rsidRPr="00BA6019">
        <w:rPr>
          <w:b/>
          <w:i/>
          <w:sz w:val="24"/>
        </w:rPr>
        <w:t>:</w:t>
      </w:r>
      <w:r w:rsidR="00046B4B" w:rsidRPr="00BA6019">
        <w:rPr>
          <w:i/>
          <w:sz w:val="24"/>
        </w:rPr>
        <w:t xml:space="preserve"> </w:t>
      </w:r>
      <w:r w:rsidR="00BA6019">
        <w:rPr>
          <w:i/>
          <w:sz w:val="24"/>
        </w:rPr>
        <w:t>T</w:t>
      </w:r>
      <w:r w:rsidR="00BA6019" w:rsidRPr="00BA6019">
        <w:rPr>
          <w:i/>
          <w:sz w:val="24"/>
        </w:rPr>
        <w:t xml:space="preserve">he report is devoted to the analysis of approaches to the quantitative assessment of  infrastructure-complex territories </w:t>
      </w:r>
      <w:r w:rsidR="00BA6019">
        <w:rPr>
          <w:i/>
          <w:sz w:val="24"/>
        </w:rPr>
        <w:t xml:space="preserve"> resilience. </w:t>
      </w:r>
      <w:r w:rsidR="00BA6019" w:rsidRPr="00BA6019">
        <w:rPr>
          <w:i/>
          <w:sz w:val="24"/>
        </w:rPr>
        <w:t>The content of the concept of a</w:t>
      </w:r>
      <w:r w:rsidR="00BA6019">
        <w:rPr>
          <w:i/>
          <w:sz w:val="24"/>
        </w:rPr>
        <w:t xml:space="preserve"> resilience </w:t>
      </w:r>
      <w:r w:rsidR="00BA6019" w:rsidRPr="00BA6019">
        <w:rPr>
          <w:i/>
          <w:sz w:val="24"/>
        </w:rPr>
        <w:t xml:space="preserve">is analyzed. The analysis of </w:t>
      </w:r>
      <w:r w:rsidR="00BA6019">
        <w:rPr>
          <w:i/>
          <w:sz w:val="24"/>
        </w:rPr>
        <w:t>r</w:t>
      </w:r>
      <w:r w:rsidR="00BA6019" w:rsidRPr="00BA6019">
        <w:rPr>
          <w:i/>
          <w:sz w:val="24"/>
        </w:rPr>
        <w:t xml:space="preserve">ussian and international experience has revealed three approaches to assessing the </w:t>
      </w:r>
      <w:r w:rsidR="00BA6019">
        <w:rPr>
          <w:i/>
          <w:sz w:val="24"/>
        </w:rPr>
        <w:t>resilience</w:t>
      </w:r>
      <w:r w:rsidR="00BA6019" w:rsidRPr="00BA6019">
        <w:rPr>
          <w:i/>
          <w:sz w:val="24"/>
        </w:rPr>
        <w:t xml:space="preserve"> of territories.</w:t>
      </w:r>
    </w:p>
    <w:p w14:paraId="345553F9" w14:textId="789E5E23" w:rsidR="00046B4B" w:rsidRPr="00BA6019" w:rsidRDefault="004D2C28" w:rsidP="00795657">
      <w:pPr>
        <w:pStyle w:val="Text"/>
        <w:tabs>
          <w:tab w:val="clear" w:pos="7200"/>
          <w:tab w:val="right" w:pos="284"/>
        </w:tabs>
        <w:spacing w:before="0" w:after="0" w:line="240" w:lineRule="auto"/>
        <w:ind w:right="0" w:firstLine="709"/>
        <w:rPr>
          <w:sz w:val="24"/>
        </w:rPr>
      </w:pPr>
      <w:r>
        <w:rPr>
          <w:b/>
          <w:i/>
          <w:sz w:val="24"/>
        </w:rPr>
        <w:t>Key</w:t>
      </w:r>
      <w:r w:rsidR="000C4C60" w:rsidRPr="00BA6019">
        <w:rPr>
          <w:b/>
          <w:i/>
          <w:sz w:val="24"/>
        </w:rPr>
        <w:t xml:space="preserve"> </w:t>
      </w:r>
      <w:r>
        <w:rPr>
          <w:b/>
          <w:i/>
          <w:sz w:val="24"/>
        </w:rPr>
        <w:t>words</w:t>
      </w:r>
      <w:r w:rsidR="00046B4B" w:rsidRPr="00BA6019">
        <w:rPr>
          <w:i/>
          <w:sz w:val="24"/>
        </w:rPr>
        <w:t xml:space="preserve">: </w:t>
      </w:r>
      <w:r w:rsidR="00BA6019" w:rsidRPr="00BA6019">
        <w:rPr>
          <w:i/>
          <w:sz w:val="24"/>
        </w:rPr>
        <w:t>infrastructure-complex territor</w:t>
      </w:r>
      <w:r w:rsidR="00BA6019">
        <w:rPr>
          <w:i/>
          <w:sz w:val="24"/>
        </w:rPr>
        <w:t>y</w:t>
      </w:r>
      <w:r w:rsidR="00046B4B" w:rsidRPr="00BA6019">
        <w:rPr>
          <w:i/>
          <w:sz w:val="24"/>
        </w:rPr>
        <w:t xml:space="preserve">, </w:t>
      </w:r>
      <w:r w:rsidR="00BA6019">
        <w:rPr>
          <w:i/>
          <w:sz w:val="24"/>
        </w:rPr>
        <w:t>resilience</w:t>
      </w:r>
      <w:r w:rsidR="00046B4B" w:rsidRPr="00BA6019">
        <w:rPr>
          <w:i/>
          <w:sz w:val="24"/>
        </w:rPr>
        <w:t xml:space="preserve">, </w:t>
      </w:r>
      <w:r w:rsidR="00BA6019">
        <w:rPr>
          <w:i/>
          <w:sz w:val="24"/>
        </w:rPr>
        <w:t>criterion</w:t>
      </w:r>
      <w:r w:rsidR="00046B4B" w:rsidRPr="00BA6019">
        <w:rPr>
          <w:i/>
          <w:sz w:val="24"/>
        </w:rPr>
        <w:t xml:space="preserve">, </w:t>
      </w:r>
      <w:r w:rsidR="00BA6019" w:rsidRPr="00BA6019">
        <w:rPr>
          <w:i/>
          <w:sz w:val="24"/>
        </w:rPr>
        <w:t>functional indicators, index score, point score</w:t>
      </w:r>
      <w:r w:rsidR="00046B4B" w:rsidRPr="00BA6019">
        <w:rPr>
          <w:sz w:val="24"/>
        </w:rPr>
        <w:t>.</w:t>
      </w:r>
    </w:p>
    <w:p w14:paraId="0D352D04" w14:textId="77777777" w:rsidR="00046B4B" w:rsidRPr="00BA6019" w:rsidRDefault="00046B4B" w:rsidP="00D30D5C">
      <w:pPr>
        <w:spacing w:line="288" w:lineRule="auto"/>
        <w:ind w:firstLine="360"/>
        <w:jc w:val="center"/>
        <w:rPr>
          <w:rFonts w:ascii="Times New Roman" w:hAnsi="Times New Roman"/>
          <w:b/>
          <w:lang w:val="en-US"/>
        </w:rPr>
      </w:pPr>
    </w:p>
    <w:p w14:paraId="295D374A" w14:textId="6EB1BB82" w:rsidR="009147E5" w:rsidRPr="000C4C60" w:rsidRDefault="009147E5" w:rsidP="000C4C6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C4C6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Lesnykh Valery Vitalyevich (Russia, Moscow) </w:t>
      </w:r>
      <w:r w:rsidRPr="000C4C60">
        <w:rPr>
          <w:rFonts w:ascii="Times New Roman" w:hAnsi="Times New Roman" w:cs="Times New Roman"/>
          <w:sz w:val="24"/>
          <w:szCs w:val="24"/>
          <w:lang w:val="en-US"/>
        </w:rPr>
        <w:t xml:space="preserve"> – doctor of technical sciences, professor, </w:t>
      </w:r>
      <w:r w:rsidR="00BA6019" w:rsidRPr="00782D91">
        <w:rPr>
          <w:rFonts w:ascii="Times New Roman" w:hAnsi="Times New Roman" w:cs="Times New Roman"/>
          <w:sz w:val="24"/>
          <w:szCs w:val="24"/>
          <w:lang w:val="en-US"/>
        </w:rPr>
        <w:t>Peoples' friendship University of Russia</w:t>
      </w:r>
      <w:r w:rsidR="00BA6019" w:rsidRPr="00782D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4C60">
        <w:rPr>
          <w:rFonts w:ascii="Times New Roman" w:hAnsi="Times New Roman" w:cs="Times New Roman"/>
          <w:sz w:val="24"/>
          <w:szCs w:val="24"/>
          <w:lang w:val="en-US"/>
        </w:rPr>
        <w:t>(RUDN), Russian Federation, 117198, Moscow, Miklukho-Maklaya Str. 6</w:t>
      </w:r>
      <w:r w:rsidR="00780334" w:rsidRPr="000C4C6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C4C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80334" w:rsidRPr="000C4C60">
        <w:rPr>
          <w:rFonts w:ascii="Times New Roman" w:hAnsi="Times New Roman" w:cs="Times New Roman"/>
          <w:iCs/>
          <w:sz w:val="24"/>
          <w:szCs w:val="24"/>
          <w:lang w:val="en-US"/>
        </w:rPr>
        <w:t>e</w:t>
      </w:r>
      <w:r w:rsidRPr="000C4C6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-mail: </w:t>
      </w:r>
      <w:hyperlink r:id="rId15" w:history="1">
        <w:r w:rsidRPr="000C4C60">
          <w:rPr>
            <w:rStyle w:val="a8"/>
            <w:rFonts w:ascii="Times New Roman" w:hAnsi="Times New Roman"/>
            <w:iCs/>
            <w:color w:val="auto"/>
            <w:sz w:val="24"/>
            <w:szCs w:val="24"/>
            <w:u w:val="none"/>
            <w:lang w:val="en-US"/>
          </w:rPr>
          <w:t>vvlesnykh@gmail.com</w:t>
        </w:r>
      </w:hyperlink>
      <w:r w:rsidRPr="000C4C6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668F4A18" w14:textId="77A22C3D" w:rsidR="00780334" w:rsidRDefault="009147E5" w:rsidP="000C4C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C4C6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Timofeeva Tatiana Borisovna (Russia, Moscow)  – </w:t>
      </w:r>
      <w:r w:rsidR="00780334" w:rsidRPr="000C4C60">
        <w:rPr>
          <w:rFonts w:ascii="Times New Roman" w:hAnsi="Times New Roman" w:cs="Times New Roman"/>
          <w:sz w:val="24"/>
          <w:szCs w:val="24"/>
          <w:lang w:val="en-US"/>
        </w:rPr>
        <w:t xml:space="preserve">candidate of technical science, assistant professor, State University of Management, Ryazansky pr., 99, Moscow, Russian Federation, 115432; e-mail: </w:t>
      </w:r>
      <w:hyperlink r:id="rId16" w:history="1">
        <w:r w:rsidR="00780334" w:rsidRPr="000C4C60">
          <w:rPr>
            <w:rFonts w:ascii="Times New Roman" w:hAnsi="Times New Roman" w:cs="Times New Roman"/>
            <w:sz w:val="24"/>
            <w:szCs w:val="24"/>
            <w:lang w:val="en-US"/>
          </w:rPr>
          <w:t>tanuta75@mail.ru</w:t>
        </w:r>
      </w:hyperlink>
      <w:r w:rsidR="00780334" w:rsidRPr="000C4C6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52F4A0F" w14:textId="77777777" w:rsidR="000C4C60" w:rsidRPr="000C4C60" w:rsidRDefault="000C4C60" w:rsidP="000C4C60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</w:p>
    <w:p w14:paraId="7FD59A92" w14:textId="221A5D54" w:rsidR="00D30D5C" w:rsidRPr="000C4C60" w:rsidRDefault="009147E5" w:rsidP="000C4C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4C60">
        <w:rPr>
          <w:rFonts w:ascii="Times New Roman" w:hAnsi="Times New Roman" w:cs="Times New Roman"/>
          <w:b/>
          <w:sz w:val="24"/>
          <w:szCs w:val="24"/>
          <w:lang w:val="en-US"/>
        </w:rPr>
        <w:t>References</w:t>
      </w:r>
    </w:p>
    <w:p w14:paraId="0DCF8D13" w14:textId="77777777" w:rsidR="00E20757" w:rsidRPr="000F6F7A" w:rsidRDefault="00E20757" w:rsidP="00E20757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  <w:lang w:val="en-US" w:eastAsia="ru-RU"/>
        </w:rPr>
      </w:pPr>
      <w:bookmarkStart w:id="0" w:name="_Hlk41138207"/>
      <w:r w:rsidRPr="000F6F7A">
        <w:rPr>
          <w:rFonts w:ascii="Times New Roman" w:hAnsi="Times New Roman"/>
          <w:sz w:val="24"/>
          <w:szCs w:val="24"/>
          <w:lang w:val="en-US" w:eastAsia="ru-RU"/>
        </w:rPr>
        <w:t xml:space="preserve">United Nations, Department of Economic and Social Affairs, Population Division (2019). World Population Prospects 2019: Highlights (ST/ESA/SER.A/423), </w:t>
      </w:r>
      <w:bookmarkEnd w:id="0"/>
      <w:r w:rsidRPr="000F6F7A">
        <w:rPr>
          <w:rFonts w:ascii="Times New Roman" w:hAnsi="Times New Roman"/>
          <w:sz w:val="24"/>
          <w:szCs w:val="24"/>
          <w:lang w:val="en-US" w:eastAsia="ru-RU"/>
        </w:rPr>
        <w:t>New York : United Nations, 39.</w:t>
      </w:r>
    </w:p>
    <w:p w14:paraId="6E63DC9A" w14:textId="77777777" w:rsidR="00E20757" w:rsidRPr="000F6F7A" w:rsidRDefault="00E20757" w:rsidP="00E20757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  <w:lang w:val="en-US" w:eastAsia="ru-RU"/>
        </w:rPr>
      </w:pPr>
      <w:r w:rsidRPr="000F6F7A">
        <w:rPr>
          <w:rFonts w:ascii="Times New Roman" w:hAnsi="Times New Roman"/>
          <w:sz w:val="24"/>
          <w:szCs w:val="24"/>
          <w:lang w:val="en-US" w:eastAsia="ru-RU"/>
        </w:rPr>
        <w:t xml:space="preserve">Balabeikina, O., &amp; Faibusovich, E. (2018). Level of urbanization of the Russian Federation territories: regional aspect. Geographical Bulletin, 1(44), </w:t>
      </w:r>
      <w:r w:rsidRPr="000F6F7A">
        <w:rPr>
          <w:rFonts w:ascii="Times New Roman" w:hAnsi="Times New Roman"/>
          <w:sz w:val="24"/>
          <w:szCs w:val="24"/>
          <w:lang w:eastAsia="ru-RU"/>
        </w:rPr>
        <w:t>72-82</w:t>
      </w:r>
      <w:r w:rsidRPr="000F6F7A">
        <w:rPr>
          <w:rFonts w:ascii="Times New Roman" w:hAnsi="Times New Roman"/>
          <w:sz w:val="24"/>
          <w:szCs w:val="24"/>
          <w:lang w:val="en-US" w:eastAsia="ru-RU"/>
        </w:rPr>
        <w:t xml:space="preserve"> doi: </w:t>
      </w:r>
      <w:hyperlink r:id="rId17" w:tgtFrame="_blank" w:history="1">
        <w:r w:rsidRPr="000F6F7A">
          <w:rPr>
            <w:rFonts w:ascii="Times New Roman" w:hAnsi="Times New Roman"/>
            <w:sz w:val="24"/>
            <w:szCs w:val="24"/>
            <w:lang w:val="en-US" w:eastAsia="ru-RU"/>
          </w:rPr>
          <w:t>10.17072/2079-7877-2018-1-72-82</w:t>
        </w:r>
      </w:hyperlink>
      <w:r w:rsidRPr="000F6F7A">
        <w:rPr>
          <w:rFonts w:ascii="Times New Roman" w:hAnsi="Times New Roman"/>
          <w:sz w:val="24"/>
          <w:szCs w:val="24"/>
          <w:lang w:val="en-US" w:eastAsia="ru-RU"/>
        </w:rPr>
        <w:t>.</w:t>
      </w:r>
    </w:p>
    <w:p w14:paraId="081303D3" w14:textId="77777777" w:rsidR="00E20757" w:rsidRPr="000F6F7A" w:rsidRDefault="00E20757" w:rsidP="00E20757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Calibri" w:hAnsi="Times New Roman"/>
          <w:spacing w:val="-2"/>
          <w:sz w:val="24"/>
          <w:szCs w:val="24"/>
          <w:lang w:val="en-US"/>
        </w:rPr>
      </w:pPr>
      <w:hyperlink r:id="rId18" w:history="1">
        <w:r w:rsidRPr="000F6F7A">
          <w:rPr>
            <w:rFonts w:ascii="Times New Roman" w:eastAsia="Calibri" w:hAnsi="Times New Roman"/>
            <w:spacing w:val="-2"/>
            <w:sz w:val="24"/>
            <w:szCs w:val="24"/>
            <w:lang w:val="en-IN"/>
          </w:rPr>
          <w:t>Luca</w:t>
        </w:r>
        <w:r w:rsidRPr="000F6F7A">
          <w:rPr>
            <w:rFonts w:ascii="Times New Roman" w:eastAsia="Calibri" w:hAnsi="Times New Roman"/>
            <w:spacing w:val="-2"/>
            <w:sz w:val="24"/>
            <w:szCs w:val="24"/>
            <w:lang w:val="en-US"/>
          </w:rPr>
          <w:t xml:space="preserve"> </w:t>
        </w:r>
        <w:r w:rsidRPr="000F6F7A">
          <w:rPr>
            <w:rFonts w:ascii="Times New Roman" w:eastAsia="Calibri" w:hAnsi="Times New Roman"/>
            <w:spacing w:val="-2"/>
            <w:sz w:val="24"/>
            <w:szCs w:val="24"/>
            <w:lang w:val="en-IN"/>
          </w:rPr>
          <w:t>Fraccascia</w:t>
        </w:r>
      </w:hyperlink>
      <w:r w:rsidRPr="000F6F7A">
        <w:rPr>
          <w:rFonts w:ascii="Times New Roman" w:eastAsia="Calibri" w:hAnsi="Times New Roman"/>
          <w:spacing w:val="-2"/>
          <w:sz w:val="24"/>
          <w:szCs w:val="24"/>
          <w:lang w:val="en-US"/>
        </w:rPr>
        <w:t xml:space="preserve">, </w:t>
      </w:r>
      <w:hyperlink r:id="rId19" w:history="1">
        <w:r w:rsidRPr="000F6F7A">
          <w:rPr>
            <w:rFonts w:ascii="Times New Roman" w:eastAsia="Calibri" w:hAnsi="Times New Roman"/>
            <w:spacing w:val="-2"/>
            <w:sz w:val="24"/>
            <w:szCs w:val="24"/>
            <w:lang w:val="en-IN"/>
          </w:rPr>
          <w:t>Ilaria</w:t>
        </w:r>
        <w:r w:rsidRPr="000F6F7A">
          <w:rPr>
            <w:rFonts w:ascii="Times New Roman" w:eastAsia="Calibri" w:hAnsi="Times New Roman"/>
            <w:spacing w:val="-2"/>
            <w:sz w:val="24"/>
            <w:szCs w:val="24"/>
            <w:lang w:val="en-US"/>
          </w:rPr>
          <w:t xml:space="preserve"> </w:t>
        </w:r>
        <w:r w:rsidRPr="000F6F7A">
          <w:rPr>
            <w:rFonts w:ascii="Times New Roman" w:eastAsia="Calibri" w:hAnsi="Times New Roman"/>
            <w:spacing w:val="-2"/>
            <w:sz w:val="24"/>
            <w:szCs w:val="24"/>
            <w:lang w:val="en-IN"/>
          </w:rPr>
          <w:t>Giannoccaro</w:t>
        </w:r>
      </w:hyperlink>
      <w:r w:rsidRPr="000F6F7A">
        <w:rPr>
          <w:rFonts w:ascii="Times New Roman" w:eastAsia="Calibri" w:hAnsi="Times New Roman"/>
          <w:spacing w:val="-2"/>
          <w:sz w:val="24"/>
          <w:szCs w:val="24"/>
          <w:lang w:val="en-US"/>
        </w:rPr>
        <w:t xml:space="preserve"> </w:t>
      </w:r>
      <w:r w:rsidRPr="000F6F7A">
        <w:rPr>
          <w:rFonts w:ascii="Times New Roman" w:eastAsia="Calibri" w:hAnsi="Times New Roman"/>
          <w:spacing w:val="-2"/>
          <w:sz w:val="24"/>
          <w:szCs w:val="24"/>
          <w:lang w:val="en-IN"/>
        </w:rPr>
        <w:t>and</w:t>
      </w:r>
      <w:r w:rsidRPr="000F6F7A">
        <w:rPr>
          <w:rFonts w:ascii="Times New Roman" w:eastAsia="Calibri" w:hAnsi="Times New Roman"/>
          <w:spacing w:val="-2"/>
          <w:sz w:val="24"/>
          <w:szCs w:val="24"/>
          <w:lang w:val="en-US"/>
        </w:rPr>
        <w:t xml:space="preserve"> </w:t>
      </w:r>
      <w:hyperlink r:id="rId20" w:history="1">
        <w:r w:rsidRPr="000F6F7A">
          <w:rPr>
            <w:rFonts w:ascii="Times New Roman" w:eastAsia="Calibri" w:hAnsi="Times New Roman"/>
            <w:spacing w:val="-2"/>
            <w:sz w:val="24"/>
            <w:szCs w:val="24"/>
            <w:lang w:val="en-IN"/>
          </w:rPr>
          <w:t>Vito</w:t>
        </w:r>
        <w:r w:rsidRPr="000F6F7A">
          <w:rPr>
            <w:rFonts w:ascii="Times New Roman" w:eastAsia="Calibri" w:hAnsi="Times New Roman"/>
            <w:spacing w:val="-2"/>
            <w:sz w:val="24"/>
            <w:szCs w:val="24"/>
            <w:lang w:val="en-US"/>
          </w:rPr>
          <w:t xml:space="preserve"> </w:t>
        </w:r>
        <w:r w:rsidRPr="000F6F7A">
          <w:rPr>
            <w:rFonts w:ascii="Times New Roman" w:eastAsia="Calibri" w:hAnsi="Times New Roman"/>
            <w:spacing w:val="-2"/>
            <w:sz w:val="24"/>
            <w:szCs w:val="24"/>
            <w:lang w:val="en-IN"/>
          </w:rPr>
          <w:t>Albino</w:t>
        </w:r>
      </w:hyperlink>
      <w:r w:rsidRPr="000F6F7A">
        <w:rPr>
          <w:rFonts w:ascii="Times New Roman" w:eastAsia="Calibri" w:hAnsi="Times New Roman"/>
          <w:spacing w:val="-2"/>
          <w:sz w:val="24"/>
          <w:szCs w:val="24"/>
          <w:lang w:val="en-IN"/>
        </w:rPr>
        <w:t xml:space="preserve"> (2018)</w:t>
      </w:r>
      <w:r w:rsidRPr="000F6F7A">
        <w:rPr>
          <w:rFonts w:ascii="Times New Roman" w:eastAsia="Calibri" w:hAnsi="Times New Roman"/>
          <w:spacing w:val="-2"/>
          <w:sz w:val="24"/>
          <w:szCs w:val="24"/>
          <w:lang w:val="en-US"/>
        </w:rPr>
        <w:t xml:space="preserve"> </w:t>
      </w:r>
      <w:r w:rsidRPr="000F6F7A">
        <w:rPr>
          <w:rFonts w:ascii="Times New Roman" w:eastAsia="Calibri" w:hAnsi="Times New Roman"/>
          <w:spacing w:val="-2"/>
          <w:sz w:val="24"/>
          <w:szCs w:val="24"/>
          <w:lang w:val="en-IN"/>
        </w:rPr>
        <w:t xml:space="preserve">Resilience of Complex Systems: State of the Art and Directions for Future Research // Complexity Volume 2018. </w:t>
      </w:r>
      <w:r w:rsidRPr="000F6F7A">
        <w:rPr>
          <w:rFonts w:ascii="Times New Roman" w:hAnsi="Times New Roman"/>
          <w:sz w:val="24"/>
          <w:szCs w:val="24"/>
          <w:lang w:val="en-US"/>
        </w:rPr>
        <w:t xml:space="preserve">UPL: </w:t>
      </w:r>
      <w:hyperlink r:id="rId21" w:history="1">
        <w:r w:rsidRPr="000F6F7A">
          <w:rPr>
            <w:rStyle w:val="a8"/>
            <w:rFonts w:ascii="Times New Roman" w:eastAsia="Calibri" w:hAnsi="Times New Roman"/>
            <w:color w:val="auto"/>
            <w:spacing w:val="-2"/>
            <w:sz w:val="24"/>
            <w:szCs w:val="24"/>
            <w:u w:val="none"/>
            <w:lang w:val="en-IN"/>
          </w:rPr>
          <w:t>https</w:t>
        </w:r>
        <w:r w:rsidRPr="000F6F7A">
          <w:rPr>
            <w:rStyle w:val="a8"/>
            <w:rFonts w:ascii="Times New Roman" w:eastAsia="Calibri" w:hAnsi="Times New Roman"/>
            <w:color w:val="auto"/>
            <w:spacing w:val="-2"/>
            <w:sz w:val="24"/>
            <w:szCs w:val="24"/>
            <w:u w:val="none"/>
            <w:lang w:val="en-US"/>
          </w:rPr>
          <w:t>://</w:t>
        </w:r>
        <w:r w:rsidRPr="000F6F7A">
          <w:rPr>
            <w:rStyle w:val="a8"/>
            <w:rFonts w:ascii="Times New Roman" w:eastAsia="Calibri" w:hAnsi="Times New Roman"/>
            <w:color w:val="auto"/>
            <w:spacing w:val="-2"/>
            <w:sz w:val="24"/>
            <w:szCs w:val="24"/>
            <w:u w:val="none"/>
            <w:lang w:val="en-IN"/>
          </w:rPr>
          <w:t>www</w:t>
        </w:r>
        <w:r w:rsidRPr="000F6F7A">
          <w:rPr>
            <w:rStyle w:val="a8"/>
            <w:rFonts w:ascii="Times New Roman" w:eastAsia="Calibri" w:hAnsi="Times New Roman"/>
            <w:color w:val="auto"/>
            <w:spacing w:val="-2"/>
            <w:sz w:val="24"/>
            <w:szCs w:val="24"/>
            <w:u w:val="none"/>
            <w:lang w:val="en-US"/>
          </w:rPr>
          <w:t>.</w:t>
        </w:r>
        <w:r w:rsidRPr="000F6F7A">
          <w:rPr>
            <w:rStyle w:val="a8"/>
            <w:rFonts w:ascii="Times New Roman" w:eastAsia="Calibri" w:hAnsi="Times New Roman"/>
            <w:color w:val="auto"/>
            <w:spacing w:val="-2"/>
            <w:sz w:val="24"/>
            <w:szCs w:val="24"/>
            <w:u w:val="none"/>
            <w:lang w:val="en-IN"/>
          </w:rPr>
          <w:t>hindawi</w:t>
        </w:r>
        <w:r w:rsidRPr="000F6F7A">
          <w:rPr>
            <w:rStyle w:val="a8"/>
            <w:rFonts w:ascii="Times New Roman" w:eastAsia="Calibri" w:hAnsi="Times New Roman"/>
            <w:color w:val="auto"/>
            <w:spacing w:val="-2"/>
            <w:sz w:val="24"/>
            <w:szCs w:val="24"/>
            <w:u w:val="none"/>
            <w:lang w:val="en-US"/>
          </w:rPr>
          <w:t>.</w:t>
        </w:r>
        <w:r w:rsidRPr="000F6F7A">
          <w:rPr>
            <w:rStyle w:val="a8"/>
            <w:rFonts w:ascii="Times New Roman" w:eastAsia="Calibri" w:hAnsi="Times New Roman"/>
            <w:color w:val="auto"/>
            <w:spacing w:val="-2"/>
            <w:sz w:val="24"/>
            <w:szCs w:val="24"/>
            <w:u w:val="none"/>
            <w:lang w:val="en-IN"/>
          </w:rPr>
          <w:t>com</w:t>
        </w:r>
        <w:r w:rsidRPr="000F6F7A">
          <w:rPr>
            <w:rStyle w:val="a8"/>
            <w:rFonts w:ascii="Times New Roman" w:eastAsia="Calibri" w:hAnsi="Times New Roman"/>
            <w:color w:val="auto"/>
            <w:spacing w:val="-2"/>
            <w:sz w:val="24"/>
            <w:szCs w:val="24"/>
            <w:u w:val="none"/>
            <w:lang w:val="en-US"/>
          </w:rPr>
          <w:t>/</w:t>
        </w:r>
        <w:r w:rsidRPr="000F6F7A">
          <w:rPr>
            <w:rStyle w:val="a8"/>
            <w:rFonts w:ascii="Times New Roman" w:eastAsia="Calibri" w:hAnsi="Times New Roman"/>
            <w:color w:val="auto"/>
            <w:spacing w:val="-2"/>
            <w:sz w:val="24"/>
            <w:szCs w:val="24"/>
            <w:u w:val="none"/>
            <w:lang w:val="en-IN"/>
          </w:rPr>
          <w:t>journals</w:t>
        </w:r>
        <w:r w:rsidRPr="000F6F7A">
          <w:rPr>
            <w:rStyle w:val="a8"/>
            <w:rFonts w:ascii="Times New Roman" w:eastAsia="Calibri" w:hAnsi="Times New Roman"/>
            <w:color w:val="auto"/>
            <w:spacing w:val="-2"/>
            <w:sz w:val="24"/>
            <w:szCs w:val="24"/>
            <w:u w:val="none"/>
            <w:lang w:val="en-US"/>
          </w:rPr>
          <w:t>/</w:t>
        </w:r>
        <w:r w:rsidRPr="000F6F7A">
          <w:rPr>
            <w:rStyle w:val="a8"/>
            <w:rFonts w:ascii="Times New Roman" w:eastAsia="Calibri" w:hAnsi="Times New Roman"/>
            <w:color w:val="auto"/>
            <w:spacing w:val="-2"/>
            <w:sz w:val="24"/>
            <w:szCs w:val="24"/>
            <w:u w:val="none"/>
            <w:lang w:val="en-IN"/>
          </w:rPr>
          <w:t>complexity</w:t>
        </w:r>
        <w:r w:rsidRPr="000F6F7A">
          <w:rPr>
            <w:rStyle w:val="a8"/>
            <w:rFonts w:ascii="Times New Roman" w:eastAsia="Calibri" w:hAnsi="Times New Roman"/>
            <w:color w:val="auto"/>
            <w:spacing w:val="-2"/>
            <w:sz w:val="24"/>
            <w:szCs w:val="24"/>
            <w:u w:val="none"/>
            <w:lang w:val="en-US"/>
          </w:rPr>
          <w:t>/2018/3421529</w:t>
        </w:r>
      </w:hyperlink>
      <w:r w:rsidRPr="000F6F7A">
        <w:rPr>
          <w:rStyle w:val="a8"/>
          <w:rFonts w:ascii="Times New Roman" w:hAnsi="Times New Roman"/>
          <w:color w:val="auto"/>
          <w:sz w:val="24"/>
          <w:szCs w:val="24"/>
          <w:u w:val="none"/>
          <w:lang w:val="en-US"/>
        </w:rPr>
        <w:t xml:space="preserve"> (date of application 15.05.2020)</w:t>
      </w:r>
    </w:p>
    <w:p w14:paraId="5C865D23" w14:textId="77777777" w:rsidR="00E20757" w:rsidRPr="000F6F7A" w:rsidRDefault="00E20757" w:rsidP="00E20757">
      <w:pPr>
        <w:pStyle w:val="a7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pacing w:val="-2"/>
          <w:sz w:val="24"/>
          <w:szCs w:val="24"/>
          <w:lang w:val="en-US"/>
        </w:rPr>
      </w:pPr>
      <w:r w:rsidRPr="000F6F7A">
        <w:rPr>
          <w:rFonts w:ascii="Times New Roman" w:hAnsi="Times New Roman"/>
          <w:spacing w:val="-2"/>
          <w:sz w:val="24"/>
          <w:szCs w:val="24"/>
          <w:lang w:val="en-US"/>
        </w:rPr>
        <w:t xml:space="preserve">Malinetski, G.G., &amp; Kochkarov, A.A. (2005) Safety and resilience management of complex systems under external impact. </w:t>
      </w:r>
      <w:r w:rsidRPr="000F6F7A">
        <w:rPr>
          <w:rFonts w:ascii="Times New Roman" w:hAnsi="Times New Roman"/>
          <w:spacing w:val="-2"/>
          <w:sz w:val="24"/>
          <w:szCs w:val="24"/>
          <w:lang w:val="en-IN"/>
        </w:rPr>
        <w:t>Control</w:t>
      </w:r>
      <w:r w:rsidRPr="000F6F7A">
        <w:rPr>
          <w:rFonts w:ascii="Times New Roman" w:hAnsi="Times New Roman"/>
          <w:spacing w:val="-2"/>
          <w:sz w:val="24"/>
          <w:szCs w:val="24"/>
          <w:lang w:val="en-US"/>
        </w:rPr>
        <w:t xml:space="preserve"> </w:t>
      </w:r>
      <w:r w:rsidRPr="000F6F7A">
        <w:rPr>
          <w:rFonts w:ascii="Times New Roman" w:hAnsi="Times New Roman"/>
          <w:spacing w:val="-2"/>
          <w:sz w:val="24"/>
          <w:szCs w:val="24"/>
          <w:lang w:val="en-IN"/>
        </w:rPr>
        <w:t>Science</w:t>
      </w:r>
      <w:r w:rsidRPr="000F6F7A">
        <w:rPr>
          <w:rFonts w:ascii="Times New Roman" w:hAnsi="Times New Roman"/>
          <w:spacing w:val="-2"/>
          <w:sz w:val="24"/>
          <w:szCs w:val="24"/>
          <w:lang w:val="en-US"/>
        </w:rPr>
        <w:t>, 5, 70-76.</w:t>
      </w:r>
    </w:p>
    <w:p w14:paraId="29AFFD5B" w14:textId="77777777" w:rsidR="00E20757" w:rsidRPr="000F6F7A" w:rsidRDefault="00E20757" w:rsidP="00E20757">
      <w:pPr>
        <w:pStyle w:val="a7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Calibri" w:hAnsi="Times New Roman"/>
          <w:spacing w:val="-2"/>
          <w:sz w:val="24"/>
          <w:szCs w:val="24"/>
          <w:lang w:val="en-US"/>
        </w:rPr>
      </w:pPr>
      <w:r w:rsidRPr="000F6F7A">
        <w:rPr>
          <w:rFonts w:ascii="Times New Roman" w:eastAsia="Calibri" w:hAnsi="Times New Roman"/>
          <w:spacing w:val="-2"/>
          <w:sz w:val="24"/>
          <w:szCs w:val="24"/>
          <w:lang w:val="en-IN"/>
        </w:rPr>
        <w:t xml:space="preserve">Beyond Bouncing </w:t>
      </w:r>
      <w:r w:rsidRPr="000F6F7A">
        <w:rPr>
          <w:rFonts w:ascii="Times New Roman" w:eastAsia="Calibri" w:hAnsi="Times New Roman"/>
          <w:spacing w:val="-2"/>
          <w:sz w:val="24"/>
          <w:szCs w:val="24"/>
          <w:lang w:val="en-US"/>
        </w:rPr>
        <w:t xml:space="preserve">(2013) </w:t>
      </w:r>
      <w:r w:rsidRPr="000F6F7A">
        <w:rPr>
          <w:rFonts w:ascii="Times New Roman" w:eastAsia="Calibri" w:hAnsi="Times New Roman"/>
          <w:spacing w:val="-2"/>
          <w:sz w:val="24"/>
          <w:szCs w:val="24"/>
          <w:lang w:val="en-IN"/>
        </w:rPr>
        <w:t>Back: Roundtable on Critical Transportation Infrastructure Resilience, Volpe Center, 30 April, 2013</w:t>
      </w:r>
      <w:r w:rsidRPr="000F6F7A">
        <w:rPr>
          <w:rFonts w:ascii="Times New Roman" w:eastAsia="Calibri" w:hAnsi="Times New Roman"/>
          <w:spacing w:val="-2"/>
          <w:sz w:val="24"/>
          <w:szCs w:val="24"/>
          <w:lang w:val="en-US"/>
        </w:rPr>
        <w:t>.</w:t>
      </w:r>
    </w:p>
    <w:p w14:paraId="5F974647" w14:textId="77777777" w:rsidR="00E20757" w:rsidRPr="000F6F7A" w:rsidRDefault="00E20757" w:rsidP="00E20757">
      <w:pPr>
        <w:pStyle w:val="a7"/>
        <w:numPr>
          <w:ilvl w:val="0"/>
          <w:numId w:val="3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1" w:name="_Hlk41138777"/>
      <w:r w:rsidRPr="000F6F7A">
        <w:rPr>
          <w:rFonts w:ascii="Times New Roman" w:hAnsi="Times New Roman"/>
          <w:sz w:val="24"/>
          <w:szCs w:val="24"/>
          <w:lang w:val="en-US" w:eastAsia="ru-RU"/>
        </w:rPr>
        <w:t xml:space="preserve">Francis, R. &amp; Bekera B. (2014). A metric and frameworks for resilience analysis of engineered and infrastructure systems. </w:t>
      </w:r>
      <w:r w:rsidRPr="000F6F7A">
        <w:rPr>
          <w:rFonts w:ascii="Times New Roman" w:hAnsi="Times New Roman"/>
          <w:sz w:val="24"/>
          <w:szCs w:val="24"/>
          <w:lang w:eastAsia="ru-RU"/>
        </w:rPr>
        <w:t xml:space="preserve">Reliability Engineering &amp; System Safety 121, 90–103.    </w:t>
      </w:r>
    </w:p>
    <w:bookmarkEnd w:id="1"/>
    <w:p w14:paraId="496FF0CD" w14:textId="77777777" w:rsidR="00E20757" w:rsidRPr="000F6F7A" w:rsidRDefault="00E20757" w:rsidP="00E20757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  <w:lang w:val="en-US" w:eastAsia="ru-RU"/>
        </w:rPr>
      </w:pPr>
      <w:r w:rsidRPr="000F6F7A">
        <w:rPr>
          <w:rFonts w:ascii="Times New Roman" w:eastAsia="Calibri" w:hAnsi="Times New Roman"/>
          <w:spacing w:val="-2"/>
          <w:sz w:val="24"/>
          <w:szCs w:val="24"/>
          <w:lang w:val="en-IN"/>
        </w:rPr>
        <w:t xml:space="preserve">Beatrice Cassottana et al. </w:t>
      </w:r>
      <w:r w:rsidRPr="000F6F7A">
        <w:rPr>
          <w:rFonts w:ascii="Times New Roman" w:eastAsia="Calibri" w:hAnsi="Times New Roman"/>
          <w:spacing w:val="-2"/>
          <w:sz w:val="24"/>
          <w:szCs w:val="24"/>
          <w:lang w:val="en-US"/>
        </w:rPr>
        <w:t xml:space="preserve">(2019) </w:t>
      </w:r>
      <w:r w:rsidRPr="000F6F7A">
        <w:rPr>
          <w:rFonts w:ascii="Times New Roman" w:eastAsia="Calibri" w:hAnsi="Times New Roman"/>
          <w:spacing w:val="-2"/>
          <w:sz w:val="24"/>
          <w:szCs w:val="24"/>
          <w:lang w:val="en-IN"/>
        </w:rPr>
        <w:t>A Quantitative Method to Identify Strategies for Enhancing the Resilience of Water Networks // Proceedings of the 29th European Safety and Reliability Conference. Edited byMichael Beer and Enrico Zio, 2019, pp.1301-1311.</w:t>
      </w:r>
    </w:p>
    <w:p w14:paraId="6675CE99" w14:textId="77777777" w:rsidR="00E20757" w:rsidRPr="000F6F7A" w:rsidRDefault="00E20757" w:rsidP="00E20757">
      <w:pPr>
        <w:pStyle w:val="a7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Calibri" w:hAnsi="Times New Roman"/>
          <w:spacing w:val="-2"/>
          <w:sz w:val="24"/>
          <w:szCs w:val="24"/>
          <w:lang w:val="en-US"/>
        </w:rPr>
      </w:pPr>
      <w:r w:rsidRPr="000F6F7A">
        <w:rPr>
          <w:rFonts w:ascii="Times New Roman" w:eastAsia="Calibri" w:hAnsi="Times New Roman"/>
          <w:spacing w:val="-2"/>
          <w:sz w:val="24"/>
          <w:szCs w:val="24"/>
          <w:lang w:val="en-IN"/>
        </w:rPr>
        <w:t>Jin-Zhu Yu, Hiba Baroud (2019) A Probabilistic Approach for Modelling the Resilience of Interdependent Power and</w:t>
      </w:r>
      <w:r w:rsidRPr="000F6F7A">
        <w:rPr>
          <w:rFonts w:ascii="Times New Roman" w:eastAsia="Calibri" w:hAnsi="Times New Roman"/>
          <w:spacing w:val="-2"/>
          <w:sz w:val="24"/>
          <w:szCs w:val="24"/>
          <w:lang w:val="en-US"/>
        </w:rPr>
        <w:t xml:space="preserve"> </w:t>
      </w:r>
      <w:r w:rsidRPr="000F6F7A">
        <w:rPr>
          <w:rFonts w:ascii="Times New Roman" w:eastAsia="Calibri" w:hAnsi="Times New Roman"/>
          <w:spacing w:val="-2"/>
          <w:sz w:val="24"/>
          <w:szCs w:val="24"/>
          <w:lang w:val="en-IN"/>
        </w:rPr>
        <w:t>Water Infrastructure Networks // Proceedings of the 29th European Safety and Reliability Conference. Edited by</w:t>
      </w:r>
      <w:r w:rsidRPr="000F6F7A">
        <w:rPr>
          <w:rFonts w:ascii="Times New Roman" w:eastAsia="Calibri" w:hAnsi="Times New Roman"/>
          <w:spacing w:val="-2"/>
          <w:sz w:val="24"/>
          <w:szCs w:val="24"/>
          <w:lang w:val="en-US"/>
        </w:rPr>
        <w:t xml:space="preserve"> </w:t>
      </w:r>
      <w:r w:rsidRPr="000F6F7A">
        <w:rPr>
          <w:rFonts w:ascii="Times New Roman" w:eastAsia="Calibri" w:hAnsi="Times New Roman"/>
          <w:spacing w:val="-2"/>
          <w:sz w:val="24"/>
          <w:szCs w:val="24"/>
          <w:lang w:val="en-IN"/>
        </w:rPr>
        <w:t>Michael Beer and Enrico Zio, 2019, pp.1298-1304</w:t>
      </w:r>
      <w:r w:rsidRPr="000F6F7A">
        <w:rPr>
          <w:rFonts w:ascii="Times New Roman" w:eastAsia="Calibri" w:hAnsi="Times New Roman"/>
          <w:spacing w:val="-2"/>
          <w:sz w:val="24"/>
          <w:szCs w:val="24"/>
          <w:lang w:val="en-US"/>
        </w:rPr>
        <w:t>.</w:t>
      </w:r>
    </w:p>
    <w:p w14:paraId="5083B386" w14:textId="77777777" w:rsidR="00E20757" w:rsidRPr="000F6F7A" w:rsidRDefault="00E20757" w:rsidP="00E20757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Calibri" w:hAnsi="Times New Roman"/>
          <w:spacing w:val="-2"/>
          <w:sz w:val="24"/>
          <w:szCs w:val="24"/>
          <w:lang w:val="en-US"/>
        </w:rPr>
      </w:pPr>
      <w:r w:rsidRPr="000F6F7A">
        <w:rPr>
          <w:rFonts w:ascii="Times New Roman" w:eastAsia="Calibri" w:hAnsi="Times New Roman"/>
          <w:spacing w:val="-2"/>
          <w:sz w:val="24"/>
          <w:szCs w:val="24"/>
          <w:lang w:val="en-IN"/>
        </w:rPr>
        <w:t xml:space="preserve">Wenjuan Sun, Paolo Bocchini, and Brian D. Davison </w:t>
      </w:r>
      <w:r w:rsidRPr="000F6F7A">
        <w:rPr>
          <w:rFonts w:ascii="Times New Roman" w:eastAsia="Calibri" w:hAnsi="Times New Roman"/>
          <w:spacing w:val="-2"/>
          <w:sz w:val="24"/>
          <w:szCs w:val="24"/>
          <w:lang w:val="en-US"/>
        </w:rPr>
        <w:t xml:space="preserve">(2019) </w:t>
      </w:r>
      <w:r w:rsidRPr="000F6F7A">
        <w:rPr>
          <w:rFonts w:ascii="Times New Roman" w:eastAsia="Calibri" w:hAnsi="Times New Roman"/>
          <w:spacing w:val="-2"/>
          <w:sz w:val="24"/>
          <w:szCs w:val="24"/>
          <w:lang w:val="en-IN"/>
        </w:rPr>
        <w:t xml:space="preserve">Resilience metrics and measurement methods for transportation infrastructure: The state of the art. UPL </w:t>
      </w:r>
      <w:hyperlink r:id="rId22" w:history="1">
        <w:r w:rsidRPr="000F6F7A">
          <w:rPr>
            <w:rStyle w:val="a8"/>
            <w:rFonts w:ascii="Times New Roman" w:eastAsia="Calibri" w:hAnsi="Times New Roman"/>
            <w:color w:val="auto"/>
            <w:spacing w:val="-2"/>
            <w:sz w:val="24"/>
            <w:szCs w:val="24"/>
            <w:u w:val="none"/>
            <w:lang w:val="en-IN"/>
          </w:rPr>
          <w:t>https://www.researchgate.net/publication/326920176</w:t>
        </w:r>
      </w:hyperlink>
      <w:r w:rsidRPr="000F6F7A">
        <w:rPr>
          <w:rFonts w:ascii="Times New Roman" w:eastAsia="Calibri" w:hAnsi="Times New Roman"/>
          <w:spacing w:val="-2"/>
          <w:sz w:val="24"/>
          <w:szCs w:val="24"/>
          <w:lang w:val="en-US"/>
        </w:rPr>
        <w:t xml:space="preserve">. </w:t>
      </w:r>
      <w:r w:rsidRPr="000F6F7A">
        <w:rPr>
          <w:rStyle w:val="a8"/>
          <w:rFonts w:ascii="Times New Roman" w:hAnsi="Times New Roman"/>
          <w:color w:val="auto"/>
          <w:sz w:val="24"/>
          <w:szCs w:val="24"/>
          <w:u w:val="none"/>
          <w:lang w:val="en-US"/>
        </w:rPr>
        <w:t>(date of application 15.05.2020)</w:t>
      </w:r>
    </w:p>
    <w:p w14:paraId="678B03C1" w14:textId="77777777" w:rsidR="00E20757" w:rsidRPr="000F6F7A" w:rsidRDefault="00E20757" w:rsidP="00E20757">
      <w:pPr>
        <w:pStyle w:val="a7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Calibri" w:hAnsi="Times New Roman"/>
          <w:spacing w:val="-2"/>
          <w:sz w:val="24"/>
          <w:szCs w:val="24"/>
          <w:lang w:val="en-IN"/>
        </w:rPr>
      </w:pPr>
      <w:r w:rsidRPr="000F6F7A">
        <w:rPr>
          <w:rFonts w:ascii="Times New Roman" w:eastAsia="Calibri" w:hAnsi="Times New Roman"/>
          <w:spacing w:val="-2"/>
          <w:sz w:val="24"/>
          <w:szCs w:val="24"/>
          <w:lang w:val="en-IN"/>
        </w:rPr>
        <w:t>Khazai, Bijan &amp; Bendimeard, Fouad &amp; Cardona, Omar &amp; Tibaduiza, Martha &amp; Barbat, Alex &amp; Burton, Christopher. (2015). A Guide to Measuring Urban Resilience: Principles, Tools and Practice of Urban Indicators.</w:t>
      </w:r>
    </w:p>
    <w:p w14:paraId="5B1BE86A" w14:textId="77777777" w:rsidR="00E20757" w:rsidRPr="000F6F7A" w:rsidRDefault="00E20757" w:rsidP="00E20757">
      <w:pPr>
        <w:pStyle w:val="a7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Calibri" w:hAnsi="Times New Roman"/>
          <w:spacing w:val="-2"/>
          <w:sz w:val="24"/>
          <w:szCs w:val="24"/>
          <w:lang w:val="en-IN"/>
        </w:rPr>
      </w:pPr>
      <w:r w:rsidRPr="000F6F7A">
        <w:rPr>
          <w:rFonts w:ascii="Times New Roman" w:eastAsia="Calibri" w:hAnsi="Times New Roman"/>
          <w:spacing w:val="-2"/>
          <w:sz w:val="24"/>
          <w:szCs w:val="24"/>
          <w:lang w:val="en-IN"/>
        </w:rPr>
        <w:t xml:space="preserve">Resilience Measurement Index: An Indicator of Critical Infrastructure Resilience.  Technical </w:t>
      </w:r>
      <w:r w:rsidRPr="000F6F7A">
        <w:rPr>
          <w:rFonts w:ascii="Times New Roman" w:eastAsia="Calibri" w:hAnsi="Times New Roman"/>
          <w:spacing w:val="-2"/>
          <w:sz w:val="24"/>
          <w:szCs w:val="24"/>
          <w:lang w:val="en-IN"/>
        </w:rPr>
        <w:lastRenderedPageBreak/>
        <w:t>Report</w:t>
      </w:r>
      <w:r w:rsidRPr="000F6F7A">
        <w:rPr>
          <w:rFonts w:ascii="Times New Roman" w:eastAsia="Calibri" w:hAnsi="Times New Roman"/>
          <w:spacing w:val="-2"/>
          <w:sz w:val="24"/>
          <w:szCs w:val="24"/>
          <w:lang w:val="en-US"/>
        </w:rPr>
        <w:t xml:space="preserve"> (2013).</w:t>
      </w:r>
      <w:r w:rsidRPr="000F6F7A">
        <w:rPr>
          <w:rFonts w:ascii="Times New Roman" w:eastAsia="Calibri" w:hAnsi="Times New Roman"/>
          <w:spacing w:val="-2"/>
          <w:sz w:val="24"/>
          <w:szCs w:val="24"/>
          <w:lang w:val="en-IN"/>
        </w:rPr>
        <w:t xml:space="preserve"> April 2013, ANL/DIS-13-01, 56 p.</w:t>
      </w:r>
    </w:p>
    <w:p w14:paraId="58B01A86" w14:textId="77777777" w:rsidR="00E20757" w:rsidRPr="000F6F7A" w:rsidRDefault="00E20757" w:rsidP="00E20757">
      <w:pPr>
        <w:pStyle w:val="a7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Calibri" w:hAnsi="Times New Roman"/>
          <w:spacing w:val="-2"/>
          <w:sz w:val="24"/>
          <w:szCs w:val="24"/>
          <w:lang w:val="en-IN"/>
        </w:rPr>
      </w:pPr>
      <w:r w:rsidRPr="000F6F7A">
        <w:rPr>
          <w:rFonts w:ascii="Times New Roman" w:eastAsia="Calibri" w:hAnsi="Times New Roman"/>
          <w:spacing w:val="-2"/>
          <w:sz w:val="24"/>
          <w:szCs w:val="24"/>
          <w:lang w:val="en-IN"/>
        </w:rPr>
        <w:t>Guideline</w:t>
      </w:r>
      <w:r w:rsidRPr="000F6F7A">
        <w:rPr>
          <w:rFonts w:ascii="Times New Roman" w:eastAsia="Calibri" w:hAnsi="Times New Roman"/>
          <w:spacing w:val="-2"/>
          <w:sz w:val="24"/>
          <w:szCs w:val="24"/>
          <w:lang w:val="en-US"/>
        </w:rPr>
        <w:t xml:space="preserve"> (2019)</w:t>
      </w:r>
      <w:r w:rsidRPr="000F6F7A">
        <w:rPr>
          <w:rFonts w:ascii="Times New Roman" w:eastAsia="Calibri" w:hAnsi="Times New Roman"/>
          <w:spacing w:val="-2"/>
          <w:sz w:val="24"/>
          <w:szCs w:val="24"/>
          <w:lang w:val="en-IN"/>
        </w:rPr>
        <w:t xml:space="preserve"> for assessing, predicting and monitoring resilience of Smart Critical Infrastructures (SCIs), Trondheim, September 2019</w:t>
      </w:r>
      <w:r w:rsidRPr="000F6F7A">
        <w:rPr>
          <w:rFonts w:ascii="Times New Roman" w:eastAsia="Calibri" w:hAnsi="Times New Roman"/>
          <w:spacing w:val="-2"/>
          <w:sz w:val="24"/>
          <w:szCs w:val="24"/>
          <w:lang w:val="en-US"/>
        </w:rPr>
        <w:t>.</w:t>
      </w:r>
      <w:r w:rsidRPr="000F6F7A">
        <w:rPr>
          <w:rFonts w:ascii="Times New Roman" w:eastAsia="Calibri" w:hAnsi="Times New Roman"/>
          <w:spacing w:val="-2"/>
          <w:sz w:val="24"/>
          <w:szCs w:val="24"/>
          <w:lang w:val="en-IN"/>
        </w:rPr>
        <w:t xml:space="preserve"> – 128 p.</w:t>
      </w:r>
    </w:p>
    <w:p w14:paraId="76F675B8" w14:textId="77777777" w:rsidR="00E20757" w:rsidRPr="000F6F7A" w:rsidRDefault="00E20757" w:rsidP="00E20757">
      <w:pPr>
        <w:pStyle w:val="a7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Calibri" w:hAnsi="Times New Roman"/>
          <w:spacing w:val="-2"/>
          <w:sz w:val="24"/>
          <w:szCs w:val="24"/>
          <w:lang w:val="en-US"/>
        </w:rPr>
      </w:pPr>
      <w:r w:rsidRPr="000F6F7A">
        <w:rPr>
          <w:rFonts w:ascii="Times New Roman" w:eastAsia="Calibri" w:hAnsi="Times New Roman"/>
          <w:spacing w:val="-2"/>
          <w:sz w:val="24"/>
          <w:szCs w:val="24"/>
          <w:lang w:val="en-IN"/>
        </w:rPr>
        <w:t>Goncalo Rodrigues Cadete</w:t>
      </w:r>
      <w:r w:rsidRPr="000F6F7A">
        <w:rPr>
          <w:rFonts w:ascii="Times New Roman" w:eastAsia="Calibri" w:hAnsi="Times New Roman"/>
          <w:spacing w:val="-2"/>
          <w:sz w:val="24"/>
          <w:szCs w:val="24"/>
          <w:lang w:val="en-US"/>
        </w:rPr>
        <w:t xml:space="preserve"> (2016)</w:t>
      </w:r>
      <w:r w:rsidRPr="000F6F7A">
        <w:rPr>
          <w:rFonts w:ascii="Times New Roman" w:eastAsia="Calibri" w:hAnsi="Times New Roman"/>
          <w:spacing w:val="-2"/>
          <w:sz w:val="24"/>
          <w:szCs w:val="24"/>
          <w:lang w:val="en-IN"/>
        </w:rPr>
        <w:t xml:space="preserve"> Report of criteria for evaluation resilience. Technical report, University of Lisbon, May 2016 – p.</w:t>
      </w:r>
      <w:r w:rsidRPr="000F6F7A">
        <w:rPr>
          <w:rFonts w:ascii="Times New Roman" w:eastAsia="Calibri" w:hAnsi="Times New Roman"/>
          <w:spacing w:val="-2"/>
          <w:sz w:val="24"/>
          <w:szCs w:val="24"/>
          <w:lang w:val="en-US"/>
        </w:rPr>
        <w:t xml:space="preserve"> </w:t>
      </w:r>
      <w:r w:rsidRPr="000F6F7A">
        <w:rPr>
          <w:rFonts w:ascii="Times New Roman" w:eastAsia="Calibri" w:hAnsi="Times New Roman"/>
          <w:spacing w:val="-2"/>
          <w:sz w:val="24"/>
          <w:szCs w:val="24"/>
          <w:lang w:val="en-IN"/>
        </w:rPr>
        <w:t>37</w:t>
      </w:r>
      <w:r w:rsidRPr="000F6F7A">
        <w:rPr>
          <w:rFonts w:ascii="Times New Roman" w:eastAsia="Calibri" w:hAnsi="Times New Roman"/>
          <w:spacing w:val="-2"/>
          <w:sz w:val="24"/>
          <w:szCs w:val="24"/>
          <w:lang w:val="en-US"/>
        </w:rPr>
        <w:t>.</w:t>
      </w:r>
    </w:p>
    <w:p w14:paraId="680F1B63" w14:textId="77777777" w:rsidR="00E20757" w:rsidRPr="000F6F7A" w:rsidRDefault="00E20757" w:rsidP="00E20757">
      <w:pPr>
        <w:pStyle w:val="a7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Calibri" w:hAnsi="Times New Roman"/>
          <w:spacing w:val="-2"/>
          <w:sz w:val="24"/>
          <w:szCs w:val="24"/>
          <w:lang w:val="en-IN"/>
        </w:rPr>
      </w:pPr>
      <w:r w:rsidRPr="000F6F7A">
        <w:rPr>
          <w:rFonts w:ascii="Times New Roman" w:eastAsia="Calibri" w:hAnsi="Times New Roman"/>
          <w:spacing w:val="-2"/>
          <w:sz w:val="24"/>
          <w:szCs w:val="24"/>
          <w:lang w:val="en-IN"/>
        </w:rPr>
        <w:t xml:space="preserve">David Rehak et al. </w:t>
      </w:r>
      <w:r w:rsidRPr="000F6F7A">
        <w:rPr>
          <w:rFonts w:ascii="Times New Roman" w:eastAsia="Calibri" w:hAnsi="Times New Roman"/>
          <w:spacing w:val="-2"/>
          <w:sz w:val="24"/>
          <w:szCs w:val="24"/>
          <w:lang w:val="en-US"/>
        </w:rPr>
        <w:t xml:space="preserve">(2019) </w:t>
      </w:r>
      <w:r w:rsidRPr="000F6F7A">
        <w:rPr>
          <w:rFonts w:ascii="Times New Roman" w:eastAsia="Calibri" w:hAnsi="Times New Roman"/>
          <w:spacing w:val="-2"/>
          <w:sz w:val="24"/>
          <w:szCs w:val="24"/>
          <w:lang w:val="en-IN"/>
        </w:rPr>
        <w:t>Complex approach to assessing resilience of critical infrastructure elements // International Journal of Critical infrastructure Protection, 25, pp.125-138.</w:t>
      </w:r>
    </w:p>
    <w:p w14:paraId="269A956F" w14:textId="77777777" w:rsidR="00E20757" w:rsidRPr="000F6F7A" w:rsidRDefault="00E20757" w:rsidP="00E20757">
      <w:pPr>
        <w:pStyle w:val="a7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Calibri" w:hAnsi="Times New Roman"/>
          <w:spacing w:val="-2"/>
          <w:sz w:val="24"/>
          <w:szCs w:val="24"/>
          <w:lang w:val="en-IN"/>
        </w:rPr>
      </w:pPr>
      <w:r w:rsidRPr="000F6F7A">
        <w:rPr>
          <w:rFonts w:ascii="Times New Roman" w:eastAsia="Calibri" w:hAnsi="Times New Roman"/>
          <w:spacing w:val="-2"/>
          <w:sz w:val="24"/>
          <w:szCs w:val="24"/>
          <w:lang w:val="en-IN"/>
        </w:rPr>
        <w:t>Ioannis Kilanitis, Anastasioa Sextos</w:t>
      </w:r>
      <w:r w:rsidRPr="000F6F7A">
        <w:rPr>
          <w:rFonts w:ascii="Times New Roman" w:eastAsia="Calibri" w:hAnsi="Times New Roman"/>
          <w:spacing w:val="-2"/>
          <w:sz w:val="24"/>
          <w:szCs w:val="24"/>
          <w:lang w:val="en-US"/>
        </w:rPr>
        <w:t xml:space="preserve"> (2019)</w:t>
      </w:r>
      <w:r w:rsidRPr="000F6F7A">
        <w:rPr>
          <w:rFonts w:ascii="Times New Roman" w:eastAsia="Calibri" w:hAnsi="Times New Roman"/>
          <w:spacing w:val="-2"/>
          <w:sz w:val="24"/>
          <w:szCs w:val="24"/>
          <w:lang w:val="en-IN"/>
        </w:rPr>
        <w:t xml:space="preserve"> Integrated seismic risk and resilience assessment of roadway networks in earthquake prone areas // Bulletin of Earthquake Engineering, 17, pp</w:t>
      </w:r>
      <w:r w:rsidRPr="000F6F7A">
        <w:rPr>
          <w:rFonts w:ascii="Times New Roman" w:eastAsia="Calibri" w:hAnsi="Times New Roman"/>
          <w:spacing w:val="-2"/>
          <w:sz w:val="24"/>
          <w:szCs w:val="24"/>
          <w:lang w:val="en-US"/>
        </w:rPr>
        <w:t>.</w:t>
      </w:r>
      <w:r w:rsidRPr="000F6F7A">
        <w:rPr>
          <w:rFonts w:ascii="Times New Roman" w:eastAsia="Calibri" w:hAnsi="Times New Roman"/>
          <w:spacing w:val="-2"/>
          <w:sz w:val="24"/>
          <w:szCs w:val="24"/>
          <w:lang w:val="en-IN"/>
        </w:rPr>
        <w:t>181-210.</w:t>
      </w:r>
    </w:p>
    <w:p w14:paraId="345A35A2" w14:textId="77777777" w:rsidR="00D30D5C" w:rsidRPr="00E20757" w:rsidRDefault="00D30D5C" w:rsidP="005A2236">
      <w:pPr>
        <w:spacing w:line="240" w:lineRule="auto"/>
        <w:rPr>
          <w:rFonts w:ascii="Times New Roman" w:hAnsi="Times New Roman" w:cs="Times New Roman"/>
          <w:sz w:val="24"/>
          <w:szCs w:val="24"/>
          <w:lang w:val="en-IN"/>
        </w:rPr>
      </w:pPr>
    </w:p>
    <w:sectPr w:rsidR="00D30D5C" w:rsidRPr="00E207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D76F53" w14:textId="77777777" w:rsidR="00C479C5" w:rsidRDefault="00C479C5" w:rsidP="00205913">
      <w:pPr>
        <w:spacing w:after="0" w:line="240" w:lineRule="auto"/>
      </w:pPr>
      <w:r>
        <w:separator/>
      </w:r>
    </w:p>
  </w:endnote>
  <w:endnote w:type="continuationSeparator" w:id="0">
    <w:p w14:paraId="0DC79428" w14:textId="77777777" w:rsidR="00C479C5" w:rsidRDefault="00C479C5" w:rsidP="002059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49239C" w14:textId="77777777" w:rsidR="00C479C5" w:rsidRDefault="00C479C5" w:rsidP="00205913">
      <w:pPr>
        <w:spacing w:after="0" w:line="240" w:lineRule="auto"/>
      </w:pPr>
      <w:r>
        <w:separator/>
      </w:r>
    </w:p>
  </w:footnote>
  <w:footnote w:type="continuationSeparator" w:id="0">
    <w:p w14:paraId="45A211DA" w14:textId="77777777" w:rsidR="00C479C5" w:rsidRDefault="00C479C5" w:rsidP="002059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AB203A"/>
    <w:multiLevelType w:val="hybridMultilevel"/>
    <w:tmpl w:val="28AA44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A33DEA"/>
    <w:multiLevelType w:val="hybridMultilevel"/>
    <w:tmpl w:val="8042C2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9F027EE0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D72CE3"/>
    <w:multiLevelType w:val="hybridMultilevel"/>
    <w:tmpl w:val="87E83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0AD"/>
    <w:rsid w:val="00046B4B"/>
    <w:rsid w:val="000C4C60"/>
    <w:rsid w:val="00205913"/>
    <w:rsid w:val="00263019"/>
    <w:rsid w:val="0028194D"/>
    <w:rsid w:val="003A31F9"/>
    <w:rsid w:val="003A5768"/>
    <w:rsid w:val="003E138C"/>
    <w:rsid w:val="004D2C28"/>
    <w:rsid w:val="004D6713"/>
    <w:rsid w:val="005503D9"/>
    <w:rsid w:val="005A2236"/>
    <w:rsid w:val="006E49AA"/>
    <w:rsid w:val="0071086C"/>
    <w:rsid w:val="00780334"/>
    <w:rsid w:val="00782D91"/>
    <w:rsid w:val="00795657"/>
    <w:rsid w:val="007C4301"/>
    <w:rsid w:val="00820007"/>
    <w:rsid w:val="009147E5"/>
    <w:rsid w:val="0091487B"/>
    <w:rsid w:val="009E3F21"/>
    <w:rsid w:val="00A42706"/>
    <w:rsid w:val="00B4681E"/>
    <w:rsid w:val="00BA6019"/>
    <w:rsid w:val="00C05CCE"/>
    <w:rsid w:val="00C479C5"/>
    <w:rsid w:val="00CD00AD"/>
    <w:rsid w:val="00CE4F00"/>
    <w:rsid w:val="00D04345"/>
    <w:rsid w:val="00D129F4"/>
    <w:rsid w:val="00D30D5C"/>
    <w:rsid w:val="00E20757"/>
    <w:rsid w:val="00E60FC5"/>
    <w:rsid w:val="00E80A96"/>
    <w:rsid w:val="00E93E24"/>
    <w:rsid w:val="00F66572"/>
    <w:rsid w:val="00F95CBC"/>
    <w:rsid w:val="00FD2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F471F"/>
  <w15:chartTrackingRefBased/>
  <w15:docId w15:val="{41027D42-94B5-4FA6-8C73-CE9D4CE1A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basedOn w:val="a"/>
    <w:link w:val="TextChar"/>
    <w:rsid w:val="00CD00AD"/>
    <w:pPr>
      <w:tabs>
        <w:tab w:val="right" w:pos="7200"/>
      </w:tabs>
      <w:spacing w:before="240" w:after="120" w:line="260" w:lineRule="exact"/>
      <w:ind w:right="288"/>
      <w:jc w:val="both"/>
    </w:pPr>
    <w:rPr>
      <w:rFonts w:ascii="Times New Roman" w:eastAsia="SimSun" w:hAnsi="Times New Roman" w:cs="Times New Roman"/>
      <w:sz w:val="20"/>
      <w:szCs w:val="24"/>
      <w:lang w:val="en-US"/>
    </w:rPr>
  </w:style>
  <w:style w:type="character" w:customStyle="1" w:styleId="TextChar">
    <w:name w:val="Text Char"/>
    <w:basedOn w:val="a0"/>
    <w:link w:val="Text"/>
    <w:rsid w:val="00CD00AD"/>
    <w:rPr>
      <w:rFonts w:ascii="Times New Roman" w:eastAsia="SimSun" w:hAnsi="Times New Roman" w:cs="Times New Roman"/>
      <w:sz w:val="20"/>
      <w:szCs w:val="24"/>
      <w:lang w:val="en-US"/>
    </w:rPr>
  </w:style>
  <w:style w:type="paragraph" w:customStyle="1" w:styleId="Reference">
    <w:name w:val="Reference"/>
    <w:basedOn w:val="a"/>
    <w:autoRedefine/>
    <w:rsid w:val="00CD00AD"/>
    <w:pPr>
      <w:spacing w:after="0" w:line="240" w:lineRule="auto"/>
      <w:ind w:left="240" w:hanging="240"/>
      <w:jc w:val="both"/>
    </w:pPr>
    <w:rPr>
      <w:rFonts w:ascii="Times New Roman" w:eastAsia="SimSun" w:hAnsi="Times New Roman" w:cs="Times New Roman"/>
      <w:b/>
      <w:sz w:val="20"/>
      <w:szCs w:val="18"/>
      <w:lang w:val="en-US"/>
    </w:rPr>
  </w:style>
  <w:style w:type="paragraph" w:styleId="a3">
    <w:name w:val="header"/>
    <w:basedOn w:val="a"/>
    <w:link w:val="a4"/>
    <w:uiPriority w:val="99"/>
    <w:unhideWhenUsed/>
    <w:rsid w:val="002059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05913"/>
  </w:style>
  <w:style w:type="paragraph" w:styleId="a5">
    <w:name w:val="footer"/>
    <w:basedOn w:val="a"/>
    <w:link w:val="a6"/>
    <w:uiPriority w:val="99"/>
    <w:unhideWhenUsed/>
    <w:rsid w:val="002059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05913"/>
  </w:style>
  <w:style w:type="paragraph" w:styleId="a7">
    <w:name w:val="List Paragraph"/>
    <w:basedOn w:val="a"/>
    <w:uiPriority w:val="1"/>
    <w:qFormat/>
    <w:rsid w:val="00D04345"/>
    <w:pPr>
      <w:spacing w:after="200" w:line="276" w:lineRule="auto"/>
      <w:ind w:left="720"/>
      <w:contextualSpacing/>
    </w:pPr>
  </w:style>
  <w:style w:type="character" w:styleId="a8">
    <w:name w:val="Hyperlink"/>
    <w:uiPriority w:val="99"/>
    <w:unhideWhenUsed/>
    <w:rsid w:val="00E80A96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indawi.com/98729175/" TargetMode="External"/><Relationship Id="rId13" Type="http://schemas.openxmlformats.org/officeDocument/2006/relationships/hyperlink" Target="mailto:vvlesnykh@gmail.com" TargetMode="External"/><Relationship Id="rId18" Type="http://schemas.openxmlformats.org/officeDocument/2006/relationships/hyperlink" Target="https://www.hindawi.com/98729175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hindawi.com/journals/complexity/2018/3421529" TargetMode="External"/><Relationship Id="rId7" Type="http://schemas.openxmlformats.org/officeDocument/2006/relationships/hyperlink" Target="https://doi.org/10.17072/2079-7877-2018-1-72-82" TargetMode="External"/><Relationship Id="rId12" Type="http://schemas.openxmlformats.org/officeDocument/2006/relationships/hyperlink" Target="https://www.researchgate.net/publication/326920176" TargetMode="External"/><Relationship Id="rId17" Type="http://schemas.openxmlformats.org/officeDocument/2006/relationships/hyperlink" Target="https://doi.org/10.17072/2079-7877-2018-1-72-82" TargetMode="External"/><Relationship Id="rId2" Type="http://schemas.openxmlformats.org/officeDocument/2006/relationships/styles" Target="styles.xml"/><Relationship Id="rId16" Type="http://schemas.openxmlformats.org/officeDocument/2006/relationships/hyperlink" Target="mailto:tanuta75@mail.ru" TargetMode="External"/><Relationship Id="rId20" Type="http://schemas.openxmlformats.org/officeDocument/2006/relationships/hyperlink" Target="https://www.hindawi.com/70949172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hindawi.com/journals/complexity/2018/3421529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vvlesnykh@gmail.com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hindawi.com/70949172/" TargetMode="External"/><Relationship Id="rId19" Type="http://schemas.openxmlformats.org/officeDocument/2006/relationships/hyperlink" Target="https://www.hindawi.com/29398713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hindawi.com/29398713/" TargetMode="External"/><Relationship Id="rId14" Type="http://schemas.openxmlformats.org/officeDocument/2006/relationships/hyperlink" Target="mailto:tanuta75@mail.ru" TargetMode="External"/><Relationship Id="rId22" Type="http://schemas.openxmlformats.org/officeDocument/2006/relationships/hyperlink" Target="https://www.researchgate.net/publication/3269201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6</Pages>
  <Words>2776</Words>
  <Characters>15827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Тимофеева</dc:creator>
  <cp:keywords/>
  <dc:description/>
  <cp:lastModifiedBy>Тимофеева Татьяна Борисовна</cp:lastModifiedBy>
  <cp:revision>24</cp:revision>
  <dcterms:created xsi:type="dcterms:W3CDTF">2020-06-09T04:24:00Z</dcterms:created>
  <dcterms:modified xsi:type="dcterms:W3CDTF">2020-06-10T15:20:00Z</dcterms:modified>
</cp:coreProperties>
</file>