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E0594" w14:textId="77777777" w:rsidR="00CE7BA4" w:rsidRPr="00CE7BA4" w:rsidRDefault="00CE7BA4" w:rsidP="00532177">
      <w:pPr>
        <w:widowControl w:val="0"/>
        <w:pBdr>
          <w:top w:val="none" w:sz="4" w:space="0" w:color="000000"/>
          <w:left w:val="none" w:sz="4" w:space="0" w:color="000000"/>
          <w:bottom w:val="none" w:sz="4" w:space="0" w:color="000000"/>
          <w:right w:val="none" w:sz="4" w:space="0" w:color="000000"/>
          <w:between w:val="none" w:sz="4" w:space="0" w:color="000000"/>
        </w:pBdr>
        <w:rPr>
          <w:rFonts w:eastAsia="Courier New"/>
          <w:b/>
        </w:rPr>
      </w:pPr>
      <w:r w:rsidRPr="00CE7BA4">
        <w:rPr>
          <w:rFonts w:eastAsia="Courier New"/>
          <w:b/>
        </w:rPr>
        <w:t>Индекс УДК/ББК</w:t>
      </w:r>
    </w:p>
    <w:p w14:paraId="0A78F348" w14:textId="12E3E44E" w:rsidR="00CE7BA4" w:rsidRPr="00C86889" w:rsidRDefault="00CE7BA4" w:rsidP="00532177">
      <w:pPr>
        <w:widowControl w:val="0"/>
        <w:pBdr>
          <w:top w:val="none" w:sz="4" w:space="0" w:color="000000"/>
          <w:left w:val="none" w:sz="4" w:space="0" w:color="000000"/>
          <w:bottom w:val="none" w:sz="4" w:space="0" w:color="000000"/>
          <w:right w:val="none" w:sz="4" w:space="0" w:color="000000"/>
          <w:between w:val="none" w:sz="4" w:space="0" w:color="000000"/>
        </w:pBdr>
        <w:jc w:val="right"/>
        <w:rPr>
          <w:rFonts w:eastAsia="Courier New"/>
          <w:b/>
        </w:rPr>
      </w:pPr>
      <w:r w:rsidRPr="00C86889">
        <w:rPr>
          <w:rFonts w:eastAsia="Courier New"/>
          <w:b/>
        </w:rPr>
        <w:t>Форгунова</w:t>
      </w:r>
      <w:r w:rsidRPr="00CE7BA4">
        <w:rPr>
          <w:rFonts w:eastAsia="Courier New"/>
          <w:b/>
        </w:rPr>
        <w:t xml:space="preserve"> </w:t>
      </w:r>
      <w:r w:rsidRPr="00C86889">
        <w:rPr>
          <w:rFonts w:eastAsia="Courier New"/>
          <w:b/>
        </w:rPr>
        <w:t>А.Ю</w:t>
      </w:r>
      <w:r w:rsidRPr="00CE7BA4">
        <w:rPr>
          <w:rFonts w:eastAsia="Courier New"/>
          <w:b/>
        </w:rPr>
        <w:t>.</w:t>
      </w:r>
    </w:p>
    <w:p w14:paraId="4BBA448D" w14:textId="1DBB08C4" w:rsidR="004D1B40" w:rsidRPr="00CE7BA4" w:rsidRDefault="004D1B40" w:rsidP="00532177">
      <w:pPr>
        <w:widowControl w:val="0"/>
        <w:pBdr>
          <w:top w:val="none" w:sz="4" w:space="0" w:color="000000"/>
          <w:left w:val="none" w:sz="4" w:space="0" w:color="000000"/>
          <w:bottom w:val="none" w:sz="4" w:space="0" w:color="000000"/>
          <w:right w:val="none" w:sz="4" w:space="0" w:color="000000"/>
          <w:between w:val="none" w:sz="4" w:space="0" w:color="000000"/>
        </w:pBdr>
        <w:jc w:val="right"/>
        <w:rPr>
          <w:rFonts w:eastAsia="Courier New"/>
          <w:b/>
        </w:rPr>
      </w:pPr>
      <w:r w:rsidRPr="00C86889">
        <w:rPr>
          <w:rFonts w:eastAsia="Courier New"/>
          <w:b/>
        </w:rPr>
        <w:t>Щелканов А.А.</w:t>
      </w:r>
    </w:p>
    <w:p w14:paraId="5D19D5F0" w14:textId="6D5F979B" w:rsidR="00CE7BA4" w:rsidRPr="00C86889" w:rsidRDefault="00CE7BA4" w:rsidP="00532177">
      <w:pPr>
        <w:widowControl w:val="0"/>
        <w:pBdr>
          <w:top w:val="none" w:sz="4" w:space="0" w:color="000000"/>
          <w:left w:val="none" w:sz="4" w:space="0" w:color="000000"/>
          <w:bottom w:val="none" w:sz="4" w:space="0" w:color="000000"/>
          <w:right w:val="none" w:sz="4" w:space="0" w:color="000000"/>
          <w:between w:val="none" w:sz="4" w:space="0" w:color="000000"/>
        </w:pBdr>
        <w:rPr>
          <w:rFonts w:eastAsia="Courier New"/>
          <w:b/>
        </w:rPr>
      </w:pPr>
    </w:p>
    <w:p w14:paraId="59D1BC36" w14:textId="3F0E911D" w:rsidR="00CE4BA5" w:rsidRPr="001C0A24" w:rsidRDefault="00CE7BA4" w:rsidP="003E3FC9">
      <w:pPr>
        <w:widowControl w:val="0"/>
        <w:pBdr>
          <w:top w:val="none" w:sz="4" w:space="0" w:color="000000"/>
          <w:left w:val="none" w:sz="4" w:space="0" w:color="000000"/>
          <w:bottom w:val="none" w:sz="4" w:space="0" w:color="000000"/>
          <w:right w:val="none" w:sz="4" w:space="0" w:color="000000"/>
          <w:between w:val="none" w:sz="4" w:space="0" w:color="000000"/>
        </w:pBdr>
        <w:jc w:val="center"/>
        <w:rPr>
          <w:rFonts w:eastAsia="Courier New"/>
          <w:b/>
        </w:rPr>
      </w:pPr>
      <w:r w:rsidRPr="001C0A24">
        <w:rPr>
          <w:rFonts w:eastAsia="Courier New"/>
          <w:b/>
        </w:rPr>
        <w:t>Применение мер по обеспечению информационной безопасности банковского сектора в области добывающей промышленности</w:t>
      </w:r>
    </w:p>
    <w:p w14:paraId="6DACCDE1" w14:textId="77777777" w:rsidR="00CF4E91" w:rsidRPr="00C86889" w:rsidRDefault="00CF4E91" w:rsidP="00532177">
      <w:pPr>
        <w:ind w:firstLine="709"/>
        <w:jc w:val="both"/>
        <w:rPr>
          <w:b/>
        </w:rPr>
      </w:pPr>
    </w:p>
    <w:p w14:paraId="72333E48" w14:textId="49DE3BE6" w:rsidR="00F722BA" w:rsidRPr="00C86889" w:rsidRDefault="00D6189E" w:rsidP="00532177">
      <w:pPr>
        <w:ind w:firstLine="709"/>
        <w:jc w:val="both"/>
        <w:rPr>
          <w:i/>
          <w:iCs/>
        </w:rPr>
      </w:pPr>
      <w:r w:rsidRPr="00C86889">
        <w:rPr>
          <w:b/>
        </w:rPr>
        <w:t>Аннотация</w:t>
      </w:r>
      <w:r w:rsidR="005605E5" w:rsidRPr="00C86889">
        <w:t xml:space="preserve">. </w:t>
      </w:r>
      <w:r w:rsidR="000955E2" w:rsidRPr="00C86889">
        <w:rPr>
          <w:i/>
          <w:iCs/>
        </w:rPr>
        <w:t>Для</w:t>
      </w:r>
      <w:r w:rsidR="00373B1B" w:rsidRPr="00C86889">
        <w:rPr>
          <w:i/>
          <w:iCs/>
        </w:rPr>
        <w:t xml:space="preserve"> обеспечения экономической безопасности, банки противостоят кибератакам, что акту</w:t>
      </w:r>
      <w:r w:rsidR="00BF50D1" w:rsidRPr="00C86889">
        <w:rPr>
          <w:i/>
          <w:iCs/>
        </w:rPr>
        <w:t>ально</w:t>
      </w:r>
      <w:r w:rsidR="00DC166F" w:rsidRPr="00C86889">
        <w:rPr>
          <w:i/>
          <w:iCs/>
        </w:rPr>
        <w:t xml:space="preserve"> и для предприятий реального сектора экономики</w:t>
      </w:r>
      <w:r w:rsidR="00BF50D1" w:rsidRPr="00C86889">
        <w:rPr>
          <w:i/>
          <w:iCs/>
        </w:rPr>
        <w:t>. В статье рассматрив</w:t>
      </w:r>
      <w:r w:rsidR="001E3099" w:rsidRPr="00C86889">
        <w:rPr>
          <w:i/>
          <w:iCs/>
        </w:rPr>
        <w:t>аются виды кибератак и подверженные им объекты</w:t>
      </w:r>
      <w:r w:rsidR="00D45459" w:rsidRPr="00C86889">
        <w:rPr>
          <w:i/>
          <w:iCs/>
        </w:rPr>
        <w:t xml:space="preserve">, </w:t>
      </w:r>
      <w:r w:rsidR="00FD4AEC" w:rsidRPr="00C86889">
        <w:rPr>
          <w:i/>
          <w:iCs/>
        </w:rPr>
        <w:t>проведен анализ динамики несанкционированных операций</w:t>
      </w:r>
      <w:r w:rsidR="00F36DA1" w:rsidRPr="00C86889">
        <w:rPr>
          <w:i/>
          <w:iCs/>
        </w:rPr>
        <w:t xml:space="preserve"> и способы противостояния</w:t>
      </w:r>
      <w:r w:rsidR="00FD4AEC" w:rsidRPr="00C86889">
        <w:rPr>
          <w:i/>
          <w:iCs/>
        </w:rPr>
        <w:t>.</w:t>
      </w:r>
    </w:p>
    <w:p w14:paraId="32E94B90" w14:textId="77777777" w:rsidR="000139BD" w:rsidRPr="00C86889" w:rsidRDefault="000139BD" w:rsidP="00532177">
      <w:pPr>
        <w:ind w:firstLine="709"/>
        <w:jc w:val="both"/>
      </w:pPr>
      <w:r w:rsidRPr="00C86889">
        <w:rPr>
          <w:b/>
        </w:rPr>
        <w:t xml:space="preserve">Ключевые слова: </w:t>
      </w:r>
      <w:r w:rsidRPr="00C86889">
        <w:rPr>
          <w:i/>
          <w:iCs/>
        </w:rPr>
        <w:t>информационная безопасность,</w:t>
      </w:r>
      <w:r w:rsidRPr="00C86889">
        <w:rPr>
          <w:b/>
          <w:i/>
          <w:iCs/>
        </w:rPr>
        <w:t xml:space="preserve"> </w:t>
      </w:r>
      <w:r w:rsidRPr="00C86889">
        <w:rPr>
          <w:i/>
          <w:iCs/>
        </w:rPr>
        <w:t>кибербезопасность, банковский сектор,</w:t>
      </w:r>
      <w:r w:rsidR="00CF65C6" w:rsidRPr="00C86889">
        <w:rPr>
          <w:i/>
          <w:iCs/>
        </w:rPr>
        <w:t xml:space="preserve"> добывающая и перерабатывающая промышленность,</w:t>
      </w:r>
      <w:r w:rsidRPr="00C86889">
        <w:rPr>
          <w:i/>
          <w:iCs/>
        </w:rPr>
        <w:t xml:space="preserve"> киберриски.</w:t>
      </w:r>
    </w:p>
    <w:p w14:paraId="13A3175F" w14:textId="77777777" w:rsidR="00D6189E" w:rsidRPr="001C0A24" w:rsidRDefault="00D6189E" w:rsidP="00532177">
      <w:pPr>
        <w:jc w:val="both"/>
      </w:pPr>
    </w:p>
    <w:p w14:paraId="7CEB1088" w14:textId="77777777" w:rsidR="00D13B62" w:rsidRPr="00C86889" w:rsidRDefault="00D6189E" w:rsidP="00532177">
      <w:pPr>
        <w:ind w:firstLine="709"/>
        <w:jc w:val="both"/>
      </w:pPr>
      <w:r w:rsidRPr="00C86889">
        <w:rPr>
          <w:rFonts w:eastAsiaTheme="minorEastAsia"/>
          <w:b/>
        </w:rPr>
        <w:t>Введение</w:t>
      </w:r>
      <w:r w:rsidR="00D14B07" w:rsidRPr="00C86889">
        <w:rPr>
          <w:rFonts w:eastAsiaTheme="minorEastAsia"/>
        </w:rPr>
        <w:t xml:space="preserve">. </w:t>
      </w:r>
      <w:r w:rsidR="0070593D" w:rsidRPr="00C86889">
        <w:t xml:space="preserve">Концентрация участников </w:t>
      </w:r>
      <w:r w:rsidR="003C2A1D" w:rsidRPr="00C86889">
        <w:t xml:space="preserve">рынка </w:t>
      </w:r>
      <w:r w:rsidR="0070593D" w:rsidRPr="00C86889">
        <w:t>диктует условия конкурентной борьбы за потенциальных клиентов</w:t>
      </w:r>
      <w:r w:rsidR="003C2A1D" w:rsidRPr="00C86889">
        <w:t xml:space="preserve"> и контрагентов</w:t>
      </w:r>
      <w:r w:rsidR="0070593D" w:rsidRPr="00C86889">
        <w:t xml:space="preserve">. </w:t>
      </w:r>
      <w:r w:rsidR="002D5A51" w:rsidRPr="00C86889">
        <w:t xml:space="preserve">Ведение деятельности подразумевает наличие коммерческой тайны и неразглашения технологий, разработок в интересах бизнеса. </w:t>
      </w:r>
      <w:r w:rsidR="009C30F8" w:rsidRPr="00C86889">
        <w:t xml:space="preserve">Внедрение новых продуктов и бизнес-процессов все больше зависит от информационных технологий. Нарушение работоспособности систем, внедрение вредоносных программ, </w:t>
      </w:r>
      <w:r w:rsidR="00E65F9E" w:rsidRPr="00C86889">
        <w:t>компрометация</w:t>
      </w:r>
      <w:r w:rsidR="009C30F8" w:rsidRPr="00C86889">
        <w:t xml:space="preserve"> информации и получение несанкционированного доступа имеет значительные последствия как для прибыльности бизнеса, его репутации, доверия </w:t>
      </w:r>
      <w:r w:rsidR="00590524" w:rsidRPr="00C86889">
        <w:t>контрагентов</w:t>
      </w:r>
      <w:r w:rsidR="00DC56EB" w:rsidRPr="00C86889">
        <w:t>[1]</w:t>
      </w:r>
      <w:r w:rsidR="007320D5" w:rsidRPr="00C86889">
        <w:t>.</w:t>
      </w:r>
      <w:r w:rsidR="009C30F8" w:rsidRPr="00C86889">
        <w:t xml:space="preserve">  </w:t>
      </w:r>
    </w:p>
    <w:p w14:paraId="0DAB2DBC" w14:textId="61CFD353" w:rsidR="00C75E58" w:rsidRPr="00C86889" w:rsidRDefault="00C75E58" w:rsidP="00532177">
      <w:pPr>
        <w:ind w:firstLine="709"/>
        <w:jc w:val="both"/>
      </w:pPr>
      <w:r w:rsidRPr="00C86889">
        <w:t xml:space="preserve">Использование программных сервисов в сети Интернет и коммуникационных технологий, а также действий пользователей формирует единую виртуальную среду – киберпространство. Киберпространство наполнено электронными средствами платежа, облаками, виртуальными посольствами, развлечениями, деньгами и преступлениями. </w:t>
      </w:r>
      <w:r w:rsidR="00D77CC2" w:rsidRPr="00C86889">
        <w:t xml:space="preserve">Понятие кибербезопасности неразрывно связано с информационной безопасностью, безопасностью сети Интернет и </w:t>
      </w:r>
      <w:r w:rsidR="00F23CB5" w:rsidRPr="00C86889">
        <w:t xml:space="preserve">информационной инфраструктурой и кибератаками. </w:t>
      </w:r>
      <w:r w:rsidR="00BB6E50" w:rsidRPr="00C86889">
        <w:t>Информационные и программные средства и процессы, участвующие в обеспечении функционирования приложений определяют уровень его безопасности</w:t>
      </w:r>
      <w:r w:rsidR="00D20A96" w:rsidRPr="00C86889">
        <w:t xml:space="preserve"> </w:t>
      </w:r>
      <w:r w:rsidR="007320D5" w:rsidRPr="00C86889">
        <w:t>[2]</w:t>
      </w:r>
      <w:r w:rsidR="000719C7" w:rsidRPr="00C86889">
        <w:t xml:space="preserve">. </w:t>
      </w:r>
      <w:r w:rsidR="003E45C5" w:rsidRPr="00C86889">
        <w:t>Неразрешенная, преднамеренная попытка и эксплуатация компьютерных систем, технологических предприятий и сетей и представляет собой кибератаку.</w:t>
      </w:r>
    </w:p>
    <w:p w14:paraId="3E944809" w14:textId="7B231052" w:rsidR="009910A2" w:rsidRPr="00C86889" w:rsidRDefault="00E2030A" w:rsidP="00532177">
      <w:pPr>
        <w:pStyle w:val="lead"/>
        <w:spacing w:before="0" w:beforeAutospacing="0" w:after="0" w:afterAutospacing="0"/>
        <w:ind w:firstLine="709"/>
        <w:jc w:val="both"/>
      </w:pPr>
      <w:r w:rsidRPr="00C86889">
        <w:t>Регулярное отслеживание и изучение новых видов кибератак и инструментов, применяемых злоумышленниками, позволяет более эфф</w:t>
      </w:r>
      <w:r w:rsidR="00D052FA" w:rsidRPr="00C86889">
        <w:t xml:space="preserve">ективно противостоять угрозам. </w:t>
      </w:r>
    </w:p>
    <w:p w14:paraId="599C63E0" w14:textId="06218381" w:rsidR="00FB5F49" w:rsidRPr="00C86889" w:rsidRDefault="00FB5F49" w:rsidP="00532177">
      <w:pPr>
        <w:pStyle w:val="lead"/>
        <w:spacing w:before="0" w:beforeAutospacing="0" w:after="0" w:afterAutospacing="0"/>
        <w:ind w:firstLine="709"/>
        <w:jc w:val="both"/>
      </w:pPr>
      <w:r w:rsidRPr="00C86889">
        <w:t>По показателям трех кварталов 2019 года, на финансовые организации была совершена 61 атака, в 2018 году – 92. В локальную сеть финансовых организаций злоумышленники проникали с использованием фишинга (74%) и вредоносного программного обеспечения (80%)</w:t>
      </w:r>
      <w:r w:rsidR="006E2442" w:rsidRPr="00C86889">
        <w:t xml:space="preserve"> [</w:t>
      </w:r>
      <w:r w:rsidR="00777524" w:rsidRPr="00C86889">
        <w:t>3</w:t>
      </w:r>
      <w:r w:rsidR="006E2442" w:rsidRPr="00C86889">
        <w:t>]</w:t>
      </w:r>
      <w:r w:rsidRPr="00C86889">
        <w:t>.</w:t>
      </w:r>
    </w:p>
    <w:p w14:paraId="5FB063B6" w14:textId="0CFA07F7" w:rsidR="007C5528" w:rsidRPr="00C86889" w:rsidRDefault="009910A2" w:rsidP="00532177">
      <w:pPr>
        <w:pStyle w:val="lead"/>
        <w:spacing w:before="0" w:beforeAutospacing="0" w:after="0" w:afterAutospacing="0"/>
        <w:ind w:firstLine="709"/>
        <w:jc w:val="both"/>
      </w:pPr>
      <w:r w:rsidRPr="00C86889">
        <w:t xml:space="preserve">Общее количество </w:t>
      </w:r>
      <w:r w:rsidR="00D70E18" w:rsidRPr="00C86889">
        <w:t>транзакций</w:t>
      </w:r>
      <w:r w:rsidRPr="00C86889">
        <w:t xml:space="preserve">, совершенных без согласия клиентов физических и юридических лиц </w:t>
      </w:r>
      <w:r w:rsidR="00251A61" w:rsidRPr="00C86889">
        <w:t xml:space="preserve">с применением электронных средств платежа, </w:t>
      </w:r>
      <w:r w:rsidRPr="00C86889">
        <w:t>в 2019 году составило порядка 576 тысяч единиц на сумму 6,4 млрд. рублей.</w:t>
      </w:r>
      <w:r w:rsidR="004E5FB5" w:rsidRPr="00C86889">
        <w:t xml:space="preserve"> </w:t>
      </w:r>
      <w:r w:rsidR="007C5528" w:rsidRPr="00C86889">
        <w:t xml:space="preserve">69% от общего объема </w:t>
      </w:r>
      <w:r w:rsidR="008F1D59" w:rsidRPr="00C86889">
        <w:t xml:space="preserve">несанкционированных операций </w:t>
      </w:r>
      <w:r w:rsidR="007C5528" w:rsidRPr="00C86889">
        <w:t>были совершены с использованием методов социальной инженерии, то есть клиентов побуждали самос</w:t>
      </w:r>
      <w:r w:rsidR="00384AB9" w:rsidRPr="00C86889">
        <w:t>тоятельно проводить транзакции обманывая их и злоупотребляя доверием.</w:t>
      </w:r>
      <w:r w:rsidR="00327E64" w:rsidRPr="00C86889">
        <w:t xml:space="preserve"> Возмещение по таким транзакциям, банкам</w:t>
      </w:r>
      <w:r w:rsidR="008568E8" w:rsidRPr="00C86889">
        <w:t>и составило 935 млн. руб. или 14,55</w:t>
      </w:r>
      <w:r w:rsidR="00327E64" w:rsidRPr="00C86889">
        <w:t xml:space="preserve">% от общей суммы. </w:t>
      </w:r>
    </w:p>
    <w:p w14:paraId="0CEE2712" w14:textId="77777777" w:rsidR="00261541" w:rsidRPr="00C86889" w:rsidRDefault="001F6DAF" w:rsidP="00532177">
      <w:pPr>
        <w:pStyle w:val="lead"/>
        <w:spacing w:before="0" w:beforeAutospacing="0" w:after="0" w:afterAutospacing="0"/>
        <w:ind w:firstLine="709"/>
        <w:jc w:val="both"/>
      </w:pPr>
      <w:r w:rsidRPr="00C86889">
        <w:t xml:space="preserve">Мошеннические действия в отношении операций физических лиц с использованием электронных средств платежа можно разделить на совершенные через: банкоматные и терминальные сети банков, импринтеры; CNP-транзакции или операции по оплате товаров и услуг в сети Интернет; системы дистанционного банковского обслуживания. </w:t>
      </w:r>
    </w:p>
    <w:p w14:paraId="45C971FB" w14:textId="54B1D2E6" w:rsidR="003D667E" w:rsidRPr="00C86889" w:rsidRDefault="00D15689" w:rsidP="00532177">
      <w:pPr>
        <w:pStyle w:val="lead"/>
        <w:spacing w:before="0" w:beforeAutospacing="0" w:after="0" w:afterAutospacing="0"/>
        <w:ind w:firstLine="709"/>
        <w:jc w:val="both"/>
      </w:pPr>
      <w:r w:rsidRPr="00C86889">
        <w:lastRenderedPageBreak/>
        <w:t>В отношении банковских карт, все чаше наблюдается тенденция к хищению и продаже текстовых данных, этому способствует распространение JS-снифферов</w:t>
      </w:r>
      <w:r w:rsidR="009F4666" w:rsidRPr="00C86889">
        <w:t>, которым в свою очередь уступаю</w:t>
      </w:r>
      <w:r w:rsidR="00BC4E04" w:rsidRPr="00C86889">
        <w:t>т</w:t>
      </w:r>
      <w:r w:rsidR="009F4666" w:rsidRPr="00C86889">
        <w:t xml:space="preserve"> даже банковские трояны</w:t>
      </w:r>
      <w:r w:rsidRPr="00C86889">
        <w:t>.</w:t>
      </w:r>
      <w:r w:rsidR="00BC4E04" w:rsidRPr="00C86889">
        <w:t xml:space="preserve"> </w:t>
      </w:r>
      <w:r w:rsidR="00C96258" w:rsidRPr="00C86889">
        <w:t>Для стран</w:t>
      </w:r>
      <w:r w:rsidR="00D97A56" w:rsidRPr="00C86889">
        <w:t>, в которых не распространена система 3D Secure,</w:t>
      </w:r>
      <w:r w:rsidR="00BC4E04" w:rsidRPr="00C86889">
        <w:t xml:space="preserve"> </w:t>
      </w:r>
      <w:r w:rsidR="00C96258" w:rsidRPr="00C86889">
        <w:t>данная угроза будет актуальна</w:t>
      </w:r>
      <w:r w:rsidR="00A20930" w:rsidRPr="00C86889">
        <w:t xml:space="preserve"> [</w:t>
      </w:r>
      <w:r w:rsidR="00777524" w:rsidRPr="00C86889">
        <w:t>4</w:t>
      </w:r>
      <w:r w:rsidR="00A20930" w:rsidRPr="00C86889">
        <w:t>]</w:t>
      </w:r>
      <w:r w:rsidR="00495EC4" w:rsidRPr="00C86889">
        <w:t xml:space="preserve">. </w:t>
      </w:r>
    </w:p>
    <w:p w14:paraId="5C26800D" w14:textId="5EF4CD1D" w:rsidR="006A2F0E" w:rsidRPr="00C86889" w:rsidRDefault="006A2F0E" w:rsidP="00532177">
      <w:pPr>
        <w:pStyle w:val="lead"/>
        <w:spacing w:before="0" w:beforeAutospacing="0" w:after="0" w:afterAutospacing="0"/>
        <w:ind w:firstLine="709"/>
        <w:jc w:val="both"/>
      </w:pPr>
      <w:r w:rsidRPr="00C86889">
        <w:t>Наибольшая доля применения методов социальной инженерии в целях хищения средств физических лиц, относится к операциям систем дистанционного банковского обслуживания – около 88,9%</w:t>
      </w:r>
      <w:r w:rsidR="0023416B" w:rsidRPr="00C86889">
        <w:t xml:space="preserve">. </w:t>
      </w:r>
      <w:r w:rsidR="00AD72A0" w:rsidRPr="00C86889">
        <w:t>Для мошенников</w:t>
      </w:r>
      <w:r w:rsidR="007F016B" w:rsidRPr="00C86889">
        <w:t xml:space="preserve"> наибольший интерес к получению доступа к системам ДБО объясняется возможностью завладеть большим объемов средств на счетах клиента. </w:t>
      </w:r>
      <w:r w:rsidR="0023416B" w:rsidRPr="00C86889">
        <w:t xml:space="preserve">Объем ущерба клиентов составил 2227 млн. руб., возмещение банками составило порядка 7% или 162,3 млн. руб. </w:t>
      </w:r>
    </w:p>
    <w:p w14:paraId="4C0B52B5" w14:textId="0BF1B066" w:rsidR="007E0334" w:rsidRPr="00C86889" w:rsidRDefault="003321BB" w:rsidP="00532177">
      <w:pPr>
        <w:pStyle w:val="lead"/>
        <w:spacing w:before="0" w:beforeAutospacing="0" w:after="0" w:afterAutospacing="0"/>
        <w:ind w:firstLine="709"/>
        <w:jc w:val="both"/>
      </w:pPr>
      <w:r w:rsidRPr="00C86889">
        <w:t xml:space="preserve">Большая часть мошеннических операций в отношении физических лиц территориально относится к Центральному федеральному округу (рис. </w:t>
      </w:r>
      <w:r w:rsidR="001C0A24">
        <w:t>1</w:t>
      </w:r>
      <w:r w:rsidRPr="00C86889">
        <w:t xml:space="preserve">). Эта особенность объясняется развитием инфраструктуры регионов, а соответственно и уровнем обеспечения населения финансовыми услугами. </w:t>
      </w:r>
    </w:p>
    <w:p w14:paraId="6970B761" w14:textId="77777777" w:rsidR="006574C0" w:rsidRPr="00C86889" w:rsidRDefault="006574C0" w:rsidP="00532177">
      <w:pPr>
        <w:pStyle w:val="lead"/>
        <w:spacing w:before="0" w:beforeAutospacing="0" w:after="0" w:afterAutospacing="0"/>
        <w:ind w:firstLine="709"/>
        <w:jc w:val="both"/>
        <w:rPr>
          <w:rStyle w:val="mw-headline"/>
          <w:b/>
          <w:bCs/>
        </w:rPr>
      </w:pPr>
    </w:p>
    <w:p w14:paraId="2437E4F9" w14:textId="77777777" w:rsidR="007E0334" w:rsidRPr="00C86889" w:rsidRDefault="007E0334" w:rsidP="00532177">
      <w:pPr>
        <w:jc w:val="both"/>
        <w:rPr>
          <w:rStyle w:val="mw-headline"/>
          <w:b/>
          <w:bCs/>
        </w:rPr>
      </w:pPr>
      <w:r w:rsidRPr="00C86889">
        <w:rPr>
          <w:noProof/>
        </w:rPr>
        <w:drawing>
          <wp:inline distT="0" distB="0" distL="0" distR="0" wp14:anchorId="5CD37EEF" wp14:editId="38B98784">
            <wp:extent cx="6152515" cy="2828925"/>
            <wp:effectExtent l="0" t="0" r="6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FF33E9" w14:textId="77777777" w:rsidR="00400910" w:rsidRPr="00C86889" w:rsidRDefault="00400910" w:rsidP="00532177">
      <w:pPr>
        <w:ind w:firstLine="709"/>
        <w:jc w:val="center"/>
      </w:pPr>
    </w:p>
    <w:p w14:paraId="5AAD04A5" w14:textId="3AA09801" w:rsidR="00E9205B" w:rsidRPr="00C86889" w:rsidRDefault="00400910" w:rsidP="00532177">
      <w:pPr>
        <w:ind w:firstLine="709"/>
        <w:jc w:val="center"/>
      </w:pPr>
      <w:r w:rsidRPr="00C86889">
        <w:t xml:space="preserve">Рисунок </w:t>
      </w:r>
      <w:r w:rsidR="001C0A24">
        <w:t>1</w:t>
      </w:r>
      <w:r w:rsidRPr="00C86889">
        <w:t xml:space="preserve">. </w:t>
      </w:r>
      <w:r w:rsidR="00E9205B" w:rsidRPr="00C86889">
        <w:t>Количество и объем переводов денежных средств без согласия клиента</w:t>
      </w:r>
      <w:r w:rsidR="003D2A92" w:rsidRPr="00C86889">
        <w:t xml:space="preserve"> физического лица</w:t>
      </w:r>
      <w:r w:rsidR="00E9205B" w:rsidRPr="00C86889">
        <w:t xml:space="preserve"> по месту совершения операции (без учета Московского округа) за 2019 год, тыс. руб., ед. [</w:t>
      </w:r>
      <w:r w:rsidR="00777524" w:rsidRPr="00C86889">
        <w:t>5</w:t>
      </w:r>
      <w:r w:rsidR="00E9205B" w:rsidRPr="00C86889">
        <w:t>].</w:t>
      </w:r>
    </w:p>
    <w:p w14:paraId="59977E13" w14:textId="77777777" w:rsidR="00400910" w:rsidRPr="00C86889" w:rsidRDefault="00400910" w:rsidP="00532177">
      <w:pPr>
        <w:ind w:firstLine="709"/>
        <w:jc w:val="center"/>
      </w:pPr>
    </w:p>
    <w:p w14:paraId="3A980EF9" w14:textId="77777777" w:rsidR="00A6559A" w:rsidRPr="00C86889" w:rsidRDefault="00A6559A" w:rsidP="00532177">
      <w:pPr>
        <w:ind w:firstLine="709"/>
        <w:jc w:val="both"/>
        <w:rPr>
          <w:rStyle w:val="mw-headline"/>
          <w:bCs/>
        </w:rPr>
      </w:pPr>
      <w:r w:rsidRPr="00C86889">
        <w:rPr>
          <w:rStyle w:val="mw-headline"/>
          <w:bCs/>
        </w:rPr>
        <w:t>По операциям клиентов юридических лиц в 2019 году было сообщено о 4609 транзакций без согласия клиента. Общая сумма хищения составила 701 млн. руб., банками было возмещено клиентам корпоративного сектора около 10% или 65 млн. руб.</w:t>
      </w:r>
      <w:r w:rsidR="00F9640D" w:rsidRPr="00C86889">
        <w:rPr>
          <w:rStyle w:val="mw-headline"/>
          <w:bCs/>
        </w:rPr>
        <w:t xml:space="preserve"> Лишь 16% от общего объема мошеннических операций было совершено с применением социальной инженерии. Остальная часть относится к операциям по получению доступа к системам дистанционного банковского обслуживания клиентов, с применением вирусного программного обеспечения.</w:t>
      </w:r>
      <w:r w:rsidR="00691DC2" w:rsidRPr="00C86889">
        <w:rPr>
          <w:rStyle w:val="mw-headline"/>
          <w:bCs/>
        </w:rPr>
        <w:t xml:space="preserve"> </w:t>
      </w:r>
    </w:p>
    <w:p w14:paraId="768348E9" w14:textId="59AA7C44" w:rsidR="00691DC2" w:rsidRPr="00C86889" w:rsidRDefault="00691DC2" w:rsidP="00532177">
      <w:pPr>
        <w:ind w:firstLine="709"/>
        <w:jc w:val="both"/>
        <w:rPr>
          <w:rStyle w:val="mw-headline"/>
          <w:bCs/>
        </w:rPr>
      </w:pPr>
      <w:r w:rsidRPr="00C86889">
        <w:rPr>
          <w:rStyle w:val="mw-headline"/>
          <w:bCs/>
        </w:rPr>
        <w:t>Информация о несанкционированных операциях, территориально, приводится в зависимости от места ведения расчетного счета, то есть места обращения клиента юридического лица в обслуживающий банк</w:t>
      </w:r>
      <w:r w:rsidR="00AE0C27" w:rsidRPr="00C86889">
        <w:rPr>
          <w:rStyle w:val="mw-headline"/>
          <w:bCs/>
        </w:rPr>
        <w:t xml:space="preserve"> (рис.</w:t>
      </w:r>
      <w:r w:rsidR="001C0A24">
        <w:rPr>
          <w:rStyle w:val="mw-headline"/>
          <w:bCs/>
        </w:rPr>
        <w:t>2</w:t>
      </w:r>
      <w:r w:rsidR="00AE0C27" w:rsidRPr="00C86889">
        <w:rPr>
          <w:rStyle w:val="mw-headline"/>
          <w:bCs/>
        </w:rPr>
        <w:t>)</w:t>
      </w:r>
      <w:r w:rsidRPr="00C86889">
        <w:rPr>
          <w:rStyle w:val="mw-headline"/>
          <w:bCs/>
        </w:rPr>
        <w:t xml:space="preserve">. </w:t>
      </w:r>
    </w:p>
    <w:p w14:paraId="25910669" w14:textId="77777777" w:rsidR="00655D63" w:rsidRPr="00C86889" w:rsidRDefault="00655D63" w:rsidP="00532177">
      <w:pPr>
        <w:jc w:val="both"/>
        <w:rPr>
          <w:rStyle w:val="mw-headline"/>
          <w:b/>
          <w:bCs/>
        </w:rPr>
      </w:pPr>
    </w:p>
    <w:p w14:paraId="47AFB60C" w14:textId="77777777" w:rsidR="0070780D" w:rsidRPr="00C86889" w:rsidRDefault="0070780D" w:rsidP="00532177">
      <w:pPr>
        <w:jc w:val="both"/>
        <w:rPr>
          <w:rStyle w:val="mw-headline"/>
          <w:b/>
          <w:bCs/>
        </w:rPr>
      </w:pPr>
      <w:r w:rsidRPr="00C86889">
        <w:rPr>
          <w:noProof/>
        </w:rPr>
        <w:lastRenderedPageBreak/>
        <w:drawing>
          <wp:inline distT="0" distB="0" distL="0" distR="0" wp14:anchorId="4090B3FC" wp14:editId="0A55AD02">
            <wp:extent cx="6152515" cy="2828925"/>
            <wp:effectExtent l="0" t="0" r="63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FAA9D0" w14:textId="2632C65E" w:rsidR="0070780D" w:rsidRPr="00C86889" w:rsidRDefault="00F97EA5" w:rsidP="00532177">
      <w:pPr>
        <w:ind w:firstLine="709"/>
        <w:jc w:val="center"/>
        <w:rPr>
          <w:i/>
        </w:rPr>
      </w:pPr>
      <w:r w:rsidRPr="00C86889">
        <w:t xml:space="preserve">Рисунок </w:t>
      </w:r>
      <w:r w:rsidR="001C0A24">
        <w:t>2</w:t>
      </w:r>
      <w:r w:rsidRPr="00C86889">
        <w:t xml:space="preserve">. </w:t>
      </w:r>
      <w:r w:rsidR="0070780D" w:rsidRPr="00C86889">
        <w:t>Количество и объем переводов денежных средств без согласия клиента юридического лица по месту совершения операции (без учета Московского округа) за 2019 год, тыс. руб., ед. [</w:t>
      </w:r>
      <w:r w:rsidR="00777524" w:rsidRPr="00C86889">
        <w:t>6</w:t>
      </w:r>
      <w:r w:rsidR="0070780D" w:rsidRPr="00C86889">
        <w:t>]</w:t>
      </w:r>
    </w:p>
    <w:p w14:paraId="6F42D29D" w14:textId="77777777" w:rsidR="002F35FD" w:rsidRPr="00C86889" w:rsidRDefault="002F35FD" w:rsidP="00532177">
      <w:pPr>
        <w:ind w:firstLine="709"/>
        <w:jc w:val="center"/>
      </w:pPr>
    </w:p>
    <w:p w14:paraId="2B5138CD" w14:textId="77777777" w:rsidR="00655D63" w:rsidRPr="00C86889" w:rsidRDefault="00655D63" w:rsidP="00532177">
      <w:pPr>
        <w:ind w:firstLine="709"/>
        <w:jc w:val="both"/>
        <w:rPr>
          <w:rStyle w:val="mw-headline"/>
          <w:bCs/>
        </w:rPr>
      </w:pPr>
      <w:r w:rsidRPr="00C86889">
        <w:rPr>
          <w:rStyle w:val="mw-headline"/>
          <w:bCs/>
        </w:rPr>
        <w:t>Наибольшее количество операций по счетам юридических лиц, без их согласия, сосредоточенно в Центральном федеральном округе. Данная тенденция объясняется повышенным интересов злоумышленников к хищению с использованием систем ДБО корпоративных клиентов, их территориальной концентрацией.</w:t>
      </w:r>
    </w:p>
    <w:p w14:paraId="65FCD8B4" w14:textId="77777777" w:rsidR="002404E0" w:rsidRPr="00C86889" w:rsidRDefault="002404E0" w:rsidP="00532177">
      <w:pPr>
        <w:ind w:firstLine="709"/>
        <w:jc w:val="both"/>
        <w:rPr>
          <w:rStyle w:val="mw-headline"/>
          <w:b/>
          <w:bCs/>
        </w:rPr>
      </w:pPr>
      <w:r w:rsidRPr="00C86889">
        <w:rPr>
          <w:rStyle w:val="mw-headline"/>
          <w:b/>
          <w:bCs/>
        </w:rPr>
        <w:t>Выводы</w:t>
      </w:r>
    </w:p>
    <w:p w14:paraId="30125AA1" w14:textId="6F104A98" w:rsidR="002404E0" w:rsidRPr="00C86889" w:rsidRDefault="00E95E93" w:rsidP="00532177">
      <w:pPr>
        <w:ind w:firstLine="709"/>
        <w:jc w:val="both"/>
        <w:rPr>
          <w:rStyle w:val="mw-headline"/>
          <w:bCs/>
        </w:rPr>
      </w:pPr>
      <w:r w:rsidRPr="00C86889">
        <w:rPr>
          <w:rStyle w:val="mw-headline"/>
          <w:bCs/>
        </w:rPr>
        <w:t>По-прежнему</w:t>
      </w:r>
      <w:r w:rsidR="002861D8" w:rsidRPr="00C86889">
        <w:rPr>
          <w:rStyle w:val="mw-headline"/>
          <w:bCs/>
        </w:rPr>
        <w:t xml:space="preserve"> использование вредоносного программного обеспечения</w:t>
      </w:r>
      <w:r w:rsidRPr="00C86889">
        <w:rPr>
          <w:rStyle w:val="mw-headline"/>
          <w:bCs/>
        </w:rPr>
        <w:t>, фишинига</w:t>
      </w:r>
      <w:r w:rsidR="002861D8" w:rsidRPr="00C86889">
        <w:rPr>
          <w:rStyle w:val="mw-headline"/>
          <w:bCs/>
        </w:rPr>
        <w:t xml:space="preserve"> и социальной инженерии является основными способами получения несанкционированного доступа к информации пользователей. </w:t>
      </w:r>
      <w:r w:rsidR="00E564BC" w:rsidRPr="00C86889">
        <w:rPr>
          <w:rStyle w:val="mw-headline"/>
          <w:bCs/>
        </w:rPr>
        <w:t xml:space="preserve">Проблема невозможности обеспечения собственной информационной безопасности все еще актуальна среди пользователей. </w:t>
      </w:r>
      <w:r w:rsidR="00E167EC" w:rsidRPr="00C86889">
        <w:rPr>
          <w:rStyle w:val="mw-headline"/>
          <w:bCs/>
        </w:rPr>
        <w:t xml:space="preserve">Большинство интернет-сервисов используют двойную аутентификацию при предоставлении доступа </w:t>
      </w:r>
      <w:r w:rsidR="00E454F8" w:rsidRPr="00C86889">
        <w:rPr>
          <w:rStyle w:val="mw-headline"/>
          <w:bCs/>
        </w:rPr>
        <w:t>пользователей</w:t>
      </w:r>
      <w:r w:rsidR="00E167EC" w:rsidRPr="00C86889">
        <w:rPr>
          <w:rStyle w:val="mw-headline"/>
          <w:bCs/>
        </w:rPr>
        <w:t xml:space="preserve"> </w:t>
      </w:r>
      <w:r w:rsidR="001D49FA" w:rsidRPr="00C86889">
        <w:rPr>
          <w:rStyle w:val="mw-headline"/>
          <w:bCs/>
        </w:rPr>
        <w:t>к их аккаунтам</w:t>
      </w:r>
      <w:r w:rsidR="00E167EC" w:rsidRPr="00C86889">
        <w:rPr>
          <w:rStyle w:val="mw-headline"/>
          <w:bCs/>
        </w:rPr>
        <w:t>, что позволяет сокращать количество атак.</w:t>
      </w:r>
    </w:p>
    <w:p w14:paraId="4B2B9D91" w14:textId="60BB2F47" w:rsidR="001D49FA" w:rsidRPr="00C86889" w:rsidRDefault="001D49FA" w:rsidP="00532177">
      <w:pPr>
        <w:ind w:firstLine="709"/>
        <w:jc w:val="both"/>
        <w:rPr>
          <w:rStyle w:val="mw-headline"/>
          <w:bCs/>
        </w:rPr>
      </w:pPr>
      <w:r w:rsidRPr="00C86889">
        <w:rPr>
          <w:rStyle w:val="mw-headline"/>
          <w:bCs/>
        </w:rPr>
        <w:t>В 3 квартале 2019 года, 64% составили атаки с целью получения данных клиентов физических лиц, из них 47% преследовали кражу данных интерне</w:t>
      </w:r>
      <w:r w:rsidR="008F4D3E" w:rsidRPr="00C86889">
        <w:rPr>
          <w:rStyle w:val="mw-headline"/>
          <w:bCs/>
        </w:rPr>
        <w:t>т</w:t>
      </w:r>
      <w:r w:rsidRPr="00C86889">
        <w:rPr>
          <w:rStyle w:val="mw-headline"/>
          <w:bCs/>
        </w:rPr>
        <w:t>-сервисов, 23% - данные карт, 12% - персональные данные пользователей, остальн</w:t>
      </w:r>
      <w:r w:rsidR="003752B0" w:rsidRPr="00C86889">
        <w:rPr>
          <w:rStyle w:val="mw-headline"/>
          <w:bCs/>
        </w:rPr>
        <w:t>ые – доступ к личной переписке [</w:t>
      </w:r>
      <w:r w:rsidR="00777524" w:rsidRPr="00C86889">
        <w:rPr>
          <w:rStyle w:val="mw-headline"/>
          <w:bCs/>
        </w:rPr>
        <w:t>7</w:t>
      </w:r>
      <w:r w:rsidR="003752B0" w:rsidRPr="00C86889">
        <w:rPr>
          <w:rStyle w:val="mw-headline"/>
          <w:bCs/>
        </w:rPr>
        <w:t>].</w:t>
      </w:r>
    </w:p>
    <w:p w14:paraId="63489DAA" w14:textId="77777777" w:rsidR="006C3BC7" w:rsidRPr="00C86889" w:rsidRDefault="0011314F" w:rsidP="00532177">
      <w:pPr>
        <w:ind w:firstLine="709"/>
        <w:jc w:val="both"/>
      </w:pPr>
      <w:r w:rsidRPr="00C86889">
        <w:rPr>
          <w:rStyle w:val="mw-headline"/>
          <w:bCs/>
        </w:rPr>
        <w:t>Согласно исследованию экспертов</w:t>
      </w:r>
      <w:r w:rsidR="00C334E8" w:rsidRPr="00C86889">
        <w:rPr>
          <w:rStyle w:val="mw-headline"/>
          <w:bCs/>
        </w:rPr>
        <w:t xml:space="preserve"> </w:t>
      </w:r>
      <w:r w:rsidR="00C334E8" w:rsidRPr="00C86889">
        <w:rPr>
          <w:rStyle w:val="mw-headline"/>
          <w:bCs/>
          <w:lang w:val="en-US"/>
        </w:rPr>
        <w:t>Positive</w:t>
      </w:r>
      <w:r w:rsidR="00C334E8" w:rsidRPr="00C86889">
        <w:rPr>
          <w:rStyle w:val="mw-headline"/>
          <w:bCs/>
        </w:rPr>
        <w:t xml:space="preserve"> </w:t>
      </w:r>
      <w:r w:rsidR="00C334E8" w:rsidRPr="00C86889">
        <w:rPr>
          <w:rStyle w:val="mw-headline"/>
          <w:bCs/>
          <w:lang w:val="en-US"/>
        </w:rPr>
        <w:t>Technologies</w:t>
      </w:r>
      <w:r w:rsidRPr="00C86889">
        <w:rPr>
          <w:rStyle w:val="mw-headline"/>
          <w:bCs/>
        </w:rPr>
        <w:t>, 92% веб-приложений не защищены от проведения атак на пользователей. Из-за недостатков безопасности сайтов, злоумышленники получают не только возможность контролиров</w:t>
      </w:r>
      <w:r w:rsidR="002536DD" w:rsidRPr="00C86889">
        <w:rPr>
          <w:rStyle w:val="mw-headline"/>
          <w:bCs/>
        </w:rPr>
        <w:t xml:space="preserve">ать веб-приложение, но и сервер, что позволяет распространять вредоносное программное обеспечение, использовать </w:t>
      </w:r>
      <w:r w:rsidR="002536DD" w:rsidRPr="00C86889">
        <w:t xml:space="preserve">JavaScript-снифферы с целью доступа к </w:t>
      </w:r>
      <w:r w:rsidR="00BA08F4" w:rsidRPr="00C86889">
        <w:t>конфиденциальным данным</w:t>
      </w:r>
      <w:r w:rsidR="002536DD" w:rsidRPr="00C86889">
        <w:t xml:space="preserve">. </w:t>
      </w:r>
      <w:r w:rsidR="00B33802" w:rsidRPr="00C86889">
        <w:t>Тенденция к увеличению интернет-</w:t>
      </w:r>
      <w:r w:rsidR="00747DEA" w:rsidRPr="00C86889">
        <w:t>трафика</w:t>
      </w:r>
      <w:r w:rsidR="00B33802" w:rsidRPr="00C86889">
        <w:t xml:space="preserve"> говорит о важности данной проблемы и необходимости ее решения. </w:t>
      </w:r>
    </w:p>
    <w:p w14:paraId="73D5625D" w14:textId="77777777" w:rsidR="006C3BC7" w:rsidRPr="00C86889" w:rsidRDefault="00C74DA6" w:rsidP="00532177">
      <w:pPr>
        <w:ind w:firstLine="709"/>
        <w:jc w:val="both"/>
        <w:rPr>
          <w:rStyle w:val="mw-headline"/>
          <w:bCs/>
        </w:rPr>
      </w:pPr>
      <w:r w:rsidRPr="00C86889">
        <w:rPr>
          <w:rStyle w:val="mw-headline"/>
          <w:bCs/>
        </w:rPr>
        <w:t>Применение двухфазной аутентификации плательщика будет способствовать повышению безопасности банковских систем, карточных платежей и бесконтактной оплаты. Двухфазная аутентификация предполагает проверку двух из трех элементов (ПИН-код, отпечаток пальца, лицо и т.п.), например</w:t>
      </w:r>
      <w:r w:rsidR="0018610D" w:rsidRPr="00C86889">
        <w:rPr>
          <w:rStyle w:val="mw-headline"/>
          <w:bCs/>
        </w:rPr>
        <w:t>,</w:t>
      </w:r>
      <w:r w:rsidRPr="00C86889">
        <w:rPr>
          <w:rStyle w:val="mw-headline"/>
          <w:bCs/>
        </w:rPr>
        <w:t xml:space="preserve"> после проведения нескольких бесконтактных платежей, необходимо вставить карту в считыватель чипа, а ввести ПИН или авторизоваться по отпечатку п</w:t>
      </w:r>
      <w:r w:rsidR="00BA08F4" w:rsidRPr="00C86889">
        <w:rPr>
          <w:rStyle w:val="mw-headline"/>
          <w:bCs/>
        </w:rPr>
        <w:t xml:space="preserve">альца. </w:t>
      </w:r>
    </w:p>
    <w:p w14:paraId="5C2B814B" w14:textId="77777777" w:rsidR="00E24344" w:rsidRPr="00C86889" w:rsidRDefault="00E24344" w:rsidP="00532177">
      <w:pPr>
        <w:ind w:firstLine="709"/>
        <w:jc w:val="both"/>
        <w:rPr>
          <w:rStyle w:val="mw-headline"/>
          <w:bCs/>
        </w:rPr>
      </w:pPr>
      <w:r w:rsidRPr="00C86889">
        <w:rPr>
          <w:rStyle w:val="mw-headline"/>
          <w:bCs/>
        </w:rPr>
        <w:t xml:space="preserve">Также для снижения количества мошеннических операций, необходимо повышать уровень квалификации сотрудников в области информационной безопасности, с целью </w:t>
      </w:r>
      <w:r w:rsidRPr="00C86889">
        <w:rPr>
          <w:rStyle w:val="mw-headline"/>
          <w:bCs/>
        </w:rPr>
        <w:lastRenderedPageBreak/>
        <w:t>обеспечения противодейств</w:t>
      </w:r>
      <w:r w:rsidR="00FC6EED" w:rsidRPr="00C86889">
        <w:rPr>
          <w:rStyle w:val="mw-headline"/>
          <w:bCs/>
        </w:rPr>
        <w:t>ия попыткам хищения информации, а также</w:t>
      </w:r>
      <w:r w:rsidR="00E454F8" w:rsidRPr="00C86889">
        <w:rPr>
          <w:rStyle w:val="mw-headline"/>
          <w:bCs/>
        </w:rPr>
        <w:t xml:space="preserve"> и</w:t>
      </w:r>
      <w:r w:rsidR="00FC6EED" w:rsidRPr="00C86889">
        <w:rPr>
          <w:rStyle w:val="mw-headline"/>
          <w:bCs/>
        </w:rPr>
        <w:t xml:space="preserve"> </w:t>
      </w:r>
      <w:r w:rsidRPr="00C86889">
        <w:rPr>
          <w:rStyle w:val="mw-headline"/>
          <w:bCs/>
        </w:rPr>
        <w:t>электронных денежных средств.</w:t>
      </w:r>
    </w:p>
    <w:p w14:paraId="0C0C0FAA" w14:textId="0525A1D3" w:rsidR="00E21926" w:rsidRPr="00C86889" w:rsidRDefault="00F22D1D" w:rsidP="00532177">
      <w:pPr>
        <w:ind w:firstLine="709"/>
        <w:jc w:val="both"/>
        <w:rPr>
          <w:rStyle w:val="mw-headline"/>
          <w:bCs/>
        </w:rPr>
      </w:pPr>
      <w:r w:rsidRPr="00C86889">
        <w:rPr>
          <w:rStyle w:val="mw-headline"/>
          <w:bCs/>
        </w:rPr>
        <w:t xml:space="preserve"> В целях повышения эффективности производства, предприятия добывающей и перерабатывающей промышленности используют новейшие технологии. При разработке месторождений необходимо пристально следить за соблюдением экологических требований</w:t>
      </w:r>
      <w:r w:rsidR="00FE09D4" w:rsidRPr="00C86889">
        <w:rPr>
          <w:rStyle w:val="mw-headline"/>
          <w:bCs/>
        </w:rPr>
        <w:t xml:space="preserve"> [15]</w:t>
      </w:r>
      <w:r w:rsidRPr="00C86889">
        <w:rPr>
          <w:rStyle w:val="mw-headline"/>
          <w:bCs/>
        </w:rPr>
        <w:t>. Отрасль энергетики не является исключением и также занимается разработками в области производства энергии без ущерба экологии.</w:t>
      </w:r>
      <w:r w:rsidR="005F62C0" w:rsidRPr="00C86889">
        <w:rPr>
          <w:rStyle w:val="mw-headline"/>
          <w:bCs/>
        </w:rPr>
        <w:t xml:space="preserve"> На сегодняшний день проблемы экологии и производства тесно взаимосвязаны и недостаточно изучены. Помимо соблюдения конфиденциальности производственных процессов, также тщательно необходимо относится и к любого рода разработкам.</w:t>
      </w:r>
      <w:r w:rsidRPr="00C86889">
        <w:rPr>
          <w:rStyle w:val="mw-headline"/>
          <w:bCs/>
        </w:rPr>
        <w:t xml:space="preserve"> Новые технологии и разработки ведущих исследований являются объектом повышенной опасности </w:t>
      </w:r>
      <w:r w:rsidR="00D36712" w:rsidRPr="00C86889">
        <w:rPr>
          <w:rStyle w:val="mw-headline"/>
          <w:bCs/>
        </w:rPr>
        <w:t xml:space="preserve">с точки зрения хищения информации </w:t>
      </w:r>
      <w:r w:rsidRPr="00C86889">
        <w:rPr>
          <w:rStyle w:val="mw-headline"/>
          <w:bCs/>
        </w:rPr>
        <w:t>со стороны конкурентов.</w:t>
      </w:r>
      <w:r w:rsidR="00AF19C8" w:rsidRPr="00C86889">
        <w:rPr>
          <w:rStyle w:val="mw-headline"/>
          <w:bCs/>
        </w:rPr>
        <w:t xml:space="preserve"> Источником доступа может стать как программное обеспечение, зараженное вирусными программами, так и хищение данных доступа к учетной</w:t>
      </w:r>
      <w:r w:rsidR="00E91A37" w:rsidRPr="00C86889">
        <w:rPr>
          <w:rStyle w:val="mw-headline"/>
          <w:bCs/>
        </w:rPr>
        <w:t xml:space="preserve"> записи, ПК, электронной почте</w:t>
      </w:r>
      <w:r w:rsidR="00AF19C8" w:rsidRPr="00C86889">
        <w:rPr>
          <w:rStyle w:val="mw-headline"/>
          <w:bCs/>
        </w:rPr>
        <w:t>.</w:t>
      </w:r>
      <w:r w:rsidR="00E91A37" w:rsidRPr="00C86889">
        <w:rPr>
          <w:rStyle w:val="mw-headline"/>
          <w:bCs/>
        </w:rPr>
        <w:t xml:space="preserve"> Не редко проблемой информационной безопасности становится человеческий фактор.</w:t>
      </w:r>
      <w:r w:rsidRPr="00C86889">
        <w:rPr>
          <w:rStyle w:val="mw-headline"/>
          <w:bCs/>
        </w:rPr>
        <w:t xml:space="preserve"> В целях защиты коммерческой тайны предприятий</w:t>
      </w:r>
      <w:r w:rsidR="00C20E4A" w:rsidRPr="00C86889">
        <w:rPr>
          <w:rStyle w:val="mw-headline"/>
          <w:bCs/>
        </w:rPr>
        <w:t xml:space="preserve"> целесообразно перенять опыт банковской сферы, поскольку он сопряжен с повышенным рисков из-за своей специфики. </w:t>
      </w:r>
    </w:p>
    <w:p w14:paraId="0FBDD86C" w14:textId="77777777" w:rsidR="001D1473" w:rsidRPr="00C86889" w:rsidRDefault="001D1473" w:rsidP="00532177">
      <w:pPr>
        <w:ind w:firstLine="709"/>
        <w:jc w:val="both"/>
        <w:rPr>
          <w:rStyle w:val="mw-headline"/>
          <w:bCs/>
        </w:rPr>
      </w:pPr>
    </w:p>
    <w:p w14:paraId="01B4857A" w14:textId="05713BCB" w:rsidR="002C1E49" w:rsidRPr="00C86889" w:rsidRDefault="002C1E49" w:rsidP="00532177">
      <w:pPr>
        <w:ind w:firstLine="709"/>
        <w:jc w:val="center"/>
        <w:rPr>
          <w:rStyle w:val="mw-headline"/>
          <w:bCs/>
        </w:rPr>
      </w:pPr>
      <w:r w:rsidRPr="00C86889">
        <w:rPr>
          <w:b/>
        </w:rPr>
        <w:t>Библиографический список</w:t>
      </w:r>
    </w:p>
    <w:p w14:paraId="5CEF7AA5" w14:textId="1D9292E6" w:rsidR="007320D5" w:rsidRPr="001C0A24" w:rsidRDefault="0033474D" w:rsidP="00532177">
      <w:pPr>
        <w:ind w:firstLine="709"/>
        <w:jc w:val="both"/>
        <w:rPr>
          <w:bCs/>
        </w:rPr>
      </w:pPr>
      <w:r w:rsidRPr="001C0A24">
        <w:rPr>
          <w:bCs/>
        </w:rPr>
        <w:t xml:space="preserve">1. </w:t>
      </w:r>
      <w:r w:rsidR="005958DF" w:rsidRPr="001C0A24">
        <w:rPr>
          <w:bCs/>
        </w:rPr>
        <w:t>Цаплев, Д. Н. Особенности транзакционного подхода в анализе межбанковской конкуренции / Д. Н. Цаплев // Проблемы экономики и менеджмента. – 2016. – № 4 (8). – С. 80–90.</w:t>
      </w:r>
    </w:p>
    <w:p w14:paraId="6A410672" w14:textId="778ACCE1" w:rsidR="007320D5" w:rsidRPr="001C0A24" w:rsidRDefault="0033474D" w:rsidP="00532177">
      <w:pPr>
        <w:ind w:firstLine="709"/>
        <w:jc w:val="both"/>
        <w:rPr>
          <w:bCs/>
        </w:rPr>
      </w:pPr>
      <w:r w:rsidRPr="001C0A24">
        <w:rPr>
          <w:bCs/>
        </w:rPr>
        <w:t xml:space="preserve">2. </w:t>
      </w:r>
      <w:r w:rsidR="00DC56EB" w:rsidRPr="001C0A24">
        <w:rPr>
          <w:bCs/>
        </w:rPr>
        <w:t xml:space="preserve">Бакулина А.А., Попова В.В. Влияние финтеха на безопасность банковского сектора // Экономика. Налоги. Право. 2018. №2. </w:t>
      </w:r>
      <w:r w:rsidR="00DC56EB" w:rsidRPr="00C86889">
        <w:rPr>
          <w:bCs/>
          <w:lang w:val="en-US"/>
        </w:rPr>
        <w:t>URL</w:t>
      </w:r>
      <w:r w:rsidR="00DC56EB" w:rsidRPr="001C0A24">
        <w:rPr>
          <w:bCs/>
        </w:rPr>
        <w:t xml:space="preserve">: </w:t>
      </w:r>
      <w:hyperlink r:id="rId10" w:history="1">
        <w:r w:rsidR="00DC56EB" w:rsidRPr="00C86889">
          <w:rPr>
            <w:lang w:val="en-US"/>
          </w:rPr>
          <w:t>https</w:t>
        </w:r>
        <w:r w:rsidR="00DC56EB" w:rsidRPr="001C0A24">
          <w:t>://</w:t>
        </w:r>
        <w:r w:rsidR="00DC56EB" w:rsidRPr="00C86889">
          <w:rPr>
            <w:lang w:val="en-US"/>
          </w:rPr>
          <w:t>cyberleninka</w:t>
        </w:r>
        <w:r w:rsidR="00DC56EB" w:rsidRPr="001C0A24">
          <w:t>.</w:t>
        </w:r>
        <w:r w:rsidR="00DC56EB" w:rsidRPr="00C86889">
          <w:rPr>
            <w:lang w:val="en-US"/>
          </w:rPr>
          <w:t>ru</w:t>
        </w:r>
        <w:r w:rsidR="00DC56EB" w:rsidRPr="001C0A24">
          <w:t>/</w:t>
        </w:r>
        <w:r w:rsidR="00DC56EB" w:rsidRPr="00C86889">
          <w:rPr>
            <w:lang w:val="en-US"/>
          </w:rPr>
          <w:t>article</w:t>
        </w:r>
        <w:r w:rsidR="00DC56EB" w:rsidRPr="001C0A24">
          <w:t>/</w:t>
        </w:r>
        <w:r w:rsidR="00DC56EB" w:rsidRPr="00C86889">
          <w:rPr>
            <w:lang w:val="en-US"/>
          </w:rPr>
          <w:t>n</w:t>
        </w:r>
        <w:r w:rsidR="00DC56EB" w:rsidRPr="001C0A24">
          <w:t>/</w:t>
        </w:r>
        <w:r w:rsidR="00DC56EB" w:rsidRPr="00C86889">
          <w:rPr>
            <w:lang w:val="en-US"/>
          </w:rPr>
          <w:t>vliyanie</w:t>
        </w:r>
        <w:r w:rsidR="00DC56EB" w:rsidRPr="001C0A24">
          <w:t>-</w:t>
        </w:r>
        <w:r w:rsidR="00DC56EB" w:rsidRPr="00C86889">
          <w:rPr>
            <w:lang w:val="en-US"/>
          </w:rPr>
          <w:t>finteha</w:t>
        </w:r>
        <w:r w:rsidR="00DC56EB" w:rsidRPr="001C0A24">
          <w:t>-</w:t>
        </w:r>
        <w:r w:rsidR="00DC56EB" w:rsidRPr="00C86889">
          <w:rPr>
            <w:lang w:val="en-US"/>
          </w:rPr>
          <w:t>na</w:t>
        </w:r>
        <w:r w:rsidR="00DC56EB" w:rsidRPr="001C0A24">
          <w:t>-</w:t>
        </w:r>
        <w:r w:rsidR="00DC56EB" w:rsidRPr="00C86889">
          <w:rPr>
            <w:lang w:val="en-US"/>
          </w:rPr>
          <w:t>bezopasnost</w:t>
        </w:r>
        <w:r w:rsidR="00DC56EB" w:rsidRPr="001C0A24">
          <w:t>-</w:t>
        </w:r>
        <w:r w:rsidR="00DC56EB" w:rsidRPr="00C86889">
          <w:rPr>
            <w:lang w:val="en-US"/>
          </w:rPr>
          <w:t>bankovskogo</w:t>
        </w:r>
        <w:r w:rsidR="00DC56EB" w:rsidRPr="001C0A24">
          <w:t xml:space="preserve"> </w:t>
        </w:r>
        <w:r w:rsidR="00DC56EB" w:rsidRPr="00C86889">
          <w:rPr>
            <w:lang w:val="en-US"/>
          </w:rPr>
          <w:t>sektora</w:t>
        </w:r>
      </w:hyperlink>
      <w:r w:rsidR="00DC56EB" w:rsidRPr="001C0A24">
        <w:rPr>
          <w:bCs/>
        </w:rPr>
        <w:t xml:space="preserve"> (дата обращения: 15.05.2020).</w:t>
      </w:r>
    </w:p>
    <w:p w14:paraId="5BA142F1" w14:textId="003D89DD" w:rsidR="00E24344" w:rsidRPr="001C0A24" w:rsidRDefault="0097005D" w:rsidP="00532177">
      <w:pPr>
        <w:ind w:firstLine="709"/>
        <w:jc w:val="both"/>
        <w:rPr>
          <w:bCs/>
        </w:rPr>
      </w:pPr>
      <w:r w:rsidRPr="001C0A24">
        <w:rPr>
          <w:bCs/>
        </w:rPr>
        <w:t>3</w:t>
      </w:r>
      <w:r w:rsidR="0033474D" w:rsidRPr="001C0A24">
        <w:rPr>
          <w:bCs/>
        </w:rPr>
        <w:t xml:space="preserve">. </w:t>
      </w:r>
      <w:r w:rsidR="00FA6353" w:rsidRPr="001C0A24">
        <w:rPr>
          <w:bCs/>
        </w:rPr>
        <w:t>Учебник «Финансовая грамотность и массовая информация». Для деловой и общественно-политической журналистики. Предназначен для высших учебных заведений. – Москва, 2017. – 520 с.</w:t>
      </w:r>
      <w:r w:rsidR="00516F16" w:rsidRPr="001C0A24">
        <w:rPr>
          <w:bCs/>
        </w:rPr>
        <w:t xml:space="preserve"> – С. 81.</w:t>
      </w:r>
    </w:p>
    <w:p w14:paraId="6ECE5DFA" w14:textId="1D3F0908" w:rsidR="00CB67F5" w:rsidRPr="001C0A24" w:rsidRDefault="0097005D" w:rsidP="00532177">
      <w:pPr>
        <w:ind w:firstLine="709"/>
        <w:jc w:val="both"/>
        <w:rPr>
          <w:bCs/>
        </w:rPr>
      </w:pPr>
      <w:r w:rsidRPr="001C0A24">
        <w:rPr>
          <w:bCs/>
        </w:rPr>
        <w:t>4</w:t>
      </w:r>
      <w:r w:rsidR="0033474D" w:rsidRPr="001C0A24">
        <w:rPr>
          <w:bCs/>
        </w:rPr>
        <w:t xml:space="preserve">. </w:t>
      </w:r>
      <w:r w:rsidR="0065307F" w:rsidRPr="001C0A24">
        <w:rPr>
          <w:bCs/>
        </w:rPr>
        <w:t>Банки вернули обманутым мошенниками клиентам только седьмую часть денег</w:t>
      </w:r>
      <w:r w:rsidR="0065307F" w:rsidRPr="001C0A24">
        <w:rPr>
          <w:bCs/>
        </w:rPr>
        <w:br/>
      </w:r>
      <w:r w:rsidR="0065307F" w:rsidRPr="00C86889">
        <w:rPr>
          <w:bCs/>
          <w:lang w:val="en-US"/>
        </w:rPr>
        <w:t>URL</w:t>
      </w:r>
      <w:r w:rsidR="0065307F" w:rsidRPr="001C0A24">
        <w:rPr>
          <w:bCs/>
        </w:rPr>
        <w:t xml:space="preserve">: </w:t>
      </w:r>
      <w:hyperlink r:id="rId11" w:history="1">
        <w:r w:rsidR="0065307F" w:rsidRPr="00C86889">
          <w:rPr>
            <w:bCs/>
            <w:lang w:val="en-US"/>
          </w:rPr>
          <w:t>https</w:t>
        </w:r>
        <w:r w:rsidR="0065307F" w:rsidRPr="001C0A24">
          <w:rPr>
            <w:bCs/>
          </w:rPr>
          <w:t>://</w:t>
        </w:r>
        <w:r w:rsidR="0065307F" w:rsidRPr="00C86889">
          <w:rPr>
            <w:bCs/>
            <w:lang w:val="en-US"/>
          </w:rPr>
          <w:t>www</w:t>
        </w:r>
        <w:r w:rsidR="0065307F" w:rsidRPr="001C0A24">
          <w:rPr>
            <w:bCs/>
          </w:rPr>
          <w:t>.</w:t>
        </w:r>
        <w:r w:rsidR="0065307F" w:rsidRPr="00C86889">
          <w:rPr>
            <w:bCs/>
            <w:lang w:val="en-US"/>
          </w:rPr>
          <w:t>newsru</w:t>
        </w:r>
        <w:r w:rsidR="0065307F" w:rsidRPr="001C0A24">
          <w:rPr>
            <w:bCs/>
          </w:rPr>
          <w:t>.</w:t>
        </w:r>
        <w:r w:rsidR="0065307F" w:rsidRPr="00C86889">
          <w:rPr>
            <w:bCs/>
            <w:lang w:val="en-US"/>
          </w:rPr>
          <w:t>com</w:t>
        </w:r>
        <w:r w:rsidR="0065307F" w:rsidRPr="001C0A24">
          <w:rPr>
            <w:bCs/>
          </w:rPr>
          <w:t>/</w:t>
        </w:r>
        <w:r w:rsidR="0065307F" w:rsidRPr="00C86889">
          <w:rPr>
            <w:bCs/>
            <w:lang w:val="en-US"/>
          </w:rPr>
          <w:t>finance</w:t>
        </w:r>
        <w:r w:rsidR="0065307F" w:rsidRPr="001C0A24">
          <w:rPr>
            <w:bCs/>
          </w:rPr>
          <w:t>/19</w:t>
        </w:r>
        <w:r w:rsidR="0065307F" w:rsidRPr="00C86889">
          <w:rPr>
            <w:bCs/>
            <w:lang w:val="en-US"/>
          </w:rPr>
          <w:t>feb</w:t>
        </w:r>
        <w:r w:rsidR="0065307F" w:rsidRPr="001C0A24">
          <w:rPr>
            <w:bCs/>
          </w:rPr>
          <w:t>2020/</w:t>
        </w:r>
        <w:r w:rsidR="0065307F" w:rsidRPr="00C86889">
          <w:rPr>
            <w:bCs/>
            <w:lang w:val="en-US"/>
          </w:rPr>
          <w:t>only</w:t>
        </w:r>
        <w:r w:rsidR="0065307F" w:rsidRPr="001C0A24">
          <w:rPr>
            <w:bCs/>
          </w:rPr>
          <w:t>_7</w:t>
        </w:r>
        <w:r w:rsidR="0065307F" w:rsidRPr="00C86889">
          <w:rPr>
            <w:bCs/>
            <w:lang w:val="en-US"/>
          </w:rPr>
          <w:t>th</w:t>
        </w:r>
        <w:r w:rsidR="0065307F" w:rsidRPr="001C0A24">
          <w:rPr>
            <w:bCs/>
          </w:rPr>
          <w:t>.</w:t>
        </w:r>
        <w:r w:rsidR="0065307F" w:rsidRPr="00C86889">
          <w:rPr>
            <w:bCs/>
            <w:lang w:val="en-US"/>
          </w:rPr>
          <w:t>html</w:t>
        </w:r>
      </w:hyperlink>
      <w:r w:rsidR="0065307F" w:rsidRPr="001C0A24">
        <w:rPr>
          <w:bCs/>
        </w:rPr>
        <w:t xml:space="preserve"> </w:t>
      </w:r>
      <w:r w:rsidR="006A5B13" w:rsidRPr="001C0A24">
        <w:rPr>
          <w:bCs/>
        </w:rPr>
        <w:t>(дата обращения: 15.05.2020)</w:t>
      </w:r>
    </w:p>
    <w:p w14:paraId="7DF83B73" w14:textId="3AFE2BC5" w:rsidR="00CB67F5" w:rsidRPr="001C0A24" w:rsidRDefault="0097005D" w:rsidP="00532177">
      <w:pPr>
        <w:ind w:firstLine="709"/>
        <w:jc w:val="both"/>
        <w:rPr>
          <w:bCs/>
        </w:rPr>
      </w:pPr>
      <w:r w:rsidRPr="001C0A24">
        <w:rPr>
          <w:bCs/>
        </w:rPr>
        <w:t>5</w:t>
      </w:r>
      <w:r w:rsidR="0033474D" w:rsidRPr="001C0A24">
        <w:rPr>
          <w:bCs/>
        </w:rPr>
        <w:t xml:space="preserve">. </w:t>
      </w:r>
      <w:r w:rsidR="000361FA" w:rsidRPr="001C0A24">
        <w:rPr>
          <w:bCs/>
        </w:rPr>
        <w:t xml:space="preserve">Обзор операций, совершенных без согласия клиентов финансовых организаций за 2019 год // Центр мониторинга и реагирования на компьютерные атаки в финансово-кредитной сфере (ФинЦЕРТ). 2020. </w:t>
      </w:r>
      <w:r w:rsidR="000361FA" w:rsidRPr="00C86889">
        <w:rPr>
          <w:bCs/>
          <w:lang w:val="en-US"/>
        </w:rPr>
        <w:t>URL</w:t>
      </w:r>
      <w:r w:rsidR="000361FA" w:rsidRPr="001C0A24">
        <w:rPr>
          <w:bCs/>
        </w:rPr>
        <w:t xml:space="preserve">: </w:t>
      </w:r>
      <w:r w:rsidR="000361FA" w:rsidRPr="00C86889">
        <w:rPr>
          <w:bCs/>
          <w:lang w:val="en-US"/>
        </w:rPr>
        <w:t>https</w:t>
      </w:r>
      <w:r w:rsidR="000361FA" w:rsidRPr="001C0A24">
        <w:rPr>
          <w:bCs/>
        </w:rPr>
        <w:t>://</w:t>
      </w:r>
      <w:r w:rsidR="000361FA" w:rsidRPr="00C86889">
        <w:rPr>
          <w:bCs/>
          <w:lang w:val="en-US"/>
        </w:rPr>
        <w:t>www</w:t>
      </w:r>
      <w:r w:rsidR="000361FA" w:rsidRPr="001C0A24">
        <w:rPr>
          <w:bCs/>
        </w:rPr>
        <w:t>.</w:t>
      </w:r>
      <w:r w:rsidR="000361FA" w:rsidRPr="00C86889">
        <w:rPr>
          <w:bCs/>
          <w:lang w:val="en-US"/>
        </w:rPr>
        <w:t>cbr</w:t>
      </w:r>
      <w:r w:rsidR="000361FA" w:rsidRPr="001C0A24">
        <w:rPr>
          <w:bCs/>
        </w:rPr>
        <w:t>.</w:t>
      </w:r>
      <w:r w:rsidR="000361FA" w:rsidRPr="00C86889">
        <w:rPr>
          <w:bCs/>
          <w:lang w:val="en-US"/>
        </w:rPr>
        <w:t>ru</w:t>
      </w:r>
      <w:r w:rsidR="000361FA" w:rsidRPr="001C0A24">
        <w:rPr>
          <w:bCs/>
        </w:rPr>
        <w:t>/</w:t>
      </w:r>
      <w:r w:rsidR="000361FA" w:rsidRPr="00C86889">
        <w:rPr>
          <w:bCs/>
          <w:lang w:val="en-US"/>
        </w:rPr>
        <w:t>Content</w:t>
      </w:r>
      <w:r w:rsidR="000361FA" w:rsidRPr="001C0A24">
        <w:rPr>
          <w:bCs/>
        </w:rPr>
        <w:t>/</w:t>
      </w:r>
      <w:r w:rsidR="000361FA" w:rsidRPr="00C86889">
        <w:rPr>
          <w:bCs/>
          <w:lang w:val="en-US"/>
        </w:rPr>
        <w:t>Document</w:t>
      </w:r>
      <w:r w:rsidR="000361FA" w:rsidRPr="001C0A24">
        <w:rPr>
          <w:bCs/>
        </w:rPr>
        <w:t>/</w:t>
      </w:r>
      <w:r w:rsidR="000361FA" w:rsidRPr="00C86889">
        <w:rPr>
          <w:bCs/>
          <w:lang w:val="en-US"/>
        </w:rPr>
        <w:t>File</w:t>
      </w:r>
      <w:r w:rsidR="000361FA" w:rsidRPr="001C0A24">
        <w:rPr>
          <w:bCs/>
        </w:rPr>
        <w:t>/103609/</w:t>
      </w:r>
      <w:r w:rsidR="000361FA" w:rsidRPr="00C86889">
        <w:rPr>
          <w:bCs/>
          <w:lang w:val="en-US"/>
        </w:rPr>
        <w:t>Review</w:t>
      </w:r>
      <w:r w:rsidR="000361FA" w:rsidRPr="001C0A24">
        <w:rPr>
          <w:bCs/>
        </w:rPr>
        <w:t>_</w:t>
      </w:r>
      <w:r w:rsidR="000361FA" w:rsidRPr="00C86889">
        <w:rPr>
          <w:bCs/>
          <w:lang w:val="en-US"/>
        </w:rPr>
        <w:t>of</w:t>
      </w:r>
      <w:r w:rsidR="000361FA" w:rsidRPr="001C0A24">
        <w:rPr>
          <w:bCs/>
        </w:rPr>
        <w:t>_</w:t>
      </w:r>
      <w:r w:rsidR="000361FA" w:rsidRPr="00C86889">
        <w:rPr>
          <w:bCs/>
          <w:lang w:val="en-US"/>
        </w:rPr>
        <w:t>transactions</w:t>
      </w:r>
      <w:r w:rsidR="000361FA" w:rsidRPr="001C0A24">
        <w:rPr>
          <w:bCs/>
        </w:rPr>
        <w:t>_2019.</w:t>
      </w:r>
      <w:r w:rsidR="000361FA" w:rsidRPr="00C86889">
        <w:rPr>
          <w:bCs/>
          <w:lang w:val="en-US"/>
        </w:rPr>
        <w:t>pdf</w:t>
      </w:r>
      <w:r w:rsidR="000361FA" w:rsidRPr="001C0A24">
        <w:rPr>
          <w:bCs/>
        </w:rPr>
        <w:t xml:space="preserve"> (дата обращения: 16.05</w:t>
      </w:r>
      <w:r w:rsidR="00CB67F5" w:rsidRPr="001C0A24">
        <w:rPr>
          <w:bCs/>
        </w:rPr>
        <w:t>.2020)</w:t>
      </w:r>
    </w:p>
    <w:p w14:paraId="370D9FE4" w14:textId="4C51D6D6" w:rsidR="00CB67F5" w:rsidRPr="001C0A24" w:rsidRDefault="0097005D" w:rsidP="00532177">
      <w:pPr>
        <w:ind w:firstLine="709"/>
        <w:jc w:val="both"/>
        <w:rPr>
          <w:bCs/>
        </w:rPr>
      </w:pPr>
      <w:r w:rsidRPr="001C0A24">
        <w:rPr>
          <w:bCs/>
        </w:rPr>
        <w:t>6</w:t>
      </w:r>
      <w:r w:rsidR="0033474D" w:rsidRPr="001C0A24">
        <w:rPr>
          <w:bCs/>
        </w:rPr>
        <w:t xml:space="preserve">. </w:t>
      </w:r>
      <w:r w:rsidR="00CB67F5" w:rsidRPr="001C0A24">
        <w:rPr>
          <w:bCs/>
        </w:rPr>
        <w:t xml:space="preserve">Обзор операций, совершенных без согласия клиентов финансовых организаций за 2019 год // Центр мониторинга и реагирования на компьютерные атаки в финансово-кредитной сфере (ФинЦЕРТ). 2020. </w:t>
      </w:r>
      <w:r w:rsidR="00CB67F5" w:rsidRPr="00C86889">
        <w:rPr>
          <w:bCs/>
          <w:lang w:val="en-US"/>
        </w:rPr>
        <w:t>URL</w:t>
      </w:r>
      <w:r w:rsidR="00CB67F5" w:rsidRPr="001C0A24">
        <w:rPr>
          <w:bCs/>
        </w:rPr>
        <w:t xml:space="preserve">: </w:t>
      </w:r>
      <w:r w:rsidR="00CB67F5" w:rsidRPr="00C86889">
        <w:rPr>
          <w:bCs/>
          <w:lang w:val="en-US"/>
        </w:rPr>
        <w:t>https</w:t>
      </w:r>
      <w:r w:rsidR="00CB67F5" w:rsidRPr="001C0A24">
        <w:rPr>
          <w:bCs/>
        </w:rPr>
        <w:t>://</w:t>
      </w:r>
      <w:r w:rsidR="00CB67F5" w:rsidRPr="00C86889">
        <w:rPr>
          <w:bCs/>
          <w:lang w:val="en-US"/>
        </w:rPr>
        <w:t>www</w:t>
      </w:r>
      <w:r w:rsidR="00CB67F5" w:rsidRPr="001C0A24">
        <w:rPr>
          <w:bCs/>
        </w:rPr>
        <w:t>.</w:t>
      </w:r>
      <w:r w:rsidR="00CB67F5" w:rsidRPr="00C86889">
        <w:rPr>
          <w:bCs/>
          <w:lang w:val="en-US"/>
        </w:rPr>
        <w:t>cbr</w:t>
      </w:r>
      <w:r w:rsidR="00CB67F5" w:rsidRPr="001C0A24">
        <w:rPr>
          <w:bCs/>
        </w:rPr>
        <w:t>.</w:t>
      </w:r>
      <w:r w:rsidR="00CB67F5" w:rsidRPr="00C86889">
        <w:rPr>
          <w:bCs/>
          <w:lang w:val="en-US"/>
        </w:rPr>
        <w:t>ru</w:t>
      </w:r>
      <w:r w:rsidR="00CB67F5" w:rsidRPr="001C0A24">
        <w:rPr>
          <w:bCs/>
        </w:rPr>
        <w:t>/</w:t>
      </w:r>
      <w:r w:rsidR="00CB67F5" w:rsidRPr="00C86889">
        <w:rPr>
          <w:bCs/>
          <w:lang w:val="en-US"/>
        </w:rPr>
        <w:t>Content</w:t>
      </w:r>
      <w:r w:rsidR="00CB67F5" w:rsidRPr="001C0A24">
        <w:rPr>
          <w:bCs/>
        </w:rPr>
        <w:t>/</w:t>
      </w:r>
      <w:r w:rsidR="00CB67F5" w:rsidRPr="00C86889">
        <w:rPr>
          <w:bCs/>
          <w:lang w:val="en-US"/>
        </w:rPr>
        <w:t>Document</w:t>
      </w:r>
      <w:r w:rsidR="00CB67F5" w:rsidRPr="001C0A24">
        <w:rPr>
          <w:bCs/>
        </w:rPr>
        <w:t>/</w:t>
      </w:r>
      <w:r w:rsidR="00CB67F5" w:rsidRPr="00C86889">
        <w:rPr>
          <w:bCs/>
          <w:lang w:val="en-US"/>
        </w:rPr>
        <w:t>File</w:t>
      </w:r>
      <w:r w:rsidR="00CB67F5" w:rsidRPr="001C0A24">
        <w:rPr>
          <w:bCs/>
        </w:rPr>
        <w:t>/103609/</w:t>
      </w:r>
      <w:r w:rsidR="00CB67F5" w:rsidRPr="00C86889">
        <w:rPr>
          <w:bCs/>
          <w:lang w:val="en-US"/>
        </w:rPr>
        <w:t>Review</w:t>
      </w:r>
      <w:r w:rsidR="00CB67F5" w:rsidRPr="001C0A24">
        <w:rPr>
          <w:bCs/>
        </w:rPr>
        <w:t>_</w:t>
      </w:r>
      <w:r w:rsidR="00CB67F5" w:rsidRPr="00C86889">
        <w:rPr>
          <w:bCs/>
          <w:lang w:val="en-US"/>
        </w:rPr>
        <w:t>of</w:t>
      </w:r>
      <w:r w:rsidR="00CB67F5" w:rsidRPr="001C0A24">
        <w:rPr>
          <w:bCs/>
        </w:rPr>
        <w:t>_</w:t>
      </w:r>
      <w:r w:rsidR="00CB67F5" w:rsidRPr="00C86889">
        <w:rPr>
          <w:bCs/>
          <w:lang w:val="en-US"/>
        </w:rPr>
        <w:t>transactions</w:t>
      </w:r>
      <w:r w:rsidR="00CB67F5" w:rsidRPr="001C0A24">
        <w:rPr>
          <w:bCs/>
        </w:rPr>
        <w:t>_2019.</w:t>
      </w:r>
      <w:r w:rsidR="00CB67F5" w:rsidRPr="00C86889">
        <w:rPr>
          <w:bCs/>
          <w:lang w:val="en-US"/>
        </w:rPr>
        <w:t>pdf</w:t>
      </w:r>
      <w:r w:rsidR="00CB67F5" w:rsidRPr="001C0A24">
        <w:rPr>
          <w:bCs/>
        </w:rPr>
        <w:t xml:space="preserve"> (дата обращения: 16.05.2020).</w:t>
      </w:r>
    </w:p>
    <w:p w14:paraId="20BBC413" w14:textId="28AC32BF" w:rsidR="00FE09D4" w:rsidRPr="001C0A24" w:rsidRDefault="0097005D" w:rsidP="00532177">
      <w:pPr>
        <w:ind w:firstLine="709"/>
        <w:jc w:val="both"/>
        <w:rPr>
          <w:bCs/>
        </w:rPr>
      </w:pPr>
      <w:r w:rsidRPr="001C0A24">
        <w:rPr>
          <w:bCs/>
        </w:rPr>
        <w:t>7</w:t>
      </w:r>
      <w:r w:rsidR="0033474D" w:rsidRPr="001C0A24">
        <w:rPr>
          <w:bCs/>
        </w:rPr>
        <w:t xml:space="preserve">. </w:t>
      </w:r>
      <w:r w:rsidR="003752B0" w:rsidRPr="001C0A24">
        <w:rPr>
          <w:bCs/>
        </w:rPr>
        <w:t xml:space="preserve">Закон о персональных данных №152-ФЗ </w:t>
      </w:r>
      <w:r w:rsidR="003752B0" w:rsidRPr="00C86889">
        <w:rPr>
          <w:bCs/>
          <w:lang w:val="en-US"/>
        </w:rPr>
        <w:t>URL</w:t>
      </w:r>
      <w:r w:rsidR="003752B0" w:rsidRPr="001C0A24">
        <w:rPr>
          <w:bCs/>
        </w:rPr>
        <w:t xml:space="preserve">: </w:t>
      </w:r>
      <w:hyperlink r:id="rId12" w:history="1">
        <w:r w:rsidR="003752B0" w:rsidRPr="00C86889">
          <w:rPr>
            <w:bCs/>
            <w:lang w:val="en-US"/>
          </w:rPr>
          <w:t>http</w:t>
        </w:r>
        <w:r w:rsidR="003752B0" w:rsidRPr="001C0A24">
          <w:rPr>
            <w:bCs/>
          </w:rPr>
          <w:t>://</w:t>
        </w:r>
        <w:r w:rsidR="003752B0" w:rsidRPr="00C86889">
          <w:rPr>
            <w:bCs/>
            <w:lang w:val="en-US"/>
          </w:rPr>
          <w:t>www</w:t>
        </w:r>
        <w:r w:rsidR="003752B0" w:rsidRPr="001C0A24">
          <w:rPr>
            <w:bCs/>
          </w:rPr>
          <w:t>.</w:t>
        </w:r>
        <w:r w:rsidR="003752B0" w:rsidRPr="00C86889">
          <w:rPr>
            <w:bCs/>
            <w:lang w:val="en-US"/>
          </w:rPr>
          <w:t>tadviser</w:t>
        </w:r>
        <w:r w:rsidR="003752B0" w:rsidRPr="001C0A24">
          <w:rPr>
            <w:bCs/>
          </w:rPr>
          <w:t>.</w:t>
        </w:r>
        <w:r w:rsidR="003752B0" w:rsidRPr="00C86889">
          <w:rPr>
            <w:bCs/>
            <w:lang w:val="en-US"/>
          </w:rPr>
          <w:t>ru</w:t>
        </w:r>
        <w:r w:rsidR="003752B0" w:rsidRPr="001C0A24">
          <w:rPr>
            <w:bCs/>
          </w:rPr>
          <w:t>/</w:t>
        </w:r>
        <w:r w:rsidR="003752B0" w:rsidRPr="00C86889">
          <w:rPr>
            <w:bCs/>
            <w:lang w:val="en-US"/>
          </w:rPr>
          <w:t>a</w:t>
        </w:r>
        <w:r w:rsidR="003752B0" w:rsidRPr="001C0A24">
          <w:rPr>
            <w:bCs/>
          </w:rPr>
          <w:t>/66813</w:t>
        </w:r>
      </w:hyperlink>
      <w:r w:rsidR="003752B0" w:rsidRPr="001C0A24">
        <w:rPr>
          <w:bCs/>
        </w:rPr>
        <w:t xml:space="preserve"> (дата обращения: 16.05.2020).</w:t>
      </w:r>
      <w:r w:rsidR="00FE09D4" w:rsidRPr="00C86889">
        <w:rPr>
          <w:bCs/>
          <w:lang w:val="en-US"/>
        </w:rPr>
        <w:fldChar w:fldCharType="begin"/>
      </w:r>
      <w:r w:rsidR="00FE09D4" w:rsidRPr="001C0A24">
        <w:rPr>
          <w:bCs/>
        </w:rPr>
        <w:instrText xml:space="preserve"> </w:instrText>
      </w:r>
      <w:r w:rsidR="00FE09D4" w:rsidRPr="00C86889">
        <w:rPr>
          <w:bCs/>
          <w:lang w:val="en-US"/>
        </w:rPr>
        <w:instrText>HYPERLINK</w:instrText>
      </w:r>
      <w:r w:rsidR="00FE09D4" w:rsidRPr="001C0A24">
        <w:rPr>
          <w:bCs/>
        </w:rPr>
        <w:instrText xml:space="preserve"> "</w:instrText>
      </w:r>
      <w:r w:rsidR="00FE09D4" w:rsidRPr="00C86889">
        <w:rPr>
          <w:bCs/>
          <w:lang w:val="en-US"/>
        </w:rPr>
        <w:instrText>https</w:instrText>
      </w:r>
      <w:r w:rsidR="00FE09D4" w:rsidRPr="001C0A24">
        <w:rPr>
          <w:bCs/>
        </w:rPr>
        <w:instrText>://</w:instrText>
      </w:r>
      <w:r w:rsidR="00FE09D4" w:rsidRPr="00C86889">
        <w:rPr>
          <w:bCs/>
          <w:lang w:val="en-US"/>
        </w:rPr>
        <w:instrText>www</w:instrText>
      </w:r>
      <w:r w:rsidR="00FE09D4" w:rsidRPr="001C0A24">
        <w:rPr>
          <w:bCs/>
        </w:rPr>
        <w:instrText>.</w:instrText>
      </w:r>
      <w:r w:rsidR="00FE09D4" w:rsidRPr="00C86889">
        <w:rPr>
          <w:bCs/>
          <w:lang w:val="en-US"/>
        </w:rPr>
        <w:instrText>surgutneftegas</w:instrText>
      </w:r>
      <w:r w:rsidR="00FE09D4" w:rsidRPr="001C0A24">
        <w:rPr>
          <w:bCs/>
        </w:rPr>
        <w:instrText>.</w:instrText>
      </w:r>
      <w:r w:rsidR="00FE09D4" w:rsidRPr="00C86889">
        <w:rPr>
          <w:bCs/>
          <w:lang w:val="en-US"/>
        </w:rPr>
        <w:instrText>ru</w:instrText>
      </w:r>
      <w:r w:rsidR="00FE09D4" w:rsidRPr="001C0A24">
        <w:rPr>
          <w:bCs/>
        </w:rPr>
        <w:instrText>/</w:instrText>
      </w:r>
      <w:r w:rsidR="00FE09D4" w:rsidRPr="00C86889">
        <w:rPr>
          <w:bCs/>
          <w:lang w:val="en-US"/>
        </w:rPr>
        <w:instrText>file</w:instrText>
      </w:r>
      <w:r w:rsidR="00FE09D4" w:rsidRPr="001C0A24">
        <w:rPr>
          <w:bCs/>
        </w:rPr>
        <w:instrText>.</w:instrText>
      </w:r>
      <w:r w:rsidR="00FE09D4" w:rsidRPr="00C86889">
        <w:rPr>
          <w:bCs/>
          <w:lang w:val="en-US"/>
        </w:rPr>
        <w:instrText>php</w:instrText>
      </w:r>
      <w:r w:rsidR="00FE09D4" w:rsidRPr="001C0A24">
        <w:rPr>
          <w:bCs/>
        </w:rPr>
        <w:instrText>?</w:instrText>
      </w:r>
      <w:r w:rsidR="00FE09D4" w:rsidRPr="00C86889">
        <w:rPr>
          <w:bCs/>
          <w:lang w:val="en-US"/>
        </w:rPr>
        <w:instrText>id</w:instrText>
      </w:r>
      <w:r w:rsidR="00FE09D4" w:rsidRPr="001C0A24">
        <w:rPr>
          <w:bCs/>
        </w:rPr>
        <w:instrText xml:space="preserve">=4570" </w:instrText>
      </w:r>
      <w:r w:rsidR="00FE09D4" w:rsidRPr="00C86889">
        <w:rPr>
          <w:bCs/>
          <w:lang w:val="en-US"/>
        </w:rPr>
        <w:fldChar w:fldCharType="separate"/>
      </w:r>
    </w:p>
    <w:p w14:paraId="5E5DC300" w14:textId="7F453939" w:rsidR="00FE09D4" w:rsidRPr="001C0A24" w:rsidRDefault="0097005D" w:rsidP="00532177">
      <w:pPr>
        <w:ind w:firstLine="709"/>
        <w:jc w:val="both"/>
        <w:rPr>
          <w:bCs/>
        </w:rPr>
      </w:pPr>
      <w:r w:rsidRPr="001C0A24">
        <w:rPr>
          <w:bCs/>
        </w:rPr>
        <w:t>8</w:t>
      </w:r>
      <w:r w:rsidR="0033474D" w:rsidRPr="001C0A24">
        <w:rPr>
          <w:bCs/>
        </w:rPr>
        <w:t xml:space="preserve">. </w:t>
      </w:r>
      <w:r w:rsidR="00FE09D4" w:rsidRPr="001C0A24">
        <w:rPr>
          <w:bCs/>
        </w:rPr>
        <w:t xml:space="preserve">ГОДОВОЙ ОТЧЕТ ПАО «Сургутнефтегаз» ЗА 2018 ГОД </w:t>
      </w:r>
      <w:r w:rsidR="00FE09D4" w:rsidRPr="00C86889">
        <w:rPr>
          <w:bCs/>
          <w:lang w:val="en-US"/>
        </w:rPr>
        <w:fldChar w:fldCharType="end"/>
      </w:r>
      <w:r w:rsidR="00FE09D4" w:rsidRPr="00C86889">
        <w:rPr>
          <w:bCs/>
          <w:lang w:val="en-US"/>
        </w:rPr>
        <w:t>URL</w:t>
      </w:r>
      <w:r w:rsidR="00FE09D4" w:rsidRPr="001C0A24">
        <w:rPr>
          <w:bCs/>
        </w:rPr>
        <w:t xml:space="preserve">: </w:t>
      </w:r>
      <w:r w:rsidR="00FE09D4" w:rsidRPr="00C86889">
        <w:rPr>
          <w:bCs/>
          <w:lang w:val="en-US"/>
        </w:rPr>
        <w:t>https</w:t>
      </w:r>
      <w:r w:rsidR="00FE09D4" w:rsidRPr="001C0A24">
        <w:rPr>
          <w:bCs/>
        </w:rPr>
        <w:t>://</w:t>
      </w:r>
      <w:r w:rsidR="00FE09D4" w:rsidRPr="00C86889">
        <w:rPr>
          <w:bCs/>
          <w:lang w:val="en-US"/>
        </w:rPr>
        <w:t>www</w:t>
      </w:r>
      <w:r w:rsidR="00FE09D4" w:rsidRPr="001C0A24">
        <w:rPr>
          <w:bCs/>
        </w:rPr>
        <w:t>.</w:t>
      </w:r>
      <w:r w:rsidR="00FE09D4" w:rsidRPr="00C86889">
        <w:rPr>
          <w:bCs/>
          <w:lang w:val="en-US"/>
        </w:rPr>
        <w:t>surgutneftegas</w:t>
      </w:r>
      <w:r w:rsidR="00FE09D4" w:rsidRPr="001C0A24">
        <w:rPr>
          <w:bCs/>
        </w:rPr>
        <w:t>.</w:t>
      </w:r>
      <w:r w:rsidR="00FE09D4" w:rsidRPr="00C86889">
        <w:rPr>
          <w:bCs/>
          <w:lang w:val="en-US"/>
        </w:rPr>
        <w:t>ru</w:t>
      </w:r>
      <w:r w:rsidR="00FE09D4" w:rsidRPr="001C0A24">
        <w:rPr>
          <w:bCs/>
        </w:rPr>
        <w:t>/</w:t>
      </w:r>
      <w:r w:rsidR="00FE09D4" w:rsidRPr="00C86889">
        <w:rPr>
          <w:bCs/>
          <w:lang w:val="en-US"/>
        </w:rPr>
        <w:t>file</w:t>
      </w:r>
      <w:r w:rsidR="00FE09D4" w:rsidRPr="001C0A24">
        <w:rPr>
          <w:bCs/>
        </w:rPr>
        <w:t>.</w:t>
      </w:r>
      <w:r w:rsidR="00FE09D4" w:rsidRPr="00C86889">
        <w:rPr>
          <w:bCs/>
          <w:lang w:val="en-US"/>
        </w:rPr>
        <w:t>php</w:t>
      </w:r>
      <w:r w:rsidR="00FE09D4" w:rsidRPr="001C0A24">
        <w:rPr>
          <w:bCs/>
        </w:rPr>
        <w:t>?</w:t>
      </w:r>
      <w:r w:rsidR="00FE09D4" w:rsidRPr="00C86889">
        <w:rPr>
          <w:bCs/>
          <w:lang w:val="en-US"/>
        </w:rPr>
        <w:t>id</w:t>
      </w:r>
      <w:r w:rsidR="00FE09D4" w:rsidRPr="001C0A24">
        <w:rPr>
          <w:bCs/>
        </w:rPr>
        <w:t>=4570 (дата обращения: 16.05.2020).</w:t>
      </w:r>
    </w:p>
    <w:p w14:paraId="4E0EB662" w14:textId="4DCFDE18" w:rsidR="007B762D" w:rsidRPr="00C86889" w:rsidRDefault="007B762D" w:rsidP="00532177">
      <w:pPr>
        <w:pStyle w:val="a8"/>
        <w:spacing w:after="0" w:line="240" w:lineRule="auto"/>
        <w:ind w:left="0" w:firstLine="709"/>
        <w:jc w:val="both"/>
        <w:rPr>
          <w:rFonts w:ascii="Times New Roman" w:hAnsi="Times New Roman" w:cs="Times New Roman"/>
          <w:sz w:val="24"/>
          <w:szCs w:val="24"/>
        </w:rPr>
      </w:pPr>
    </w:p>
    <w:p w14:paraId="3A881B08" w14:textId="1934BFC2" w:rsidR="0052122A" w:rsidRPr="00C86889" w:rsidRDefault="00572158" w:rsidP="00532177">
      <w:pPr>
        <w:pStyle w:val="a8"/>
        <w:spacing w:after="0" w:line="240" w:lineRule="auto"/>
        <w:ind w:left="709"/>
        <w:jc w:val="both"/>
        <w:rPr>
          <w:rFonts w:ascii="Times New Roman" w:eastAsia="Calibri" w:hAnsi="Times New Roman" w:cs="Times New Roman"/>
          <w:b/>
          <w:sz w:val="24"/>
          <w:szCs w:val="24"/>
          <w:lang w:eastAsia="en-US"/>
        </w:rPr>
      </w:pPr>
      <w:r w:rsidRPr="00C86889">
        <w:rPr>
          <w:rFonts w:ascii="Times New Roman" w:eastAsia="Calibri" w:hAnsi="Times New Roman" w:cs="Times New Roman"/>
          <w:b/>
          <w:sz w:val="24"/>
          <w:szCs w:val="24"/>
          <w:lang w:eastAsia="en-US"/>
        </w:rPr>
        <w:t>Информация об авторах</w:t>
      </w:r>
    </w:p>
    <w:p w14:paraId="17AD3E62" w14:textId="26064BD7" w:rsidR="00B7600A" w:rsidRPr="00C86889" w:rsidRDefault="00B7600A" w:rsidP="00532177">
      <w:pPr>
        <w:pStyle w:val="Standard"/>
        <w:spacing w:after="0" w:line="240" w:lineRule="auto"/>
        <w:ind w:firstLine="709"/>
        <w:contextualSpacing/>
        <w:jc w:val="both"/>
        <w:rPr>
          <w:rFonts w:ascii="Times New Roman" w:hAnsi="Times New Roman" w:cs="Times New Roman"/>
          <w:sz w:val="24"/>
          <w:szCs w:val="24"/>
        </w:rPr>
      </w:pPr>
      <w:r w:rsidRPr="00C86889">
        <w:rPr>
          <w:rFonts w:ascii="Times New Roman" w:hAnsi="Times New Roman" w:cs="Times New Roman"/>
          <w:sz w:val="24"/>
          <w:szCs w:val="24"/>
        </w:rPr>
        <w:t xml:space="preserve">Форгунова Анна Юрьевна (Россия, </w:t>
      </w:r>
      <w:r w:rsidR="008767EC" w:rsidRPr="00C86889">
        <w:rPr>
          <w:rFonts w:ascii="Times New Roman" w:hAnsi="Times New Roman" w:cs="Times New Roman"/>
          <w:sz w:val="24"/>
          <w:szCs w:val="24"/>
        </w:rPr>
        <w:t xml:space="preserve">г. </w:t>
      </w:r>
      <w:r w:rsidRPr="00C86889">
        <w:rPr>
          <w:rFonts w:ascii="Times New Roman" w:hAnsi="Times New Roman" w:cs="Times New Roman"/>
          <w:sz w:val="24"/>
          <w:szCs w:val="24"/>
        </w:rPr>
        <w:t>Санкт-Петербург) – аспирант, АНО ВО «Международный банковский институт имени Анатолия Собчака»</w:t>
      </w:r>
      <w:r w:rsidR="00B158F8" w:rsidRPr="00C86889">
        <w:rPr>
          <w:rFonts w:ascii="Times New Roman" w:hAnsi="Times New Roman" w:cs="Times New Roman"/>
          <w:sz w:val="24"/>
          <w:szCs w:val="24"/>
        </w:rPr>
        <w:t xml:space="preserve">, </w:t>
      </w:r>
      <w:r w:rsidR="00961981" w:rsidRPr="00C86889">
        <w:rPr>
          <w:rFonts w:ascii="Times New Roman" w:hAnsi="Times New Roman" w:cs="Times New Roman"/>
          <w:sz w:val="24"/>
          <w:szCs w:val="24"/>
        </w:rPr>
        <w:t xml:space="preserve">Россия, 191023, г. Санкт-Петербург, Невский пр., д. 60, </w:t>
      </w:r>
      <w:r w:rsidR="00B158F8" w:rsidRPr="00C86889">
        <w:rPr>
          <w:rFonts w:ascii="Times New Roman" w:hAnsi="Times New Roman" w:cs="Times New Roman"/>
          <w:sz w:val="24"/>
          <w:szCs w:val="24"/>
          <w:lang w:val="en-US"/>
        </w:rPr>
        <w:t>anna</w:t>
      </w:r>
      <w:r w:rsidR="00B158F8" w:rsidRPr="00C86889">
        <w:rPr>
          <w:rFonts w:ascii="Times New Roman" w:hAnsi="Times New Roman" w:cs="Times New Roman"/>
          <w:sz w:val="24"/>
          <w:szCs w:val="24"/>
        </w:rPr>
        <w:t>.</w:t>
      </w:r>
      <w:r w:rsidR="00B158F8" w:rsidRPr="00C86889">
        <w:rPr>
          <w:rFonts w:ascii="Times New Roman" w:hAnsi="Times New Roman" w:cs="Times New Roman"/>
          <w:sz w:val="24"/>
          <w:szCs w:val="24"/>
          <w:lang w:val="en-US"/>
        </w:rPr>
        <w:t>forgunova</w:t>
      </w:r>
      <w:r w:rsidR="00B158F8" w:rsidRPr="00C86889">
        <w:rPr>
          <w:rFonts w:ascii="Times New Roman" w:hAnsi="Times New Roman" w:cs="Times New Roman"/>
          <w:sz w:val="24"/>
          <w:szCs w:val="24"/>
        </w:rPr>
        <w:t>@</w:t>
      </w:r>
      <w:r w:rsidR="00B158F8" w:rsidRPr="00C86889">
        <w:rPr>
          <w:rFonts w:ascii="Times New Roman" w:hAnsi="Times New Roman" w:cs="Times New Roman"/>
          <w:sz w:val="24"/>
          <w:szCs w:val="24"/>
          <w:lang w:val="en-US"/>
        </w:rPr>
        <w:t>mail</w:t>
      </w:r>
      <w:r w:rsidR="00B158F8" w:rsidRPr="00C86889">
        <w:rPr>
          <w:rFonts w:ascii="Times New Roman" w:hAnsi="Times New Roman" w:cs="Times New Roman"/>
          <w:sz w:val="24"/>
          <w:szCs w:val="24"/>
        </w:rPr>
        <w:t>.</w:t>
      </w:r>
      <w:r w:rsidR="00B158F8" w:rsidRPr="00C86889">
        <w:rPr>
          <w:rFonts w:ascii="Times New Roman" w:hAnsi="Times New Roman" w:cs="Times New Roman"/>
          <w:sz w:val="24"/>
          <w:szCs w:val="24"/>
          <w:lang w:val="en-US"/>
        </w:rPr>
        <w:t>ru</w:t>
      </w:r>
    </w:p>
    <w:p w14:paraId="032B65F4" w14:textId="651D633D" w:rsidR="00DD7482" w:rsidRPr="00C86889" w:rsidRDefault="00507689" w:rsidP="00532177">
      <w:pPr>
        <w:pStyle w:val="Standard"/>
        <w:spacing w:after="0" w:line="240" w:lineRule="auto"/>
        <w:ind w:firstLine="709"/>
        <w:contextualSpacing/>
        <w:jc w:val="both"/>
        <w:rPr>
          <w:rFonts w:ascii="Times New Roman" w:hAnsi="Times New Roman" w:cs="Times New Roman"/>
          <w:sz w:val="24"/>
          <w:szCs w:val="24"/>
        </w:rPr>
      </w:pPr>
      <w:r w:rsidRPr="00C86889">
        <w:rPr>
          <w:rFonts w:ascii="Times New Roman" w:hAnsi="Times New Roman" w:cs="Times New Roman"/>
          <w:sz w:val="24"/>
          <w:szCs w:val="24"/>
        </w:rPr>
        <w:lastRenderedPageBreak/>
        <w:t>Щелканов Александр Александрович (</w:t>
      </w:r>
      <w:r w:rsidR="00DD7482" w:rsidRPr="00C86889">
        <w:rPr>
          <w:rFonts w:ascii="Times New Roman" w:hAnsi="Times New Roman" w:cs="Times New Roman"/>
          <w:sz w:val="24"/>
          <w:szCs w:val="24"/>
        </w:rPr>
        <w:t xml:space="preserve">Россия, </w:t>
      </w:r>
      <w:r w:rsidR="008767EC" w:rsidRPr="00C86889">
        <w:rPr>
          <w:rFonts w:ascii="Times New Roman" w:hAnsi="Times New Roman" w:cs="Times New Roman"/>
          <w:sz w:val="24"/>
          <w:szCs w:val="24"/>
        </w:rPr>
        <w:t xml:space="preserve">г. </w:t>
      </w:r>
      <w:r w:rsidRPr="00C86889">
        <w:rPr>
          <w:rFonts w:ascii="Times New Roman" w:hAnsi="Times New Roman" w:cs="Times New Roman"/>
          <w:sz w:val="24"/>
          <w:szCs w:val="24"/>
        </w:rPr>
        <w:t>Санкт-Петербург)</w:t>
      </w:r>
      <w:r w:rsidR="00DD7482" w:rsidRPr="00C86889">
        <w:rPr>
          <w:rFonts w:ascii="Times New Roman" w:hAnsi="Times New Roman" w:cs="Times New Roman"/>
          <w:sz w:val="24"/>
          <w:szCs w:val="24"/>
        </w:rPr>
        <w:t xml:space="preserve"> - к.э.н., доцент Федеральное государственное бюджетное образовательное учреждение высшего образования </w:t>
      </w:r>
      <w:r w:rsidR="00B7600A" w:rsidRPr="00C86889">
        <w:rPr>
          <w:rFonts w:ascii="Times New Roman" w:hAnsi="Times New Roman" w:cs="Times New Roman"/>
          <w:sz w:val="24"/>
          <w:szCs w:val="24"/>
        </w:rPr>
        <w:t>«</w:t>
      </w:r>
      <w:r w:rsidR="00DD7482" w:rsidRPr="00C86889">
        <w:rPr>
          <w:rFonts w:ascii="Times New Roman" w:hAnsi="Times New Roman" w:cs="Times New Roman"/>
          <w:sz w:val="24"/>
          <w:szCs w:val="24"/>
        </w:rPr>
        <w:t>Санкт-Петербургский государственный экономический университет</w:t>
      </w:r>
      <w:r w:rsidR="00B7600A" w:rsidRPr="00C86889">
        <w:rPr>
          <w:rFonts w:ascii="Times New Roman" w:hAnsi="Times New Roman" w:cs="Times New Roman"/>
          <w:sz w:val="24"/>
          <w:szCs w:val="24"/>
        </w:rPr>
        <w:t>»</w:t>
      </w:r>
      <w:r w:rsidR="006E4FC5" w:rsidRPr="00C86889">
        <w:rPr>
          <w:rFonts w:ascii="Times New Roman" w:hAnsi="Times New Roman" w:cs="Times New Roman"/>
          <w:sz w:val="24"/>
          <w:szCs w:val="24"/>
        </w:rPr>
        <w:t xml:space="preserve">, </w:t>
      </w:r>
      <w:r w:rsidR="00641E6A" w:rsidRPr="00C86889">
        <w:rPr>
          <w:rFonts w:ascii="Times New Roman" w:hAnsi="Times New Roman" w:cs="Times New Roman"/>
          <w:sz w:val="24"/>
          <w:szCs w:val="24"/>
        </w:rPr>
        <w:t>Россия, 191023, г. Санкт-Петербург, ул. Садовая, д. 21</w:t>
      </w:r>
      <w:r w:rsidR="00E264FD" w:rsidRPr="00C86889">
        <w:rPr>
          <w:rFonts w:ascii="Times New Roman" w:hAnsi="Times New Roman" w:cs="Times New Roman"/>
          <w:sz w:val="24"/>
          <w:szCs w:val="24"/>
        </w:rPr>
        <w:t xml:space="preserve">, </w:t>
      </w:r>
      <w:r w:rsidR="00E264FD" w:rsidRPr="00C86889">
        <w:rPr>
          <w:rFonts w:ascii="Times New Roman" w:hAnsi="Times New Roman" w:cs="Times New Roman"/>
          <w:sz w:val="24"/>
          <w:szCs w:val="24"/>
          <w:lang w:val="en-US"/>
        </w:rPr>
        <w:t>aa</w:t>
      </w:r>
      <w:r w:rsidR="00E264FD" w:rsidRPr="00C86889">
        <w:rPr>
          <w:rFonts w:ascii="Times New Roman" w:hAnsi="Times New Roman" w:cs="Times New Roman"/>
          <w:sz w:val="24"/>
          <w:szCs w:val="24"/>
        </w:rPr>
        <w:t>.</w:t>
      </w:r>
      <w:r w:rsidR="00E264FD" w:rsidRPr="00C86889">
        <w:rPr>
          <w:rFonts w:ascii="Times New Roman" w:hAnsi="Times New Roman" w:cs="Times New Roman"/>
          <w:sz w:val="24"/>
          <w:szCs w:val="24"/>
          <w:lang w:val="en-US"/>
        </w:rPr>
        <w:t>shchelkanov</w:t>
      </w:r>
      <w:r w:rsidR="00E264FD" w:rsidRPr="00C86889">
        <w:rPr>
          <w:rFonts w:ascii="Times New Roman" w:hAnsi="Times New Roman" w:cs="Times New Roman"/>
          <w:sz w:val="24"/>
          <w:szCs w:val="24"/>
        </w:rPr>
        <w:t>@</w:t>
      </w:r>
      <w:r w:rsidR="00E264FD" w:rsidRPr="00C86889">
        <w:rPr>
          <w:rFonts w:ascii="Times New Roman" w:hAnsi="Times New Roman" w:cs="Times New Roman"/>
          <w:sz w:val="24"/>
          <w:szCs w:val="24"/>
          <w:lang w:val="en-US"/>
        </w:rPr>
        <w:t>mail</w:t>
      </w:r>
      <w:r w:rsidR="00E264FD" w:rsidRPr="00C86889">
        <w:rPr>
          <w:rFonts w:ascii="Times New Roman" w:hAnsi="Times New Roman" w:cs="Times New Roman"/>
          <w:sz w:val="24"/>
          <w:szCs w:val="24"/>
        </w:rPr>
        <w:t>.</w:t>
      </w:r>
      <w:r w:rsidR="00E264FD" w:rsidRPr="00C86889">
        <w:rPr>
          <w:rFonts w:ascii="Times New Roman" w:hAnsi="Times New Roman" w:cs="Times New Roman"/>
          <w:sz w:val="24"/>
          <w:szCs w:val="24"/>
          <w:lang w:val="en-US"/>
        </w:rPr>
        <w:t>ru</w:t>
      </w:r>
    </w:p>
    <w:p w14:paraId="19960E8C" w14:textId="32F304E4" w:rsidR="0052122A" w:rsidRPr="00C86889" w:rsidRDefault="0052122A" w:rsidP="00532177">
      <w:pPr>
        <w:pStyle w:val="a8"/>
        <w:spacing w:after="0" w:line="240" w:lineRule="auto"/>
        <w:ind w:left="709"/>
        <w:jc w:val="both"/>
        <w:rPr>
          <w:rFonts w:ascii="Times New Roman" w:hAnsi="Times New Roman" w:cs="Times New Roman"/>
          <w:sz w:val="24"/>
          <w:szCs w:val="24"/>
        </w:rPr>
      </w:pPr>
    </w:p>
    <w:p w14:paraId="58DD6784" w14:textId="77777777" w:rsidR="00825CA2" w:rsidRPr="001C0A24" w:rsidRDefault="00825CA2" w:rsidP="00532177">
      <w:pPr>
        <w:widowControl w:val="0"/>
        <w:pBdr>
          <w:top w:val="none" w:sz="4" w:space="0" w:color="000000"/>
          <w:left w:val="none" w:sz="4" w:space="0" w:color="000000"/>
          <w:bottom w:val="none" w:sz="4" w:space="0" w:color="000000"/>
          <w:right w:val="none" w:sz="4" w:space="0" w:color="000000"/>
          <w:between w:val="none" w:sz="4" w:space="0" w:color="000000"/>
        </w:pBdr>
        <w:jc w:val="right"/>
        <w:rPr>
          <w:rFonts w:eastAsia="Courier New"/>
          <w:b/>
        </w:rPr>
      </w:pPr>
      <w:r w:rsidRPr="00C86889">
        <w:rPr>
          <w:rFonts w:eastAsia="Courier New"/>
          <w:b/>
          <w:lang w:val="en-US"/>
        </w:rPr>
        <w:t>Forgunova</w:t>
      </w:r>
      <w:r w:rsidRPr="001C0A24">
        <w:rPr>
          <w:rFonts w:eastAsia="Courier New"/>
          <w:b/>
        </w:rPr>
        <w:t xml:space="preserve"> </w:t>
      </w:r>
      <w:r w:rsidRPr="00C86889">
        <w:rPr>
          <w:rFonts w:eastAsia="Courier New"/>
          <w:b/>
          <w:lang w:val="en-US"/>
        </w:rPr>
        <w:t>A</w:t>
      </w:r>
      <w:r w:rsidRPr="001C0A24">
        <w:rPr>
          <w:rFonts w:eastAsia="Courier New"/>
          <w:b/>
        </w:rPr>
        <w:t>.</w:t>
      </w:r>
      <w:r w:rsidRPr="00C86889">
        <w:rPr>
          <w:rFonts w:eastAsia="Courier New"/>
          <w:b/>
          <w:lang w:val="en-US"/>
        </w:rPr>
        <w:t>Y</w:t>
      </w:r>
      <w:r w:rsidRPr="001C0A24">
        <w:rPr>
          <w:rFonts w:eastAsia="Courier New"/>
          <w:b/>
        </w:rPr>
        <w:t>.</w:t>
      </w:r>
    </w:p>
    <w:p w14:paraId="40D91B2E" w14:textId="555E0EF9" w:rsidR="00825CA2" w:rsidRPr="001C0A24" w:rsidRDefault="00825CA2" w:rsidP="00532177">
      <w:pPr>
        <w:widowControl w:val="0"/>
        <w:pBdr>
          <w:top w:val="none" w:sz="4" w:space="0" w:color="000000"/>
          <w:left w:val="none" w:sz="4" w:space="0" w:color="000000"/>
          <w:bottom w:val="none" w:sz="4" w:space="0" w:color="000000"/>
          <w:right w:val="none" w:sz="4" w:space="0" w:color="000000"/>
          <w:between w:val="none" w:sz="4" w:space="0" w:color="000000"/>
        </w:pBdr>
        <w:jc w:val="right"/>
        <w:rPr>
          <w:rFonts w:eastAsia="Courier New"/>
          <w:b/>
        </w:rPr>
      </w:pPr>
      <w:r w:rsidRPr="00C86889">
        <w:rPr>
          <w:rFonts w:eastAsia="Courier New"/>
          <w:b/>
          <w:lang w:val="en-US"/>
        </w:rPr>
        <w:t>Shchelkanov</w:t>
      </w:r>
      <w:r w:rsidRPr="001C0A24">
        <w:rPr>
          <w:rFonts w:eastAsia="Courier New"/>
          <w:b/>
        </w:rPr>
        <w:t xml:space="preserve"> </w:t>
      </w:r>
      <w:r w:rsidRPr="00C86889">
        <w:rPr>
          <w:rFonts w:eastAsia="Courier New"/>
          <w:b/>
          <w:lang w:val="en-US"/>
        </w:rPr>
        <w:t>A</w:t>
      </w:r>
      <w:r w:rsidRPr="001C0A24">
        <w:rPr>
          <w:rFonts w:eastAsia="Courier New"/>
          <w:b/>
        </w:rPr>
        <w:t>.</w:t>
      </w:r>
      <w:r w:rsidRPr="00C86889">
        <w:rPr>
          <w:rFonts w:eastAsia="Courier New"/>
          <w:b/>
          <w:lang w:val="en-US"/>
        </w:rPr>
        <w:t>A</w:t>
      </w:r>
      <w:r w:rsidRPr="001C0A24">
        <w:rPr>
          <w:rFonts w:eastAsia="Courier New"/>
          <w:b/>
        </w:rPr>
        <w:t>.</w:t>
      </w:r>
    </w:p>
    <w:p w14:paraId="613BFC9E" w14:textId="1E516BC0" w:rsidR="0052122A" w:rsidRPr="001C0A24" w:rsidRDefault="00825CA2" w:rsidP="001E226B">
      <w:pPr>
        <w:widowControl w:val="0"/>
        <w:pBdr>
          <w:top w:val="none" w:sz="4" w:space="0" w:color="000000"/>
          <w:left w:val="none" w:sz="4" w:space="0" w:color="000000"/>
          <w:bottom w:val="none" w:sz="4" w:space="0" w:color="000000"/>
          <w:right w:val="none" w:sz="4" w:space="0" w:color="000000"/>
          <w:between w:val="none" w:sz="4" w:space="0" w:color="000000"/>
        </w:pBdr>
        <w:jc w:val="center"/>
        <w:rPr>
          <w:rFonts w:eastAsia="Courier New"/>
          <w:b/>
          <w:lang w:val="en-US"/>
        </w:rPr>
      </w:pPr>
      <w:r w:rsidRPr="001C0A24">
        <w:rPr>
          <w:rFonts w:eastAsia="Courier New"/>
          <w:b/>
          <w:lang w:val="en-US"/>
        </w:rPr>
        <w:t>Application of measures to ensure information security of the banking sector in the field of mining industry</w:t>
      </w:r>
    </w:p>
    <w:p w14:paraId="596C999E" w14:textId="4619A782" w:rsidR="0052122A" w:rsidRPr="001C0A24" w:rsidRDefault="0052122A" w:rsidP="00532177">
      <w:pPr>
        <w:ind w:firstLine="709"/>
        <w:contextualSpacing/>
        <w:jc w:val="both"/>
        <w:rPr>
          <w:i/>
          <w:iCs/>
          <w:lang w:val="en-US"/>
        </w:rPr>
      </w:pPr>
      <w:r w:rsidRPr="00C86889">
        <w:rPr>
          <w:b/>
          <w:lang w:val="en-US"/>
        </w:rPr>
        <w:t xml:space="preserve">Abstract. </w:t>
      </w:r>
      <w:r w:rsidRPr="001C0A24">
        <w:rPr>
          <w:i/>
          <w:iCs/>
          <w:lang w:val="en-US"/>
        </w:rPr>
        <w:t>To ensure economic security, banks must resist cyber attacks, which is also relevant for enterprises in the real sector of the economy. The article discusses the types of cyber attacks and objects subject to them, analyzes the dynamics of unauthorized operations and methods of confrontation.</w:t>
      </w:r>
    </w:p>
    <w:p w14:paraId="364E338B" w14:textId="77777777" w:rsidR="0052122A" w:rsidRPr="00C86889" w:rsidRDefault="0052122A" w:rsidP="00532177">
      <w:pPr>
        <w:ind w:firstLine="709"/>
        <w:contextualSpacing/>
        <w:jc w:val="both"/>
        <w:rPr>
          <w:lang w:val="en-US"/>
        </w:rPr>
      </w:pPr>
      <w:r w:rsidRPr="00C86889">
        <w:rPr>
          <w:b/>
          <w:lang w:val="en-US"/>
        </w:rPr>
        <w:t xml:space="preserve">Keywords: </w:t>
      </w:r>
      <w:r w:rsidRPr="001C0A24">
        <w:rPr>
          <w:i/>
          <w:iCs/>
          <w:lang w:val="en-US"/>
        </w:rPr>
        <w:t>information security, cybersecurity, banking sector, mining and processing industry, cyber risks</w:t>
      </w:r>
    </w:p>
    <w:p w14:paraId="0B096350" w14:textId="1F393E08" w:rsidR="0052122A" w:rsidRPr="00C86889" w:rsidRDefault="0052122A" w:rsidP="00532177">
      <w:pPr>
        <w:pStyle w:val="a8"/>
        <w:spacing w:after="0" w:line="240" w:lineRule="auto"/>
        <w:ind w:left="709"/>
        <w:jc w:val="both"/>
        <w:rPr>
          <w:rFonts w:ascii="Times New Roman" w:hAnsi="Times New Roman" w:cs="Times New Roman"/>
          <w:sz w:val="24"/>
          <w:szCs w:val="24"/>
          <w:lang w:val="en-US"/>
        </w:rPr>
      </w:pPr>
    </w:p>
    <w:p w14:paraId="720D7333" w14:textId="0A3374BD" w:rsidR="008767EC" w:rsidRPr="00C86889" w:rsidRDefault="00ED51D2" w:rsidP="00532177">
      <w:pPr>
        <w:pStyle w:val="a8"/>
        <w:spacing w:after="0" w:line="240" w:lineRule="auto"/>
        <w:ind w:left="709"/>
        <w:jc w:val="both"/>
        <w:rPr>
          <w:rFonts w:ascii="Times New Roman" w:eastAsia="Calibri" w:hAnsi="Times New Roman" w:cs="Times New Roman"/>
          <w:b/>
          <w:sz w:val="24"/>
          <w:szCs w:val="24"/>
          <w:lang w:val="en-US" w:eastAsia="en-US"/>
        </w:rPr>
      </w:pPr>
      <w:r w:rsidRPr="00C86889">
        <w:rPr>
          <w:rFonts w:ascii="Times New Roman" w:eastAsia="Calibri" w:hAnsi="Times New Roman" w:cs="Times New Roman"/>
          <w:b/>
          <w:sz w:val="24"/>
          <w:szCs w:val="24"/>
          <w:lang w:val="en-US" w:eastAsia="en-US"/>
        </w:rPr>
        <w:t>About author</w:t>
      </w:r>
      <w:r w:rsidR="00F74DC5" w:rsidRPr="00C86889">
        <w:rPr>
          <w:rFonts w:ascii="Times New Roman" w:eastAsia="Calibri" w:hAnsi="Times New Roman" w:cs="Times New Roman"/>
          <w:b/>
          <w:sz w:val="24"/>
          <w:szCs w:val="24"/>
          <w:lang w:val="en-US" w:eastAsia="en-US"/>
        </w:rPr>
        <w:t>s</w:t>
      </w:r>
    </w:p>
    <w:p w14:paraId="0813A957" w14:textId="32F4AF2D" w:rsidR="00913A3F" w:rsidRPr="00C86889" w:rsidRDefault="00F74DC5" w:rsidP="00532177">
      <w:pPr>
        <w:pStyle w:val="Standard"/>
        <w:spacing w:after="0" w:line="240" w:lineRule="auto"/>
        <w:ind w:firstLine="709"/>
        <w:contextualSpacing/>
        <w:jc w:val="both"/>
        <w:rPr>
          <w:rFonts w:ascii="Times New Roman" w:hAnsi="Times New Roman" w:cs="Times New Roman"/>
          <w:sz w:val="24"/>
          <w:szCs w:val="24"/>
          <w:lang w:val="en-US"/>
        </w:rPr>
      </w:pPr>
      <w:r w:rsidRPr="00C86889">
        <w:rPr>
          <w:rFonts w:ascii="Times New Roman" w:hAnsi="Times New Roman" w:cs="Times New Roman"/>
          <w:sz w:val="24"/>
          <w:szCs w:val="24"/>
          <w:lang w:val="en-US"/>
        </w:rPr>
        <w:t>Forgunova Anna Yuryevna (</w:t>
      </w:r>
      <w:r w:rsidR="006E2B2D" w:rsidRPr="00C86889">
        <w:rPr>
          <w:rFonts w:ascii="Times New Roman" w:hAnsi="Times New Roman" w:cs="Times New Roman"/>
          <w:sz w:val="24"/>
          <w:szCs w:val="24"/>
          <w:lang w:val="en-US"/>
        </w:rPr>
        <w:t>Russia, Saint Petersburg</w:t>
      </w:r>
      <w:r w:rsidRPr="00C86889">
        <w:rPr>
          <w:rFonts w:ascii="Times New Roman" w:hAnsi="Times New Roman" w:cs="Times New Roman"/>
          <w:sz w:val="24"/>
          <w:szCs w:val="24"/>
          <w:lang w:val="en-US"/>
        </w:rPr>
        <w:t xml:space="preserve">) - postgraduate, International Banking Institute, </w:t>
      </w:r>
      <w:r w:rsidR="00C362C8" w:rsidRPr="00C86889">
        <w:rPr>
          <w:rFonts w:ascii="Times New Roman" w:hAnsi="Times New Roman" w:cs="Times New Roman"/>
          <w:sz w:val="24"/>
          <w:szCs w:val="24"/>
          <w:lang w:val="en-US"/>
        </w:rPr>
        <w:t xml:space="preserve">Russia, 191023, Saint Petersburg, </w:t>
      </w:r>
      <w:r w:rsidRPr="00C86889">
        <w:rPr>
          <w:rFonts w:ascii="Times New Roman" w:hAnsi="Times New Roman" w:cs="Times New Roman"/>
          <w:sz w:val="24"/>
          <w:szCs w:val="24"/>
          <w:lang w:val="en-US"/>
        </w:rPr>
        <w:t>Nevsky Ave.</w:t>
      </w:r>
      <w:r w:rsidR="00C362C8" w:rsidRPr="00C86889">
        <w:rPr>
          <w:rFonts w:ascii="Times New Roman" w:hAnsi="Times New Roman" w:cs="Times New Roman"/>
          <w:sz w:val="24"/>
          <w:szCs w:val="24"/>
          <w:lang w:val="en-US"/>
        </w:rPr>
        <w:t xml:space="preserve"> 60</w:t>
      </w:r>
      <w:r w:rsidRPr="00C86889">
        <w:rPr>
          <w:rFonts w:ascii="Times New Roman" w:hAnsi="Times New Roman" w:cs="Times New Roman"/>
          <w:sz w:val="24"/>
          <w:szCs w:val="24"/>
          <w:lang w:val="en-US"/>
        </w:rPr>
        <w:t xml:space="preserve">, </w:t>
      </w:r>
      <w:hyperlink r:id="rId13" w:history="1">
        <w:r w:rsidRPr="00C86889">
          <w:rPr>
            <w:rFonts w:ascii="Times New Roman" w:hAnsi="Times New Roman" w:cs="Times New Roman"/>
            <w:sz w:val="24"/>
            <w:szCs w:val="24"/>
            <w:lang w:val="en-US"/>
          </w:rPr>
          <w:t>anna.forgunova@mail.ru</w:t>
        </w:r>
      </w:hyperlink>
    </w:p>
    <w:p w14:paraId="36AB4CD2" w14:textId="1E23A0C8" w:rsidR="00F74DC5" w:rsidRPr="00C86889" w:rsidRDefault="00F74DC5" w:rsidP="00532177">
      <w:pPr>
        <w:pStyle w:val="Standard"/>
        <w:spacing w:after="0" w:line="240" w:lineRule="auto"/>
        <w:ind w:firstLine="709"/>
        <w:contextualSpacing/>
        <w:jc w:val="both"/>
        <w:rPr>
          <w:rFonts w:ascii="Times New Roman" w:hAnsi="Times New Roman" w:cs="Times New Roman"/>
          <w:sz w:val="24"/>
          <w:szCs w:val="24"/>
          <w:lang w:val="en-US"/>
        </w:rPr>
      </w:pPr>
      <w:r w:rsidRPr="00C86889">
        <w:rPr>
          <w:rFonts w:ascii="Times New Roman" w:hAnsi="Times New Roman" w:cs="Times New Roman"/>
          <w:sz w:val="24"/>
          <w:szCs w:val="24"/>
          <w:lang w:val="en-US"/>
        </w:rPr>
        <w:t xml:space="preserve">Shchelkanov Alexander Alexandrovich (Russia, Saint Petersburg) - Ph. D., associate </w:t>
      </w:r>
      <w:r w:rsidR="00440EB5" w:rsidRPr="00C86889">
        <w:rPr>
          <w:rFonts w:ascii="Times New Roman" w:hAnsi="Times New Roman" w:cs="Times New Roman"/>
          <w:sz w:val="24"/>
          <w:szCs w:val="24"/>
          <w:lang w:val="en-US"/>
        </w:rPr>
        <w:t>p</w:t>
      </w:r>
      <w:r w:rsidRPr="00C86889">
        <w:rPr>
          <w:rFonts w:ascii="Times New Roman" w:hAnsi="Times New Roman" w:cs="Times New Roman"/>
          <w:sz w:val="24"/>
          <w:szCs w:val="24"/>
          <w:lang w:val="en-US"/>
        </w:rPr>
        <w:t xml:space="preserve">rofessor </w:t>
      </w:r>
      <w:r w:rsidR="00AE2ADA" w:rsidRPr="00C86889">
        <w:rPr>
          <w:rFonts w:ascii="Times New Roman" w:hAnsi="Times New Roman" w:cs="Times New Roman"/>
          <w:sz w:val="24"/>
          <w:szCs w:val="24"/>
          <w:lang w:val="en-US"/>
        </w:rPr>
        <w:t>St. Petersburg State University of Economics</w:t>
      </w:r>
      <w:r w:rsidRPr="00C86889">
        <w:rPr>
          <w:rFonts w:ascii="Times New Roman" w:hAnsi="Times New Roman" w:cs="Times New Roman"/>
          <w:sz w:val="24"/>
          <w:szCs w:val="24"/>
          <w:lang w:val="en-US"/>
        </w:rPr>
        <w:t>, Russia, 191023, Saint Petersburg, Sadovaya street, 21, aa.shchelkanov@mail.ru</w:t>
      </w:r>
    </w:p>
    <w:p w14:paraId="6DB148E8" w14:textId="77777777" w:rsidR="00F74DC5" w:rsidRPr="00C86889" w:rsidRDefault="00F74DC5" w:rsidP="00532177">
      <w:pPr>
        <w:pStyle w:val="Standard"/>
        <w:spacing w:after="0" w:line="240" w:lineRule="auto"/>
        <w:ind w:firstLine="709"/>
        <w:contextualSpacing/>
        <w:jc w:val="both"/>
        <w:rPr>
          <w:rFonts w:ascii="Times New Roman" w:hAnsi="Times New Roman" w:cs="Times New Roman"/>
          <w:sz w:val="24"/>
          <w:szCs w:val="24"/>
          <w:lang w:val="en-US"/>
        </w:rPr>
      </w:pPr>
    </w:p>
    <w:p w14:paraId="2577B036" w14:textId="686D5BCD" w:rsidR="007B762D" w:rsidRPr="00C86889" w:rsidRDefault="001D1473" w:rsidP="00532177">
      <w:pPr>
        <w:spacing w:before="200"/>
        <w:ind w:firstLine="709"/>
        <w:jc w:val="center"/>
        <w:rPr>
          <w:b/>
          <w:lang w:val="en-US"/>
        </w:rPr>
      </w:pPr>
      <w:r w:rsidRPr="00C86889">
        <w:rPr>
          <w:b/>
          <w:lang w:val="en-US"/>
        </w:rPr>
        <w:t>Bibliographical list</w:t>
      </w:r>
    </w:p>
    <w:p w14:paraId="7BAFBC97" w14:textId="57B57BCB" w:rsidR="007B762D" w:rsidRPr="00C86889" w:rsidRDefault="0097005D" w:rsidP="00532177">
      <w:pPr>
        <w:ind w:firstLine="709"/>
        <w:jc w:val="both"/>
        <w:rPr>
          <w:bCs/>
          <w:lang w:val="en-US"/>
        </w:rPr>
      </w:pPr>
      <w:r w:rsidRPr="00C86889">
        <w:rPr>
          <w:bCs/>
          <w:lang w:val="en-US"/>
        </w:rPr>
        <w:t xml:space="preserve">1. </w:t>
      </w:r>
      <w:r w:rsidR="00522CF4" w:rsidRPr="00C86889">
        <w:rPr>
          <w:bCs/>
          <w:lang w:val="en-US"/>
        </w:rPr>
        <w:t>Caplev, D. N. Osobennosti tranzakcionnogo podhoda v analize mezhbankovskoj konkurencii / D. N. Caplev // Problemy ekonomiki i menedzhmenta. – 2016. – № 4 (8). – S. 80–90.</w:t>
      </w:r>
    </w:p>
    <w:p w14:paraId="1FE2D6CE" w14:textId="4C6834D4" w:rsidR="0047084E" w:rsidRPr="00C86889" w:rsidRDefault="0097005D" w:rsidP="00532177">
      <w:pPr>
        <w:ind w:firstLine="709"/>
        <w:jc w:val="both"/>
        <w:rPr>
          <w:bCs/>
          <w:lang w:val="en-US"/>
        </w:rPr>
      </w:pPr>
      <w:r w:rsidRPr="00C86889">
        <w:rPr>
          <w:bCs/>
          <w:lang w:val="en-US"/>
        </w:rPr>
        <w:t xml:space="preserve">2. </w:t>
      </w:r>
      <w:r w:rsidR="0047084E" w:rsidRPr="00C86889">
        <w:rPr>
          <w:bCs/>
          <w:lang w:val="en-US"/>
        </w:rPr>
        <w:t>Bakulina A.A., Popova V.V. Vliyanie fintekha na bezopasnost' bankovskogo sektora // Ekonomika. Nalogi. Pravo. 2018. №2. URL: https://cyberleninka.ru/article/n/vliyanie-finteha-na-bezopasnost-bankovskogo sektora (data obrashcheniya: 15.05.2020).</w:t>
      </w:r>
    </w:p>
    <w:p w14:paraId="015642C1" w14:textId="3FF2911A" w:rsidR="00050D70" w:rsidRPr="00C86889" w:rsidRDefault="0097005D" w:rsidP="00532177">
      <w:pPr>
        <w:ind w:firstLine="709"/>
        <w:jc w:val="both"/>
        <w:rPr>
          <w:lang w:val="en-US"/>
        </w:rPr>
      </w:pPr>
      <w:r w:rsidRPr="00C86889">
        <w:rPr>
          <w:lang w:val="en-US"/>
        </w:rPr>
        <w:t xml:space="preserve">3. </w:t>
      </w:r>
      <w:r w:rsidR="00050D70" w:rsidRPr="00C86889">
        <w:rPr>
          <w:lang w:val="en-US"/>
        </w:rPr>
        <w:t>Kiberbezopasnost' 2019—2020: tendencii i prognozy URL: https://www.ptsecurity.com/upload/corporate/ru-ru/analytics/cybersecurity-2019-2020-rus.pdf (data obrashcheniya: 15.05.2020)</w:t>
      </w:r>
    </w:p>
    <w:p w14:paraId="654B8F66" w14:textId="20313B00" w:rsidR="00050D70" w:rsidRPr="00C86889" w:rsidRDefault="0097005D" w:rsidP="00532177">
      <w:pPr>
        <w:ind w:firstLine="709"/>
        <w:jc w:val="both"/>
        <w:rPr>
          <w:lang w:val="en-US"/>
        </w:rPr>
      </w:pPr>
      <w:r w:rsidRPr="00C86889">
        <w:rPr>
          <w:lang w:val="en-US"/>
        </w:rPr>
        <w:t xml:space="preserve">4. </w:t>
      </w:r>
      <w:r w:rsidR="00050D70" w:rsidRPr="00C86889">
        <w:rPr>
          <w:lang w:val="en-US"/>
        </w:rPr>
        <w:t>Banki vernuli obmanutym moshennikami klientam tol'ko sed'muyu chast' deneg URL: https://www.newsru.com/finance/19feb2020/only_7th.html (data obrashcheniya: 15.05.2020)</w:t>
      </w:r>
    </w:p>
    <w:p w14:paraId="1EC9191F" w14:textId="183A4B5A" w:rsidR="00050D70" w:rsidRPr="00C86889" w:rsidRDefault="0097005D" w:rsidP="00532177">
      <w:pPr>
        <w:ind w:firstLine="709"/>
        <w:jc w:val="both"/>
        <w:rPr>
          <w:lang w:val="en-US"/>
        </w:rPr>
      </w:pPr>
      <w:r w:rsidRPr="00C86889">
        <w:rPr>
          <w:lang w:val="en-US"/>
        </w:rPr>
        <w:t xml:space="preserve">5. </w:t>
      </w:r>
      <w:r w:rsidR="00050D70" w:rsidRPr="00C86889">
        <w:rPr>
          <w:lang w:val="en-US"/>
        </w:rPr>
        <w:t>Obzor operacij, sovershennyh bez soglasiya klientov finansovyh organizacij za 2019 god // Centr monitoringa i reagirovaniya na komp'yuternye ataki v finansovo-kreditnoj sfere (FinCERT). 2020. URL: https://www.cbr.ru/Content/Document/File/103609/Review_of_transactions_2019.pdf (data obrashcheniya: 16.05.2020)</w:t>
      </w:r>
    </w:p>
    <w:p w14:paraId="23D569C5" w14:textId="579CE2BB" w:rsidR="00050D70" w:rsidRPr="00C86889" w:rsidRDefault="0097005D" w:rsidP="00532177">
      <w:pPr>
        <w:ind w:firstLine="709"/>
        <w:jc w:val="both"/>
        <w:rPr>
          <w:lang w:val="en-US"/>
        </w:rPr>
      </w:pPr>
      <w:r w:rsidRPr="00C86889">
        <w:rPr>
          <w:lang w:val="en-US"/>
        </w:rPr>
        <w:t xml:space="preserve">6. </w:t>
      </w:r>
      <w:r w:rsidR="00050D70" w:rsidRPr="00C86889">
        <w:rPr>
          <w:lang w:val="en-US"/>
        </w:rPr>
        <w:t>Obzor operacij, sovershennyh bez soglasiya klientov finansovyh organizacij za 2019 god // Centr monitoringa i reagirovaniya na komp'yuternye ataki v finansovo-kreditnoj sfere (FinCERT). 2020. URL: https://www.cbr.ru/Content/Document/File/103609/Review_of_transactions_2019.pdf (data obrashcheniya: 16.05.2020).</w:t>
      </w:r>
    </w:p>
    <w:p w14:paraId="4D476430" w14:textId="4D2853D9" w:rsidR="00050D70" w:rsidRPr="00C86889" w:rsidRDefault="0097005D" w:rsidP="00532177">
      <w:pPr>
        <w:ind w:firstLine="709"/>
        <w:jc w:val="both"/>
        <w:rPr>
          <w:lang w:val="en-US"/>
        </w:rPr>
      </w:pPr>
      <w:r w:rsidRPr="00C86889">
        <w:rPr>
          <w:lang w:val="en-US"/>
        </w:rPr>
        <w:t xml:space="preserve">7. </w:t>
      </w:r>
      <w:r w:rsidR="00050D70" w:rsidRPr="00C86889">
        <w:rPr>
          <w:lang w:val="en-US"/>
        </w:rPr>
        <w:t>Zakon o personal'nyh dannyh №152-FZ URL: http://www.tadviser.ru/a/66813 (data obrashcheniya: 16.05.2020).</w:t>
      </w:r>
    </w:p>
    <w:p w14:paraId="46DB5310" w14:textId="406BF82D" w:rsidR="00050D70" w:rsidRPr="00C86889" w:rsidRDefault="0097005D" w:rsidP="00532177">
      <w:pPr>
        <w:ind w:firstLine="709"/>
        <w:jc w:val="both"/>
        <w:rPr>
          <w:lang w:val="en-US"/>
        </w:rPr>
      </w:pPr>
      <w:r w:rsidRPr="00C86889">
        <w:rPr>
          <w:lang w:val="en-US"/>
        </w:rPr>
        <w:t xml:space="preserve">8. </w:t>
      </w:r>
      <w:r w:rsidR="00050D70" w:rsidRPr="00C86889">
        <w:rPr>
          <w:lang w:val="en-US"/>
        </w:rPr>
        <w:t>GODOVOJ OTCHET PAO «Surgutneftegaz» ZA 2018 GOD URL: https://www.surgutneftegas.ru/file.php?id=4570 (data obrashcheniya: 16.05.2020).</w:t>
      </w:r>
    </w:p>
    <w:sectPr w:rsidR="00050D70" w:rsidRPr="00C8688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7E6E6" w14:textId="77777777" w:rsidR="00ED2F5B" w:rsidRDefault="00ED2F5B" w:rsidP="0070780D">
      <w:r>
        <w:separator/>
      </w:r>
    </w:p>
  </w:endnote>
  <w:endnote w:type="continuationSeparator" w:id="0">
    <w:p w14:paraId="653BE4AF" w14:textId="77777777" w:rsidR="00ED2F5B" w:rsidRDefault="00ED2F5B" w:rsidP="0070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ACCC4" w14:textId="77777777" w:rsidR="00ED2F5B" w:rsidRDefault="00ED2F5B" w:rsidP="0070780D">
      <w:r>
        <w:separator/>
      </w:r>
    </w:p>
  </w:footnote>
  <w:footnote w:type="continuationSeparator" w:id="0">
    <w:p w14:paraId="0F27D0DB" w14:textId="77777777" w:rsidR="00ED2F5B" w:rsidRDefault="00ED2F5B" w:rsidP="00707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41720"/>
    <w:multiLevelType w:val="hybridMultilevel"/>
    <w:tmpl w:val="E494AE9E"/>
    <w:lvl w:ilvl="0" w:tplc="0419000F">
      <w:start w:val="1"/>
      <w:numFmt w:val="decimal"/>
      <w:lvlText w:val="%1."/>
      <w:lvlJc w:val="left"/>
      <w:pPr>
        <w:ind w:left="78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476386"/>
    <w:multiLevelType w:val="hybridMultilevel"/>
    <w:tmpl w:val="DC7C1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9C0B62"/>
    <w:multiLevelType w:val="hybridMultilevel"/>
    <w:tmpl w:val="E7229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F652DF"/>
    <w:multiLevelType w:val="hybridMultilevel"/>
    <w:tmpl w:val="E494AE9E"/>
    <w:lvl w:ilvl="0" w:tplc="0419000F">
      <w:start w:val="1"/>
      <w:numFmt w:val="decimal"/>
      <w:lvlText w:val="%1."/>
      <w:lvlJc w:val="left"/>
      <w:pPr>
        <w:ind w:left="78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241FF3"/>
    <w:multiLevelType w:val="hybridMultilevel"/>
    <w:tmpl w:val="7A50BA42"/>
    <w:lvl w:ilvl="0" w:tplc="A6083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9CC4355"/>
    <w:multiLevelType w:val="hybridMultilevel"/>
    <w:tmpl w:val="F2C04CF4"/>
    <w:lvl w:ilvl="0" w:tplc="3FE6D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F575D21"/>
    <w:multiLevelType w:val="hybridMultilevel"/>
    <w:tmpl w:val="F98886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2065084"/>
    <w:multiLevelType w:val="hybridMultilevel"/>
    <w:tmpl w:val="B0CC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BF1AA4"/>
    <w:multiLevelType w:val="hybridMultilevel"/>
    <w:tmpl w:val="E494AE9E"/>
    <w:lvl w:ilvl="0" w:tplc="0419000F">
      <w:start w:val="1"/>
      <w:numFmt w:val="decimal"/>
      <w:lvlText w:val="%1."/>
      <w:lvlJc w:val="left"/>
      <w:pPr>
        <w:ind w:left="78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8"/>
  </w:num>
  <w:num w:numId="5">
    <w:abstractNumId w:val="1"/>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AC"/>
    <w:rsid w:val="00012353"/>
    <w:rsid w:val="000139BD"/>
    <w:rsid w:val="00022334"/>
    <w:rsid w:val="00027D8E"/>
    <w:rsid w:val="0003225D"/>
    <w:rsid w:val="000361FA"/>
    <w:rsid w:val="000465CE"/>
    <w:rsid w:val="00050D70"/>
    <w:rsid w:val="00057B23"/>
    <w:rsid w:val="000719C7"/>
    <w:rsid w:val="00076C80"/>
    <w:rsid w:val="00090563"/>
    <w:rsid w:val="000955E2"/>
    <w:rsid w:val="000A3668"/>
    <w:rsid w:val="000A3EB6"/>
    <w:rsid w:val="000B19D5"/>
    <w:rsid w:val="000B39E9"/>
    <w:rsid w:val="000B655C"/>
    <w:rsid w:val="000C00C5"/>
    <w:rsid w:val="000C27B4"/>
    <w:rsid w:val="000C4D08"/>
    <w:rsid w:val="000E115D"/>
    <w:rsid w:val="000E5596"/>
    <w:rsid w:val="00102A31"/>
    <w:rsid w:val="00106DFF"/>
    <w:rsid w:val="0011314F"/>
    <w:rsid w:val="001213AF"/>
    <w:rsid w:val="00135756"/>
    <w:rsid w:val="00143AF9"/>
    <w:rsid w:val="00154B6D"/>
    <w:rsid w:val="00161B0B"/>
    <w:rsid w:val="00165FB9"/>
    <w:rsid w:val="00172DA0"/>
    <w:rsid w:val="00174A22"/>
    <w:rsid w:val="0018610D"/>
    <w:rsid w:val="001907D4"/>
    <w:rsid w:val="00194304"/>
    <w:rsid w:val="00196D32"/>
    <w:rsid w:val="001C0A24"/>
    <w:rsid w:val="001C3D80"/>
    <w:rsid w:val="001C5CF5"/>
    <w:rsid w:val="001D1473"/>
    <w:rsid w:val="001D49FA"/>
    <w:rsid w:val="001E226B"/>
    <w:rsid w:val="001E3099"/>
    <w:rsid w:val="001F6DAF"/>
    <w:rsid w:val="001F6EA7"/>
    <w:rsid w:val="00202B5D"/>
    <w:rsid w:val="00202D4E"/>
    <w:rsid w:val="002117FD"/>
    <w:rsid w:val="002255E9"/>
    <w:rsid w:val="0023416B"/>
    <w:rsid w:val="00236D6B"/>
    <w:rsid w:val="002404E0"/>
    <w:rsid w:val="0024209A"/>
    <w:rsid w:val="00243F01"/>
    <w:rsid w:val="00251A61"/>
    <w:rsid w:val="002536DD"/>
    <w:rsid w:val="00261541"/>
    <w:rsid w:val="00264BEF"/>
    <w:rsid w:val="00266B31"/>
    <w:rsid w:val="00272536"/>
    <w:rsid w:val="00273DB7"/>
    <w:rsid w:val="00284CBC"/>
    <w:rsid w:val="002861D8"/>
    <w:rsid w:val="00290FD9"/>
    <w:rsid w:val="002B1615"/>
    <w:rsid w:val="002C1E49"/>
    <w:rsid w:val="002D031D"/>
    <w:rsid w:val="002D5A51"/>
    <w:rsid w:val="002E05A5"/>
    <w:rsid w:val="002E7AE9"/>
    <w:rsid w:val="002F35FD"/>
    <w:rsid w:val="00303A21"/>
    <w:rsid w:val="003203C5"/>
    <w:rsid w:val="003233F6"/>
    <w:rsid w:val="00327E64"/>
    <w:rsid w:val="003321BB"/>
    <w:rsid w:val="0033474D"/>
    <w:rsid w:val="00334F40"/>
    <w:rsid w:val="00341834"/>
    <w:rsid w:val="00342048"/>
    <w:rsid w:val="0034289A"/>
    <w:rsid w:val="003445B8"/>
    <w:rsid w:val="00360A0C"/>
    <w:rsid w:val="00370DDA"/>
    <w:rsid w:val="00373312"/>
    <w:rsid w:val="00373B1B"/>
    <w:rsid w:val="003752B0"/>
    <w:rsid w:val="00380A1D"/>
    <w:rsid w:val="00381E58"/>
    <w:rsid w:val="00382793"/>
    <w:rsid w:val="00384AB9"/>
    <w:rsid w:val="003B5DF2"/>
    <w:rsid w:val="003C2A1D"/>
    <w:rsid w:val="003D2A92"/>
    <w:rsid w:val="003D667E"/>
    <w:rsid w:val="003E0565"/>
    <w:rsid w:val="003E3FC9"/>
    <w:rsid w:val="003E45C5"/>
    <w:rsid w:val="003F1AD9"/>
    <w:rsid w:val="003F3A41"/>
    <w:rsid w:val="00400910"/>
    <w:rsid w:val="0040619C"/>
    <w:rsid w:val="00425B58"/>
    <w:rsid w:val="004301FF"/>
    <w:rsid w:val="004379B0"/>
    <w:rsid w:val="00440EB5"/>
    <w:rsid w:val="0047084E"/>
    <w:rsid w:val="00474863"/>
    <w:rsid w:val="00485966"/>
    <w:rsid w:val="004906DE"/>
    <w:rsid w:val="00495EC4"/>
    <w:rsid w:val="004B21AF"/>
    <w:rsid w:val="004B34BE"/>
    <w:rsid w:val="004B469E"/>
    <w:rsid w:val="004B6D6D"/>
    <w:rsid w:val="004D1B40"/>
    <w:rsid w:val="004E5FB5"/>
    <w:rsid w:val="004E5FFA"/>
    <w:rsid w:val="004E6386"/>
    <w:rsid w:val="004F12B5"/>
    <w:rsid w:val="004F3976"/>
    <w:rsid w:val="00507689"/>
    <w:rsid w:val="005120F3"/>
    <w:rsid w:val="00513198"/>
    <w:rsid w:val="0051410D"/>
    <w:rsid w:val="00516F16"/>
    <w:rsid w:val="0052122A"/>
    <w:rsid w:val="00522CF4"/>
    <w:rsid w:val="005234DD"/>
    <w:rsid w:val="00525497"/>
    <w:rsid w:val="00532177"/>
    <w:rsid w:val="00532D23"/>
    <w:rsid w:val="0053332F"/>
    <w:rsid w:val="00541F5C"/>
    <w:rsid w:val="0055254D"/>
    <w:rsid w:val="005605E5"/>
    <w:rsid w:val="00567F4F"/>
    <w:rsid w:val="00570359"/>
    <w:rsid w:val="00571D5A"/>
    <w:rsid w:val="00572158"/>
    <w:rsid w:val="0057527F"/>
    <w:rsid w:val="00575637"/>
    <w:rsid w:val="00586CEE"/>
    <w:rsid w:val="00590524"/>
    <w:rsid w:val="005958DF"/>
    <w:rsid w:val="00595D59"/>
    <w:rsid w:val="005A2946"/>
    <w:rsid w:val="005A6A84"/>
    <w:rsid w:val="005C12D5"/>
    <w:rsid w:val="005D0517"/>
    <w:rsid w:val="005E0FE1"/>
    <w:rsid w:val="005F27AC"/>
    <w:rsid w:val="005F2CE6"/>
    <w:rsid w:val="005F5A44"/>
    <w:rsid w:val="005F62C0"/>
    <w:rsid w:val="006035B0"/>
    <w:rsid w:val="00627F6F"/>
    <w:rsid w:val="00640212"/>
    <w:rsid w:val="00641E6A"/>
    <w:rsid w:val="00645603"/>
    <w:rsid w:val="0065124E"/>
    <w:rsid w:val="0065307F"/>
    <w:rsid w:val="00655D63"/>
    <w:rsid w:val="006574C0"/>
    <w:rsid w:val="00683A87"/>
    <w:rsid w:val="00685934"/>
    <w:rsid w:val="006909E0"/>
    <w:rsid w:val="00691DC2"/>
    <w:rsid w:val="00692246"/>
    <w:rsid w:val="0069257D"/>
    <w:rsid w:val="006A2F0E"/>
    <w:rsid w:val="006A5B13"/>
    <w:rsid w:val="006B1954"/>
    <w:rsid w:val="006C07E9"/>
    <w:rsid w:val="006C3839"/>
    <w:rsid w:val="006C3BC7"/>
    <w:rsid w:val="006E2442"/>
    <w:rsid w:val="006E2B2D"/>
    <w:rsid w:val="006E4FC5"/>
    <w:rsid w:val="006F2A02"/>
    <w:rsid w:val="006F34D4"/>
    <w:rsid w:val="0070593D"/>
    <w:rsid w:val="0070780D"/>
    <w:rsid w:val="007262F4"/>
    <w:rsid w:val="00730B8D"/>
    <w:rsid w:val="007320D5"/>
    <w:rsid w:val="00736E62"/>
    <w:rsid w:val="00747DEA"/>
    <w:rsid w:val="00751B42"/>
    <w:rsid w:val="00777524"/>
    <w:rsid w:val="007816F5"/>
    <w:rsid w:val="00787486"/>
    <w:rsid w:val="00796738"/>
    <w:rsid w:val="007A36DE"/>
    <w:rsid w:val="007B00D5"/>
    <w:rsid w:val="007B4089"/>
    <w:rsid w:val="007B5922"/>
    <w:rsid w:val="007B715F"/>
    <w:rsid w:val="007B762D"/>
    <w:rsid w:val="007C5528"/>
    <w:rsid w:val="007C57A4"/>
    <w:rsid w:val="007D3A2B"/>
    <w:rsid w:val="007E0334"/>
    <w:rsid w:val="007E10F2"/>
    <w:rsid w:val="007F016B"/>
    <w:rsid w:val="00807731"/>
    <w:rsid w:val="00815D02"/>
    <w:rsid w:val="00825CA2"/>
    <w:rsid w:val="008345B5"/>
    <w:rsid w:val="00837BFD"/>
    <w:rsid w:val="008568E8"/>
    <w:rsid w:val="008672D5"/>
    <w:rsid w:val="008767EC"/>
    <w:rsid w:val="00894F68"/>
    <w:rsid w:val="008C77C5"/>
    <w:rsid w:val="008E4F4C"/>
    <w:rsid w:val="008E7549"/>
    <w:rsid w:val="008F1D59"/>
    <w:rsid w:val="008F3316"/>
    <w:rsid w:val="008F4D3E"/>
    <w:rsid w:val="008F7030"/>
    <w:rsid w:val="00913A3F"/>
    <w:rsid w:val="00932886"/>
    <w:rsid w:val="0094030F"/>
    <w:rsid w:val="0094102E"/>
    <w:rsid w:val="00944CA3"/>
    <w:rsid w:val="009458D0"/>
    <w:rsid w:val="00946FF7"/>
    <w:rsid w:val="0095147A"/>
    <w:rsid w:val="00961981"/>
    <w:rsid w:val="0097005D"/>
    <w:rsid w:val="00984BAA"/>
    <w:rsid w:val="009910A2"/>
    <w:rsid w:val="009B2EE1"/>
    <w:rsid w:val="009C205E"/>
    <w:rsid w:val="009C209B"/>
    <w:rsid w:val="009C30F8"/>
    <w:rsid w:val="009C45B6"/>
    <w:rsid w:val="009E11BD"/>
    <w:rsid w:val="009E3FAC"/>
    <w:rsid w:val="009F1550"/>
    <w:rsid w:val="009F4666"/>
    <w:rsid w:val="00A00258"/>
    <w:rsid w:val="00A01408"/>
    <w:rsid w:val="00A069A0"/>
    <w:rsid w:val="00A10FAC"/>
    <w:rsid w:val="00A20930"/>
    <w:rsid w:val="00A210D3"/>
    <w:rsid w:val="00A335BA"/>
    <w:rsid w:val="00A3697E"/>
    <w:rsid w:val="00A42B7C"/>
    <w:rsid w:val="00A46AC2"/>
    <w:rsid w:val="00A50C33"/>
    <w:rsid w:val="00A54D4C"/>
    <w:rsid w:val="00A6559A"/>
    <w:rsid w:val="00A731D3"/>
    <w:rsid w:val="00A84A5B"/>
    <w:rsid w:val="00A950F4"/>
    <w:rsid w:val="00AB5470"/>
    <w:rsid w:val="00AC3B26"/>
    <w:rsid w:val="00AC3E04"/>
    <w:rsid w:val="00AD0474"/>
    <w:rsid w:val="00AD4785"/>
    <w:rsid w:val="00AD72A0"/>
    <w:rsid w:val="00AE0C27"/>
    <w:rsid w:val="00AE2ADA"/>
    <w:rsid w:val="00AE39C3"/>
    <w:rsid w:val="00AE73A9"/>
    <w:rsid w:val="00AE742B"/>
    <w:rsid w:val="00AE7DAD"/>
    <w:rsid w:val="00AF19C8"/>
    <w:rsid w:val="00AF465F"/>
    <w:rsid w:val="00AF57AF"/>
    <w:rsid w:val="00B0269A"/>
    <w:rsid w:val="00B03FCF"/>
    <w:rsid w:val="00B10920"/>
    <w:rsid w:val="00B11331"/>
    <w:rsid w:val="00B158F8"/>
    <w:rsid w:val="00B23A38"/>
    <w:rsid w:val="00B33802"/>
    <w:rsid w:val="00B34C27"/>
    <w:rsid w:val="00B46F57"/>
    <w:rsid w:val="00B60FA8"/>
    <w:rsid w:val="00B7600A"/>
    <w:rsid w:val="00BA08F4"/>
    <w:rsid w:val="00BA136F"/>
    <w:rsid w:val="00BB030B"/>
    <w:rsid w:val="00BB6E50"/>
    <w:rsid w:val="00BC3E19"/>
    <w:rsid w:val="00BC4E04"/>
    <w:rsid w:val="00BE0EFD"/>
    <w:rsid w:val="00BF50D1"/>
    <w:rsid w:val="00C042F1"/>
    <w:rsid w:val="00C14A68"/>
    <w:rsid w:val="00C20E4A"/>
    <w:rsid w:val="00C25585"/>
    <w:rsid w:val="00C334E8"/>
    <w:rsid w:val="00C362C8"/>
    <w:rsid w:val="00C4170D"/>
    <w:rsid w:val="00C44941"/>
    <w:rsid w:val="00C47600"/>
    <w:rsid w:val="00C65A9D"/>
    <w:rsid w:val="00C66426"/>
    <w:rsid w:val="00C74878"/>
    <w:rsid w:val="00C74DA6"/>
    <w:rsid w:val="00C75E58"/>
    <w:rsid w:val="00C86889"/>
    <w:rsid w:val="00C87CB4"/>
    <w:rsid w:val="00C96258"/>
    <w:rsid w:val="00CA19F8"/>
    <w:rsid w:val="00CA51F7"/>
    <w:rsid w:val="00CB67F5"/>
    <w:rsid w:val="00CB6BC2"/>
    <w:rsid w:val="00CE0E16"/>
    <w:rsid w:val="00CE4BA5"/>
    <w:rsid w:val="00CE5731"/>
    <w:rsid w:val="00CE7BA4"/>
    <w:rsid w:val="00CF05BC"/>
    <w:rsid w:val="00CF4E91"/>
    <w:rsid w:val="00CF65C6"/>
    <w:rsid w:val="00D0342F"/>
    <w:rsid w:val="00D052FA"/>
    <w:rsid w:val="00D13B62"/>
    <w:rsid w:val="00D14B07"/>
    <w:rsid w:val="00D15689"/>
    <w:rsid w:val="00D20A96"/>
    <w:rsid w:val="00D25F58"/>
    <w:rsid w:val="00D36712"/>
    <w:rsid w:val="00D36798"/>
    <w:rsid w:val="00D41906"/>
    <w:rsid w:val="00D45459"/>
    <w:rsid w:val="00D46A45"/>
    <w:rsid w:val="00D6189E"/>
    <w:rsid w:val="00D638C6"/>
    <w:rsid w:val="00D70E18"/>
    <w:rsid w:val="00D77CC2"/>
    <w:rsid w:val="00D819C4"/>
    <w:rsid w:val="00D97A56"/>
    <w:rsid w:val="00DB2C5E"/>
    <w:rsid w:val="00DC1419"/>
    <w:rsid w:val="00DC166F"/>
    <w:rsid w:val="00DC23C2"/>
    <w:rsid w:val="00DC56EB"/>
    <w:rsid w:val="00DC5B54"/>
    <w:rsid w:val="00DC6E67"/>
    <w:rsid w:val="00DD7482"/>
    <w:rsid w:val="00DE2F07"/>
    <w:rsid w:val="00DF1D72"/>
    <w:rsid w:val="00E00369"/>
    <w:rsid w:val="00E03705"/>
    <w:rsid w:val="00E14B10"/>
    <w:rsid w:val="00E167EC"/>
    <w:rsid w:val="00E2030A"/>
    <w:rsid w:val="00E21926"/>
    <w:rsid w:val="00E24344"/>
    <w:rsid w:val="00E264FD"/>
    <w:rsid w:val="00E4103F"/>
    <w:rsid w:val="00E424A3"/>
    <w:rsid w:val="00E454F8"/>
    <w:rsid w:val="00E50C88"/>
    <w:rsid w:val="00E564BC"/>
    <w:rsid w:val="00E65F9E"/>
    <w:rsid w:val="00E666A1"/>
    <w:rsid w:val="00E80BDA"/>
    <w:rsid w:val="00E85E10"/>
    <w:rsid w:val="00E91A37"/>
    <w:rsid w:val="00E9205B"/>
    <w:rsid w:val="00E9296D"/>
    <w:rsid w:val="00E95E93"/>
    <w:rsid w:val="00EA77AF"/>
    <w:rsid w:val="00EC32FA"/>
    <w:rsid w:val="00EC4B45"/>
    <w:rsid w:val="00ED2F5B"/>
    <w:rsid w:val="00ED51D2"/>
    <w:rsid w:val="00EE1258"/>
    <w:rsid w:val="00EF3F29"/>
    <w:rsid w:val="00F14A8B"/>
    <w:rsid w:val="00F22D1D"/>
    <w:rsid w:val="00F23CB5"/>
    <w:rsid w:val="00F24788"/>
    <w:rsid w:val="00F36DA1"/>
    <w:rsid w:val="00F62987"/>
    <w:rsid w:val="00F722BA"/>
    <w:rsid w:val="00F74DC5"/>
    <w:rsid w:val="00F85129"/>
    <w:rsid w:val="00F92B66"/>
    <w:rsid w:val="00F9640D"/>
    <w:rsid w:val="00F97EA5"/>
    <w:rsid w:val="00FA6353"/>
    <w:rsid w:val="00FA6833"/>
    <w:rsid w:val="00FB5F49"/>
    <w:rsid w:val="00FC1CBD"/>
    <w:rsid w:val="00FC6EED"/>
    <w:rsid w:val="00FD4AEC"/>
    <w:rsid w:val="00FE09D4"/>
    <w:rsid w:val="00FE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89765"/>
  <w14:defaultImageDpi w14:val="0"/>
  <w15:docId w15:val="{2B311744-9D13-4B85-8C9B-01D8D973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9D4"/>
    <w:pPr>
      <w:spacing w:after="0" w:line="240" w:lineRule="auto"/>
    </w:pPr>
    <w:rPr>
      <w:rFonts w:ascii="Times New Roman" w:hAnsi="Times New Roman" w:cs="Times New Roman"/>
      <w:sz w:val="24"/>
      <w:szCs w:val="24"/>
    </w:rPr>
  </w:style>
  <w:style w:type="paragraph" w:styleId="1">
    <w:name w:val="heading 1"/>
    <w:basedOn w:val="a"/>
    <w:link w:val="10"/>
    <w:uiPriority w:val="9"/>
    <w:qFormat/>
    <w:rsid w:val="0068593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locked/>
    <w:rsid w:val="00272536"/>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locked/>
    <w:rsid w:val="00FA6353"/>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85934"/>
    <w:rPr>
      <w:rFonts w:ascii="Times New Roman" w:hAnsi="Times New Roman" w:cs="Times New Roman"/>
      <w:b/>
      <w:bCs/>
      <w:kern w:val="36"/>
      <w:sz w:val="48"/>
      <w:szCs w:val="48"/>
    </w:rPr>
  </w:style>
  <w:style w:type="character" w:customStyle="1" w:styleId="mw-headline">
    <w:name w:val="mw-headline"/>
    <w:uiPriority w:val="99"/>
    <w:rsid w:val="00B0269A"/>
  </w:style>
  <w:style w:type="paragraph" w:customStyle="1" w:styleId="lead">
    <w:name w:val="lead"/>
    <w:basedOn w:val="a"/>
    <w:uiPriority w:val="99"/>
    <w:rsid w:val="0065124E"/>
    <w:pPr>
      <w:spacing w:before="100" w:beforeAutospacing="1" w:after="100" w:afterAutospacing="1"/>
    </w:pPr>
  </w:style>
  <w:style w:type="paragraph" w:styleId="a3">
    <w:name w:val="header"/>
    <w:basedOn w:val="a"/>
    <w:link w:val="a4"/>
    <w:uiPriority w:val="99"/>
    <w:unhideWhenUsed/>
    <w:locked/>
    <w:rsid w:val="0070780D"/>
    <w:pPr>
      <w:tabs>
        <w:tab w:val="center" w:pos="4677"/>
        <w:tab w:val="right" w:pos="9355"/>
      </w:tabs>
    </w:pPr>
    <w:rPr>
      <w:rFonts w:ascii="Calibri" w:hAnsi="Calibri"/>
      <w:sz w:val="22"/>
      <w:szCs w:val="22"/>
    </w:rPr>
  </w:style>
  <w:style w:type="character" w:customStyle="1" w:styleId="a4">
    <w:name w:val="Верхний колонтитул Знак"/>
    <w:basedOn w:val="a0"/>
    <w:link w:val="a3"/>
    <w:uiPriority w:val="99"/>
    <w:rsid w:val="0070780D"/>
    <w:rPr>
      <w:rFonts w:cs="Times New Roman"/>
    </w:rPr>
  </w:style>
  <w:style w:type="paragraph" w:styleId="a5">
    <w:name w:val="footer"/>
    <w:basedOn w:val="a"/>
    <w:link w:val="a6"/>
    <w:uiPriority w:val="99"/>
    <w:unhideWhenUsed/>
    <w:locked/>
    <w:rsid w:val="0070780D"/>
    <w:pPr>
      <w:tabs>
        <w:tab w:val="center" w:pos="4677"/>
        <w:tab w:val="right" w:pos="9355"/>
      </w:tabs>
    </w:pPr>
    <w:rPr>
      <w:rFonts w:ascii="Calibri" w:hAnsi="Calibri"/>
      <w:sz w:val="22"/>
      <w:szCs w:val="22"/>
    </w:rPr>
  </w:style>
  <w:style w:type="character" w:customStyle="1" w:styleId="a6">
    <w:name w:val="Нижний колонтитул Знак"/>
    <w:basedOn w:val="a0"/>
    <w:link w:val="a5"/>
    <w:uiPriority w:val="99"/>
    <w:rsid w:val="0070780D"/>
    <w:rPr>
      <w:rFonts w:cs="Times New Roman"/>
    </w:rPr>
  </w:style>
  <w:style w:type="paragraph" w:customStyle="1" w:styleId="Standard">
    <w:name w:val="Standard"/>
    <w:rsid w:val="00932886"/>
    <w:pPr>
      <w:suppressAutoHyphens/>
      <w:autoSpaceDN w:val="0"/>
      <w:spacing w:after="200" w:line="276" w:lineRule="auto"/>
      <w:textAlignment w:val="baseline"/>
    </w:pPr>
    <w:rPr>
      <w:rFonts w:eastAsia="Arial Unicode MS" w:cs="F"/>
      <w:bCs/>
      <w:kern w:val="3"/>
      <w:sz w:val="28"/>
      <w:szCs w:val="28"/>
      <w:lang w:eastAsia="en-US"/>
    </w:rPr>
  </w:style>
  <w:style w:type="character" w:styleId="a7">
    <w:name w:val="Hyperlink"/>
    <w:basedOn w:val="a0"/>
    <w:uiPriority w:val="99"/>
    <w:unhideWhenUsed/>
    <w:locked/>
    <w:rsid w:val="000C00C5"/>
    <w:rPr>
      <w:color w:val="0000FF"/>
      <w:u w:val="single"/>
    </w:rPr>
  </w:style>
  <w:style w:type="paragraph" w:styleId="a8">
    <w:name w:val="List Paragraph"/>
    <w:basedOn w:val="a"/>
    <w:uiPriority w:val="34"/>
    <w:qFormat/>
    <w:rsid w:val="00CF65C6"/>
    <w:pPr>
      <w:spacing w:after="200" w:line="276" w:lineRule="auto"/>
      <w:ind w:left="720"/>
      <w:contextualSpacing/>
    </w:pPr>
    <w:rPr>
      <w:rFonts w:asciiTheme="minorHAnsi" w:eastAsiaTheme="minorEastAsia" w:hAnsiTheme="minorHAnsi" w:cstheme="minorBidi"/>
      <w:sz w:val="22"/>
      <w:szCs w:val="22"/>
    </w:rPr>
  </w:style>
  <w:style w:type="character" w:customStyle="1" w:styleId="30">
    <w:name w:val="Заголовок 3 Знак"/>
    <w:basedOn w:val="a0"/>
    <w:link w:val="3"/>
    <w:uiPriority w:val="9"/>
    <w:rsid w:val="00FA6353"/>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272536"/>
    <w:rPr>
      <w:rFonts w:asciiTheme="majorHAnsi" w:eastAsiaTheme="majorEastAsia" w:hAnsiTheme="majorHAnsi" w:cstheme="majorBidi"/>
      <w:color w:val="2E74B5" w:themeColor="accent1" w:themeShade="BF"/>
      <w:sz w:val="26"/>
      <w:szCs w:val="26"/>
    </w:rPr>
  </w:style>
  <w:style w:type="character" w:styleId="a9">
    <w:name w:val="Unresolved Mention"/>
    <w:basedOn w:val="a0"/>
    <w:uiPriority w:val="99"/>
    <w:semiHidden/>
    <w:unhideWhenUsed/>
    <w:rsid w:val="00F74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2292">
      <w:bodyDiv w:val="1"/>
      <w:marLeft w:val="0"/>
      <w:marRight w:val="0"/>
      <w:marTop w:val="0"/>
      <w:marBottom w:val="0"/>
      <w:divBdr>
        <w:top w:val="none" w:sz="0" w:space="0" w:color="auto"/>
        <w:left w:val="none" w:sz="0" w:space="0" w:color="auto"/>
        <w:bottom w:val="none" w:sz="0" w:space="0" w:color="auto"/>
        <w:right w:val="none" w:sz="0" w:space="0" w:color="auto"/>
      </w:divBdr>
    </w:div>
    <w:div w:id="120806081">
      <w:marLeft w:val="0"/>
      <w:marRight w:val="0"/>
      <w:marTop w:val="0"/>
      <w:marBottom w:val="0"/>
      <w:divBdr>
        <w:top w:val="none" w:sz="0" w:space="0" w:color="auto"/>
        <w:left w:val="none" w:sz="0" w:space="0" w:color="auto"/>
        <w:bottom w:val="none" w:sz="0" w:space="0" w:color="auto"/>
        <w:right w:val="none" w:sz="0" w:space="0" w:color="auto"/>
      </w:divBdr>
    </w:div>
    <w:div w:id="515849759">
      <w:bodyDiv w:val="1"/>
      <w:marLeft w:val="0"/>
      <w:marRight w:val="0"/>
      <w:marTop w:val="0"/>
      <w:marBottom w:val="0"/>
      <w:divBdr>
        <w:top w:val="none" w:sz="0" w:space="0" w:color="auto"/>
        <w:left w:val="none" w:sz="0" w:space="0" w:color="auto"/>
        <w:bottom w:val="none" w:sz="0" w:space="0" w:color="auto"/>
        <w:right w:val="none" w:sz="0" w:space="0" w:color="auto"/>
      </w:divBdr>
    </w:div>
    <w:div w:id="532964686">
      <w:bodyDiv w:val="1"/>
      <w:marLeft w:val="0"/>
      <w:marRight w:val="0"/>
      <w:marTop w:val="0"/>
      <w:marBottom w:val="0"/>
      <w:divBdr>
        <w:top w:val="none" w:sz="0" w:space="0" w:color="auto"/>
        <w:left w:val="none" w:sz="0" w:space="0" w:color="auto"/>
        <w:bottom w:val="none" w:sz="0" w:space="0" w:color="auto"/>
        <w:right w:val="none" w:sz="0" w:space="0" w:color="auto"/>
      </w:divBdr>
    </w:div>
    <w:div w:id="662321664">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90189536">
      <w:bodyDiv w:val="1"/>
      <w:marLeft w:val="0"/>
      <w:marRight w:val="0"/>
      <w:marTop w:val="0"/>
      <w:marBottom w:val="0"/>
      <w:divBdr>
        <w:top w:val="none" w:sz="0" w:space="0" w:color="auto"/>
        <w:left w:val="none" w:sz="0" w:space="0" w:color="auto"/>
        <w:bottom w:val="none" w:sz="0" w:space="0" w:color="auto"/>
        <w:right w:val="none" w:sz="0" w:space="0" w:color="auto"/>
      </w:divBdr>
      <w:divsChild>
        <w:div w:id="271744504">
          <w:marLeft w:val="0"/>
          <w:marRight w:val="0"/>
          <w:marTop w:val="90"/>
          <w:marBottom w:val="0"/>
          <w:divBdr>
            <w:top w:val="none" w:sz="0" w:space="0" w:color="auto"/>
            <w:left w:val="none" w:sz="0" w:space="0" w:color="auto"/>
            <w:bottom w:val="none" w:sz="0" w:space="0" w:color="auto"/>
            <w:right w:val="none" w:sz="0" w:space="0" w:color="auto"/>
          </w:divBdr>
          <w:divsChild>
            <w:div w:id="2123837524">
              <w:marLeft w:val="0"/>
              <w:marRight w:val="0"/>
              <w:marTop w:val="0"/>
              <w:marBottom w:val="420"/>
              <w:divBdr>
                <w:top w:val="none" w:sz="0" w:space="0" w:color="auto"/>
                <w:left w:val="none" w:sz="0" w:space="0" w:color="auto"/>
                <w:bottom w:val="none" w:sz="0" w:space="0" w:color="auto"/>
                <w:right w:val="none" w:sz="0" w:space="0" w:color="auto"/>
              </w:divBdr>
              <w:divsChild>
                <w:div w:id="1095977055">
                  <w:marLeft w:val="0"/>
                  <w:marRight w:val="0"/>
                  <w:marTop w:val="0"/>
                  <w:marBottom w:val="0"/>
                  <w:divBdr>
                    <w:top w:val="none" w:sz="0" w:space="0" w:color="auto"/>
                    <w:left w:val="none" w:sz="0" w:space="0" w:color="auto"/>
                    <w:bottom w:val="none" w:sz="0" w:space="0" w:color="auto"/>
                    <w:right w:val="none" w:sz="0" w:space="0" w:color="auto"/>
                  </w:divBdr>
                  <w:divsChild>
                    <w:div w:id="15291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5285">
      <w:bodyDiv w:val="1"/>
      <w:marLeft w:val="0"/>
      <w:marRight w:val="0"/>
      <w:marTop w:val="0"/>
      <w:marBottom w:val="0"/>
      <w:divBdr>
        <w:top w:val="none" w:sz="0" w:space="0" w:color="auto"/>
        <w:left w:val="none" w:sz="0" w:space="0" w:color="auto"/>
        <w:bottom w:val="none" w:sz="0" w:space="0" w:color="auto"/>
        <w:right w:val="none" w:sz="0" w:space="0" w:color="auto"/>
      </w:divBdr>
    </w:div>
    <w:div w:id="1231622794">
      <w:bodyDiv w:val="1"/>
      <w:marLeft w:val="0"/>
      <w:marRight w:val="0"/>
      <w:marTop w:val="0"/>
      <w:marBottom w:val="0"/>
      <w:divBdr>
        <w:top w:val="none" w:sz="0" w:space="0" w:color="auto"/>
        <w:left w:val="none" w:sz="0" w:space="0" w:color="auto"/>
        <w:bottom w:val="none" w:sz="0" w:space="0" w:color="auto"/>
        <w:right w:val="none" w:sz="0" w:space="0" w:color="auto"/>
      </w:divBdr>
    </w:div>
    <w:div w:id="1250964939">
      <w:bodyDiv w:val="1"/>
      <w:marLeft w:val="0"/>
      <w:marRight w:val="0"/>
      <w:marTop w:val="0"/>
      <w:marBottom w:val="0"/>
      <w:divBdr>
        <w:top w:val="none" w:sz="0" w:space="0" w:color="auto"/>
        <w:left w:val="none" w:sz="0" w:space="0" w:color="auto"/>
        <w:bottom w:val="none" w:sz="0" w:space="0" w:color="auto"/>
        <w:right w:val="none" w:sz="0" w:space="0" w:color="auto"/>
      </w:divBdr>
    </w:div>
    <w:div w:id="1363673813">
      <w:bodyDiv w:val="1"/>
      <w:marLeft w:val="0"/>
      <w:marRight w:val="0"/>
      <w:marTop w:val="0"/>
      <w:marBottom w:val="0"/>
      <w:divBdr>
        <w:top w:val="none" w:sz="0" w:space="0" w:color="auto"/>
        <w:left w:val="none" w:sz="0" w:space="0" w:color="auto"/>
        <w:bottom w:val="none" w:sz="0" w:space="0" w:color="auto"/>
        <w:right w:val="none" w:sz="0" w:space="0" w:color="auto"/>
      </w:divBdr>
    </w:div>
    <w:div w:id="1649556364">
      <w:bodyDiv w:val="1"/>
      <w:marLeft w:val="0"/>
      <w:marRight w:val="0"/>
      <w:marTop w:val="0"/>
      <w:marBottom w:val="0"/>
      <w:divBdr>
        <w:top w:val="none" w:sz="0" w:space="0" w:color="auto"/>
        <w:left w:val="none" w:sz="0" w:space="0" w:color="auto"/>
        <w:bottom w:val="none" w:sz="0" w:space="0" w:color="auto"/>
        <w:right w:val="none" w:sz="0" w:space="0" w:color="auto"/>
      </w:divBdr>
    </w:div>
    <w:div w:id="1951735977">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anna.forgunov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dviser.ru/a/668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sru.com/finance/19feb2020/only_7th.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yberleninka.ru/article/n/vliyanie-finteha-na-bezopasnost-bankovskogo%20sektor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55;&#1086;&#1083;&#1100;&#1079;&#1086;&#1074;&#1072;&#1090;&#1077;&#1083;&#1100;\Desktop\&#1069;&#1082;&#1086;&#1085;&#1086;&#1084;&#1080;&#1095;&#1077;&#1089;&#1082;&#1072;&#1103;%20&#1073;&#1077;&#1079;&#1086;&#1087;&#1072;&#1089;&#1085;&#1086;&#1089;&#1090;&#1100;%20-%20&#1060;&#1086;&#1088;&#1075;&#1091;&#1085;&#1086;&#1074;&#1072;%20&#1089;&#1090;&#1072;&#1090;&#1100;&#1103;%20&#1072;&#1089;&#1087;&#1080;&#1088;&#1072;&#1085;&#1090;&#1091;&#1088;&#1072;\&#1057;&#1090;&#1072;&#1090;&#1100;&#1103;%203\&#1043;&#1088;&#1072;&#1092;&#1080;&#1082;&#108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55;&#1086;&#1083;&#1100;&#1079;&#1086;&#1074;&#1072;&#1090;&#1077;&#1083;&#1100;\Desktop\&#1069;&#1082;&#1086;&#1085;&#1086;&#1084;&#1080;&#1095;&#1077;&#1089;&#1082;&#1072;&#1103;%20&#1073;&#1077;&#1079;&#1086;&#1087;&#1072;&#1089;&#1085;&#1086;&#1089;&#1090;&#1100;%20-%20&#1060;&#1086;&#1088;&#1075;&#1091;&#1085;&#1086;&#1074;&#1072;%20&#1089;&#1090;&#1072;&#1090;&#1100;&#1103;%20&#1072;&#1089;&#1087;&#1080;&#1088;&#1072;&#1085;&#1090;&#1091;&#1088;&#1072;\&#1057;&#1090;&#1072;&#1090;&#1100;&#1103;%203\&#1043;&#1088;&#1072;&#1092;&#1080;&#1082;&#108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860829351137902"/>
          <c:y val="3.5045794090782408E-2"/>
          <c:w val="0.80198577618638167"/>
          <c:h val="0.80630789172580597"/>
        </c:manualLayout>
      </c:layout>
      <c:barChart>
        <c:barDir val="bar"/>
        <c:grouping val="stacked"/>
        <c:varyColors val="0"/>
        <c:ser>
          <c:idx val="0"/>
          <c:order val="0"/>
          <c:tx>
            <c:strRef>
              <c:f>'Регион физ 2019'!$B$5</c:f>
              <c:strCache>
                <c:ptCount val="1"/>
                <c:pt idx="0">
                  <c:v>Объем (тыс. руб.)</c:v>
                </c:pt>
              </c:strCache>
            </c:strRef>
          </c:tx>
          <c:spPr>
            <a:solidFill>
              <a:schemeClr val="bg1">
                <a:lumMod val="65000"/>
              </a:schemeClr>
            </a:solidFill>
            <a:ln>
              <a:noFill/>
            </a:ln>
            <a:effectLst/>
          </c:spPr>
          <c:invertIfNegative val="0"/>
          <c:dLbls>
            <c:dLbl>
              <c:idx val="0"/>
              <c:layout>
                <c:manualLayout>
                  <c:x val="2.3665452492302903E-2"/>
                  <c:y val="1.5447876624724233E-17"/>
                </c:manualLayout>
              </c:layout>
              <c:tx>
                <c:rich>
                  <a:bodyPr/>
                  <a:lstStyle/>
                  <a:p>
                    <a:fld id="{76F08E24-7FDC-428D-8783-E885A8EED8B6}"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D219-412F-B2D0-426B2AEB256F}"/>
                </c:ext>
              </c:extLst>
            </c:dLbl>
            <c:dLbl>
              <c:idx val="1"/>
              <c:layout>
                <c:manualLayout>
                  <c:x val="1.1832726246151452E-2"/>
                  <c:y val="-3.370484744708308E-3"/>
                </c:manualLayout>
              </c:layout>
              <c:tx>
                <c:rich>
                  <a:bodyPr/>
                  <a:lstStyle/>
                  <a:p>
                    <a:fld id="{C4F76B3F-9E5B-4215-A480-2C2931F9E337}"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219-412F-B2D0-426B2AEB256F}"/>
                </c:ext>
              </c:extLst>
            </c:dLbl>
            <c:dLbl>
              <c:idx val="2"/>
              <c:layout>
                <c:manualLayout>
                  <c:x val="2.2149559137776258E-2"/>
                  <c:y val="2.6539249958333379E-7"/>
                </c:manualLayout>
              </c:layout>
              <c:tx>
                <c:rich>
                  <a:bodyPr/>
                  <a:lstStyle/>
                  <a:p>
                    <a:fld id="{156849A8-E8BE-437F-A1D7-D63D3886B031}"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219-412F-B2D0-426B2AEB256F}"/>
                </c:ext>
              </c:extLst>
            </c:dLbl>
            <c:dLbl>
              <c:idx val="3"/>
              <c:layout>
                <c:manualLayout>
                  <c:x val="1.9617868162000163E-2"/>
                  <c:y val="3.3707501372079842E-3"/>
                </c:manualLayout>
              </c:layout>
              <c:tx>
                <c:rich>
                  <a:bodyPr/>
                  <a:lstStyle/>
                  <a:p>
                    <a:fld id="{8E23F8DA-13A1-45CB-B650-171286B25A6B}"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219-412F-B2D0-426B2AEB256F}"/>
                </c:ext>
              </c:extLst>
            </c:dLbl>
            <c:dLbl>
              <c:idx val="4"/>
              <c:layout>
                <c:manualLayout>
                  <c:x val="6.1955269499657361E-3"/>
                  <c:y val="1.274414782999175E-2"/>
                </c:manualLayout>
              </c:layout>
              <c:tx>
                <c:rich>
                  <a:bodyPr/>
                  <a:lstStyle/>
                  <a:p>
                    <a:fld id="{449C9588-5716-47B8-8125-D040C4FF8ECA}"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D219-412F-B2D0-426B2AEB256F}"/>
                </c:ext>
              </c:extLst>
            </c:dLbl>
            <c:dLbl>
              <c:idx val="5"/>
              <c:tx>
                <c:rich>
                  <a:bodyPr/>
                  <a:lstStyle/>
                  <a:p>
                    <a:fld id="{2B906C05-07E7-4E7D-8CA6-7F92E8CDADC8}"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219-412F-B2D0-426B2AEB256F}"/>
                </c:ext>
              </c:extLst>
            </c:dLbl>
            <c:dLbl>
              <c:idx val="6"/>
              <c:tx>
                <c:rich>
                  <a:bodyPr/>
                  <a:lstStyle/>
                  <a:p>
                    <a:fld id="{A47D0216-8018-43F5-920D-A47A86D4584D}"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D219-412F-B2D0-426B2AEB256F}"/>
                </c:ext>
              </c:extLst>
            </c:dLbl>
            <c:dLbl>
              <c:idx val="7"/>
              <c:layout>
                <c:manualLayout>
                  <c:x val="-1.5528123921253673E-3"/>
                  <c:y val="2.6539249970691679E-7"/>
                </c:manualLayout>
              </c:layout>
              <c:tx>
                <c:rich>
                  <a:bodyPr/>
                  <a:lstStyle/>
                  <a:p>
                    <a:fld id="{7A49F6F0-4613-4205-9ED4-A43F91D078CC}"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219-412F-B2D0-426B2AEB256F}"/>
                </c:ext>
              </c:extLst>
            </c:dLbl>
            <c:dLbl>
              <c:idx val="8"/>
              <c:tx>
                <c:rich>
                  <a:bodyPr/>
                  <a:lstStyle/>
                  <a:p>
                    <a:fld id="{B6B51983-8153-4945-8BCB-7BE3FBB86078}"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D219-412F-B2D0-426B2AEB256F}"/>
                </c:ext>
              </c:extLst>
            </c:dLbl>
            <c:dLbl>
              <c:idx val="9"/>
              <c:tx>
                <c:rich>
                  <a:bodyPr/>
                  <a:lstStyle/>
                  <a:p>
                    <a:fld id="{61F1D98A-161D-4C9E-AD4F-43D78F4130A3}"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D219-412F-B2D0-426B2AEB256F}"/>
                </c:ext>
              </c:extLst>
            </c:dLbl>
            <c:dLbl>
              <c:idx val="11"/>
              <c:tx>
                <c:rich>
                  <a:bodyPr/>
                  <a:lstStyle/>
                  <a:p>
                    <a:r>
                      <a:rPr lang="en-US"/>
                      <a:t>+</a:t>
                    </a:r>
                    <a:fld id="{46ECC358-242D-492E-9227-779724867051}" type="VALUE">
                      <a:rPr lang="en-US"/>
                      <a:pPr/>
                      <a:t>[ЗНАЧЕНИЕ]</a:t>
                    </a:fld>
                    <a:endParaRPr 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D219-412F-B2D0-426B2AEB256F}"/>
                </c:ext>
              </c:extLst>
            </c:dLbl>
            <c:dLbl>
              <c:idx val="13"/>
              <c:tx>
                <c:rich>
                  <a:bodyPr/>
                  <a:lstStyle/>
                  <a:p>
                    <a:r>
                      <a:rPr lang="en-US"/>
                      <a:t>+</a:t>
                    </a:r>
                    <a:fld id="{0ED1D3C5-C4E6-4D2B-97D3-B4F23358E831}" type="VALUE">
                      <a:rPr lang="en-US"/>
                      <a:pPr/>
                      <a:t>[ЗНАЧЕНИЕ]</a:t>
                    </a:fld>
                    <a:endParaRPr 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D219-412F-B2D0-426B2AEB256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'Регион физ 2019'!$A$6:$A$15</c:f>
              <c:strCache>
                <c:ptCount val="10"/>
                <c:pt idx="0">
                  <c:v>Санкт-Петербург</c:v>
                </c:pt>
                <c:pt idx="1">
                  <c:v>Центральный федеральный округ</c:v>
                </c:pt>
                <c:pt idx="2">
                  <c:v>Уральский федеральный округ</c:v>
                </c:pt>
                <c:pt idx="3">
                  <c:v>Приволжский федеральный округ</c:v>
                </c:pt>
                <c:pt idx="4">
                  <c:v>Дальневосточныый федеральный округ</c:v>
                </c:pt>
                <c:pt idx="5">
                  <c:v>Южный федеральный округ</c:v>
                </c:pt>
                <c:pt idx="6">
                  <c:v>Северо-Западный федеральный округ</c:v>
                </c:pt>
                <c:pt idx="7">
                  <c:v>Сибирский федеральный округ</c:v>
                </c:pt>
                <c:pt idx="8">
                  <c:v>Северо-Кавказский федеральный округ</c:v>
                </c:pt>
                <c:pt idx="9">
                  <c:v>Севастополь</c:v>
                </c:pt>
              </c:strCache>
            </c:strRef>
          </c:cat>
          <c:val>
            <c:numRef>
              <c:f>'Регион физ 2019'!$B$6:$B$15</c:f>
              <c:numCache>
                <c:formatCode>#,##0</c:formatCode>
                <c:ptCount val="10"/>
                <c:pt idx="0">
                  <c:v>402930</c:v>
                </c:pt>
                <c:pt idx="1">
                  <c:v>287782</c:v>
                </c:pt>
                <c:pt idx="2">
                  <c:v>90075</c:v>
                </c:pt>
                <c:pt idx="3">
                  <c:v>71852</c:v>
                </c:pt>
                <c:pt idx="4">
                  <c:v>38517</c:v>
                </c:pt>
                <c:pt idx="5">
                  <c:v>8170</c:v>
                </c:pt>
                <c:pt idx="6">
                  <c:v>2123</c:v>
                </c:pt>
                <c:pt idx="7">
                  <c:v>949</c:v>
                </c:pt>
                <c:pt idx="8">
                  <c:v>207</c:v>
                </c:pt>
                <c:pt idx="9">
                  <c:v>47</c:v>
                </c:pt>
              </c:numCache>
            </c:numRef>
          </c:val>
          <c:extLst>
            <c:ext xmlns:c16="http://schemas.microsoft.com/office/drawing/2014/chart" uri="{C3380CC4-5D6E-409C-BE32-E72D297353CC}">
              <c16:uniqueId val="{0000000C-D219-412F-B2D0-426B2AEB256F}"/>
            </c:ext>
          </c:extLst>
        </c:ser>
        <c:ser>
          <c:idx val="1"/>
          <c:order val="1"/>
          <c:tx>
            <c:strRef>
              <c:f>'Регион физ 2019'!$C$5</c:f>
              <c:strCache>
                <c:ptCount val="1"/>
                <c:pt idx="0">
                  <c:v>Количество (ед.)</c:v>
                </c:pt>
              </c:strCache>
            </c:strRef>
          </c:tx>
          <c:spPr>
            <a:solidFill>
              <a:schemeClr val="tx1"/>
            </a:solidFill>
            <a:ln>
              <a:noFill/>
            </a:ln>
            <a:effectLst/>
          </c:spPr>
          <c:invertIfNegative val="0"/>
          <c:dLbls>
            <c:dLbl>
              <c:idx val="0"/>
              <c:layout>
                <c:manualLayout>
                  <c:x val="3.3003294612355079E-2"/>
                  <c:y val="3.1859812809802187E-3"/>
                </c:manualLayout>
              </c:layout>
              <c:tx>
                <c:rich>
                  <a:bodyPr/>
                  <a:lstStyle/>
                  <a:p>
                    <a:fld id="{ABCAF89B-1CFB-4C0C-A725-15D45A6679F4}"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D219-412F-B2D0-426B2AEB256F}"/>
                </c:ext>
              </c:extLst>
            </c:dLbl>
            <c:dLbl>
              <c:idx val="1"/>
              <c:layout>
                <c:manualLayout>
                  <c:x val="3.7330038493628731E-2"/>
                  <c:y val="3.9243588913387565E-3"/>
                </c:manualLayout>
              </c:layout>
              <c:tx>
                <c:rich>
                  <a:bodyPr/>
                  <a:lstStyle/>
                  <a:p>
                    <a:fld id="{32129638-1705-4386-B049-8B785E1CD798}"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D219-412F-B2D0-426B2AEB256F}"/>
                </c:ext>
              </c:extLst>
            </c:dLbl>
            <c:dLbl>
              <c:idx val="2"/>
              <c:layout>
                <c:manualLayout>
                  <c:x val="3.5224838103614618E-2"/>
                  <c:y val="2.6539249958333379E-7"/>
                </c:manualLayout>
              </c:layout>
              <c:tx>
                <c:rich>
                  <a:bodyPr/>
                  <a:lstStyle/>
                  <a:p>
                    <a:fld id="{55E6B958-5050-480B-8110-01B80FC830AA}"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D219-412F-B2D0-426B2AEB256F}"/>
                </c:ext>
              </c:extLst>
            </c:dLbl>
            <c:dLbl>
              <c:idx val="3"/>
              <c:layout>
                <c:manualLayout>
                  <c:x val="3.3135127404454227E-2"/>
                  <c:y val="3.3707501372079842E-3"/>
                </c:manualLayout>
              </c:layout>
              <c:tx>
                <c:rich>
                  <a:bodyPr/>
                  <a:lstStyle/>
                  <a:p>
                    <a:fld id="{FC97566E-A89B-4AE5-B62E-2F3AB9BAA26E}"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D219-412F-B2D0-426B2AEB256F}"/>
                </c:ext>
              </c:extLst>
            </c:dLbl>
            <c:dLbl>
              <c:idx val="4"/>
              <c:layout>
                <c:manualLayout>
                  <c:x val="3.8219822238910087E-2"/>
                  <c:y val="2.8171413830770878E-3"/>
                </c:manualLayout>
              </c:layout>
              <c:tx>
                <c:rich>
                  <a:bodyPr/>
                  <a:lstStyle/>
                  <a:p>
                    <a:fld id="{0F2E8F3D-A73D-4727-9DF2-C1BD9BC65CCA}"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D219-412F-B2D0-426B2AEB256F}"/>
                </c:ext>
              </c:extLst>
            </c:dLbl>
            <c:dLbl>
              <c:idx val="5"/>
              <c:layout>
                <c:manualLayout>
                  <c:x val="4.1804173175649773E-2"/>
                  <c:y val="0"/>
                </c:manualLayout>
              </c:layout>
              <c:tx>
                <c:rich>
                  <a:bodyPr/>
                  <a:lstStyle/>
                  <a:p>
                    <a:fld id="{E5FD342B-011C-4F24-B425-966463C218D6}"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D219-412F-B2D0-426B2AEB256F}"/>
                </c:ext>
              </c:extLst>
            </c:dLbl>
            <c:dLbl>
              <c:idx val="6"/>
              <c:layout>
                <c:manualLayout>
                  <c:x val="5.2805271379768134E-2"/>
                  <c:y val="3.1859812809802187E-3"/>
                </c:manualLayout>
              </c:layout>
              <c:tx>
                <c:rich>
                  <a:bodyPr/>
                  <a:lstStyle/>
                  <a:p>
                    <a:fld id="{9D38C784-7FBE-4586-9F6C-ABB91A870503}"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D219-412F-B2D0-426B2AEB256F}"/>
                </c:ext>
              </c:extLst>
            </c:dLbl>
            <c:dLbl>
              <c:idx val="7"/>
              <c:layout>
                <c:manualLayout>
                  <c:x val="5.5005491020591803E-2"/>
                  <c:y val="-3.185981280980218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219-412F-B2D0-426B2AEB256F}"/>
                </c:ext>
              </c:extLst>
            </c:dLbl>
            <c:dLbl>
              <c:idx val="8"/>
              <c:layout>
                <c:manualLayout>
                  <c:x val="5.0605051738944459E-2"/>
                  <c:y val="-3.1859812809802187E-3"/>
                </c:manualLayout>
              </c:layout>
              <c:tx>
                <c:rich>
                  <a:bodyPr/>
                  <a:lstStyle/>
                  <a:p>
                    <a:fld id="{89C2B099-6038-4637-928D-372E7DF10D9A}"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D219-412F-B2D0-426B2AEB256F}"/>
                </c:ext>
              </c:extLst>
            </c:dLbl>
            <c:dLbl>
              <c:idx val="9"/>
              <c:layout>
                <c:manualLayout>
                  <c:x val="5.9405930302239146E-2"/>
                  <c:y val="0"/>
                </c:manualLayout>
              </c:layout>
              <c:tx>
                <c:rich>
                  <a:bodyPr/>
                  <a:lstStyle/>
                  <a:p>
                    <a:fld id="{00CB82EA-3983-41E5-A8E6-57CC78FDA13C}"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6-D219-412F-B2D0-426B2AEB256F}"/>
                </c:ext>
              </c:extLst>
            </c:dLbl>
            <c:dLbl>
              <c:idx val="10"/>
              <c:layout>
                <c:manualLayout>
                  <c:x val="-5.2805271379768134E-2"/>
                  <c:y val="-3.185981280980189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219-412F-B2D0-426B2AEB256F}"/>
                </c:ext>
              </c:extLst>
            </c:dLbl>
            <c:dLbl>
              <c:idx val="11"/>
              <c:layout>
                <c:manualLayout>
                  <c:x val="3.9603953534826097E-2"/>
                  <c:y val="0"/>
                </c:manualLayout>
              </c:layout>
              <c:tx>
                <c:rich>
                  <a:bodyPr/>
                  <a:lstStyle/>
                  <a:p>
                    <a:r>
                      <a:rPr lang="en-US"/>
                      <a:t>+</a:t>
                    </a:r>
                    <a:fld id="{92AA904D-0968-40D6-908F-86A111AE3631}" type="VALUE">
                      <a:rPr lang="en-US"/>
                      <a:pPr/>
                      <a:t>[ЗНАЧЕНИЕ]</a:t>
                    </a:fld>
                    <a:endParaRPr 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8-D219-412F-B2D0-426B2AEB256F}"/>
                </c:ext>
              </c:extLst>
            </c:dLbl>
            <c:dLbl>
              <c:idx val="12"/>
              <c:layout>
                <c:manualLayout>
                  <c:x val="-5.9405930302239146E-2"/>
                  <c:y val="1.4602245518106385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219-412F-B2D0-426B2AEB256F}"/>
                </c:ext>
              </c:extLst>
            </c:dLbl>
            <c:dLbl>
              <c:idx val="13"/>
              <c:layout>
                <c:manualLayout>
                  <c:x val="4.8404832098120784E-2"/>
                  <c:y val="0"/>
                </c:manualLayout>
              </c:layout>
              <c:tx>
                <c:rich>
                  <a:bodyPr/>
                  <a:lstStyle/>
                  <a:p>
                    <a:r>
                      <a:rPr lang="en-US"/>
                      <a:t>+</a:t>
                    </a:r>
                    <a:fld id="{E50A0D86-EF01-40D9-8F8E-4A517EA46E5C}" type="VALUE">
                      <a:rPr lang="en-US"/>
                      <a:pPr/>
                      <a:t>[ЗНАЧЕНИЕ]</a:t>
                    </a:fld>
                    <a:endParaRPr 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A-D219-412F-B2D0-426B2AEB256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'Регион физ 2019'!$A$6:$A$15</c:f>
              <c:strCache>
                <c:ptCount val="10"/>
                <c:pt idx="0">
                  <c:v>Санкт-Петербург</c:v>
                </c:pt>
                <c:pt idx="1">
                  <c:v>Центральный федеральный округ</c:v>
                </c:pt>
                <c:pt idx="2">
                  <c:v>Уральский федеральный округ</c:v>
                </c:pt>
                <c:pt idx="3">
                  <c:v>Приволжский федеральный округ</c:v>
                </c:pt>
                <c:pt idx="4">
                  <c:v>Дальневосточныый федеральный округ</c:v>
                </c:pt>
                <c:pt idx="5">
                  <c:v>Южный федеральный округ</c:v>
                </c:pt>
                <c:pt idx="6">
                  <c:v>Северо-Западный федеральный округ</c:v>
                </c:pt>
                <c:pt idx="7">
                  <c:v>Сибирский федеральный округ</c:v>
                </c:pt>
                <c:pt idx="8">
                  <c:v>Северо-Кавказский федеральный округ</c:v>
                </c:pt>
                <c:pt idx="9">
                  <c:v>Севастополь</c:v>
                </c:pt>
              </c:strCache>
            </c:strRef>
          </c:cat>
          <c:val>
            <c:numRef>
              <c:f>'Регион физ 2019'!$C$6:$C$15</c:f>
              <c:numCache>
                <c:formatCode>#,##0</c:formatCode>
                <c:ptCount val="10"/>
                <c:pt idx="0">
                  <c:v>13403</c:v>
                </c:pt>
                <c:pt idx="1">
                  <c:v>46620</c:v>
                </c:pt>
                <c:pt idx="2">
                  <c:v>4067</c:v>
                </c:pt>
                <c:pt idx="3">
                  <c:v>2613</c:v>
                </c:pt>
                <c:pt idx="4">
                  <c:v>4057</c:v>
                </c:pt>
                <c:pt idx="5">
                  <c:v>527</c:v>
                </c:pt>
                <c:pt idx="6">
                  <c:v>134</c:v>
                </c:pt>
                <c:pt idx="7">
                  <c:v>147</c:v>
                </c:pt>
                <c:pt idx="8">
                  <c:v>16</c:v>
                </c:pt>
                <c:pt idx="9">
                  <c:v>3</c:v>
                </c:pt>
              </c:numCache>
            </c:numRef>
          </c:val>
          <c:extLst>
            <c:ext xmlns:c16="http://schemas.microsoft.com/office/drawing/2014/chart" uri="{C3380CC4-5D6E-409C-BE32-E72D297353CC}">
              <c16:uniqueId val="{0000001B-D219-412F-B2D0-426B2AEB256F}"/>
            </c:ext>
          </c:extLst>
        </c:ser>
        <c:dLbls>
          <c:dLblPos val="ctr"/>
          <c:showLegendKey val="0"/>
          <c:showVal val="1"/>
          <c:showCatName val="0"/>
          <c:showSerName val="0"/>
          <c:showPercent val="0"/>
          <c:showBubbleSize val="0"/>
        </c:dLbls>
        <c:gapWidth val="50"/>
        <c:overlap val="100"/>
        <c:axId val="454675216"/>
        <c:axId val="454683056"/>
      </c:barChart>
      <c:catAx>
        <c:axId val="454675216"/>
        <c:scaling>
          <c:orientation val="maxMin"/>
        </c:scaling>
        <c:delete val="0"/>
        <c:axPos val="l"/>
        <c:numFmt formatCode="General" sourceLinked="1"/>
        <c:majorTickMark val="none"/>
        <c:minorTickMark val="none"/>
        <c:tickLblPos val="low"/>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54683056"/>
        <c:crossesAt val="1"/>
        <c:auto val="1"/>
        <c:lblAlgn val="ctr"/>
        <c:lblOffset val="100"/>
        <c:tickLblSkip val="1"/>
        <c:noMultiLvlLbl val="0"/>
      </c:catAx>
      <c:valAx>
        <c:axId val="454683056"/>
        <c:scaling>
          <c:logBase val="10"/>
          <c:orientation val="minMax"/>
          <c:max val="405000"/>
        </c:scaling>
        <c:delete val="0"/>
        <c:axPos val="t"/>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Red]#,##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54675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860829351137902"/>
          <c:y val="3.5045794090782408E-2"/>
          <c:w val="0.80198577618638167"/>
          <c:h val="0.80630789172580597"/>
        </c:manualLayout>
      </c:layout>
      <c:barChart>
        <c:barDir val="bar"/>
        <c:grouping val="stacked"/>
        <c:varyColors val="0"/>
        <c:ser>
          <c:idx val="0"/>
          <c:order val="0"/>
          <c:tx>
            <c:strRef>
              <c:f>'Регион юр 2019'!$B$5</c:f>
              <c:strCache>
                <c:ptCount val="1"/>
                <c:pt idx="0">
                  <c:v>Объем (тыс. руб.)</c:v>
                </c:pt>
              </c:strCache>
            </c:strRef>
          </c:tx>
          <c:spPr>
            <a:solidFill>
              <a:schemeClr val="bg1">
                <a:lumMod val="65000"/>
              </a:schemeClr>
            </a:solidFill>
            <a:ln>
              <a:noFill/>
            </a:ln>
            <a:effectLst/>
          </c:spPr>
          <c:invertIfNegative val="0"/>
          <c:dLbls>
            <c:dLbl>
              <c:idx val="0"/>
              <c:layout>
                <c:manualLayout>
                  <c:x val="2.3665452492302903E-2"/>
                  <c:y val="1.5447876624724233E-17"/>
                </c:manualLayout>
              </c:layout>
              <c:tx>
                <c:rich>
                  <a:bodyPr/>
                  <a:lstStyle/>
                  <a:p>
                    <a:fld id="{76F08E24-7FDC-428D-8783-E885A8EED8B6}"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11C-4B1C-A181-E36E5F7028A2}"/>
                </c:ext>
              </c:extLst>
            </c:dLbl>
            <c:dLbl>
              <c:idx val="1"/>
              <c:layout>
                <c:manualLayout>
                  <c:x val="1.1832726246151452E-2"/>
                  <c:y val="-3.370484744708308E-3"/>
                </c:manualLayout>
              </c:layout>
              <c:tx>
                <c:rich>
                  <a:bodyPr/>
                  <a:lstStyle/>
                  <a:p>
                    <a:fld id="{C4F76B3F-9E5B-4215-A480-2C2931F9E337}"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11C-4B1C-A181-E36E5F7028A2}"/>
                </c:ext>
              </c:extLst>
            </c:dLbl>
            <c:dLbl>
              <c:idx val="2"/>
              <c:layout>
                <c:manualLayout>
                  <c:x val="2.2149559137776258E-2"/>
                  <c:y val="2.6539249958333379E-7"/>
                </c:manualLayout>
              </c:layout>
              <c:tx>
                <c:rich>
                  <a:bodyPr/>
                  <a:lstStyle/>
                  <a:p>
                    <a:fld id="{156849A8-E8BE-437F-A1D7-D63D3886B031}"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11C-4B1C-A181-E36E5F7028A2}"/>
                </c:ext>
              </c:extLst>
            </c:dLbl>
            <c:dLbl>
              <c:idx val="3"/>
              <c:layout>
                <c:manualLayout>
                  <c:x val="1.9617868162000163E-2"/>
                  <c:y val="3.3707501372079842E-3"/>
                </c:manualLayout>
              </c:layout>
              <c:tx>
                <c:rich>
                  <a:bodyPr/>
                  <a:lstStyle/>
                  <a:p>
                    <a:fld id="{8E23F8DA-13A1-45CB-B650-171286B25A6B}"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11C-4B1C-A181-E36E5F7028A2}"/>
                </c:ext>
              </c:extLst>
            </c:dLbl>
            <c:dLbl>
              <c:idx val="4"/>
              <c:layout>
                <c:manualLayout>
                  <c:x val="6.1955269499657361E-3"/>
                  <c:y val="1.274414782999175E-2"/>
                </c:manualLayout>
              </c:layout>
              <c:tx>
                <c:rich>
                  <a:bodyPr/>
                  <a:lstStyle/>
                  <a:p>
                    <a:fld id="{449C9588-5716-47B8-8125-D040C4FF8ECA}"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411C-4B1C-A181-E36E5F7028A2}"/>
                </c:ext>
              </c:extLst>
            </c:dLbl>
            <c:dLbl>
              <c:idx val="5"/>
              <c:tx>
                <c:rich>
                  <a:bodyPr/>
                  <a:lstStyle/>
                  <a:p>
                    <a:fld id="{2B906C05-07E7-4E7D-8CA6-7F92E8CDADC8}"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11C-4B1C-A181-E36E5F7028A2}"/>
                </c:ext>
              </c:extLst>
            </c:dLbl>
            <c:dLbl>
              <c:idx val="6"/>
              <c:tx>
                <c:rich>
                  <a:bodyPr/>
                  <a:lstStyle/>
                  <a:p>
                    <a:fld id="{A47D0216-8018-43F5-920D-A47A86D4584D}"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411C-4B1C-A181-E36E5F7028A2}"/>
                </c:ext>
              </c:extLst>
            </c:dLbl>
            <c:dLbl>
              <c:idx val="7"/>
              <c:layout>
                <c:manualLayout>
                  <c:x val="-1.5528123921253673E-3"/>
                  <c:y val="2.6539249970691679E-7"/>
                </c:manualLayout>
              </c:layout>
              <c:tx>
                <c:rich>
                  <a:bodyPr/>
                  <a:lstStyle/>
                  <a:p>
                    <a:fld id="{7A49F6F0-4613-4205-9ED4-A43F91D078CC}"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11C-4B1C-A181-E36E5F7028A2}"/>
                </c:ext>
              </c:extLst>
            </c:dLbl>
            <c:dLbl>
              <c:idx val="8"/>
              <c:tx>
                <c:rich>
                  <a:bodyPr/>
                  <a:lstStyle/>
                  <a:p>
                    <a:fld id="{B6B51983-8153-4945-8BCB-7BE3FBB86078}"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411C-4B1C-A181-E36E5F7028A2}"/>
                </c:ext>
              </c:extLst>
            </c:dLbl>
            <c:dLbl>
              <c:idx val="9"/>
              <c:tx>
                <c:rich>
                  <a:bodyPr/>
                  <a:lstStyle/>
                  <a:p>
                    <a:fld id="{61F1D98A-161D-4C9E-AD4F-43D78F4130A3}"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11C-4B1C-A181-E36E5F7028A2}"/>
                </c:ext>
              </c:extLst>
            </c:dLbl>
            <c:dLbl>
              <c:idx val="11"/>
              <c:tx>
                <c:rich>
                  <a:bodyPr/>
                  <a:lstStyle/>
                  <a:p>
                    <a:r>
                      <a:rPr lang="en-US"/>
                      <a:t>+</a:t>
                    </a:r>
                    <a:fld id="{46ECC358-242D-492E-9227-779724867051}" type="VALUE">
                      <a:rPr lang="en-US"/>
                      <a:pPr/>
                      <a:t>[ЗНАЧЕНИЕ]</a:t>
                    </a:fld>
                    <a:endParaRPr 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411C-4B1C-A181-E36E5F7028A2}"/>
                </c:ext>
              </c:extLst>
            </c:dLbl>
            <c:dLbl>
              <c:idx val="13"/>
              <c:tx>
                <c:rich>
                  <a:bodyPr/>
                  <a:lstStyle/>
                  <a:p>
                    <a:r>
                      <a:rPr lang="en-US"/>
                      <a:t>+</a:t>
                    </a:r>
                    <a:fld id="{0ED1D3C5-C4E6-4D2B-97D3-B4F23358E831}" type="VALUE">
                      <a:rPr lang="en-US"/>
                      <a:pPr/>
                      <a:t>[ЗНАЧЕНИЕ]</a:t>
                    </a:fld>
                    <a:endParaRPr 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411C-4B1C-A181-E36E5F7028A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'Регион юр 2019'!$A$6:$A$15</c:f>
              <c:strCache>
                <c:ptCount val="10"/>
                <c:pt idx="0">
                  <c:v>Санкт-Петербург</c:v>
                </c:pt>
                <c:pt idx="1">
                  <c:v>Центральный федеральный округ</c:v>
                </c:pt>
                <c:pt idx="2">
                  <c:v>Уральский федеральный округ</c:v>
                </c:pt>
                <c:pt idx="3">
                  <c:v>Приволжский федеральный округ</c:v>
                </c:pt>
                <c:pt idx="4">
                  <c:v>Дальневосточныый федеральный округ</c:v>
                </c:pt>
                <c:pt idx="5">
                  <c:v>Южный федеральный округ</c:v>
                </c:pt>
                <c:pt idx="6">
                  <c:v>Северо-Западный федеральный округ</c:v>
                </c:pt>
                <c:pt idx="7">
                  <c:v>Сибирский федеральный округ</c:v>
                </c:pt>
                <c:pt idx="8">
                  <c:v>Северо-Кавказский федеральный округ</c:v>
                </c:pt>
                <c:pt idx="9">
                  <c:v>Севастополь</c:v>
                </c:pt>
              </c:strCache>
            </c:strRef>
          </c:cat>
          <c:val>
            <c:numRef>
              <c:f>'Регион юр 2019'!$B$6:$B$15</c:f>
              <c:numCache>
                <c:formatCode>#,##0</c:formatCode>
                <c:ptCount val="10"/>
                <c:pt idx="0">
                  <c:v>65865</c:v>
                </c:pt>
                <c:pt idx="1">
                  <c:v>14983</c:v>
                </c:pt>
                <c:pt idx="2">
                  <c:v>10250</c:v>
                </c:pt>
                <c:pt idx="3">
                  <c:v>9274</c:v>
                </c:pt>
                <c:pt idx="4">
                  <c:v>8852</c:v>
                </c:pt>
                <c:pt idx="5">
                  <c:v>8760</c:v>
                </c:pt>
                <c:pt idx="6">
                  <c:v>3989</c:v>
                </c:pt>
                <c:pt idx="7">
                  <c:v>1964</c:v>
                </c:pt>
                <c:pt idx="8">
                  <c:v>1750</c:v>
                </c:pt>
                <c:pt idx="9">
                  <c:v>0</c:v>
                </c:pt>
              </c:numCache>
            </c:numRef>
          </c:val>
          <c:extLst>
            <c:ext xmlns:c16="http://schemas.microsoft.com/office/drawing/2014/chart" uri="{C3380CC4-5D6E-409C-BE32-E72D297353CC}">
              <c16:uniqueId val="{0000000C-411C-4B1C-A181-E36E5F7028A2}"/>
            </c:ext>
          </c:extLst>
        </c:ser>
        <c:ser>
          <c:idx val="1"/>
          <c:order val="1"/>
          <c:tx>
            <c:strRef>
              <c:f>'Регион юр 2019'!$C$5</c:f>
              <c:strCache>
                <c:ptCount val="1"/>
                <c:pt idx="0">
                  <c:v>Количество (ед.)</c:v>
                </c:pt>
              </c:strCache>
            </c:strRef>
          </c:tx>
          <c:spPr>
            <a:solidFill>
              <a:schemeClr val="tx1"/>
            </a:solidFill>
            <a:ln>
              <a:noFill/>
            </a:ln>
            <a:effectLst/>
          </c:spPr>
          <c:invertIfNegative val="0"/>
          <c:dLbls>
            <c:dLbl>
              <c:idx val="0"/>
              <c:layout>
                <c:manualLayout>
                  <c:x val="3.3003294612355079E-2"/>
                  <c:y val="3.1859812809802187E-3"/>
                </c:manualLayout>
              </c:layout>
              <c:tx>
                <c:rich>
                  <a:bodyPr/>
                  <a:lstStyle/>
                  <a:p>
                    <a:fld id="{ABCAF89B-1CFB-4C0C-A725-15D45A6679F4}"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411C-4B1C-A181-E36E5F7028A2}"/>
                </c:ext>
              </c:extLst>
            </c:dLbl>
            <c:dLbl>
              <c:idx val="1"/>
              <c:layout>
                <c:manualLayout>
                  <c:x val="3.7330038493628731E-2"/>
                  <c:y val="3.9243588913387565E-3"/>
                </c:manualLayout>
              </c:layout>
              <c:tx>
                <c:rich>
                  <a:bodyPr/>
                  <a:lstStyle/>
                  <a:p>
                    <a:fld id="{32129638-1705-4386-B049-8B785E1CD798}"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411C-4B1C-A181-E36E5F7028A2}"/>
                </c:ext>
              </c:extLst>
            </c:dLbl>
            <c:dLbl>
              <c:idx val="2"/>
              <c:layout>
                <c:manualLayout>
                  <c:x val="3.5224838103614618E-2"/>
                  <c:y val="2.6539249958333379E-7"/>
                </c:manualLayout>
              </c:layout>
              <c:tx>
                <c:rich>
                  <a:bodyPr/>
                  <a:lstStyle/>
                  <a:p>
                    <a:fld id="{55E6B958-5050-480B-8110-01B80FC830AA}"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411C-4B1C-A181-E36E5F7028A2}"/>
                </c:ext>
              </c:extLst>
            </c:dLbl>
            <c:dLbl>
              <c:idx val="3"/>
              <c:layout>
                <c:manualLayout>
                  <c:x val="3.3135127404454227E-2"/>
                  <c:y val="3.3707501372079842E-3"/>
                </c:manualLayout>
              </c:layout>
              <c:tx>
                <c:rich>
                  <a:bodyPr/>
                  <a:lstStyle/>
                  <a:p>
                    <a:fld id="{FC97566E-A89B-4AE5-B62E-2F3AB9BAA26E}"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411C-4B1C-A181-E36E5F7028A2}"/>
                </c:ext>
              </c:extLst>
            </c:dLbl>
            <c:dLbl>
              <c:idx val="4"/>
              <c:layout>
                <c:manualLayout>
                  <c:x val="3.8219822238910087E-2"/>
                  <c:y val="2.8171413830770878E-3"/>
                </c:manualLayout>
              </c:layout>
              <c:tx>
                <c:rich>
                  <a:bodyPr/>
                  <a:lstStyle/>
                  <a:p>
                    <a:fld id="{0F2E8F3D-A73D-4727-9DF2-C1BD9BC65CCA}"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411C-4B1C-A181-E36E5F7028A2}"/>
                </c:ext>
              </c:extLst>
            </c:dLbl>
            <c:dLbl>
              <c:idx val="5"/>
              <c:layout>
                <c:manualLayout>
                  <c:x val="4.1804173175649773E-2"/>
                  <c:y val="0"/>
                </c:manualLayout>
              </c:layout>
              <c:tx>
                <c:rich>
                  <a:bodyPr/>
                  <a:lstStyle/>
                  <a:p>
                    <a:fld id="{E5FD342B-011C-4F24-B425-966463C218D6}"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411C-4B1C-A181-E36E5F7028A2}"/>
                </c:ext>
              </c:extLst>
            </c:dLbl>
            <c:dLbl>
              <c:idx val="6"/>
              <c:layout>
                <c:manualLayout>
                  <c:x val="5.2805271379768134E-2"/>
                  <c:y val="3.1859812809802187E-3"/>
                </c:manualLayout>
              </c:layout>
              <c:tx>
                <c:rich>
                  <a:bodyPr/>
                  <a:lstStyle/>
                  <a:p>
                    <a:fld id="{9D38C784-7FBE-4586-9F6C-ABB91A870503}"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411C-4B1C-A181-E36E5F7028A2}"/>
                </c:ext>
              </c:extLst>
            </c:dLbl>
            <c:dLbl>
              <c:idx val="7"/>
              <c:layout>
                <c:manualLayout>
                  <c:x val="5.5005491020591803E-2"/>
                  <c:y val="-3.185981280980218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11C-4B1C-A181-E36E5F7028A2}"/>
                </c:ext>
              </c:extLst>
            </c:dLbl>
            <c:dLbl>
              <c:idx val="8"/>
              <c:layout>
                <c:manualLayout>
                  <c:x val="5.0605051738944459E-2"/>
                  <c:y val="-3.1859812809802187E-3"/>
                </c:manualLayout>
              </c:layout>
              <c:tx>
                <c:rich>
                  <a:bodyPr/>
                  <a:lstStyle/>
                  <a:p>
                    <a:fld id="{89C2B099-6038-4637-928D-372E7DF10D9A}"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411C-4B1C-A181-E36E5F7028A2}"/>
                </c:ext>
              </c:extLst>
            </c:dLbl>
            <c:dLbl>
              <c:idx val="9"/>
              <c:layout>
                <c:manualLayout>
                  <c:x val="5.9405930302239146E-2"/>
                  <c:y val="0"/>
                </c:manualLayout>
              </c:layout>
              <c:tx>
                <c:rich>
                  <a:bodyPr/>
                  <a:lstStyle/>
                  <a:p>
                    <a:fld id="{00CB82EA-3983-41E5-A8E6-57CC78FDA13C}"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6-411C-4B1C-A181-E36E5F7028A2}"/>
                </c:ext>
              </c:extLst>
            </c:dLbl>
            <c:dLbl>
              <c:idx val="10"/>
              <c:layout>
                <c:manualLayout>
                  <c:x val="-5.2805271379768134E-2"/>
                  <c:y val="-3.185981280980189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11C-4B1C-A181-E36E5F7028A2}"/>
                </c:ext>
              </c:extLst>
            </c:dLbl>
            <c:dLbl>
              <c:idx val="11"/>
              <c:layout>
                <c:manualLayout>
                  <c:x val="3.9603953534826097E-2"/>
                  <c:y val="0"/>
                </c:manualLayout>
              </c:layout>
              <c:tx>
                <c:rich>
                  <a:bodyPr/>
                  <a:lstStyle/>
                  <a:p>
                    <a:r>
                      <a:rPr lang="en-US"/>
                      <a:t>+</a:t>
                    </a:r>
                    <a:fld id="{92AA904D-0968-40D6-908F-86A111AE3631}" type="VALUE">
                      <a:rPr lang="en-US"/>
                      <a:pPr/>
                      <a:t>[ЗНАЧЕНИЕ]</a:t>
                    </a:fld>
                    <a:endParaRPr 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8-411C-4B1C-A181-E36E5F7028A2}"/>
                </c:ext>
              </c:extLst>
            </c:dLbl>
            <c:dLbl>
              <c:idx val="12"/>
              <c:layout>
                <c:manualLayout>
                  <c:x val="-5.9405930302239146E-2"/>
                  <c:y val="1.4602245518106385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11C-4B1C-A181-E36E5F7028A2}"/>
                </c:ext>
              </c:extLst>
            </c:dLbl>
            <c:dLbl>
              <c:idx val="13"/>
              <c:layout>
                <c:manualLayout>
                  <c:x val="4.8404832098120784E-2"/>
                  <c:y val="0"/>
                </c:manualLayout>
              </c:layout>
              <c:tx>
                <c:rich>
                  <a:bodyPr/>
                  <a:lstStyle/>
                  <a:p>
                    <a:r>
                      <a:rPr lang="en-US"/>
                      <a:t>+</a:t>
                    </a:r>
                    <a:fld id="{E50A0D86-EF01-40D9-8F8E-4A517EA46E5C}" type="VALUE">
                      <a:rPr lang="en-US"/>
                      <a:pPr/>
                      <a:t>[ЗНАЧЕНИЕ]</a:t>
                    </a:fld>
                    <a:endParaRPr 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A-411C-4B1C-A181-E36E5F7028A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'Регион юр 2019'!$A$6:$A$15</c:f>
              <c:strCache>
                <c:ptCount val="10"/>
                <c:pt idx="0">
                  <c:v>Санкт-Петербург</c:v>
                </c:pt>
                <c:pt idx="1">
                  <c:v>Центральный федеральный округ</c:v>
                </c:pt>
                <c:pt idx="2">
                  <c:v>Уральский федеральный округ</c:v>
                </c:pt>
                <c:pt idx="3">
                  <c:v>Приволжский федеральный округ</c:v>
                </c:pt>
                <c:pt idx="4">
                  <c:v>Дальневосточныый федеральный округ</c:v>
                </c:pt>
                <c:pt idx="5">
                  <c:v>Южный федеральный округ</c:v>
                </c:pt>
                <c:pt idx="6">
                  <c:v>Северо-Западный федеральный округ</c:v>
                </c:pt>
                <c:pt idx="7">
                  <c:v>Сибирский федеральный округ</c:v>
                </c:pt>
                <c:pt idx="8">
                  <c:v>Северо-Кавказский федеральный округ</c:v>
                </c:pt>
                <c:pt idx="9">
                  <c:v>Севастополь</c:v>
                </c:pt>
              </c:strCache>
            </c:strRef>
          </c:cat>
          <c:val>
            <c:numRef>
              <c:f>'Регион юр 2019'!$C$6:$C$15</c:f>
              <c:numCache>
                <c:formatCode>#,##0</c:formatCode>
                <c:ptCount val="10"/>
                <c:pt idx="0">
                  <c:v>2267</c:v>
                </c:pt>
                <c:pt idx="1">
                  <c:v>35</c:v>
                </c:pt>
                <c:pt idx="2">
                  <c:v>40</c:v>
                </c:pt>
                <c:pt idx="3">
                  <c:v>17</c:v>
                </c:pt>
                <c:pt idx="4">
                  <c:v>10</c:v>
                </c:pt>
                <c:pt idx="5">
                  <c:v>50</c:v>
                </c:pt>
                <c:pt idx="6">
                  <c:v>27</c:v>
                </c:pt>
                <c:pt idx="7">
                  <c:v>7</c:v>
                </c:pt>
                <c:pt idx="8">
                  <c:v>2</c:v>
                </c:pt>
                <c:pt idx="9">
                  <c:v>0</c:v>
                </c:pt>
              </c:numCache>
            </c:numRef>
          </c:val>
          <c:extLst>
            <c:ext xmlns:c16="http://schemas.microsoft.com/office/drawing/2014/chart" uri="{C3380CC4-5D6E-409C-BE32-E72D297353CC}">
              <c16:uniqueId val="{0000001B-411C-4B1C-A181-E36E5F7028A2}"/>
            </c:ext>
          </c:extLst>
        </c:ser>
        <c:dLbls>
          <c:dLblPos val="ctr"/>
          <c:showLegendKey val="0"/>
          <c:showVal val="1"/>
          <c:showCatName val="0"/>
          <c:showSerName val="0"/>
          <c:showPercent val="0"/>
          <c:showBubbleSize val="0"/>
        </c:dLbls>
        <c:gapWidth val="50"/>
        <c:overlap val="100"/>
        <c:axId val="454674040"/>
        <c:axId val="454679528"/>
      </c:barChart>
      <c:catAx>
        <c:axId val="454674040"/>
        <c:scaling>
          <c:orientation val="maxMin"/>
        </c:scaling>
        <c:delete val="0"/>
        <c:axPos val="l"/>
        <c:numFmt formatCode="General" sourceLinked="1"/>
        <c:majorTickMark val="none"/>
        <c:minorTickMark val="none"/>
        <c:tickLblPos val="low"/>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54679528"/>
        <c:crosses val="autoZero"/>
        <c:auto val="1"/>
        <c:lblAlgn val="ctr"/>
        <c:lblOffset val="100"/>
        <c:tickLblSkip val="1"/>
        <c:noMultiLvlLbl val="0"/>
      </c:catAx>
      <c:valAx>
        <c:axId val="454679528"/>
        <c:scaling>
          <c:logBase val="10"/>
          <c:orientation val="minMax"/>
        </c:scaling>
        <c:delete val="0"/>
        <c:axPos val="t"/>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54674040"/>
        <c:crosses val="autoZero"/>
        <c:crossBetween val="between"/>
        <c:maj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81CE8-8799-41BC-A32C-05E7E3FD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5</Pages>
  <Words>1527</Words>
  <Characters>12203</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17328</cp:lastModifiedBy>
  <cp:revision>280</cp:revision>
  <cp:lastPrinted>2020-05-15T03:51:00Z</cp:lastPrinted>
  <dcterms:created xsi:type="dcterms:W3CDTF">2020-05-14T21:55:00Z</dcterms:created>
  <dcterms:modified xsi:type="dcterms:W3CDTF">2020-06-10T23:37:00Z</dcterms:modified>
</cp:coreProperties>
</file>