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51" w:rsidRPr="00E83488" w:rsidRDefault="00202351" w:rsidP="0020235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3488">
        <w:rPr>
          <w:rFonts w:ascii="Times New Roman" w:eastAsia="Times New Roman" w:hAnsi="Times New Roman" w:cs="Times New Roman"/>
          <w:b/>
          <w:szCs w:val="24"/>
          <w:lang w:eastAsia="ru-RU"/>
        </w:rPr>
        <w:t>УДК 330.3, 338.1</w:t>
      </w:r>
    </w:p>
    <w:p w:rsidR="00202351" w:rsidRPr="00E83488" w:rsidRDefault="00670C87" w:rsidP="00670C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Раменская Л.А.</w:t>
      </w:r>
    </w:p>
    <w:p w:rsidR="00D2102D" w:rsidRDefault="00B45C1B" w:rsidP="00670C87">
      <w:pPr>
        <w:pStyle w:val="a3"/>
        <w:spacing w:before="0" w:beforeAutospacing="0" w:after="0" w:afterAutospacing="0"/>
        <w:jc w:val="center"/>
        <w:rPr>
          <w:b/>
          <w:color w:val="000000"/>
          <w:szCs w:val="20"/>
          <w:shd w:val="clear" w:color="auto" w:fill="FFFFFF"/>
        </w:rPr>
      </w:pPr>
      <w:r w:rsidRPr="00670C87">
        <w:rPr>
          <w:b/>
          <w:color w:val="000000"/>
          <w:szCs w:val="20"/>
          <w:shd w:val="clear" w:color="auto" w:fill="FFFFFF"/>
        </w:rPr>
        <w:t>ТЕНДЕНЦИИ</w:t>
      </w:r>
      <w:r w:rsidR="00202351" w:rsidRPr="00670C87">
        <w:rPr>
          <w:b/>
          <w:color w:val="000000"/>
          <w:szCs w:val="20"/>
          <w:shd w:val="clear" w:color="auto" w:fill="FFFFFF"/>
        </w:rPr>
        <w:t xml:space="preserve"> И РИСКИ </w:t>
      </w:r>
      <w:r w:rsidR="00C63571" w:rsidRPr="00670C87">
        <w:rPr>
          <w:b/>
          <w:color w:val="000000"/>
          <w:szCs w:val="20"/>
          <w:shd w:val="clear" w:color="auto" w:fill="FFFFFF"/>
        </w:rPr>
        <w:t>ЦИФРОВО</w:t>
      </w:r>
      <w:r w:rsidR="00E3407E" w:rsidRPr="00670C87">
        <w:rPr>
          <w:b/>
          <w:color w:val="000000"/>
          <w:szCs w:val="20"/>
          <w:shd w:val="clear" w:color="auto" w:fill="FFFFFF"/>
        </w:rPr>
        <w:t>Й</w:t>
      </w:r>
      <w:r w:rsidR="00C63571" w:rsidRPr="00670C87">
        <w:rPr>
          <w:b/>
          <w:color w:val="000000"/>
          <w:szCs w:val="20"/>
          <w:shd w:val="clear" w:color="auto" w:fill="FFFFFF"/>
        </w:rPr>
        <w:t xml:space="preserve"> ТРАНСФОРМАЦИИ ПРОМЫШЛЕННОСТИ</w:t>
      </w:r>
      <w:r w:rsidR="00202351" w:rsidRPr="00670C87">
        <w:rPr>
          <w:b/>
          <w:color w:val="000000"/>
          <w:szCs w:val="20"/>
          <w:shd w:val="clear" w:color="auto" w:fill="FFFFFF"/>
        </w:rPr>
        <w:t xml:space="preserve"> В КОНТЕКСТЕ ПЕРЕХОДА К ИНДУСТРИИ 4.0</w:t>
      </w:r>
    </w:p>
    <w:p w:rsidR="00670C87" w:rsidRDefault="00670C87" w:rsidP="00670C87">
      <w:pPr>
        <w:pStyle w:val="a3"/>
        <w:spacing w:before="0" w:beforeAutospacing="0" w:after="0" w:afterAutospacing="0"/>
        <w:jc w:val="center"/>
        <w:rPr>
          <w:b/>
          <w:color w:val="000000"/>
          <w:szCs w:val="20"/>
          <w:shd w:val="clear" w:color="auto" w:fill="FFFFFF"/>
        </w:rPr>
      </w:pPr>
    </w:p>
    <w:p w:rsidR="00670C87" w:rsidRPr="00670C87" w:rsidRDefault="00670C87" w:rsidP="00670C8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</w:rPr>
        <w:t xml:space="preserve">Аннотация статьи на русском языке. </w:t>
      </w:r>
      <w:r w:rsidRPr="00670C87">
        <w:rPr>
          <w:i/>
          <w:szCs w:val="28"/>
        </w:rPr>
        <w:t xml:space="preserve">В работе рассматриваются теоретические предпосылки, системные, </w:t>
      </w:r>
      <w:proofErr w:type="spellStart"/>
      <w:r w:rsidRPr="00670C87">
        <w:rPr>
          <w:i/>
          <w:szCs w:val="28"/>
        </w:rPr>
        <w:t>страновые</w:t>
      </w:r>
      <w:proofErr w:type="spellEnd"/>
      <w:r w:rsidRPr="00670C87">
        <w:rPr>
          <w:i/>
          <w:szCs w:val="28"/>
        </w:rPr>
        <w:t xml:space="preserve"> и региональные особенности, обуславливающие возможность развития технологий четвертой промышленной революции в промышленности. Исследование базируется на открытых </w:t>
      </w:r>
      <w:r w:rsidR="004938A2">
        <w:rPr>
          <w:i/>
          <w:szCs w:val="28"/>
        </w:rPr>
        <w:t xml:space="preserve">источниках и </w:t>
      </w:r>
      <w:r w:rsidRPr="00670C87">
        <w:rPr>
          <w:i/>
          <w:szCs w:val="28"/>
        </w:rPr>
        <w:t xml:space="preserve">данных официальной статистики. </w:t>
      </w:r>
    </w:p>
    <w:p w:rsidR="00431798" w:rsidRPr="00670C87" w:rsidRDefault="00670C87" w:rsidP="00B7109E">
      <w:pPr>
        <w:pStyle w:val="a3"/>
        <w:spacing w:before="0" w:beforeAutospacing="0" w:after="0" w:afterAutospacing="0"/>
        <w:rPr>
          <w:i/>
          <w:szCs w:val="28"/>
        </w:rPr>
      </w:pPr>
      <w:r>
        <w:rPr>
          <w:b/>
        </w:rPr>
        <w:t xml:space="preserve">Ключевые слова на русском языке </w:t>
      </w:r>
      <w:r w:rsidR="00431798" w:rsidRPr="00670C87">
        <w:rPr>
          <w:i/>
          <w:szCs w:val="28"/>
        </w:rPr>
        <w:t xml:space="preserve">Индустрия 4.0, четвертая промышленная революция, </w:t>
      </w:r>
      <w:r w:rsidRPr="00670C87">
        <w:rPr>
          <w:i/>
          <w:szCs w:val="28"/>
        </w:rPr>
        <w:t>цифровая трансформация</w:t>
      </w:r>
    </w:p>
    <w:p w:rsidR="0004085B" w:rsidRDefault="0004085B" w:rsidP="0069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D5F4C" w:rsidRPr="00BC7DCA" w:rsidRDefault="00D3136C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5B">
        <w:rPr>
          <w:rFonts w:ascii="Times New Roman" w:hAnsi="Times New Roman" w:cs="Times New Roman"/>
          <w:sz w:val="24"/>
          <w:szCs w:val="24"/>
        </w:rPr>
        <w:t xml:space="preserve">Актуальность цифровой </w:t>
      </w:r>
      <w:r w:rsidR="0010448A" w:rsidRPr="0004085B">
        <w:rPr>
          <w:rFonts w:ascii="Times New Roman" w:hAnsi="Times New Roman" w:cs="Times New Roman"/>
          <w:sz w:val="24"/>
          <w:szCs w:val="24"/>
        </w:rPr>
        <w:t>трансформации</w:t>
      </w:r>
      <w:r w:rsidRPr="0004085B">
        <w:rPr>
          <w:rFonts w:ascii="Times New Roman" w:hAnsi="Times New Roman" w:cs="Times New Roman"/>
          <w:sz w:val="24"/>
          <w:szCs w:val="24"/>
        </w:rPr>
        <w:t xml:space="preserve"> промышленности обусловлена </w:t>
      </w:r>
      <w:r w:rsidR="0010448A" w:rsidRPr="0004085B">
        <w:rPr>
          <w:rFonts w:ascii="Times New Roman" w:hAnsi="Times New Roman" w:cs="Times New Roman"/>
          <w:sz w:val="24"/>
          <w:szCs w:val="24"/>
        </w:rPr>
        <w:t>снижением</w:t>
      </w:r>
      <w:r w:rsidR="00431EAC" w:rsidRPr="0004085B">
        <w:rPr>
          <w:rFonts w:ascii="Times New Roman" w:hAnsi="Times New Roman" w:cs="Times New Roman"/>
          <w:sz w:val="24"/>
          <w:szCs w:val="24"/>
        </w:rPr>
        <w:t xml:space="preserve"> </w:t>
      </w:r>
      <w:r w:rsidR="0004085B" w:rsidRPr="0004085B">
        <w:rPr>
          <w:rFonts w:ascii="Times New Roman" w:hAnsi="Times New Roman" w:cs="Times New Roman"/>
          <w:sz w:val="24"/>
          <w:szCs w:val="24"/>
        </w:rPr>
        <w:t xml:space="preserve">потенциала роста в </w:t>
      </w:r>
      <w:r w:rsidR="0004085B" w:rsidRPr="00BC7DCA">
        <w:rPr>
          <w:rFonts w:ascii="Times New Roman" w:hAnsi="Times New Roman" w:cs="Times New Roman"/>
          <w:sz w:val="24"/>
          <w:szCs w:val="24"/>
        </w:rPr>
        <w:t>существующих отраслях промышленности. В наиболее промышленно развитых странах рост промышленного производства в рамках преобладающего (третьего) промышленного уклада с 2011 г. колеблется около 1%, что свидетельствует о достижении традиционными технологиями «потолка» роста своей производительности [</w:t>
      </w:r>
      <w:r w:rsidR="004938A2" w:rsidRPr="00BC7DCA">
        <w:rPr>
          <w:rFonts w:ascii="Times New Roman" w:hAnsi="Times New Roman" w:cs="Times New Roman"/>
          <w:sz w:val="24"/>
          <w:szCs w:val="24"/>
        </w:rPr>
        <w:t>1</w:t>
      </w:r>
      <w:r w:rsidR="0004085B" w:rsidRPr="00BC7DCA">
        <w:rPr>
          <w:rFonts w:ascii="Times New Roman" w:hAnsi="Times New Roman" w:cs="Times New Roman"/>
          <w:sz w:val="24"/>
          <w:szCs w:val="24"/>
        </w:rPr>
        <w:t>].</w:t>
      </w:r>
      <w:r w:rsidR="005B17C3" w:rsidRPr="00BC7DCA">
        <w:rPr>
          <w:rFonts w:ascii="Times New Roman" w:hAnsi="Times New Roman" w:cs="Times New Roman"/>
          <w:sz w:val="24"/>
          <w:szCs w:val="24"/>
        </w:rPr>
        <w:t xml:space="preserve"> Данная тенденция сопровождается изменением потребительских предпочтений в направлении индивидуализации продуктов и услуг, а также трансформацией рыночных отношений, где </w:t>
      </w:r>
      <w:r w:rsidR="007624A5" w:rsidRPr="00BC7DCA">
        <w:rPr>
          <w:rFonts w:ascii="Times New Roman" w:hAnsi="Times New Roman" w:cs="Times New Roman"/>
          <w:sz w:val="24"/>
          <w:szCs w:val="24"/>
        </w:rPr>
        <w:t>взаимодействие между отдельными предприятиями вытесняется цифровыми и/или технологическими платформами.</w:t>
      </w:r>
    </w:p>
    <w:p w:rsidR="0069538A" w:rsidRPr="00BC7DCA" w:rsidRDefault="0004085B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П</w:t>
      </w:r>
      <w:r w:rsidR="0069538A" w:rsidRPr="00BC7DCA">
        <w:rPr>
          <w:rFonts w:ascii="Times New Roman" w:hAnsi="Times New Roman" w:cs="Times New Roman"/>
          <w:sz w:val="24"/>
          <w:szCs w:val="24"/>
        </w:rPr>
        <w:t>ромышленно</w:t>
      </w:r>
      <w:r w:rsidRPr="00BC7DCA">
        <w:rPr>
          <w:rFonts w:ascii="Times New Roman" w:hAnsi="Times New Roman" w:cs="Times New Roman"/>
          <w:sz w:val="24"/>
          <w:szCs w:val="24"/>
        </w:rPr>
        <w:t>е</w:t>
      </w:r>
      <w:r w:rsidR="0069538A" w:rsidRPr="00BC7DC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Pr="00BC7DCA">
        <w:rPr>
          <w:rFonts w:ascii="Times New Roman" w:hAnsi="Times New Roman" w:cs="Times New Roman"/>
          <w:sz w:val="24"/>
          <w:szCs w:val="24"/>
        </w:rPr>
        <w:t>е</w:t>
      </w:r>
      <w:r w:rsidR="0069538A" w:rsidRPr="00BC7DCA">
        <w:rPr>
          <w:rFonts w:ascii="Times New Roman" w:hAnsi="Times New Roman" w:cs="Times New Roman"/>
          <w:sz w:val="24"/>
          <w:szCs w:val="24"/>
        </w:rPr>
        <w:t xml:space="preserve"> </w:t>
      </w:r>
      <w:r w:rsidRPr="00BC7DC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9538A" w:rsidRPr="00BC7DCA">
        <w:rPr>
          <w:rFonts w:ascii="Times New Roman" w:hAnsi="Times New Roman" w:cs="Times New Roman"/>
          <w:sz w:val="24"/>
          <w:szCs w:val="24"/>
        </w:rPr>
        <w:t>трет</w:t>
      </w:r>
      <w:r w:rsidRPr="00BC7DCA">
        <w:rPr>
          <w:rFonts w:ascii="Times New Roman" w:hAnsi="Times New Roman" w:cs="Times New Roman"/>
          <w:sz w:val="24"/>
          <w:szCs w:val="24"/>
        </w:rPr>
        <w:t>ь</w:t>
      </w:r>
      <w:r w:rsidR="0069538A" w:rsidRPr="00BC7DCA">
        <w:rPr>
          <w:rFonts w:ascii="Times New Roman" w:hAnsi="Times New Roman" w:cs="Times New Roman"/>
          <w:sz w:val="24"/>
          <w:szCs w:val="24"/>
        </w:rPr>
        <w:t>ей промышленной революции</w:t>
      </w:r>
      <w:r w:rsidRPr="00BC7DCA">
        <w:rPr>
          <w:rFonts w:ascii="Times New Roman" w:hAnsi="Times New Roman" w:cs="Times New Roman"/>
          <w:sz w:val="24"/>
          <w:szCs w:val="24"/>
        </w:rPr>
        <w:t xml:space="preserve"> с одной стороны позволило</w:t>
      </w:r>
      <w:r w:rsidR="0069538A" w:rsidRPr="00BC7DC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BC7DCA">
        <w:rPr>
          <w:rFonts w:ascii="Times New Roman" w:hAnsi="Times New Roman" w:cs="Times New Roman"/>
          <w:sz w:val="24"/>
          <w:szCs w:val="24"/>
        </w:rPr>
        <w:t xml:space="preserve"> потребителей р</w:t>
      </w:r>
      <w:r w:rsidR="0069538A" w:rsidRPr="00BC7DCA">
        <w:rPr>
          <w:rFonts w:ascii="Times New Roman" w:hAnsi="Times New Roman" w:cs="Times New Roman"/>
          <w:sz w:val="24"/>
          <w:szCs w:val="24"/>
        </w:rPr>
        <w:t>азнообразн</w:t>
      </w:r>
      <w:r w:rsidRPr="00BC7DCA">
        <w:rPr>
          <w:rFonts w:ascii="Times New Roman" w:hAnsi="Times New Roman" w:cs="Times New Roman"/>
          <w:sz w:val="24"/>
          <w:szCs w:val="24"/>
        </w:rPr>
        <w:t>ой</w:t>
      </w:r>
      <w:r w:rsidR="0069538A" w:rsidRPr="00BC7DCA">
        <w:rPr>
          <w:rFonts w:ascii="Times New Roman" w:hAnsi="Times New Roman" w:cs="Times New Roman"/>
          <w:sz w:val="24"/>
          <w:szCs w:val="24"/>
        </w:rPr>
        <w:t xml:space="preserve"> высококачественн</w:t>
      </w:r>
      <w:r w:rsidRPr="00BC7DCA">
        <w:rPr>
          <w:rFonts w:ascii="Times New Roman" w:hAnsi="Times New Roman" w:cs="Times New Roman"/>
          <w:sz w:val="24"/>
          <w:szCs w:val="24"/>
        </w:rPr>
        <w:t>ой</w:t>
      </w:r>
      <w:r w:rsidR="0069538A" w:rsidRPr="00BC7DCA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Pr="00BC7DCA">
        <w:rPr>
          <w:rFonts w:ascii="Times New Roman" w:hAnsi="Times New Roman" w:cs="Times New Roman"/>
          <w:sz w:val="24"/>
          <w:szCs w:val="24"/>
        </w:rPr>
        <w:t>ей</w:t>
      </w:r>
      <w:r w:rsidR="0069538A" w:rsidRPr="00BC7DCA">
        <w:rPr>
          <w:rFonts w:ascii="Times New Roman" w:hAnsi="Times New Roman" w:cs="Times New Roman"/>
          <w:sz w:val="24"/>
          <w:szCs w:val="24"/>
        </w:rPr>
        <w:t xml:space="preserve">, </w:t>
      </w:r>
      <w:r w:rsidRPr="00BC7DCA">
        <w:rPr>
          <w:rFonts w:ascii="Times New Roman" w:hAnsi="Times New Roman" w:cs="Times New Roman"/>
          <w:sz w:val="24"/>
          <w:szCs w:val="24"/>
        </w:rPr>
        <w:t>но с другой обладает существенными недостатками, выражающимися</w:t>
      </w:r>
      <w:r w:rsidR="0069538A" w:rsidRPr="00BC7DCA">
        <w:rPr>
          <w:rFonts w:ascii="Times New Roman" w:hAnsi="Times New Roman" w:cs="Times New Roman"/>
          <w:sz w:val="24"/>
          <w:szCs w:val="24"/>
        </w:rPr>
        <w:t xml:space="preserve"> в </w:t>
      </w:r>
      <w:r w:rsidR="00AA2ADC" w:rsidRPr="00BC7DCA">
        <w:rPr>
          <w:rFonts w:ascii="Times New Roman" w:hAnsi="Times New Roman" w:cs="Times New Roman"/>
          <w:sz w:val="24"/>
          <w:szCs w:val="24"/>
        </w:rPr>
        <w:t xml:space="preserve">чрезмерном </w:t>
      </w:r>
      <w:r w:rsidR="0069538A" w:rsidRPr="00BC7DCA">
        <w:rPr>
          <w:rFonts w:ascii="Times New Roman" w:hAnsi="Times New Roman" w:cs="Times New Roman"/>
          <w:sz w:val="24"/>
          <w:szCs w:val="24"/>
        </w:rPr>
        <w:t xml:space="preserve">потреблении </w:t>
      </w:r>
      <w:proofErr w:type="spellStart"/>
      <w:r w:rsidR="0069538A" w:rsidRPr="00BC7DCA">
        <w:rPr>
          <w:rFonts w:ascii="Times New Roman" w:hAnsi="Times New Roman" w:cs="Times New Roman"/>
          <w:sz w:val="24"/>
          <w:szCs w:val="24"/>
        </w:rPr>
        <w:t>невозобновляемых</w:t>
      </w:r>
      <w:proofErr w:type="spellEnd"/>
      <w:r w:rsidR="0069538A" w:rsidRPr="00BC7DCA">
        <w:rPr>
          <w:rFonts w:ascii="Times New Roman" w:hAnsi="Times New Roman" w:cs="Times New Roman"/>
          <w:sz w:val="24"/>
          <w:szCs w:val="24"/>
        </w:rPr>
        <w:t xml:space="preserve"> ресурсов, использовани</w:t>
      </w:r>
      <w:r w:rsidRPr="00BC7DCA">
        <w:rPr>
          <w:rFonts w:ascii="Times New Roman" w:hAnsi="Times New Roman" w:cs="Times New Roman"/>
          <w:sz w:val="24"/>
          <w:szCs w:val="24"/>
        </w:rPr>
        <w:t>и</w:t>
      </w:r>
      <w:r w:rsidR="0069538A" w:rsidRPr="00BC7DCA">
        <w:rPr>
          <w:rFonts w:ascii="Times New Roman" w:hAnsi="Times New Roman" w:cs="Times New Roman"/>
          <w:sz w:val="24"/>
          <w:szCs w:val="24"/>
        </w:rPr>
        <w:t xml:space="preserve"> </w:t>
      </w:r>
      <w:r w:rsidR="00AA2ADC" w:rsidRPr="00BC7DCA">
        <w:rPr>
          <w:rFonts w:ascii="Times New Roman" w:hAnsi="Times New Roman" w:cs="Times New Roman"/>
          <w:sz w:val="24"/>
          <w:szCs w:val="24"/>
        </w:rPr>
        <w:t>человеческого труда для выполнения рутинных операций и загрязнении окружающей среды.</w:t>
      </w:r>
    </w:p>
    <w:p w:rsidR="00AA2ADC" w:rsidRPr="00BC7DCA" w:rsidRDefault="00DB0CE6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Парадигма четвертой промышленной революции, которую часто называют Индустриализаций 4.0 или Индустрией 4.0 (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Pr="00BC7DCA">
        <w:rPr>
          <w:rFonts w:ascii="Times New Roman" w:hAnsi="Times New Roman" w:cs="Times New Roman"/>
          <w:sz w:val="24"/>
          <w:szCs w:val="24"/>
        </w:rPr>
        <w:t xml:space="preserve"> 4.0) (термином появившемся на Ганноверской ярмарке 2011 г.), </w:t>
      </w:r>
      <w:r w:rsidR="00AA2ADC" w:rsidRPr="00BC7DCA">
        <w:rPr>
          <w:rFonts w:ascii="Times New Roman" w:hAnsi="Times New Roman" w:cs="Times New Roman"/>
          <w:sz w:val="24"/>
          <w:szCs w:val="24"/>
        </w:rPr>
        <w:t xml:space="preserve">позволяет устранить данные недостатки. Глубокая интеграция ключевых технологий, основанных на </w:t>
      </w:r>
      <w:proofErr w:type="spellStart"/>
      <w:r w:rsidR="00AA2ADC" w:rsidRPr="00BC7DC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AA2ADC" w:rsidRPr="00BC7DCA">
        <w:rPr>
          <w:rFonts w:ascii="Times New Roman" w:hAnsi="Times New Roman" w:cs="Times New Roman"/>
          <w:sz w:val="24"/>
          <w:szCs w:val="24"/>
        </w:rPr>
        <w:t xml:space="preserve">, в бизнес-процессы отдельных промышленных предприятий и их объединений, позволят обеспечить </w:t>
      </w:r>
      <w:r w:rsidRPr="00BC7DCA">
        <w:rPr>
          <w:rFonts w:ascii="Times New Roman" w:hAnsi="Times New Roman" w:cs="Times New Roman"/>
          <w:sz w:val="24"/>
          <w:szCs w:val="24"/>
        </w:rPr>
        <w:t xml:space="preserve">как </w:t>
      </w:r>
      <w:r w:rsidR="00AA2ADC" w:rsidRPr="00BC7DCA">
        <w:rPr>
          <w:rFonts w:ascii="Times New Roman" w:hAnsi="Times New Roman" w:cs="Times New Roman"/>
          <w:sz w:val="24"/>
          <w:szCs w:val="24"/>
        </w:rPr>
        <w:t>высокую гибкость и адаптивность производственных процессов бе</w:t>
      </w:r>
      <w:r w:rsidRPr="00BC7DCA">
        <w:rPr>
          <w:rFonts w:ascii="Times New Roman" w:hAnsi="Times New Roman" w:cs="Times New Roman"/>
          <w:sz w:val="24"/>
          <w:szCs w:val="24"/>
        </w:rPr>
        <w:t>з</w:t>
      </w:r>
      <w:r w:rsidR="00AA2ADC" w:rsidRPr="00BC7DCA">
        <w:rPr>
          <w:rFonts w:ascii="Times New Roman" w:hAnsi="Times New Roman" w:cs="Times New Roman"/>
          <w:sz w:val="24"/>
          <w:szCs w:val="24"/>
        </w:rPr>
        <w:t xml:space="preserve"> потери качества, </w:t>
      </w:r>
      <w:r w:rsidRPr="00BC7DCA">
        <w:rPr>
          <w:rFonts w:ascii="Times New Roman" w:hAnsi="Times New Roman" w:cs="Times New Roman"/>
          <w:sz w:val="24"/>
          <w:szCs w:val="24"/>
        </w:rPr>
        <w:t xml:space="preserve">так и </w:t>
      </w:r>
      <w:r w:rsidR="00AA2ADC" w:rsidRPr="00BC7DCA">
        <w:rPr>
          <w:rFonts w:ascii="Times New Roman" w:hAnsi="Times New Roman" w:cs="Times New Roman"/>
          <w:sz w:val="24"/>
          <w:szCs w:val="24"/>
        </w:rPr>
        <w:t>сокращение стоимости за счет роботизации и автоматизации рутинных процедур</w:t>
      </w:r>
      <w:r w:rsidRPr="00BC7DCA">
        <w:rPr>
          <w:rFonts w:ascii="Times New Roman" w:hAnsi="Times New Roman" w:cs="Times New Roman"/>
          <w:sz w:val="24"/>
          <w:szCs w:val="24"/>
        </w:rPr>
        <w:t xml:space="preserve"> и</w:t>
      </w:r>
      <w:r w:rsidR="00AA2ADC" w:rsidRPr="00BC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0F" w:rsidRPr="00BC7DCA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0F210F" w:rsidRPr="00BC7DCA">
        <w:rPr>
          <w:rFonts w:ascii="Times New Roman" w:hAnsi="Times New Roman" w:cs="Times New Roman"/>
          <w:sz w:val="24"/>
          <w:szCs w:val="24"/>
        </w:rPr>
        <w:t xml:space="preserve"> производственных процессов </w:t>
      </w:r>
      <w:r w:rsidRPr="00BC7DCA">
        <w:rPr>
          <w:rFonts w:ascii="Times New Roman" w:hAnsi="Times New Roman" w:cs="Times New Roman"/>
          <w:sz w:val="24"/>
          <w:szCs w:val="24"/>
        </w:rPr>
        <w:t>за счет технологий более эффективного использования ресурсов</w:t>
      </w:r>
      <w:r w:rsidR="005B17C3" w:rsidRPr="00BC7DCA">
        <w:rPr>
          <w:rFonts w:ascii="Times New Roman" w:hAnsi="Times New Roman" w:cs="Times New Roman"/>
          <w:sz w:val="24"/>
          <w:szCs w:val="24"/>
        </w:rPr>
        <w:t>, вкл</w:t>
      </w:r>
      <w:r w:rsidRPr="00BC7DCA">
        <w:rPr>
          <w:rFonts w:ascii="Times New Roman" w:hAnsi="Times New Roman" w:cs="Times New Roman"/>
          <w:sz w:val="24"/>
          <w:szCs w:val="24"/>
        </w:rPr>
        <w:t xml:space="preserve">ючая </w:t>
      </w:r>
      <w:proofErr w:type="gramStart"/>
      <w:r w:rsidRPr="00BC7DCA">
        <w:rPr>
          <w:rFonts w:ascii="Times New Roman" w:hAnsi="Times New Roman" w:cs="Times New Roman"/>
          <w:sz w:val="24"/>
          <w:szCs w:val="24"/>
        </w:rPr>
        <w:t>энергосбережение</w:t>
      </w:r>
      <w:r w:rsidR="000F210F" w:rsidRPr="00BC7DC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4938A2" w:rsidRPr="00BC7DCA">
        <w:rPr>
          <w:rFonts w:ascii="Times New Roman" w:hAnsi="Times New Roman" w:cs="Times New Roman"/>
          <w:sz w:val="24"/>
          <w:szCs w:val="24"/>
        </w:rPr>
        <w:t>2</w:t>
      </w:r>
      <w:r w:rsidR="000F210F" w:rsidRPr="00BC7DCA">
        <w:rPr>
          <w:rFonts w:ascii="Times New Roman" w:hAnsi="Times New Roman" w:cs="Times New Roman"/>
          <w:sz w:val="24"/>
          <w:szCs w:val="24"/>
        </w:rPr>
        <w:t>,</w:t>
      </w:r>
      <w:r w:rsidR="00BC7DCA" w:rsidRPr="00BC7DCA">
        <w:rPr>
          <w:rFonts w:ascii="Times New Roman" w:hAnsi="Times New Roman" w:cs="Times New Roman"/>
          <w:sz w:val="24"/>
          <w:szCs w:val="24"/>
        </w:rPr>
        <w:t xml:space="preserve"> </w:t>
      </w:r>
      <w:r w:rsidR="004938A2" w:rsidRPr="00BC7DCA">
        <w:rPr>
          <w:rFonts w:ascii="Times New Roman" w:hAnsi="Times New Roman" w:cs="Times New Roman"/>
          <w:sz w:val="24"/>
          <w:szCs w:val="24"/>
        </w:rPr>
        <w:t xml:space="preserve">3 </w:t>
      </w:r>
      <w:r w:rsidR="000F210F" w:rsidRPr="00BC7DCA">
        <w:rPr>
          <w:rFonts w:ascii="Times New Roman" w:hAnsi="Times New Roman" w:cs="Times New Roman"/>
          <w:sz w:val="24"/>
          <w:szCs w:val="24"/>
        </w:rPr>
        <w:t>,</w:t>
      </w:r>
      <w:r w:rsidR="004938A2" w:rsidRPr="00BC7DCA">
        <w:rPr>
          <w:rFonts w:ascii="Times New Roman" w:hAnsi="Times New Roman" w:cs="Times New Roman"/>
          <w:sz w:val="24"/>
          <w:szCs w:val="24"/>
        </w:rPr>
        <w:t>4</w:t>
      </w:r>
      <w:r w:rsidR="000F210F" w:rsidRPr="00BC7DCA">
        <w:rPr>
          <w:rFonts w:ascii="Times New Roman" w:hAnsi="Times New Roman" w:cs="Times New Roman"/>
          <w:sz w:val="24"/>
          <w:szCs w:val="24"/>
        </w:rPr>
        <w:t>].</w:t>
      </w:r>
    </w:p>
    <w:p w:rsidR="000F210F" w:rsidRPr="00BC7DCA" w:rsidRDefault="000F210F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При всей очевидности необходимости промышленного развития в направлении </w:t>
      </w:r>
      <w:r w:rsidR="00DB0CE6" w:rsidRPr="00BC7DCA">
        <w:rPr>
          <w:rFonts w:ascii="Times New Roman" w:hAnsi="Times New Roman" w:cs="Times New Roman"/>
          <w:sz w:val="24"/>
          <w:szCs w:val="24"/>
        </w:rPr>
        <w:t xml:space="preserve">четвертой промышленной революции, </w:t>
      </w:r>
      <w:r w:rsidRPr="00BC7DCA">
        <w:rPr>
          <w:rFonts w:ascii="Times New Roman" w:hAnsi="Times New Roman" w:cs="Times New Roman"/>
          <w:sz w:val="24"/>
          <w:szCs w:val="24"/>
        </w:rPr>
        <w:t xml:space="preserve">масштаб, сложность и взаимозависимость процессов, приводят к необходимости их исследования как в целом, так и в контексте отдельных </w:t>
      </w:r>
      <w:r w:rsidR="007B0509" w:rsidRPr="00BC7DCA">
        <w:rPr>
          <w:rFonts w:ascii="Times New Roman" w:hAnsi="Times New Roman" w:cs="Times New Roman"/>
          <w:sz w:val="24"/>
          <w:szCs w:val="24"/>
        </w:rPr>
        <w:t xml:space="preserve">отраслей и </w:t>
      </w:r>
      <w:r w:rsidRPr="00BC7DCA">
        <w:rPr>
          <w:rFonts w:ascii="Times New Roman" w:hAnsi="Times New Roman" w:cs="Times New Roman"/>
          <w:sz w:val="24"/>
          <w:szCs w:val="24"/>
        </w:rPr>
        <w:t>территорий.</w:t>
      </w:r>
    </w:p>
    <w:p w:rsidR="00074664" w:rsidRPr="00BC7DCA" w:rsidRDefault="007B0509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При большом количестве публикаций, посвященных промышленной революции и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экономики, вопросы определения ключевых точек преобразований отраслевых промышленных предприятий остаются за рамками внимания исследователей. </w:t>
      </w:r>
    </w:p>
    <w:p w:rsidR="009B25E7" w:rsidRPr="00BC7DCA" w:rsidRDefault="009B25E7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Полемика относительно масштабов воздействия технологий на трансформацию общества в рамках выделенных теоретических воззрений продолжается и по сей день. При этом в контексте рассматриваемой проблематики, продолжаются дискуссии о том, считать ли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эволюцией третьей промышленной революции или рассматривать её революционный характер.</w:t>
      </w:r>
    </w:p>
    <w:p w:rsidR="007D1040" w:rsidRPr="00BC7DCA" w:rsidRDefault="007D1040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Основатель и Президент Всемирного экономического форума профессор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К.Шваб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выделяет три фактора, являющиеся отличительными чертами</w:t>
      </w:r>
      <w:r w:rsidR="00884772" w:rsidRPr="00BC7DCA">
        <w:rPr>
          <w:rFonts w:ascii="Times New Roman" w:hAnsi="Times New Roman" w:cs="Times New Roman"/>
          <w:sz w:val="24"/>
          <w:szCs w:val="24"/>
        </w:rPr>
        <w:t xml:space="preserve"> Индустрии 4.0, позволяющими выделить её </w:t>
      </w:r>
      <w:r w:rsidR="00B14A48" w:rsidRPr="00BC7DCA">
        <w:rPr>
          <w:rFonts w:ascii="Times New Roman" w:hAnsi="Times New Roman" w:cs="Times New Roman"/>
          <w:sz w:val="24"/>
          <w:szCs w:val="24"/>
        </w:rPr>
        <w:t>именно как</w:t>
      </w:r>
      <w:r w:rsidRPr="00BC7DCA">
        <w:rPr>
          <w:rFonts w:ascii="Times New Roman" w:hAnsi="Times New Roman" w:cs="Times New Roman"/>
          <w:sz w:val="24"/>
          <w:szCs w:val="24"/>
        </w:rPr>
        <w:t xml:space="preserve"> </w:t>
      </w:r>
      <w:r w:rsidR="00884772" w:rsidRPr="00BC7DCA">
        <w:rPr>
          <w:rFonts w:ascii="Times New Roman" w:hAnsi="Times New Roman" w:cs="Times New Roman"/>
          <w:sz w:val="24"/>
          <w:szCs w:val="24"/>
        </w:rPr>
        <w:t xml:space="preserve">четвертую промышленную революцию </w:t>
      </w:r>
      <w:r w:rsidRPr="00BC7DCA">
        <w:rPr>
          <w:rFonts w:ascii="Times New Roman" w:hAnsi="Times New Roman" w:cs="Times New Roman"/>
          <w:sz w:val="24"/>
          <w:szCs w:val="24"/>
        </w:rPr>
        <w:t>[</w:t>
      </w:r>
      <w:r w:rsidR="004938A2" w:rsidRPr="00BC7DCA">
        <w:rPr>
          <w:rFonts w:ascii="Times New Roman" w:hAnsi="Times New Roman" w:cs="Times New Roman"/>
          <w:sz w:val="24"/>
          <w:szCs w:val="24"/>
        </w:rPr>
        <w:t>5</w:t>
      </w:r>
      <w:r w:rsidRPr="00BC7DCA">
        <w:rPr>
          <w:rFonts w:ascii="Times New Roman" w:hAnsi="Times New Roman" w:cs="Times New Roman"/>
          <w:sz w:val="24"/>
          <w:szCs w:val="24"/>
        </w:rPr>
        <w:t>, с.9]:</w:t>
      </w:r>
    </w:p>
    <w:p w:rsidR="007D1040" w:rsidRPr="00BC7DCA" w:rsidRDefault="007D1040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 - развитие экспоненциальными темпами, являющиеся следствием глобальной взаимозависимости;</w:t>
      </w:r>
    </w:p>
    <w:p w:rsidR="007D1040" w:rsidRPr="00BC7DCA" w:rsidRDefault="007D1040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 - широта и глубина преобразований, основанных на сочетании разнообразных технологий;</w:t>
      </w:r>
    </w:p>
    <w:p w:rsidR="007D1040" w:rsidRPr="00BC7DCA" w:rsidRDefault="007D1040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 - системное воздействие, относящееся ко всем странам, отраслям и обществу в целом. </w:t>
      </w:r>
    </w:p>
    <w:p w:rsidR="007D1040" w:rsidRPr="00BC7DCA" w:rsidRDefault="00884772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9B25E7" w:rsidRPr="00BC7DCA">
        <w:rPr>
          <w:rFonts w:ascii="Times New Roman" w:hAnsi="Times New Roman" w:cs="Times New Roman"/>
          <w:sz w:val="24"/>
          <w:szCs w:val="24"/>
        </w:rPr>
        <w:t xml:space="preserve">трансформационных </w:t>
      </w:r>
      <w:r w:rsidRPr="00BC7DCA">
        <w:rPr>
          <w:rFonts w:ascii="Times New Roman" w:hAnsi="Times New Roman" w:cs="Times New Roman"/>
          <w:sz w:val="24"/>
          <w:szCs w:val="24"/>
        </w:rPr>
        <w:t xml:space="preserve">мероприятий подобного масштаба требует </w:t>
      </w:r>
      <w:r w:rsidR="00EF288A" w:rsidRPr="00BC7DCA">
        <w:rPr>
          <w:rFonts w:ascii="Times New Roman" w:hAnsi="Times New Roman" w:cs="Times New Roman"/>
          <w:sz w:val="24"/>
          <w:szCs w:val="24"/>
        </w:rPr>
        <w:t xml:space="preserve">активного участия государства, </w:t>
      </w:r>
      <w:proofErr w:type="gramStart"/>
      <w:r w:rsidR="00EF288A" w:rsidRPr="00BC7DCA">
        <w:rPr>
          <w:rFonts w:ascii="Times New Roman" w:hAnsi="Times New Roman" w:cs="Times New Roman"/>
          <w:sz w:val="24"/>
          <w:szCs w:val="24"/>
        </w:rPr>
        <w:t>разработке</w:t>
      </w:r>
      <w:proofErr w:type="gramEnd"/>
      <w:r w:rsidR="00EF288A" w:rsidRPr="00BC7DCA">
        <w:rPr>
          <w:rFonts w:ascii="Times New Roman" w:hAnsi="Times New Roman" w:cs="Times New Roman"/>
          <w:sz w:val="24"/>
          <w:szCs w:val="24"/>
        </w:rPr>
        <w:t xml:space="preserve"> обоснованной промышленной</w:t>
      </w:r>
      <w:r w:rsidR="007624A5" w:rsidRPr="00BC7DCA">
        <w:rPr>
          <w:rFonts w:ascii="Times New Roman" w:hAnsi="Times New Roman" w:cs="Times New Roman"/>
          <w:sz w:val="24"/>
          <w:szCs w:val="24"/>
        </w:rPr>
        <w:t xml:space="preserve"> и инновационной </w:t>
      </w:r>
      <w:r w:rsidR="00EF288A" w:rsidRPr="00BC7DCA">
        <w:rPr>
          <w:rFonts w:ascii="Times New Roman" w:hAnsi="Times New Roman" w:cs="Times New Roman"/>
          <w:sz w:val="24"/>
          <w:szCs w:val="24"/>
        </w:rPr>
        <w:t>политики [</w:t>
      </w:r>
      <w:r w:rsidR="004938A2" w:rsidRPr="00BC7DCA">
        <w:rPr>
          <w:rFonts w:ascii="Times New Roman" w:hAnsi="Times New Roman" w:cs="Times New Roman"/>
          <w:sz w:val="24"/>
          <w:szCs w:val="24"/>
        </w:rPr>
        <w:t>1, 5</w:t>
      </w:r>
      <w:r w:rsidR="00EF288A" w:rsidRPr="00BC7DCA">
        <w:rPr>
          <w:rFonts w:ascii="Times New Roman" w:hAnsi="Times New Roman" w:cs="Times New Roman"/>
          <w:sz w:val="24"/>
          <w:szCs w:val="24"/>
        </w:rPr>
        <w:t>]</w:t>
      </w:r>
      <w:r w:rsidR="007624A5" w:rsidRPr="00BC7DCA">
        <w:rPr>
          <w:rFonts w:ascii="Times New Roman" w:hAnsi="Times New Roman" w:cs="Times New Roman"/>
          <w:sz w:val="24"/>
          <w:szCs w:val="24"/>
        </w:rPr>
        <w:t>, которая становится ключевым фактором сохранения конкурентоспособности производств.</w:t>
      </w:r>
    </w:p>
    <w:p w:rsidR="00D9392D" w:rsidRPr="00BC7DCA" w:rsidRDefault="00AA155E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Ряд исследований посвящены исследованию государственных инициатив </w:t>
      </w:r>
      <w:r w:rsidR="00B14A48" w:rsidRPr="00BC7DCA">
        <w:rPr>
          <w:rFonts w:ascii="Times New Roman" w:hAnsi="Times New Roman" w:cs="Times New Roman"/>
          <w:sz w:val="24"/>
          <w:szCs w:val="24"/>
        </w:rPr>
        <w:t xml:space="preserve">промышленной революции. </w:t>
      </w:r>
      <w:r w:rsidR="00D9392D" w:rsidRPr="00BC7DCA">
        <w:rPr>
          <w:rFonts w:ascii="Times New Roman" w:hAnsi="Times New Roman" w:cs="Times New Roman"/>
          <w:sz w:val="24"/>
          <w:szCs w:val="24"/>
        </w:rPr>
        <w:t xml:space="preserve">Одним из первых появился отчет группы под руководством </w:t>
      </w:r>
      <w:proofErr w:type="spellStart"/>
      <w:r w:rsidR="00D9392D" w:rsidRPr="00BC7DCA">
        <w:rPr>
          <w:rFonts w:ascii="Times New Roman" w:hAnsi="Times New Roman" w:cs="Times New Roman"/>
          <w:sz w:val="24"/>
          <w:szCs w:val="28"/>
          <w:lang w:val="en-US"/>
        </w:rPr>
        <w:t>Kagermann</w:t>
      </w:r>
      <w:proofErr w:type="spellEnd"/>
      <w:r w:rsidR="00D9392D" w:rsidRPr="00BC7DCA">
        <w:rPr>
          <w:rFonts w:ascii="Times New Roman" w:hAnsi="Times New Roman" w:cs="Times New Roman"/>
          <w:sz w:val="24"/>
          <w:szCs w:val="28"/>
        </w:rPr>
        <w:t xml:space="preserve"> </w:t>
      </w:r>
      <w:r w:rsidR="00D9392D" w:rsidRPr="00BC7DCA">
        <w:rPr>
          <w:rFonts w:ascii="Times New Roman" w:hAnsi="Times New Roman" w:cs="Times New Roman"/>
          <w:sz w:val="24"/>
          <w:szCs w:val="28"/>
          <w:lang w:val="en-US"/>
        </w:rPr>
        <w:t>H</w:t>
      </w:r>
      <w:r w:rsidR="00D9392D" w:rsidRPr="00BC7DCA">
        <w:rPr>
          <w:rFonts w:ascii="Times New Roman" w:hAnsi="Times New Roman" w:cs="Times New Roman"/>
          <w:sz w:val="24"/>
          <w:szCs w:val="28"/>
        </w:rPr>
        <w:t>. [</w:t>
      </w:r>
      <w:r w:rsidR="004938A2" w:rsidRPr="00BC7DCA">
        <w:rPr>
          <w:rFonts w:ascii="Times New Roman" w:hAnsi="Times New Roman" w:cs="Times New Roman"/>
          <w:sz w:val="24"/>
          <w:szCs w:val="28"/>
        </w:rPr>
        <w:t>4</w:t>
      </w:r>
      <w:r w:rsidR="00D9392D" w:rsidRPr="00BC7DCA">
        <w:rPr>
          <w:rFonts w:ascii="Times New Roman" w:hAnsi="Times New Roman" w:cs="Times New Roman"/>
          <w:sz w:val="24"/>
          <w:szCs w:val="28"/>
        </w:rPr>
        <w:t xml:space="preserve">], содержащий </w:t>
      </w:r>
      <w:r w:rsidR="00D9392D" w:rsidRPr="00BC7DCA">
        <w:rPr>
          <w:rFonts w:ascii="Times New Roman" w:hAnsi="Times New Roman" w:cs="Times New Roman"/>
          <w:sz w:val="24"/>
          <w:szCs w:val="28"/>
        </w:rPr>
        <w:lastRenderedPageBreak/>
        <w:t>рекомендации по разработке государственных инициатив развития ключевых точек роста немецкой промышленности.</w:t>
      </w:r>
    </w:p>
    <w:p w:rsidR="00884772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Группа корейских исследователей на основе сравнения государственных программ и инициатив по развитию концепции четвертой промышленной революции Германии, США и Республики Корея, пришли к выводу о том, что перечень сквозных технологий, поддерживаемых государством несколько отличается, при этом немецкая и американская государственные стратегии уделяют большее внимание инфраструктурному обеспечению производств – организации работы, безопасности, ресурсной эффективности и пр. [</w:t>
      </w:r>
      <w:r w:rsidR="004938A2" w:rsidRPr="00BC7DCA">
        <w:rPr>
          <w:rFonts w:ascii="Times New Roman" w:hAnsi="Times New Roman" w:cs="Times New Roman"/>
          <w:sz w:val="24"/>
          <w:szCs w:val="24"/>
        </w:rPr>
        <w:t>6</w:t>
      </w:r>
      <w:r w:rsidRPr="00BC7DCA">
        <w:rPr>
          <w:rFonts w:ascii="Times New Roman" w:hAnsi="Times New Roman" w:cs="Times New Roman"/>
          <w:sz w:val="24"/>
          <w:szCs w:val="24"/>
        </w:rPr>
        <w:t>].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Российские государственные инициативы в области четвертой промышленной революции в основном сосредоточены на технологиях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. Так, в Указе Президента РФ «О Стратегии научно-технологического развития РФ» №642 от 1.12.2016, отмечается необходимость перехода промышленных предприятий </w:t>
      </w:r>
      <w:proofErr w:type="gramStart"/>
      <w:r w:rsidRPr="00BC7DCA">
        <w:rPr>
          <w:rFonts w:ascii="Times New Roman" w:hAnsi="Times New Roman" w:cs="Times New Roman"/>
          <w:sz w:val="24"/>
          <w:szCs w:val="24"/>
        </w:rPr>
        <w:t>« к</w:t>
      </w:r>
      <w:proofErr w:type="gramEnd"/>
      <w:r w:rsidRPr="00BC7DCA">
        <w:rPr>
          <w:rFonts w:ascii="Times New Roman" w:hAnsi="Times New Roman" w:cs="Times New Roman"/>
          <w:sz w:val="24"/>
          <w:szCs w:val="24"/>
        </w:rPr>
        <w:t xml:space="preserve">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интеллекта».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Вопросам выявления приоритетов российской промышленной политики в контексте вызовов промышленной революции посвящено исследование Романовой О.А. [</w:t>
      </w:r>
      <w:r w:rsidR="004938A2" w:rsidRPr="00BC7DCA">
        <w:rPr>
          <w:rFonts w:ascii="Times New Roman" w:hAnsi="Times New Roman" w:cs="Times New Roman"/>
          <w:sz w:val="24"/>
          <w:szCs w:val="24"/>
        </w:rPr>
        <w:t>7</w:t>
      </w:r>
      <w:r w:rsidRPr="00BC7DCA">
        <w:rPr>
          <w:rFonts w:ascii="Times New Roman" w:hAnsi="Times New Roman" w:cs="Times New Roman"/>
          <w:sz w:val="24"/>
          <w:szCs w:val="24"/>
        </w:rPr>
        <w:t xml:space="preserve">, </w:t>
      </w:r>
      <w:r w:rsidR="004938A2" w:rsidRPr="00BC7DCA">
        <w:rPr>
          <w:rFonts w:ascii="Times New Roman" w:hAnsi="Times New Roman" w:cs="Times New Roman"/>
          <w:sz w:val="24"/>
          <w:szCs w:val="24"/>
        </w:rPr>
        <w:t>8</w:t>
      </w:r>
      <w:r w:rsidRPr="00BC7DCA">
        <w:rPr>
          <w:rFonts w:ascii="Times New Roman" w:hAnsi="Times New Roman" w:cs="Times New Roman"/>
          <w:sz w:val="24"/>
          <w:szCs w:val="24"/>
        </w:rPr>
        <w:t>], в котором также показано, что особенностью четвертой промышленной революции стало явление цифровой экономики.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Постановлением Правительства РФ № 1632–р от 28 июля 2017 была утверждена государственная программа «Цифровая экономика», в которой предусматривается ряд мероприятий по созданию необходимых условий для развития цифровой экономики, способствующей экономическому росту и конкурентоспособности страны.</w:t>
      </w:r>
    </w:p>
    <w:p w:rsidR="00D9392D" w:rsidRPr="00BC7DCA" w:rsidRDefault="005B17C3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 </w:t>
      </w:r>
      <w:r w:rsidR="00D9392D" w:rsidRPr="00BC7DCA">
        <w:rPr>
          <w:rFonts w:ascii="Times New Roman" w:hAnsi="Times New Roman" w:cs="Times New Roman"/>
          <w:sz w:val="24"/>
          <w:szCs w:val="24"/>
        </w:rPr>
        <w:t>«Цифровая экономика» стала одним из приоритетных национальных проектов, определённых Указом Президента РФ [</w:t>
      </w:r>
      <w:r w:rsidR="004938A2" w:rsidRPr="00BC7DCA">
        <w:rPr>
          <w:rFonts w:ascii="Times New Roman" w:hAnsi="Times New Roman" w:cs="Times New Roman"/>
          <w:sz w:val="24"/>
          <w:szCs w:val="24"/>
        </w:rPr>
        <w:t>9</w:t>
      </w:r>
      <w:r w:rsidR="00D9392D" w:rsidRPr="00BC7DCA">
        <w:rPr>
          <w:rFonts w:ascii="Times New Roman" w:hAnsi="Times New Roman" w:cs="Times New Roman"/>
          <w:sz w:val="24"/>
          <w:szCs w:val="24"/>
        </w:rPr>
        <w:t xml:space="preserve">], в соответствии с которым к 2024 году Правительство РФ совместно с региональными органами государственной власти должно обеспечить выполнение следующих целей: трехкратное увеличение затрат на развитие цифровой экономики, достижение </w:t>
      </w:r>
      <w:proofErr w:type="spellStart"/>
      <w:r w:rsidR="00D9392D" w:rsidRPr="00BC7DCA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D9392D" w:rsidRPr="00BC7DCA">
        <w:rPr>
          <w:rFonts w:ascii="Times New Roman" w:hAnsi="Times New Roman" w:cs="Times New Roman"/>
          <w:sz w:val="24"/>
          <w:szCs w:val="24"/>
        </w:rPr>
        <w:t xml:space="preserve"> в области программного обеспечения, в государственных органах, органах местного самоуправления и организациях,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домохозяйств.</w:t>
      </w:r>
      <w:r w:rsidR="007624A5" w:rsidRPr="00BC7DCA">
        <w:rPr>
          <w:rFonts w:ascii="Times New Roman" w:hAnsi="Times New Roman" w:cs="Times New Roman"/>
          <w:sz w:val="24"/>
          <w:szCs w:val="24"/>
        </w:rPr>
        <w:t xml:space="preserve"> Данная программа положена в основу </w:t>
      </w:r>
      <w:r w:rsidR="00D9392D" w:rsidRPr="00BC7DCA">
        <w:rPr>
          <w:rFonts w:ascii="Times New Roman" w:hAnsi="Times New Roman" w:cs="Times New Roman"/>
          <w:sz w:val="24"/>
          <w:szCs w:val="24"/>
        </w:rPr>
        <w:t>разработки региональных проектов по развитию цифровой экономики.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В контексте четвертой промышленной революции промышленные предприятия должны перейти к концепции «умного производства». Исследованию особенностей концепции умных производств посвящены работы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Radziwon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A. 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BC7DCA">
        <w:rPr>
          <w:rFonts w:ascii="Times New Roman" w:hAnsi="Times New Roman" w:cs="Times New Roman"/>
          <w:sz w:val="24"/>
          <w:szCs w:val="24"/>
        </w:rPr>
        <w:t xml:space="preserve"> 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C7DCA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S. 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BC7DCA">
        <w:rPr>
          <w:rFonts w:ascii="Times New Roman" w:hAnsi="Times New Roman" w:cs="Times New Roman"/>
          <w:sz w:val="24"/>
          <w:szCs w:val="24"/>
        </w:rPr>
        <w:t xml:space="preserve"> 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C7DCA">
        <w:rPr>
          <w:rFonts w:ascii="Times New Roman" w:hAnsi="Times New Roman" w:cs="Times New Roman"/>
          <w:sz w:val="24"/>
          <w:szCs w:val="24"/>
        </w:rPr>
        <w:t xml:space="preserve"> (2015) [</w:t>
      </w:r>
      <w:r w:rsidR="004938A2" w:rsidRPr="00BC7DCA">
        <w:rPr>
          <w:rFonts w:ascii="Times New Roman" w:hAnsi="Times New Roman" w:cs="Times New Roman"/>
          <w:sz w:val="24"/>
          <w:szCs w:val="24"/>
        </w:rPr>
        <w:t>10,11</w:t>
      </w:r>
      <w:r w:rsidRPr="00BC7DCA">
        <w:rPr>
          <w:rFonts w:ascii="Times New Roman" w:hAnsi="Times New Roman" w:cs="Times New Roman"/>
          <w:sz w:val="24"/>
          <w:szCs w:val="24"/>
        </w:rPr>
        <w:t>].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В последние годы, появляется множество исследований, посвященных как отдельным технологиям «умных» производств, к которым относятся Интернет Вещей, большие данные,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киберфизические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системы, аддитивное производство, виртуальная и дополненная реальность и др. и их конвергенции.</w:t>
      </w:r>
    </w:p>
    <w:p w:rsidR="00661D2B" w:rsidRPr="00BC7DCA" w:rsidRDefault="00661D2B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Таким образом, исследования, относящиеся к проблематике развития предприятий в контексте четвертой промышленной революции можно подразделить на концептуально-теоретические, рассматривающие государственн</w:t>
      </w:r>
      <w:r w:rsidR="004E091C" w:rsidRPr="00BC7DCA">
        <w:rPr>
          <w:rFonts w:ascii="Times New Roman" w:hAnsi="Times New Roman" w:cs="Times New Roman"/>
          <w:sz w:val="24"/>
          <w:szCs w:val="24"/>
        </w:rPr>
        <w:t>ую политику и инициативы развития, работы</w:t>
      </w:r>
      <w:r w:rsidR="003E425E" w:rsidRPr="00BC7DCA">
        <w:rPr>
          <w:rFonts w:ascii="Times New Roman" w:hAnsi="Times New Roman" w:cs="Times New Roman"/>
          <w:sz w:val="24"/>
          <w:szCs w:val="24"/>
        </w:rPr>
        <w:t>,</w:t>
      </w:r>
      <w:r w:rsidR="004E091C" w:rsidRPr="00BC7DCA">
        <w:rPr>
          <w:rFonts w:ascii="Times New Roman" w:hAnsi="Times New Roman" w:cs="Times New Roman"/>
          <w:sz w:val="24"/>
          <w:szCs w:val="24"/>
        </w:rPr>
        <w:t xml:space="preserve"> </w:t>
      </w:r>
      <w:r w:rsidR="007624A5" w:rsidRPr="00BC7DCA">
        <w:rPr>
          <w:rFonts w:ascii="Times New Roman" w:hAnsi="Times New Roman" w:cs="Times New Roman"/>
          <w:sz w:val="24"/>
          <w:szCs w:val="24"/>
        </w:rPr>
        <w:t>определяющие</w:t>
      </w:r>
      <w:r w:rsidR="004E091C" w:rsidRPr="00BC7DCA">
        <w:rPr>
          <w:rFonts w:ascii="Times New Roman" w:hAnsi="Times New Roman" w:cs="Times New Roman"/>
          <w:sz w:val="24"/>
          <w:szCs w:val="24"/>
        </w:rPr>
        <w:t xml:space="preserve"> сущность, характеристики и ключевые технологии умного производства.</w:t>
      </w:r>
      <w:r w:rsidRPr="00BC7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AA1" w:rsidRPr="00BC7DCA" w:rsidRDefault="009D0AA1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Для выявления рисков различных уровней в исследовании последовательно анализируются общесистемные риски, присущие концепции четвертой промышленной революции,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, обусловленные институциональными условиями и развитием цифровых технологий в стране по сравнению с общемировым уровнем, региональные – обусловленные возможностями роста в </w:t>
      </w:r>
      <w:r w:rsidR="00D41E7F" w:rsidRPr="00BC7DCA">
        <w:rPr>
          <w:rFonts w:ascii="Times New Roman" w:hAnsi="Times New Roman" w:cs="Times New Roman"/>
          <w:sz w:val="24"/>
          <w:szCs w:val="24"/>
        </w:rPr>
        <w:t>экосистеме конкретного региона</w:t>
      </w:r>
      <w:r w:rsidRPr="00BC7DCA">
        <w:rPr>
          <w:rFonts w:ascii="Times New Roman" w:hAnsi="Times New Roman" w:cs="Times New Roman"/>
          <w:sz w:val="24"/>
          <w:szCs w:val="24"/>
        </w:rPr>
        <w:t>.</w:t>
      </w:r>
      <w:r w:rsidR="003E425E" w:rsidRPr="00BC7DCA">
        <w:rPr>
          <w:rFonts w:ascii="Times New Roman" w:hAnsi="Times New Roman" w:cs="Times New Roman"/>
          <w:sz w:val="24"/>
          <w:szCs w:val="24"/>
        </w:rPr>
        <w:t xml:space="preserve"> Данная работа нацелена на выявление возможностей и угроз цифровой трансформации промышленности, присущих различным уровнем глубины и не </w:t>
      </w:r>
      <w:r w:rsidR="00B45C1B" w:rsidRPr="00BC7DCA">
        <w:rPr>
          <w:rFonts w:ascii="Times New Roman" w:hAnsi="Times New Roman" w:cs="Times New Roman"/>
          <w:sz w:val="24"/>
          <w:szCs w:val="24"/>
        </w:rPr>
        <w:t>претендует</w:t>
      </w:r>
      <w:r w:rsidR="003E425E" w:rsidRPr="00BC7DCA">
        <w:rPr>
          <w:rFonts w:ascii="Times New Roman" w:hAnsi="Times New Roman" w:cs="Times New Roman"/>
          <w:sz w:val="24"/>
          <w:szCs w:val="24"/>
        </w:rPr>
        <w:t xml:space="preserve"> на получение исчерпывающего перечня возможностей и рисков.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i/>
          <w:sz w:val="24"/>
          <w:szCs w:val="24"/>
        </w:rPr>
        <w:t>Общесистемные возможности и риски</w:t>
      </w:r>
      <w:r w:rsidR="007624A5" w:rsidRPr="00BC7D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C7DCA">
        <w:rPr>
          <w:rFonts w:ascii="Times New Roman" w:hAnsi="Times New Roman" w:cs="Times New Roman"/>
          <w:sz w:val="24"/>
          <w:szCs w:val="24"/>
        </w:rPr>
        <w:t xml:space="preserve">Возможности повышения эффективности и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результативноти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для промышленных предприятий, обусловленные использованием технологий четвертой промышленной революцией обусловлены следующим: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 - полная автоматизация производственных бизнес-процессов;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 - сокращение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издержек за счет доступа к глобальным рынкам сырья, труда и капитала;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- глобальное расширение масштабов деятельности;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гибкости и адаптивности производства за счет использования динамически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переконфигу</w:t>
      </w:r>
      <w:r w:rsidR="000B0C40" w:rsidRPr="00BC7DCA">
        <w:rPr>
          <w:rFonts w:ascii="Times New Roman" w:hAnsi="Times New Roman" w:cs="Times New Roman"/>
          <w:sz w:val="24"/>
          <w:szCs w:val="24"/>
        </w:rPr>
        <w:t>рируемых</w:t>
      </w:r>
      <w:proofErr w:type="spellEnd"/>
      <w:r w:rsidR="000B0C40" w:rsidRPr="00BC7DCA">
        <w:rPr>
          <w:rFonts w:ascii="Times New Roman" w:hAnsi="Times New Roman" w:cs="Times New Roman"/>
          <w:sz w:val="24"/>
          <w:szCs w:val="24"/>
        </w:rPr>
        <w:t xml:space="preserve"> производственных линий;</w:t>
      </w:r>
    </w:p>
    <w:p w:rsidR="000B0C40" w:rsidRPr="00BC7DCA" w:rsidRDefault="000B0C40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 - горизонтальная и комплексная инженерная интеграция с другими компаниями по цепочкам создания стоимости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Кейсы компаний показывают экспоненциальный рост производительности при использовании технологий четвертой промышленной революции. Например, сбор и анализ информации с датчиков грузовых судов в порту Гамбурга, позволил увеличить пропускную способность порта на 178% [25, С. 1345].</w:t>
      </w:r>
    </w:p>
    <w:p w:rsidR="00C20C1F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В упомянутой ранее работе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К.Шваба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, одним из наиболее сильных проблем, связанных с развитием ключевых технологий является усиливающееся неравенство как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межстрановое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>, так и социальное [4].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="00D3136C" w:rsidRPr="00BC7DCA">
        <w:rPr>
          <w:rFonts w:ascii="Times New Roman" w:hAnsi="Times New Roman" w:cs="Times New Roman"/>
          <w:sz w:val="24"/>
          <w:szCs w:val="24"/>
        </w:rPr>
        <w:t>Всемирного</w:t>
      </w:r>
      <w:r w:rsidRPr="00BC7DCA">
        <w:rPr>
          <w:rFonts w:ascii="Times New Roman" w:hAnsi="Times New Roman" w:cs="Times New Roman"/>
          <w:sz w:val="24"/>
          <w:szCs w:val="24"/>
        </w:rPr>
        <w:t xml:space="preserve"> банка также отмечается, что рост популярности цифровых технологий не приводит к увеличению «цифровых дивидендов» в развивающихся странах, а автоматизация и роботизация приведут к росту безработицы и усилению гендерного неравенства. Протекционистская политика развитых стран также приведет к усилению монополизации бизнеса[</w:t>
      </w:r>
      <w:r w:rsidR="00BC7DCA" w:rsidRPr="00BC7DCA">
        <w:rPr>
          <w:rFonts w:ascii="Times New Roman" w:hAnsi="Times New Roman" w:cs="Times New Roman"/>
          <w:sz w:val="24"/>
          <w:szCs w:val="24"/>
        </w:rPr>
        <w:t>12</w:t>
      </w:r>
      <w:r w:rsidRPr="00BC7DCA">
        <w:rPr>
          <w:rFonts w:ascii="Times New Roman" w:hAnsi="Times New Roman" w:cs="Times New Roman"/>
          <w:sz w:val="24"/>
          <w:szCs w:val="24"/>
        </w:rPr>
        <w:t>]. Начало реализации данных угроз подтверждено на Международном Экономическом Форуме в 2015 г. [</w:t>
      </w:r>
      <w:r w:rsidR="00BC7DCA" w:rsidRPr="00BC7DCA">
        <w:rPr>
          <w:rFonts w:ascii="Times New Roman" w:hAnsi="Times New Roman" w:cs="Times New Roman"/>
          <w:sz w:val="24"/>
          <w:szCs w:val="24"/>
        </w:rPr>
        <w:t>13</w:t>
      </w:r>
      <w:r w:rsidRPr="00BC7DCA">
        <w:rPr>
          <w:rFonts w:ascii="Times New Roman" w:hAnsi="Times New Roman" w:cs="Times New Roman"/>
          <w:sz w:val="24"/>
          <w:szCs w:val="24"/>
        </w:rPr>
        <w:t>].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Одним из масштабных исследований готовности организаций к четвертой промышленной революции стал опрос 1600 менеджеров в 19 странах, проведенных компанией </w:t>
      </w:r>
      <w:r w:rsidRPr="00BC7DCA">
        <w:rPr>
          <w:rFonts w:ascii="Times New Roman" w:hAnsi="Times New Roman" w:cs="Times New Roman"/>
          <w:sz w:val="24"/>
          <w:szCs w:val="28"/>
          <w:lang w:val="en-US"/>
        </w:rPr>
        <w:t>Deloitte</w:t>
      </w:r>
      <w:r w:rsidRPr="00BC7DCA">
        <w:rPr>
          <w:rFonts w:ascii="Times New Roman" w:hAnsi="Times New Roman" w:cs="Times New Roman"/>
          <w:sz w:val="24"/>
          <w:szCs w:val="28"/>
        </w:rPr>
        <w:t xml:space="preserve"> [</w:t>
      </w:r>
      <w:r w:rsidR="00BC7DCA" w:rsidRPr="00BC7DCA">
        <w:rPr>
          <w:rFonts w:ascii="Times New Roman" w:hAnsi="Times New Roman" w:cs="Times New Roman"/>
          <w:sz w:val="24"/>
          <w:szCs w:val="28"/>
        </w:rPr>
        <w:t>14</w:t>
      </w:r>
      <w:r w:rsidRPr="00BC7DCA">
        <w:rPr>
          <w:rFonts w:ascii="Times New Roman" w:hAnsi="Times New Roman" w:cs="Times New Roman"/>
          <w:sz w:val="24"/>
          <w:szCs w:val="28"/>
        </w:rPr>
        <w:t>]. Результаты показывают, что несмотря на признание значимости предстоящих преобразований, 86% опрошенных не готовы использовать возможности четвертой промышленной революции и не учитывают их при разработке организационных стратегий, направлений инвестирования и формировании целевой структуры персонала.</w:t>
      </w:r>
    </w:p>
    <w:p w:rsidR="00D41E7F" w:rsidRPr="00BC7DCA" w:rsidRDefault="00D41E7F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DCA">
        <w:rPr>
          <w:rFonts w:ascii="Times New Roman" w:hAnsi="Times New Roman" w:cs="Times New Roman"/>
          <w:sz w:val="24"/>
          <w:szCs w:val="28"/>
        </w:rPr>
        <w:t>Обобщая изложенное выше, ключевыми системными возможностями цифровой трансформации промышленности могут стать:</w:t>
      </w:r>
    </w:p>
    <w:p w:rsidR="000B0C40" w:rsidRPr="00BC7DCA" w:rsidRDefault="00D41E7F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DCA">
        <w:rPr>
          <w:rFonts w:ascii="Times New Roman" w:hAnsi="Times New Roman" w:cs="Times New Roman"/>
          <w:sz w:val="24"/>
          <w:szCs w:val="28"/>
        </w:rPr>
        <w:t xml:space="preserve"> - возможность повышения производительности</w:t>
      </w:r>
      <w:r w:rsidR="005D5E0B" w:rsidRPr="00BC7DCA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5D5E0B" w:rsidRPr="00BC7DCA">
        <w:rPr>
          <w:rFonts w:ascii="Times New Roman" w:hAnsi="Times New Roman" w:cs="Times New Roman"/>
          <w:sz w:val="24"/>
          <w:szCs w:val="28"/>
        </w:rPr>
        <w:t>а следовательно</w:t>
      </w:r>
      <w:proofErr w:type="gramEnd"/>
      <w:r w:rsidR="005D5E0B" w:rsidRPr="00BC7DCA">
        <w:rPr>
          <w:rFonts w:ascii="Times New Roman" w:hAnsi="Times New Roman" w:cs="Times New Roman"/>
          <w:sz w:val="24"/>
          <w:szCs w:val="28"/>
        </w:rPr>
        <w:t xml:space="preserve"> прибыльности, </w:t>
      </w:r>
      <w:r w:rsidR="000B0C40" w:rsidRPr="00BC7DCA">
        <w:rPr>
          <w:rFonts w:ascii="Times New Roman" w:hAnsi="Times New Roman" w:cs="Times New Roman"/>
          <w:sz w:val="24"/>
          <w:szCs w:val="28"/>
        </w:rPr>
        <w:t xml:space="preserve">предприятий традиционных отраслей промышленности за счет использования технологий </w:t>
      </w:r>
      <w:proofErr w:type="spellStart"/>
      <w:r w:rsidR="000B0C40" w:rsidRPr="00BC7DCA">
        <w:rPr>
          <w:rFonts w:ascii="Times New Roman" w:hAnsi="Times New Roman" w:cs="Times New Roman"/>
          <w:sz w:val="24"/>
          <w:szCs w:val="28"/>
        </w:rPr>
        <w:t>цифровизации</w:t>
      </w:r>
      <w:proofErr w:type="spellEnd"/>
      <w:r w:rsidR="000B0C40" w:rsidRPr="00BC7DCA">
        <w:rPr>
          <w:rFonts w:ascii="Times New Roman" w:hAnsi="Times New Roman" w:cs="Times New Roman"/>
          <w:sz w:val="24"/>
          <w:szCs w:val="28"/>
        </w:rPr>
        <w:t>;</w:t>
      </w:r>
    </w:p>
    <w:p w:rsidR="00D41E7F" w:rsidRPr="00BC7DCA" w:rsidRDefault="000B0C40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DCA">
        <w:rPr>
          <w:rFonts w:ascii="Times New Roman" w:hAnsi="Times New Roman" w:cs="Times New Roman"/>
          <w:sz w:val="24"/>
          <w:szCs w:val="28"/>
        </w:rPr>
        <w:t xml:space="preserve"> - возможность вхождения в единое информационное </w:t>
      </w:r>
      <w:r w:rsidR="005D5E0B" w:rsidRPr="00BC7DCA">
        <w:rPr>
          <w:rFonts w:ascii="Times New Roman" w:hAnsi="Times New Roman" w:cs="Times New Roman"/>
          <w:sz w:val="24"/>
          <w:szCs w:val="28"/>
        </w:rPr>
        <w:t>пространство, включающее контрагентов, по всей цепочке создания ценности.</w:t>
      </w:r>
    </w:p>
    <w:p w:rsidR="005D5E0B" w:rsidRPr="00BC7DCA" w:rsidRDefault="005D5E0B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DCA">
        <w:rPr>
          <w:rFonts w:ascii="Times New Roman" w:hAnsi="Times New Roman" w:cs="Times New Roman"/>
          <w:sz w:val="24"/>
          <w:szCs w:val="28"/>
        </w:rPr>
        <w:t>Вместе с тем, четвертой промышленной революции присущи следующие риски:</w:t>
      </w:r>
    </w:p>
    <w:p w:rsidR="005D5E0B" w:rsidRPr="00BC7DCA" w:rsidRDefault="005D5E0B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DCA">
        <w:rPr>
          <w:rFonts w:ascii="Times New Roman" w:hAnsi="Times New Roman" w:cs="Times New Roman"/>
          <w:sz w:val="24"/>
          <w:szCs w:val="28"/>
        </w:rPr>
        <w:t xml:space="preserve"> - усиление </w:t>
      </w:r>
      <w:proofErr w:type="spellStart"/>
      <w:r w:rsidRPr="00BC7DCA">
        <w:rPr>
          <w:rFonts w:ascii="Times New Roman" w:hAnsi="Times New Roman" w:cs="Times New Roman"/>
          <w:sz w:val="24"/>
          <w:szCs w:val="28"/>
        </w:rPr>
        <w:t>межстранового</w:t>
      </w:r>
      <w:proofErr w:type="spellEnd"/>
      <w:r w:rsidRPr="00BC7DCA">
        <w:rPr>
          <w:rFonts w:ascii="Times New Roman" w:hAnsi="Times New Roman" w:cs="Times New Roman"/>
          <w:sz w:val="24"/>
          <w:szCs w:val="28"/>
        </w:rPr>
        <w:t xml:space="preserve"> неравенства;</w:t>
      </w:r>
    </w:p>
    <w:p w:rsidR="005D5E0B" w:rsidRPr="00BC7DCA" w:rsidRDefault="005D5E0B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7DCA">
        <w:rPr>
          <w:rFonts w:ascii="Times New Roman" w:hAnsi="Times New Roman" w:cs="Times New Roman"/>
          <w:sz w:val="24"/>
          <w:szCs w:val="28"/>
        </w:rPr>
        <w:t xml:space="preserve">- не понимание менеджментом </w:t>
      </w:r>
      <w:r w:rsidR="00A55D95" w:rsidRPr="00BC7DCA">
        <w:rPr>
          <w:rFonts w:ascii="Times New Roman" w:hAnsi="Times New Roman" w:cs="Times New Roman"/>
          <w:sz w:val="24"/>
          <w:szCs w:val="28"/>
        </w:rPr>
        <w:t>традиционных</w:t>
      </w:r>
      <w:r w:rsidRPr="00BC7DCA">
        <w:rPr>
          <w:rFonts w:ascii="Times New Roman" w:hAnsi="Times New Roman" w:cs="Times New Roman"/>
          <w:sz w:val="24"/>
          <w:szCs w:val="28"/>
        </w:rPr>
        <w:t xml:space="preserve"> отраслей экономики возможностей практической реализации ключевых технологий в масштабах организации</w:t>
      </w:r>
      <w:r w:rsidR="00A55D95" w:rsidRPr="00BC7DCA">
        <w:rPr>
          <w:rFonts w:ascii="Times New Roman" w:hAnsi="Times New Roman" w:cs="Times New Roman"/>
          <w:sz w:val="24"/>
          <w:szCs w:val="28"/>
        </w:rPr>
        <w:t>.</w:t>
      </w:r>
    </w:p>
    <w:p w:rsidR="007727D8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DCA">
        <w:rPr>
          <w:rFonts w:ascii="Times New Roman" w:hAnsi="Times New Roman" w:cs="Times New Roman"/>
          <w:i/>
          <w:sz w:val="24"/>
          <w:szCs w:val="24"/>
        </w:rPr>
        <w:t>Страновые</w:t>
      </w:r>
      <w:proofErr w:type="spellEnd"/>
      <w:r w:rsidRPr="00BC7DCA">
        <w:rPr>
          <w:rFonts w:ascii="Times New Roman" w:hAnsi="Times New Roman" w:cs="Times New Roman"/>
          <w:i/>
          <w:sz w:val="24"/>
          <w:szCs w:val="24"/>
        </w:rPr>
        <w:t xml:space="preserve"> возможности и риски</w:t>
      </w:r>
      <w:r w:rsidR="007624A5" w:rsidRPr="00BC7D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C7DCA">
        <w:rPr>
          <w:rFonts w:ascii="Times New Roman" w:hAnsi="Times New Roman" w:cs="Times New Roman"/>
          <w:sz w:val="24"/>
          <w:szCs w:val="24"/>
        </w:rPr>
        <w:t xml:space="preserve">Как показано </w:t>
      </w:r>
      <w:r w:rsidR="007727D8" w:rsidRPr="00BC7DCA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Pr="00BC7DCA">
        <w:rPr>
          <w:rFonts w:ascii="Times New Roman" w:hAnsi="Times New Roman" w:cs="Times New Roman"/>
          <w:sz w:val="24"/>
          <w:szCs w:val="24"/>
        </w:rPr>
        <w:t>1</w:t>
      </w:r>
      <w:r w:rsidR="00670C87" w:rsidRPr="00BC7DCA">
        <w:rPr>
          <w:rFonts w:ascii="Times New Roman" w:hAnsi="Times New Roman" w:cs="Times New Roman"/>
          <w:sz w:val="24"/>
          <w:szCs w:val="24"/>
        </w:rPr>
        <w:t>,</w:t>
      </w:r>
      <w:r w:rsidRPr="00BC7DCA">
        <w:rPr>
          <w:rFonts w:ascii="Times New Roman" w:hAnsi="Times New Roman" w:cs="Times New Roman"/>
          <w:sz w:val="24"/>
          <w:szCs w:val="24"/>
        </w:rPr>
        <w:t xml:space="preserve"> Россия отстает от стран-лидеров по развитию информационно-коммуникационных технологий</w:t>
      </w:r>
      <w:r w:rsidR="007727D8" w:rsidRPr="00BC7DCA">
        <w:rPr>
          <w:rFonts w:ascii="Times New Roman" w:hAnsi="Times New Roman" w:cs="Times New Roman"/>
          <w:sz w:val="24"/>
          <w:szCs w:val="24"/>
        </w:rPr>
        <w:t>. П</w:t>
      </w:r>
      <w:r w:rsidRPr="00BC7DCA">
        <w:rPr>
          <w:rFonts w:ascii="Times New Roman" w:hAnsi="Times New Roman" w:cs="Times New Roman"/>
          <w:sz w:val="24"/>
          <w:szCs w:val="24"/>
        </w:rPr>
        <w:t>ри этом</w:t>
      </w:r>
      <w:r w:rsidR="005D5E0B" w:rsidRPr="00BC7DCA">
        <w:rPr>
          <w:rFonts w:ascii="Times New Roman" w:hAnsi="Times New Roman" w:cs="Times New Roman"/>
          <w:sz w:val="24"/>
          <w:szCs w:val="24"/>
        </w:rPr>
        <w:t>,</w:t>
      </w:r>
      <w:r w:rsidRPr="00BC7DCA">
        <w:rPr>
          <w:rFonts w:ascii="Times New Roman" w:hAnsi="Times New Roman" w:cs="Times New Roman"/>
          <w:sz w:val="24"/>
          <w:szCs w:val="24"/>
        </w:rPr>
        <w:t xml:space="preserve"> </w:t>
      </w:r>
      <w:r w:rsidR="005D5E0B" w:rsidRPr="00BC7DCA">
        <w:rPr>
          <w:rFonts w:ascii="Times New Roman" w:hAnsi="Times New Roman" w:cs="Times New Roman"/>
          <w:sz w:val="24"/>
          <w:szCs w:val="24"/>
        </w:rPr>
        <w:t>как показывают</w:t>
      </w:r>
      <w:r w:rsidR="0063174F" w:rsidRPr="00BC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E0B" w:rsidRPr="00BC7DCA">
        <w:rPr>
          <w:rFonts w:ascii="Times New Roman" w:hAnsi="Times New Roman" w:cs="Times New Roman"/>
          <w:sz w:val="24"/>
          <w:szCs w:val="24"/>
        </w:rPr>
        <w:t>субиндексы</w:t>
      </w:r>
      <w:proofErr w:type="spellEnd"/>
      <w:r w:rsidR="0063174F" w:rsidRPr="00BC7DCA">
        <w:rPr>
          <w:rFonts w:ascii="Times New Roman" w:hAnsi="Times New Roman" w:cs="Times New Roman"/>
          <w:sz w:val="24"/>
          <w:szCs w:val="24"/>
        </w:rPr>
        <w:t>,</w:t>
      </w:r>
      <w:r w:rsidR="005D5E0B" w:rsidRPr="00BC7DCA">
        <w:rPr>
          <w:rFonts w:ascii="Times New Roman" w:hAnsi="Times New Roman" w:cs="Times New Roman"/>
          <w:sz w:val="24"/>
          <w:szCs w:val="24"/>
        </w:rPr>
        <w:t xml:space="preserve"> качество человеческого капитала и законодательные инициативы оцениваются достаточно высоко, а инфраструктурные компоненты </w:t>
      </w:r>
      <w:r w:rsidR="000C00B2" w:rsidRPr="00BC7DCA">
        <w:rPr>
          <w:rFonts w:ascii="Times New Roman" w:hAnsi="Times New Roman" w:cs="Times New Roman"/>
          <w:sz w:val="24"/>
          <w:szCs w:val="24"/>
        </w:rPr>
        <w:t xml:space="preserve">использования цифровых технологий имеют низкие оценки, </w:t>
      </w:r>
      <w:r w:rsidR="0063174F" w:rsidRPr="00BC7DCA">
        <w:rPr>
          <w:rFonts w:ascii="Times New Roman" w:hAnsi="Times New Roman" w:cs="Times New Roman"/>
          <w:sz w:val="24"/>
          <w:szCs w:val="24"/>
        </w:rPr>
        <w:t xml:space="preserve">что говорит о технологической отсталости, </w:t>
      </w:r>
      <w:r w:rsidR="000C00B2" w:rsidRPr="00BC7DCA">
        <w:rPr>
          <w:rFonts w:ascii="Times New Roman" w:hAnsi="Times New Roman" w:cs="Times New Roman"/>
          <w:sz w:val="24"/>
          <w:szCs w:val="24"/>
        </w:rPr>
        <w:t xml:space="preserve">а также приводят к негативному изменению </w:t>
      </w:r>
      <w:proofErr w:type="spellStart"/>
      <w:r w:rsidR="000C00B2" w:rsidRPr="00BC7DCA">
        <w:rPr>
          <w:rFonts w:ascii="Times New Roman" w:hAnsi="Times New Roman" w:cs="Times New Roman"/>
          <w:sz w:val="24"/>
          <w:szCs w:val="24"/>
        </w:rPr>
        <w:t>странов</w:t>
      </w:r>
      <w:r w:rsidR="0063174F" w:rsidRPr="00BC7DC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63174F" w:rsidRPr="00BC7DCA">
        <w:rPr>
          <w:rFonts w:ascii="Times New Roman" w:hAnsi="Times New Roman" w:cs="Times New Roman"/>
          <w:sz w:val="24"/>
          <w:szCs w:val="24"/>
        </w:rPr>
        <w:t xml:space="preserve"> </w:t>
      </w:r>
      <w:r w:rsidR="000C00B2" w:rsidRPr="00BC7DCA">
        <w:rPr>
          <w:rFonts w:ascii="Times New Roman" w:hAnsi="Times New Roman" w:cs="Times New Roman"/>
          <w:sz w:val="24"/>
          <w:szCs w:val="24"/>
        </w:rPr>
        <w:t>рейтинг</w:t>
      </w:r>
      <w:r w:rsidR="0063174F" w:rsidRPr="00BC7DCA">
        <w:rPr>
          <w:rFonts w:ascii="Times New Roman" w:hAnsi="Times New Roman" w:cs="Times New Roman"/>
          <w:sz w:val="24"/>
          <w:szCs w:val="24"/>
        </w:rPr>
        <w:t>ов</w:t>
      </w:r>
      <w:r w:rsidR="000C00B2" w:rsidRPr="00BC7DCA">
        <w:rPr>
          <w:rFonts w:ascii="Times New Roman" w:hAnsi="Times New Roman" w:cs="Times New Roman"/>
          <w:sz w:val="24"/>
          <w:szCs w:val="24"/>
        </w:rPr>
        <w:t xml:space="preserve"> в динамике.</w:t>
      </w:r>
    </w:p>
    <w:p w:rsidR="00670C87" w:rsidRPr="00BC7DCA" w:rsidRDefault="00670C87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При этом по показателю использования облачных хранилищ, как одного из показателей цифрового развития бизнеса, Россия находится на среднеевропейском уровне, однако по показателю использования меток радиочастотной идентификации (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RFID</w:t>
      </w:r>
      <w:r w:rsidRPr="00BC7DCA">
        <w:rPr>
          <w:rFonts w:ascii="Times New Roman" w:hAnsi="Times New Roman" w:cs="Times New Roman"/>
          <w:sz w:val="24"/>
          <w:szCs w:val="24"/>
        </w:rPr>
        <w:t xml:space="preserve">) существенно отстает от стран-лидеров. 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RFID</w:t>
      </w:r>
      <w:r w:rsidRPr="00BC7DCA">
        <w:rPr>
          <w:rFonts w:ascii="Times New Roman" w:hAnsi="Times New Roman" w:cs="Times New Roman"/>
          <w:sz w:val="24"/>
          <w:szCs w:val="24"/>
        </w:rPr>
        <w:t xml:space="preserve"> – технологии косвенно показывают степень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логистических процессов в деятельности отечественных к</w:t>
      </w:r>
      <w:r w:rsidR="00A17F4B">
        <w:rPr>
          <w:rFonts w:ascii="Times New Roman" w:hAnsi="Times New Roman" w:cs="Times New Roman"/>
          <w:sz w:val="24"/>
          <w:szCs w:val="24"/>
        </w:rPr>
        <w:t>о</w:t>
      </w:r>
      <w:r w:rsidRPr="00BC7DCA">
        <w:rPr>
          <w:rFonts w:ascii="Times New Roman" w:hAnsi="Times New Roman" w:cs="Times New Roman"/>
          <w:sz w:val="24"/>
          <w:szCs w:val="24"/>
        </w:rPr>
        <w:t>мпаний.</w:t>
      </w:r>
    </w:p>
    <w:p w:rsidR="00670C87" w:rsidRPr="00BC7DCA" w:rsidRDefault="00670C87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В исследовании «Экономика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рунета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/ Цифровая экономика России 2019» отмечается, что для цифрового сегмента отечественного бизнеса наиболее вероятными становятся стабилизационный или кризисный сценарии развития, при котором рост скорее всего не превысит 6% в год [</w:t>
      </w:r>
      <w:r w:rsidR="00BC7DCA" w:rsidRPr="00BC7DCA">
        <w:rPr>
          <w:rFonts w:ascii="Times New Roman" w:hAnsi="Times New Roman" w:cs="Times New Roman"/>
          <w:sz w:val="24"/>
          <w:szCs w:val="24"/>
        </w:rPr>
        <w:t>15</w:t>
      </w:r>
      <w:r w:rsidRPr="00BC7DCA">
        <w:rPr>
          <w:rFonts w:ascii="Times New Roman" w:hAnsi="Times New Roman" w:cs="Times New Roman"/>
          <w:sz w:val="24"/>
          <w:szCs w:val="24"/>
        </w:rPr>
        <w:t xml:space="preserve">]. Среди негативных внешних факторов, обусловивших данный прогноз, названы пандемия 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C7DCA">
        <w:rPr>
          <w:rFonts w:ascii="Times New Roman" w:hAnsi="Times New Roman" w:cs="Times New Roman"/>
          <w:sz w:val="24"/>
          <w:szCs w:val="24"/>
        </w:rPr>
        <w:t>-19, падение курса рубля и политические факторы, а к факторам, влияющим на усиление или ослабление кризисных явлений: предпринимаемые меры поддержки бизнеса, цены на нефть и зависящий от неё курс национальной валюты, сроки выхода из самоизоляции, а также масштабы эпидемии.</w:t>
      </w:r>
    </w:p>
    <w:p w:rsidR="00670C87" w:rsidRPr="00BC7DCA" w:rsidRDefault="00670C87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На основе сказанного выше к основным рискам цифровой трансформации промышленности на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уровне относятся отставание по развитию информационно-коммуникационных технологий, доступа к широкополосному интернету, институциональные барьеры развития новых бизнес-моделей, высокая стоимость технических решений, при общем экономическом спаде.</w:t>
      </w:r>
    </w:p>
    <w:p w:rsidR="00670C87" w:rsidRPr="00BC7DCA" w:rsidRDefault="00670C87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FA3" w:rsidRDefault="00427FA3" w:rsidP="00B37B30">
      <w:pPr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Таблица 1</w:t>
      </w:r>
    </w:p>
    <w:p w:rsidR="00427FA3" w:rsidRDefault="00427FA3" w:rsidP="00427FA3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занимаемое Россией, в </w:t>
      </w:r>
      <w:r w:rsidR="007727D8">
        <w:rPr>
          <w:rFonts w:ascii="Times New Roman" w:hAnsi="Times New Roman" w:cs="Times New Roman"/>
          <w:sz w:val="24"/>
          <w:szCs w:val="24"/>
        </w:rPr>
        <w:t xml:space="preserve">мировых </w:t>
      </w:r>
      <w:r>
        <w:rPr>
          <w:rFonts w:ascii="Times New Roman" w:hAnsi="Times New Roman" w:cs="Times New Roman"/>
          <w:sz w:val="24"/>
          <w:szCs w:val="24"/>
        </w:rPr>
        <w:t>рейтинг</w:t>
      </w:r>
      <w:r w:rsidR="007727D8">
        <w:rPr>
          <w:rFonts w:ascii="Times New Roman" w:hAnsi="Times New Roman" w:cs="Times New Roman"/>
          <w:sz w:val="24"/>
          <w:szCs w:val="24"/>
        </w:rPr>
        <w:t>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92"/>
        <w:gridCol w:w="696"/>
        <w:gridCol w:w="696"/>
        <w:gridCol w:w="4872"/>
      </w:tblGrid>
      <w:tr w:rsidR="007727D8" w:rsidTr="009E1566">
        <w:tc>
          <w:tcPr>
            <w:tcW w:w="0" w:type="auto"/>
          </w:tcPr>
          <w:p w:rsidR="007727D8" w:rsidRPr="00427FA3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0" w:type="auto"/>
          </w:tcPr>
          <w:p w:rsidR="007727D8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727D8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727D8" w:rsidRPr="00906DB5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Лучший/худший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субиндекс</w:t>
            </w:r>
            <w:proofErr w:type="spellEnd"/>
            <w:r w:rsidR="00906DB5" w:rsidRPr="0090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DB5">
              <w:rPr>
                <w:rFonts w:ascii="Times New Roman" w:hAnsi="Times New Roman" w:cs="Times New Roman"/>
                <w:sz w:val="24"/>
                <w:szCs w:val="24"/>
              </w:rPr>
              <w:t>по рейтингу 2018</w:t>
            </w:r>
          </w:p>
        </w:tc>
      </w:tr>
      <w:tr w:rsidR="007727D8" w:rsidTr="009E1566">
        <w:tc>
          <w:tcPr>
            <w:tcW w:w="0" w:type="auto"/>
          </w:tcPr>
          <w:p w:rsidR="007727D8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Глобальный 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F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42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Cybercity</w:t>
            </w:r>
            <w:proofErr w:type="spellEnd"/>
            <w:r w:rsidRPr="0042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427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727D8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27D8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727D8" w:rsidRDefault="00D41E7F" w:rsidP="00D4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Международное сотрудничество</w:t>
            </w:r>
          </w:p>
        </w:tc>
      </w:tr>
      <w:tr w:rsidR="007727D8" w:rsidTr="009E1566">
        <w:tc>
          <w:tcPr>
            <w:tcW w:w="0" w:type="auto"/>
          </w:tcPr>
          <w:p w:rsidR="007727D8" w:rsidRPr="00427FA3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развития электронного правительства </w:t>
            </w:r>
            <w:r w:rsidRPr="00427F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7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</w:t>
            </w:r>
            <w:r w:rsidRPr="0042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42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427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727D8" w:rsidRPr="00427FA3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</w:tcPr>
          <w:p w:rsidR="007727D8" w:rsidRPr="00427FA3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</w:tcPr>
          <w:p w:rsidR="007727D8" w:rsidRPr="00D41E7F" w:rsidRDefault="00D41E7F" w:rsidP="00D4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государственных сервисов онлайн/ Телекоммуникационная инфраструктура ИКТ</w:t>
            </w:r>
          </w:p>
        </w:tc>
      </w:tr>
      <w:tr w:rsidR="007727D8" w:rsidTr="009E1566">
        <w:tc>
          <w:tcPr>
            <w:tcW w:w="0" w:type="auto"/>
          </w:tcPr>
          <w:p w:rsidR="007727D8" w:rsidRPr="007727D8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77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77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77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</w:t>
            </w:r>
            <w:r w:rsidRPr="0077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Index)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0" w:type="auto"/>
          </w:tcPr>
          <w:p w:rsidR="007727D8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7727D8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7727D8" w:rsidRDefault="007727D8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использования ИКТ / </w:t>
            </w:r>
            <w:r w:rsidR="00906DB5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</w:tr>
      <w:tr w:rsidR="0063174F" w:rsidTr="009E1566">
        <w:tc>
          <w:tcPr>
            <w:tcW w:w="0" w:type="auto"/>
          </w:tcPr>
          <w:p w:rsidR="0063174F" w:rsidRDefault="0063174F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бизнеса, НИУ-ВШЭ</w:t>
            </w:r>
          </w:p>
        </w:tc>
        <w:tc>
          <w:tcPr>
            <w:tcW w:w="0" w:type="auto"/>
          </w:tcPr>
          <w:p w:rsidR="0063174F" w:rsidRDefault="00A55D95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3174F" w:rsidRDefault="00A55D95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3174F" w:rsidRPr="00A55D95" w:rsidRDefault="00A55D95" w:rsidP="0077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Облачные сервисы/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RFID-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</w:tbl>
    <w:p w:rsidR="007727D8" w:rsidRPr="00BC7DCA" w:rsidRDefault="007727D8" w:rsidP="00772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63174F">
        <w:rPr>
          <w:rFonts w:ascii="Times New Roman" w:hAnsi="Times New Roman" w:cs="Times New Roman"/>
          <w:sz w:val="24"/>
          <w:szCs w:val="24"/>
        </w:rPr>
        <w:t xml:space="preserve">Составлено автором на </w:t>
      </w:r>
      <w:r w:rsidR="0063174F" w:rsidRPr="00BC7DCA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BC7DCA">
        <w:rPr>
          <w:rFonts w:ascii="Times New Roman" w:hAnsi="Times New Roman" w:cs="Times New Roman"/>
          <w:sz w:val="24"/>
          <w:szCs w:val="24"/>
        </w:rPr>
        <w:t>[</w:t>
      </w:r>
      <w:r w:rsidR="00BC7DCA" w:rsidRPr="00BC7DCA">
        <w:rPr>
          <w:rFonts w:ascii="Times New Roman" w:hAnsi="Times New Roman" w:cs="Times New Roman"/>
          <w:sz w:val="24"/>
          <w:szCs w:val="24"/>
        </w:rPr>
        <w:t>16</w:t>
      </w:r>
      <w:r w:rsidRPr="00BC7DCA">
        <w:rPr>
          <w:rFonts w:ascii="Times New Roman" w:hAnsi="Times New Roman" w:cs="Times New Roman"/>
          <w:sz w:val="24"/>
          <w:szCs w:val="24"/>
        </w:rPr>
        <w:t>]</w:t>
      </w:r>
    </w:p>
    <w:p w:rsidR="00D9392D" w:rsidRPr="00BC7DCA" w:rsidRDefault="00C13165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П</w:t>
      </w:r>
      <w:r w:rsidR="00D9392D" w:rsidRPr="00BC7DCA">
        <w:rPr>
          <w:rFonts w:ascii="Times New Roman" w:hAnsi="Times New Roman" w:cs="Times New Roman"/>
          <w:sz w:val="24"/>
          <w:szCs w:val="24"/>
        </w:rPr>
        <w:t xml:space="preserve">ри этом очень высокую значимость имеет государственная политика в сфере развития цифровой экономики, включая развитие законодательства, поддержку </w:t>
      </w:r>
      <w:r w:rsidR="00BC7DCA" w:rsidRPr="00BC7DCA">
        <w:rPr>
          <w:rFonts w:ascii="Times New Roman" w:hAnsi="Times New Roman" w:cs="Times New Roman"/>
          <w:sz w:val="24"/>
          <w:szCs w:val="24"/>
        </w:rPr>
        <w:t>формирования</w:t>
      </w:r>
      <w:r w:rsidR="00D9392D" w:rsidRPr="00BC7DCA">
        <w:rPr>
          <w:rFonts w:ascii="Times New Roman" w:hAnsi="Times New Roman" w:cs="Times New Roman"/>
          <w:sz w:val="24"/>
          <w:szCs w:val="24"/>
        </w:rPr>
        <w:t xml:space="preserve"> технологических платформ и </w:t>
      </w:r>
      <w:r w:rsidR="00D41E7F" w:rsidRPr="00BC7DCA">
        <w:rPr>
          <w:rFonts w:ascii="Times New Roman" w:hAnsi="Times New Roman" w:cs="Times New Roman"/>
          <w:sz w:val="24"/>
          <w:szCs w:val="24"/>
        </w:rPr>
        <w:t>преодоление</w:t>
      </w:r>
      <w:r w:rsidR="00D9392D" w:rsidRPr="00BC7DCA">
        <w:rPr>
          <w:rFonts w:ascii="Times New Roman" w:hAnsi="Times New Roman" w:cs="Times New Roman"/>
          <w:sz w:val="24"/>
          <w:szCs w:val="24"/>
        </w:rPr>
        <w:t xml:space="preserve"> </w:t>
      </w:r>
      <w:r w:rsidR="00D41E7F" w:rsidRPr="00BC7DCA">
        <w:rPr>
          <w:rFonts w:ascii="Times New Roman" w:hAnsi="Times New Roman" w:cs="Times New Roman"/>
          <w:sz w:val="24"/>
          <w:szCs w:val="24"/>
        </w:rPr>
        <w:t>инфраструктурного</w:t>
      </w:r>
      <w:r w:rsidR="00D9392D" w:rsidRPr="00BC7DCA">
        <w:rPr>
          <w:rFonts w:ascii="Times New Roman" w:hAnsi="Times New Roman" w:cs="Times New Roman"/>
          <w:sz w:val="24"/>
          <w:szCs w:val="24"/>
        </w:rPr>
        <w:t xml:space="preserve"> отставания (</w:t>
      </w:r>
      <w:r w:rsidRPr="00BC7DCA">
        <w:rPr>
          <w:rFonts w:ascii="Times New Roman" w:hAnsi="Times New Roman" w:cs="Times New Roman"/>
          <w:sz w:val="24"/>
          <w:szCs w:val="24"/>
        </w:rPr>
        <w:t>5</w:t>
      </w:r>
      <w:r w:rsidR="00D9392D" w:rsidRPr="00BC7DC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9392D" w:rsidRPr="00BC7DCA">
        <w:rPr>
          <w:rFonts w:ascii="Times New Roman" w:hAnsi="Times New Roman" w:cs="Times New Roman"/>
          <w:sz w:val="24"/>
          <w:szCs w:val="24"/>
        </w:rPr>
        <w:t xml:space="preserve"> и широкополосный интернет).</w:t>
      </w:r>
    </w:p>
    <w:p w:rsidR="00D9392D" w:rsidRPr="00BC7DCA" w:rsidRDefault="00D9392D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i/>
          <w:sz w:val="24"/>
          <w:szCs w:val="24"/>
        </w:rPr>
        <w:t>Региональные</w:t>
      </w:r>
      <w:r w:rsidR="00C13165" w:rsidRPr="00BC7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DCA">
        <w:rPr>
          <w:rFonts w:ascii="Times New Roman" w:hAnsi="Times New Roman" w:cs="Times New Roman"/>
          <w:sz w:val="24"/>
          <w:szCs w:val="24"/>
        </w:rPr>
        <w:t xml:space="preserve">Романова О.А. отмечает, что помимо </w:t>
      </w:r>
      <w:proofErr w:type="spellStart"/>
      <w:r w:rsidRPr="00BC7DCA">
        <w:rPr>
          <w:rFonts w:ascii="Times New Roman" w:hAnsi="Times New Roman" w:cs="Times New Roman"/>
          <w:sz w:val="24"/>
          <w:szCs w:val="24"/>
        </w:rPr>
        <w:t>межстрановой</w:t>
      </w:r>
      <w:proofErr w:type="spellEnd"/>
      <w:r w:rsidRPr="00BC7DCA">
        <w:rPr>
          <w:rFonts w:ascii="Times New Roman" w:hAnsi="Times New Roman" w:cs="Times New Roman"/>
          <w:sz w:val="24"/>
          <w:szCs w:val="24"/>
        </w:rPr>
        <w:t xml:space="preserve"> «цифровой пропасти», в России имеет место быть и межрегиональная цифровая пропасть. Так, показатели, характеризующие развитие информационно-коммуникационных технологий </w:t>
      </w:r>
      <w:proofErr w:type="gramStart"/>
      <w:r w:rsidRPr="00BC7DCA">
        <w:rPr>
          <w:rFonts w:ascii="Times New Roman" w:hAnsi="Times New Roman" w:cs="Times New Roman"/>
          <w:sz w:val="24"/>
          <w:szCs w:val="24"/>
        </w:rPr>
        <w:t>в различных регионах</w:t>
      </w:r>
      <w:proofErr w:type="gramEnd"/>
      <w:r w:rsidRPr="00BC7DCA">
        <w:rPr>
          <w:rFonts w:ascii="Times New Roman" w:hAnsi="Times New Roman" w:cs="Times New Roman"/>
          <w:sz w:val="24"/>
          <w:szCs w:val="24"/>
        </w:rPr>
        <w:t xml:space="preserve"> могут отличаться более чем в 300 раз [8]!</w:t>
      </w:r>
    </w:p>
    <w:p w:rsidR="008B785B" w:rsidRPr="00BC7DCA" w:rsidRDefault="008B785B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Анализ использования сети Интернет в федеральных округах РФ</w:t>
      </w:r>
      <w:r w:rsidR="00670C87" w:rsidRPr="00BC7DCA">
        <w:rPr>
          <w:rFonts w:ascii="Times New Roman" w:hAnsi="Times New Roman" w:cs="Times New Roman"/>
          <w:sz w:val="24"/>
          <w:szCs w:val="24"/>
        </w:rPr>
        <w:t xml:space="preserve"> (данный показатель, по мнению автора является более наглядным, чем показатель использования персональных </w:t>
      </w:r>
      <w:r w:rsidR="00BC7DCA" w:rsidRPr="00BC7DCA">
        <w:rPr>
          <w:rFonts w:ascii="Times New Roman" w:hAnsi="Times New Roman" w:cs="Times New Roman"/>
          <w:sz w:val="24"/>
          <w:szCs w:val="24"/>
        </w:rPr>
        <w:t>компьютеров</w:t>
      </w:r>
      <w:r w:rsidR="00670C87" w:rsidRPr="00BC7DCA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4938A2" w:rsidRPr="00BC7DCA">
        <w:rPr>
          <w:rFonts w:ascii="Times New Roman" w:hAnsi="Times New Roman" w:cs="Times New Roman"/>
          <w:sz w:val="24"/>
          <w:szCs w:val="24"/>
        </w:rPr>
        <w:t>распространения</w:t>
      </w:r>
      <w:r w:rsidR="00670C87" w:rsidRPr="00BC7DCA">
        <w:rPr>
          <w:rFonts w:ascii="Times New Roman" w:hAnsi="Times New Roman" w:cs="Times New Roman"/>
          <w:sz w:val="24"/>
          <w:szCs w:val="24"/>
        </w:rPr>
        <w:t xml:space="preserve"> портативных устройств)</w:t>
      </w:r>
      <w:r w:rsidRPr="00BC7DCA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BC7DCA" w:rsidRPr="00BC7DCA">
        <w:rPr>
          <w:rFonts w:ascii="Times New Roman" w:hAnsi="Times New Roman" w:cs="Times New Roman"/>
          <w:sz w:val="24"/>
          <w:szCs w:val="24"/>
        </w:rPr>
        <w:t xml:space="preserve"> (рисунок)</w:t>
      </w:r>
      <w:r w:rsidRPr="00BC7DCA">
        <w:rPr>
          <w:rFonts w:ascii="Times New Roman" w:hAnsi="Times New Roman" w:cs="Times New Roman"/>
          <w:sz w:val="24"/>
          <w:szCs w:val="24"/>
        </w:rPr>
        <w:t xml:space="preserve">, что за рассматриваемый период все субъекты Российской Федерации увеличили данный показатель. </w:t>
      </w:r>
    </w:p>
    <w:p w:rsidR="00C13165" w:rsidRDefault="00C13165" w:rsidP="00D93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3165" w:rsidRDefault="00C85F90" w:rsidP="00C85F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5F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553B8B" wp14:editId="5C757415">
            <wp:extent cx="6645910" cy="3962400"/>
            <wp:effectExtent l="0" t="0" r="25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785B" w:rsidRDefault="00E3407E" w:rsidP="008B7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8B785B" w:rsidRPr="008B785B">
        <w:rPr>
          <w:rFonts w:ascii="Times New Roman" w:hAnsi="Times New Roman" w:cs="Times New Roman"/>
          <w:sz w:val="24"/>
          <w:szCs w:val="24"/>
        </w:rPr>
        <w:t>https://www.gks.ru/</w:t>
      </w:r>
    </w:p>
    <w:p w:rsidR="00C13165" w:rsidRDefault="00BC7DCA" w:rsidP="0067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 w:rsidR="008B785B">
        <w:rPr>
          <w:rFonts w:ascii="Times New Roman" w:hAnsi="Times New Roman" w:cs="Times New Roman"/>
          <w:sz w:val="24"/>
          <w:szCs w:val="24"/>
        </w:rPr>
        <w:t>- Уд</w:t>
      </w:r>
      <w:r w:rsidR="008B785B" w:rsidRPr="008B785B">
        <w:rPr>
          <w:rFonts w:ascii="Times New Roman" w:hAnsi="Times New Roman" w:cs="Times New Roman"/>
          <w:sz w:val="24"/>
          <w:szCs w:val="24"/>
        </w:rPr>
        <w:t>ельный в</w:t>
      </w:r>
      <w:r w:rsidR="008B785B">
        <w:rPr>
          <w:rFonts w:ascii="Times New Roman" w:hAnsi="Times New Roman" w:cs="Times New Roman"/>
          <w:sz w:val="24"/>
          <w:szCs w:val="24"/>
        </w:rPr>
        <w:t xml:space="preserve">ес организаций, использовавших </w:t>
      </w:r>
      <w:r w:rsidR="008B785B" w:rsidRPr="008B785B">
        <w:rPr>
          <w:rFonts w:ascii="Times New Roman" w:hAnsi="Times New Roman" w:cs="Times New Roman"/>
          <w:sz w:val="24"/>
          <w:szCs w:val="24"/>
        </w:rPr>
        <w:t>Интернет, по субъектам Российской Федер</w:t>
      </w:r>
      <w:r w:rsidR="008B785B">
        <w:rPr>
          <w:rFonts w:ascii="Times New Roman" w:hAnsi="Times New Roman" w:cs="Times New Roman"/>
          <w:sz w:val="24"/>
          <w:szCs w:val="24"/>
        </w:rPr>
        <w:t xml:space="preserve">ации, </w:t>
      </w:r>
      <w:r w:rsidR="008B785B" w:rsidRPr="008B785B">
        <w:rPr>
          <w:rFonts w:ascii="Times New Roman" w:hAnsi="Times New Roman" w:cs="Times New Roman"/>
          <w:sz w:val="24"/>
          <w:szCs w:val="24"/>
        </w:rPr>
        <w:t xml:space="preserve">в процентах от общего числа обследованных организаций </w:t>
      </w:r>
      <w:r w:rsidR="008B785B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9E1566" w:rsidRPr="00BC7DCA" w:rsidRDefault="009E1566" w:rsidP="009E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Однако анализ данных в детализации по субъектам РФ показал, что за рассматриваемый период в четырех регионах (Республика Дагестан, Ямало-Ненецкий Автономный округ, Томская область и Чукотский автономный округ) произошло снижение данного показателя. худший показатель демонстрирует республика Дагестан (65,7% организаций), здесь же наиболее сильное негативное снижение показателя, тогда как в тройку лидеров входит (республика Ингушетия (100% на протяжении четырех лет), г. Москва (98,8%) и Белгородская область (96,6%). Лидером по росту данного показателя является республика Тыва, у которой данный показатель вырос на 57% за рассматриваемый период.</w:t>
      </w:r>
    </w:p>
    <w:p w:rsidR="009E1566" w:rsidRPr="00BC7DCA" w:rsidRDefault="009E1566" w:rsidP="009E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Данный анализ не только подтверждает высокую дифференциацию регионального развития</w:t>
      </w:r>
      <w:proofErr w:type="gramStart"/>
      <w:r w:rsidRPr="00BC7D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7DCA">
        <w:rPr>
          <w:rFonts w:ascii="Times New Roman" w:hAnsi="Times New Roman" w:cs="Times New Roman"/>
          <w:sz w:val="24"/>
          <w:szCs w:val="24"/>
        </w:rPr>
        <w:t xml:space="preserve"> но и демонстрирует наличие различных тенденций. в том числе в границах одного Федерального округа. Следовательно, одним из основных факторов риска в данном аспекте является деятельность региональных органов власти и экосистема регионального бизнеса, способствующая или мешающая цифровой трансформации.</w:t>
      </w:r>
    </w:p>
    <w:p w:rsidR="009E1566" w:rsidRPr="00BC7DCA" w:rsidRDefault="009E1566" w:rsidP="009E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На основании анализа можно сделать вывод о том, что наиболее существенные риски цифровой трансформации промышленности связаны с деятельностью региональных и федеральных органов власти, формирующих институты развития промышленности.</w:t>
      </w:r>
    </w:p>
    <w:p w:rsidR="009E1566" w:rsidRPr="00BC7DCA" w:rsidRDefault="009E1566" w:rsidP="009E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>Перспективными направлениями дальнейших исследований, по нашему мнению, являются создания моделей перехода от традиционного производства к «умному», выделение необходимых условий и факторов успеха данного перехода.</w:t>
      </w:r>
    </w:p>
    <w:p w:rsidR="00806DF8" w:rsidRPr="0004085B" w:rsidRDefault="00806DF8" w:rsidP="0020235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38A2" w:rsidRDefault="004938A2" w:rsidP="004938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Библиографический список на русском языке</w:t>
      </w:r>
    </w:p>
    <w:p w:rsidR="00BC7DCA" w:rsidRPr="0004085B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5B">
        <w:rPr>
          <w:rFonts w:ascii="Times New Roman" w:hAnsi="Times New Roman" w:cs="Times New Roman"/>
          <w:sz w:val="24"/>
          <w:szCs w:val="24"/>
        </w:rPr>
        <w:t xml:space="preserve">Идрисов Г. И., </w:t>
      </w:r>
      <w:proofErr w:type="spellStart"/>
      <w:r w:rsidRPr="0004085B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 xml:space="preserve"> В. Н., Кудрин А. Л., Рожкова Е. С. Новая технологическая </w:t>
      </w:r>
      <w:proofErr w:type="gramStart"/>
      <w:r w:rsidRPr="0004085B">
        <w:rPr>
          <w:rFonts w:ascii="Times New Roman" w:hAnsi="Times New Roman" w:cs="Times New Roman"/>
          <w:sz w:val="24"/>
          <w:szCs w:val="24"/>
        </w:rPr>
        <w:t>революция :</w:t>
      </w:r>
      <w:proofErr w:type="gramEnd"/>
      <w:r w:rsidRPr="0004085B">
        <w:rPr>
          <w:rFonts w:ascii="Times New Roman" w:hAnsi="Times New Roman" w:cs="Times New Roman"/>
          <w:sz w:val="24"/>
          <w:szCs w:val="24"/>
        </w:rPr>
        <w:t xml:space="preserve"> вызовы и возможности для России // </w:t>
      </w:r>
      <w:proofErr w:type="spellStart"/>
      <w:r w:rsidRPr="0004085B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>. экономики. 2018. № 4. С. 5–25.</w:t>
      </w:r>
    </w:p>
    <w:p w:rsidR="00BC7DCA" w:rsidRPr="0004085B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5B">
        <w:rPr>
          <w:rFonts w:ascii="Times New Roman" w:hAnsi="Times New Roman"/>
          <w:sz w:val="24"/>
          <w:szCs w:val="24"/>
        </w:rPr>
        <w:t xml:space="preserve">Бабкин А.В., </w:t>
      </w:r>
      <w:proofErr w:type="spellStart"/>
      <w:r w:rsidRPr="0004085B">
        <w:rPr>
          <w:rFonts w:ascii="Times New Roman" w:hAnsi="Times New Roman"/>
          <w:sz w:val="24"/>
          <w:szCs w:val="24"/>
        </w:rPr>
        <w:t>Буркальцева</w:t>
      </w:r>
      <w:proofErr w:type="spellEnd"/>
      <w:r w:rsidRPr="0004085B">
        <w:rPr>
          <w:rFonts w:ascii="Times New Roman" w:hAnsi="Times New Roman"/>
          <w:sz w:val="24"/>
          <w:szCs w:val="24"/>
        </w:rPr>
        <w:t xml:space="preserve"> Д.Д., </w:t>
      </w:r>
      <w:proofErr w:type="spellStart"/>
      <w:r w:rsidRPr="0004085B">
        <w:rPr>
          <w:rFonts w:ascii="Times New Roman" w:hAnsi="Times New Roman"/>
          <w:sz w:val="24"/>
          <w:szCs w:val="24"/>
        </w:rPr>
        <w:t>Костень</w:t>
      </w:r>
      <w:proofErr w:type="spellEnd"/>
      <w:r w:rsidRPr="0004085B">
        <w:rPr>
          <w:rFonts w:ascii="Times New Roman" w:hAnsi="Times New Roman"/>
          <w:sz w:val="24"/>
          <w:szCs w:val="24"/>
        </w:rPr>
        <w:t xml:space="preserve"> Д.Г., Воробьев Ю.Н. Формирование цифровой экономики в России: сущность, особенности, техническая нормализация, проблемы развития // Научно-технические ведомости </w:t>
      </w:r>
      <w:proofErr w:type="spellStart"/>
      <w:r w:rsidRPr="0004085B">
        <w:rPr>
          <w:rFonts w:ascii="Times New Roman" w:hAnsi="Times New Roman"/>
          <w:sz w:val="24"/>
          <w:szCs w:val="24"/>
        </w:rPr>
        <w:t>СПбГПУ</w:t>
      </w:r>
      <w:proofErr w:type="spellEnd"/>
      <w:r w:rsidRPr="0004085B">
        <w:rPr>
          <w:rFonts w:ascii="Times New Roman" w:hAnsi="Times New Roman"/>
          <w:sz w:val="24"/>
          <w:szCs w:val="24"/>
        </w:rPr>
        <w:t xml:space="preserve">. Экономические науки. 2017. Т. 10. № 3. С. 9-25. </w:t>
      </w:r>
      <w:r w:rsidRPr="0004085B">
        <w:rPr>
          <w:rFonts w:ascii="Times New Roman" w:hAnsi="Times New Roman"/>
          <w:sz w:val="24"/>
          <w:szCs w:val="24"/>
          <w:lang w:val="en-US"/>
        </w:rPr>
        <w:t>DOI</w:t>
      </w:r>
      <w:r w:rsidRPr="0004085B">
        <w:rPr>
          <w:rFonts w:ascii="Times New Roman" w:hAnsi="Times New Roman"/>
          <w:sz w:val="24"/>
          <w:szCs w:val="24"/>
        </w:rPr>
        <w:t>: 10.18721/</w:t>
      </w:r>
      <w:r w:rsidRPr="0004085B">
        <w:rPr>
          <w:rFonts w:ascii="Times New Roman" w:hAnsi="Times New Roman"/>
          <w:sz w:val="24"/>
          <w:szCs w:val="24"/>
          <w:lang w:val="en-US"/>
        </w:rPr>
        <w:t>JE</w:t>
      </w:r>
      <w:r w:rsidRPr="0004085B">
        <w:rPr>
          <w:rFonts w:ascii="Times New Roman" w:hAnsi="Times New Roman"/>
          <w:sz w:val="24"/>
          <w:szCs w:val="24"/>
        </w:rPr>
        <w:t>.10301</w:t>
      </w:r>
    </w:p>
    <w:p w:rsidR="00BC7DCA" w:rsidRPr="0004085B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5B">
        <w:rPr>
          <w:rFonts w:ascii="Times New Roman" w:hAnsi="Times New Roman" w:cs="Times New Roman"/>
          <w:sz w:val="24"/>
          <w:szCs w:val="24"/>
          <w:lang w:val="en-US"/>
        </w:rPr>
        <w:t>Berger R. Industry 4.0: The New Industrial Revolution-How Europe will Succeed. URL</w:t>
      </w:r>
      <w:r w:rsidRPr="0004085B">
        <w:rPr>
          <w:rFonts w:ascii="Times New Roman" w:hAnsi="Times New Roman" w:cs="Times New Roman"/>
          <w:sz w:val="24"/>
          <w:szCs w:val="24"/>
        </w:rPr>
        <w:t xml:space="preserve">: 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4085B">
        <w:rPr>
          <w:rFonts w:ascii="Times New Roman" w:hAnsi="Times New Roman" w:cs="Times New Roman"/>
          <w:sz w:val="24"/>
          <w:szCs w:val="24"/>
        </w:rPr>
        <w:t>://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08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rolandberger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>.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4085B">
        <w:rPr>
          <w:rFonts w:ascii="Times New Roman" w:hAnsi="Times New Roman" w:cs="Times New Roman"/>
          <w:sz w:val="24"/>
          <w:szCs w:val="24"/>
        </w:rPr>
        <w:t>/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04085B">
        <w:rPr>
          <w:rFonts w:ascii="Times New Roman" w:hAnsi="Times New Roman" w:cs="Times New Roman"/>
          <w:sz w:val="24"/>
          <w:szCs w:val="24"/>
        </w:rPr>
        <w:t>/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publication</w:t>
      </w:r>
      <w:r w:rsidRPr="0004085B">
        <w:rPr>
          <w:rFonts w:ascii="Times New Roman" w:hAnsi="Times New Roman" w:cs="Times New Roman"/>
          <w:sz w:val="24"/>
          <w:szCs w:val="24"/>
        </w:rPr>
        <w:t>_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408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roland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berger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>_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Pr="0004085B">
        <w:rPr>
          <w:rFonts w:ascii="Times New Roman" w:hAnsi="Times New Roman" w:cs="Times New Roman"/>
          <w:sz w:val="24"/>
          <w:szCs w:val="24"/>
        </w:rPr>
        <w:t>_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Pr="0004085B">
        <w:rPr>
          <w:rFonts w:ascii="Times New Roman" w:hAnsi="Times New Roman" w:cs="Times New Roman"/>
          <w:sz w:val="24"/>
          <w:szCs w:val="24"/>
        </w:rPr>
        <w:t>_4_0_20140403.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4085B">
        <w:rPr>
          <w:rFonts w:ascii="Times New Roman" w:hAnsi="Times New Roman" w:cs="Times New Roman"/>
          <w:sz w:val="24"/>
          <w:szCs w:val="24"/>
        </w:rPr>
        <w:t xml:space="preserve"> (дата обращения: 01.06.20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085B">
        <w:rPr>
          <w:rFonts w:ascii="Times New Roman" w:hAnsi="Times New Roman" w:cs="Times New Roman"/>
          <w:sz w:val="24"/>
          <w:szCs w:val="24"/>
        </w:rPr>
        <w:t>).</w:t>
      </w:r>
    </w:p>
    <w:p w:rsidR="00BC7DCA" w:rsidRPr="00A17F4B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Kagermann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Helbig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J., Hellinger A., 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Wahlster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W. Recommendations for Implementing the Strategic Initiative 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Industrie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4.0: Securing the Future of German Manufacturing Industry; Final Report of the 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Industrie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4.0 Working Group. Berlin: 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Forschungsunion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 xml:space="preserve">112 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bib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bvb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webclient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DeliveryManager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custom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att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_2=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viewer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pid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=5744125 (</w:t>
      </w:r>
      <w:r w:rsidRPr="00BC7DCA">
        <w:rPr>
          <w:rFonts w:ascii="Times New Roman" w:hAnsi="Times New Roman" w:cs="Times New Roman"/>
          <w:sz w:val="24"/>
          <w:szCs w:val="24"/>
        </w:rPr>
        <w:t>дата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7DCA">
        <w:rPr>
          <w:rFonts w:ascii="Times New Roman" w:hAnsi="Times New Roman" w:cs="Times New Roman"/>
          <w:sz w:val="24"/>
          <w:szCs w:val="24"/>
        </w:rPr>
        <w:t>обращения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: 01.06.2020).</w:t>
      </w:r>
    </w:p>
    <w:p w:rsidR="00BC7DCA" w:rsidRPr="0004085B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5B">
        <w:rPr>
          <w:rFonts w:ascii="Times New Roman" w:hAnsi="Times New Roman" w:cs="Times New Roman"/>
          <w:sz w:val="24"/>
          <w:szCs w:val="24"/>
        </w:rPr>
        <w:t xml:space="preserve">Шваб К. Четвертая промышленная революция. — </w:t>
      </w:r>
      <w:proofErr w:type="gramStart"/>
      <w:r w:rsidRPr="0004085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4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85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>, 2016 — 208 с.</w:t>
      </w:r>
    </w:p>
    <w:p w:rsidR="00BC7DCA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Kang H. S., Lee J.Y., Choi1 S.S., Kim H., Park J. H., Son J.Y., Kim B. H., Noh S. D. Smart Manufacturing: Past Research, Present Findings, Future Directions. International journal of precision engineering and manufacturing-green technology, 2016, vol. 3, no. 1, pp. 111-128. </w:t>
      </w:r>
      <w:r w:rsidRPr="0004085B">
        <w:rPr>
          <w:rFonts w:ascii="Times New Roman" w:hAnsi="Times New Roman" w:cs="Times New Roman"/>
          <w:sz w:val="24"/>
          <w:szCs w:val="24"/>
        </w:rPr>
        <w:t>DOI: 10.1007/s40684-016-0015-5</w:t>
      </w:r>
    </w:p>
    <w:p w:rsidR="00BC7DCA" w:rsidRPr="0004085B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5B">
        <w:rPr>
          <w:rFonts w:ascii="Times New Roman" w:hAnsi="Times New Roman" w:cs="Times New Roman"/>
          <w:sz w:val="24"/>
          <w:szCs w:val="24"/>
        </w:rPr>
        <w:t xml:space="preserve">Романова О. А. Приоритеты промышленной политики России в контексте вызовов четвертой промышленной революции. Ч. 1 // Экономика региона. — 2018. — Т. 14, </w:t>
      </w:r>
      <w:proofErr w:type="spellStart"/>
      <w:r w:rsidRPr="0004085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>. 2. — С. 420-432.</w:t>
      </w:r>
    </w:p>
    <w:p w:rsidR="00BC7DCA" w:rsidRPr="0004085B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5B">
        <w:rPr>
          <w:rFonts w:ascii="Times New Roman" w:hAnsi="Times New Roman" w:cs="Times New Roman"/>
          <w:sz w:val="24"/>
          <w:szCs w:val="24"/>
        </w:rPr>
        <w:t xml:space="preserve">Романова О. А. Приоритеты промышленной политики России в контексте вызовов четвертой промышленной революции. Ч. 2. // Экономика региона. — 2018. — Т. 14, </w:t>
      </w:r>
      <w:proofErr w:type="spellStart"/>
      <w:r w:rsidRPr="0004085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>. 3. — С. 806-819.</w:t>
      </w:r>
    </w:p>
    <w:p w:rsidR="00BC7DCA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5B">
        <w:rPr>
          <w:rFonts w:ascii="Times New Roman" w:hAnsi="Times New Roman" w:cs="Times New Roman"/>
          <w:sz w:val="24"/>
          <w:szCs w:val="24"/>
        </w:rPr>
        <w:t xml:space="preserve">Указ Президента РФ от 7 мая 2018 г. № 204 «О национальных целях и стратегических задачах развития Российской Федерации на период до 2024 года» </w:t>
      </w:r>
      <w:hyperlink r:id="rId9" w:history="1">
        <w:r w:rsidRPr="00424B5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424B5A">
          <w:rPr>
            <w:rStyle w:val="ad"/>
            <w:rFonts w:ascii="Times New Roman" w:hAnsi="Times New Roman" w:cs="Times New Roman"/>
            <w:sz w:val="24"/>
            <w:szCs w:val="24"/>
          </w:rPr>
          <w:t>:</w:t>
        </w:r>
        <w:proofErr w:type="spellStart"/>
        <w:r w:rsidRPr="00424B5A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424B5A">
          <w:rPr>
            <w:rStyle w:val="ad"/>
            <w:rFonts w:ascii="Times New Roman" w:hAnsi="Times New Roman" w:cs="Times New Roman"/>
            <w:sz w:val="24"/>
            <w:szCs w:val="24"/>
          </w:rPr>
          <w:t>://www.garant.ru/products/ipo/prime/doc/71837200/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85B">
        <w:rPr>
          <w:rFonts w:ascii="Times New Roman" w:hAnsi="Times New Roman" w:cs="Times New Roman"/>
          <w:sz w:val="24"/>
          <w:szCs w:val="24"/>
        </w:rPr>
        <w:t>(дата обращения: 01.06.20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085B">
        <w:rPr>
          <w:rFonts w:ascii="Times New Roman" w:hAnsi="Times New Roman" w:cs="Times New Roman"/>
          <w:sz w:val="24"/>
          <w:szCs w:val="24"/>
        </w:rPr>
        <w:t>).</w:t>
      </w:r>
    </w:p>
    <w:p w:rsidR="00BC7DCA" w:rsidRPr="0004085B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Wang S., Wan J., Li D., Zhang C. Implementing Smart Factory of 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Industrie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4.0: An Outlook. International Journal of Distributed Sensor Networks, 2015. Available at: http://journals.sagepub.com/doi/pdf/10.1155/2016/3159805 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4085B">
        <w:rPr>
          <w:rFonts w:ascii="Times New Roman" w:hAnsi="Times New Roman" w:cs="Times New Roman"/>
          <w:sz w:val="24"/>
          <w:szCs w:val="24"/>
        </w:rPr>
        <w:t>дата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85B">
        <w:rPr>
          <w:rFonts w:ascii="Times New Roman" w:hAnsi="Times New Roman" w:cs="Times New Roman"/>
          <w:sz w:val="24"/>
          <w:szCs w:val="24"/>
        </w:rPr>
        <w:t>обращения</w:t>
      </w:r>
      <w:r w:rsidRPr="00A17F4B">
        <w:rPr>
          <w:rFonts w:ascii="Times New Roman" w:hAnsi="Times New Roman" w:cs="Times New Roman"/>
          <w:sz w:val="24"/>
          <w:szCs w:val="24"/>
          <w:lang w:val="en-US"/>
        </w:rPr>
        <w:t>: 01.06.2020).</w:t>
      </w:r>
    </w:p>
    <w:p w:rsidR="00BC7DCA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lastRenderedPageBreak/>
        <w:t>Radziwon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Bilberg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Bogers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M., Madsen E. S., </w:t>
      </w:r>
      <w:proofErr w:type="gramStart"/>
      <w:r w:rsidRPr="0004085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Smart Factory: Exploring Adaptive and Flexible Manufacturing Solutions. Procedia Engineering, 2014, vol. 69, pp. 1184-1190.</w:t>
      </w:r>
    </w:p>
    <w:p w:rsidR="00BC7DCA" w:rsidRPr="0004085B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The Future of Jobs Employment, Skills </w:t>
      </w:r>
      <w:proofErr w:type="gramStart"/>
      <w:r w:rsidRPr="0004085B">
        <w:rPr>
          <w:rFonts w:ascii="Times New Roman" w:hAnsi="Times New Roman" w:cs="Times New Roman"/>
          <w:sz w:val="24"/>
          <w:szCs w:val="24"/>
          <w:lang w:val="en-US"/>
        </w:rPr>
        <w:t>and  Workforce</w:t>
      </w:r>
      <w:proofErr w:type="gram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Strategy for the  Fourth Industrial Revolution URL: http://www3.weforum.org/docs/WEF_FOJ_Executive_Summary_Jobs.pdf (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04085B">
        <w:rPr>
          <w:rFonts w:ascii="Times New Roman" w:hAnsi="Times New Roman" w:cs="Times New Roman"/>
          <w:sz w:val="24"/>
          <w:szCs w:val="24"/>
          <w:lang w:val="en-US"/>
        </w:rPr>
        <w:t>: 30.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C7DCA" w:rsidRPr="0004085B" w:rsidRDefault="00BC7DCA" w:rsidP="00BC7DC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5B">
        <w:rPr>
          <w:rFonts w:ascii="Times New Roman" w:hAnsi="Times New Roman" w:cs="Times New Roman"/>
          <w:sz w:val="24"/>
          <w:szCs w:val="24"/>
        </w:rPr>
        <w:t xml:space="preserve">Цифровые дивиденды. 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04085B">
        <w:rPr>
          <w:rFonts w:ascii="Times New Roman" w:hAnsi="Times New Roman" w:cs="Times New Roman"/>
          <w:sz w:val="24"/>
          <w:szCs w:val="24"/>
        </w:rPr>
        <w:t xml:space="preserve"> 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04085B">
        <w:rPr>
          <w:rFonts w:ascii="Times New Roman" w:hAnsi="Times New Roman" w:cs="Times New Roman"/>
          <w:sz w:val="24"/>
          <w:szCs w:val="24"/>
        </w:rPr>
        <w:t xml:space="preserve">. Обзор Доклада о мировом развитии 2016 Всемирного банка 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4085B">
        <w:rPr>
          <w:rFonts w:ascii="Times New Roman" w:hAnsi="Times New Roman" w:cs="Times New Roman"/>
          <w:sz w:val="24"/>
          <w:szCs w:val="24"/>
        </w:rPr>
        <w:t xml:space="preserve">: 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4085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openknowledge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worldbank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>.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408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bitstream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>/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handle</w:t>
      </w:r>
      <w:r w:rsidRPr="0004085B">
        <w:rPr>
          <w:rFonts w:ascii="Times New Roman" w:hAnsi="Times New Roman" w:cs="Times New Roman"/>
          <w:sz w:val="24"/>
          <w:szCs w:val="24"/>
        </w:rPr>
        <w:t>/10986/23347/210671</w:t>
      </w:r>
      <w:proofErr w:type="spellStart"/>
      <w:r w:rsidRPr="0004085B">
        <w:rPr>
          <w:rFonts w:ascii="Times New Roman" w:hAnsi="Times New Roman" w:cs="Times New Roman"/>
          <w:sz w:val="24"/>
          <w:szCs w:val="24"/>
          <w:lang w:val="en-US"/>
        </w:rPr>
        <w:t>RuSum</w:t>
      </w:r>
      <w:proofErr w:type="spellEnd"/>
      <w:r w:rsidRPr="0004085B">
        <w:rPr>
          <w:rFonts w:ascii="Times New Roman" w:hAnsi="Times New Roman" w:cs="Times New Roman"/>
          <w:sz w:val="24"/>
          <w:szCs w:val="24"/>
        </w:rPr>
        <w:t>.</w:t>
      </w:r>
      <w:r w:rsidRPr="0004085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4085B">
        <w:rPr>
          <w:rFonts w:ascii="Times New Roman" w:hAnsi="Times New Roman" w:cs="Times New Roman"/>
          <w:sz w:val="24"/>
          <w:szCs w:val="24"/>
        </w:rPr>
        <w:t xml:space="preserve"> (дата обращения: 01.06.20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085B">
        <w:rPr>
          <w:rFonts w:ascii="Times New Roman" w:hAnsi="Times New Roman" w:cs="Times New Roman"/>
          <w:sz w:val="24"/>
          <w:szCs w:val="24"/>
        </w:rPr>
        <w:t>).).</w:t>
      </w:r>
    </w:p>
    <w:p w:rsidR="00BC7DCA" w:rsidRPr="00BC7DCA" w:rsidRDefault="00BC7DCA" w:rsidP="0067409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DCA">
        <w:rPr>
          <w:rFonts w:ascii="Times New Roman" w:hAnsi="Times New Roman" w:cs="Times New Roman"/>
          <w:sz w:val="24"/>
          <w:szCs w:val="24"/>
          <w:lang w:val="en-US"/>
        </w:rPr>
        <w:t>The Fourth Industrial Revolution is here—are you ready? – Deloitte insights URL: https://www2.deloitte.com/content/dam/Deloitte/tr/Documents/manufacturing/Industry4-0_Are-you-ready_Report.pdf (</w:t>
      </w:r>
      <w:r w:rsidRPr="0004085B">
        <w:rPr>
          <w:rFonts w:ascii="Times New Roman" w:hAnsi="Times New Roman" w:cs="Times New Roman"/>
          <w:sz w:val="24"/>
          <w:szCs w:val="24"/>
        </w:rPr>
        <w:t>дата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85B">
        <w:rPr>
          <w:rFonts w:ascii="Times New Roman" w:hAnsi="Times New Roman" w:cs="Times New Roman"/>
          <w:sz w:val="24"/>
          <w:szCs w:val="24"/>
        </w:rPr>
        <w:t>обращения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: 01.06.2020).</w:t>
      </w:r>
    </w:p>
    <w:p w:rsidR="00BC7DCA" w:rsidRPr="00BC7DCA" w:rsidRDefault="00BC7DCA" w:rsidP="0067409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CA">
        <w:rPr>
          <w:rFonts w:ascii="Times New Roman" w:hAnsi="Times New Roman" w:cs="Times New Roman"/>
          <w:sz w:val="24"/>
          <w:szCs w:val="24"/>
        </w:rPr>
        <w:t xml:space="preserve">Экономика Рунета / Цифровая экономика России 2019 </w:t>
      </w:r>
      <w:r w:rsidRPr="00BC7DC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C7DC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24B5A">
          <w:rPr>
            <w:rStyle w:val="ad"/>
            <w:rFonts w:ascii="Times New Roman" w:hAnsi="Times New Roman" w:cs="Times New Roman"/>
            <w:sz w:val="24"/>
            <w:szCs w:val="24"/>
          </w:rPr>
          <w:t>https://raec.ru/activity/analytics/9884/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85B">
        <w:rPr>
          <w:rFonts w:ascii="Times New Roman" w:hAnsi="Times New Roman" w:cs="Times New Roman"/>
          <w:sz w:val="24"/>
          <w:szCs w:val="24"/>
        </w:rPr>
        <w:t>(дата обращения: 01.06.20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085B">
        <w:rPr>
          <w:rFonts w:ascii="Times New Roman" w:hAnsi="Times New Roman" w:cs="Times New Roman"/>
          <w:sz w:val="24"/>
          <w:szCs w:val="24"/>
        </w:rPr>
        <w:t>).</w:t>
      </w:r>
    </w:p>
    <w:p w:rsidR="0004085B" w:rsidRPr="00BC7DCA" w:rsidRDefault="00BC7DCA" w:rsidP="00817CC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DCA">
        <w:rPr>
          <w:rFonts w:ascii="Times New Roman" w:hAnsi="Times New Roman" w:cs="Times New Roman"/>
          <w:sz w:val="24"/>
          <w:szCs w:val="24"/>
          <w:lang w:val="en-US"/>
        </w:rPr>
        <w:t xml:space="preserve">Digital Economy Indicators in the Russian Federation: 2019 : Data Book / G. </w:t>
      </w:r>
      <w:proofErr w:type="spellStart"/>
      <w:r w:rsidRPr="00BC7DCA">
        <w:rPr>
          <w:rFonts w:ascii="Times New Roman" w:hAnsi="Times New Roman" w:cs="Times New Roman"/>
          <w:sz w:val="24"/>
          <w:szCs w:val="24"/>
          <w:lang w:val="en-US"/>
        </w:rPr>
        <w:t>Abdrakhmanova</w:t>
      </w:r>
      <w:proofErr w:type="spellEnd"/>
      <w:r w:rsidRPr="00BC7DCA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BC7DCA">
        <w:rPr>
          <w:rFonts w:ascii="Times New Roman" w:hAnsi="Times New Roman" w:cs="Times New Roman"/>
          <w:sz w:val="24"/>
          <w:szCs w:val="24"/>
          <w:lang w:val="en-US"/>
        </w:rPr>
        <w:t>Vishnevskiy</w:t>
      </w:r>
      <w:proofErr w:type="spellEnd"/>
      <w:r w:rsidRPr="00BC7DCA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BC7DCA">
        <w:rPr>
          <w:rFonts w:ascii="Times New Roman" w:hAnsi="Times New Roman" w:cs="Times New Roman"/>
          <w:sz w:val="24"/>
          <w:szCs w:val="24"/>
          <w:lang w:val="en-US"/>
        </w:rPr>
        <w:t>Volkova</w:t>
      </w:r>
      <w:proofErr w:type="spellEnd"/>
      <w:r w:rsidRPr="00BC7DCA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BC7DCA">
        <w:rPr>
          <w:rFonts w:ascii="Times New Roman" w:hAnsi="Times New Roman" w:cs="Times New Roman"/>
          <w:sz w:val="24"/>
          <w:szCs w:val="24"/>
          <w:lang w:val="en-US"/>
        </w:rPr>
        <w:t>Gokhberg</w:t>
      </w:r>
      <w:proofErr w:type="spellEnd"/>
      <w:r w:rsidRPr="00BC7DCA">
        <w:rPr>
          <w:rFonts w:ascii="Times New Roman" w:hAnsi="Times New Roman" w:cs="Times New Roman"/>
          <w:sz w:val="24"/>
          <w:szCs w:val="24"/>
          <w:lang w:val="en-US"/>
        </w:rPr>
        <w:t xml:space="preserve"> et al.; National Research University Higher School of Economics. – Moscow: HSE, 2019.</w:t>
      </w:r>
    </w:p>
    <w:p w:rsidR="0004085B" w:rsidRPr="00BC7DCA" w:rsidRDefault="0004085B" w:rsidP="00040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DCA" w:rsidRDefault="00BC7DCA" w:rsidP="00BC7DCA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Информация об авторе на русском языке</w:t>
      </w:r>
    </w:p>
    <w:p w:rsidR="00BC7DCA" w:rsidRDefault="00BC7DCA" w:rsidP="00670C8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Раменская Людмила Александровна (Россия, Екатеринбург) -</w:t>
      </w:r>
      <w:r w:rsidR="00670C87" w:rsidRPr="00E83488">
        <w:rPr>
          <w:rFonts w:ascii="Times New Roman" w:hAnsi="Times New Roman"/>
          <w:sz w:val="24"/>
          <w:szCs w:val="28"/>
        </w:rPr>
        <w:t xml:space="preserve">к.э.н., доцент, доцент кафедры </w:t>
      </w:r>
      <w:r w:rsidR="00670C87">
        <w:rPr>
          <w:rFonts w:ascii="Times New Roman" w:hAnsi="Times New Roman"/>
          <w:sz w:val="24"/>
          <w:szCs w:val="28"/>
        </w:rPr>
        <w:t xml:space="preserve">экономической теории и </w:t>
      </w:r>
      <w:r w:rsidR="00670C87" w:rsidRPr="00E83488">
        <w:rPr>
          <w:rFonts w:ascii="Times New Roman" w:hAnsi="Times New Roman"/>
          <w:sz w:val="24"/>
          <w:szCs w:val="28"/>
        </w:rPr>
        <w:t>корпоративной экономики Института экономики ФГБОУ ВО «Уральский государственный экономический университет»</w:t>
      </w:r>
      <w:r w:rsidRPr="00BC7DCA">
        <w:t xml:space="preserve"> </w:t>
      </w:r>
      <w:r w:rsidRPr="00BC7DCA">
        <w:rPr>
          <w:rFonts w:ascii="Times New Roman" w:hAnsi="Times New Roman"/>
          <w:sz w:val="24"/>
          <w:szCs w:val="28"/>
        </w:rPr>
        <w:t xml:space="preserve">(Российская Федерация, 620144, г. Екатеринбург, ул. 8 Марта/Народной воли, 62/45; </w:t>
      </w:r>
      <w:proofErr w:type="spellStart"/>
      <w:proofErr w:type="gramStart"/>
      <w:r w:rsidRPr="00BC7DCA">
        <w:rPr>
          <w:rFonts w:ascii="Times New Roman" w:hAnsi="Times New Roman"/>
          <w:sz w:val="24"/>
          <w:szCs w:val="28"/>
        </w:rPr>
        <w:t>e-mail:</w:t>
      </w:r>
      <w:bookmarkStart w:id="0" w:name="_GoBack"/>
      <w:r w:rsidRPr="00BC7DCA">
        <w:rPr>
          <w:rFonts w:ascii="Times New Roman" w:hAnsi="Times New Roman"/>
          <w:sz w:val="24"/>
          <w:szCs w:val="28"/>
        </w:rPr>
        <w:t>ramen_lu@mail.ru</w:t>
      </w:r>
      <w:bookmarkEnd w:id="0"/>
      <w:proofErr w:type="spellEnd"/>
      <w:proofErr w:type="gramEnd"/>
      <w:r w:rsidRPr="00BC7DCA">
        <w:rPr>
          <w:rFonts w:ascii="Times New Roman" w:hAnsi="Times New Roman"/>
          <w:sz w:val="24"/>
          <w:szCs w:val="28"/>
        </w:rPr>
        <w:t>).</w:t>
      </w:r>
    </w:p>
    <w:p w:rsidR="00670C87" w:rsidRPr="00A17F4B" w:rsidRDefault="00670C87" w:rsidP="00040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DCA" w:rsidRPr="00BC7DCA" w:rsidRDefault="00BC7DCA" w:rsidP="00BC7DCA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en-US"/>
        </w:rPr>
      </w:pPr>
      <w:proofErr w:type="spellStart"/>
      <w:r w:rsidRPr="00BC7DCA">
        <w:rPr>
          <w:rFonts w:ascii="Times New Roman" w:hAnsi="Times New Roman"/>
          <w:b/>
          <w:sz w:val="24"/>
          <w:szCs w:val="28"/>
          <w:lang w:val="en-US"/>
        </w:rPr>
        <w:t>Ramenskaya</w:t>
      </w:r>
      <w:proofErr w:type="spellEnd"/>
      <w:r w:rsidRPr="00BC7DCA">
        <w:rPr>
          <w:rFonts w:ascii="Times New Roman" w:hAnsi="Times New Roman"/>
          <w:b/>
          <w:sz w:val="24"/>
          <w:szCs w:val="28"/>
          <w:lang w:val="en-US"/>
        </w:rPr>
        <w:t xml:space="preserve"> L. A.</w:t>
      </w:r>
    </w:p>
    <w:p w:rsidR="00BC7DCA" w:rsidRDefault="00BC7DCA" w:rsidP="00BC7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DCA">
        <w:rPr>
          <w:rFonts w:ascii="Times New Roman" w:hAnsi="Times New Roman" w:cs="Times New Roman"/>
          <w:b/>
          <w:sz w:val="24"/>
          <w:szCs w:val="24"/>
          <w:lang w:val="en-US"/>
        </w:rPr>
        <w:t>TRENDS AND RISKS OF INDUSTRIAL DIGITAL TRANSFORMATION IN THE CONTEXT OF TRANSITION TO INDUSTRY 4.0</w:t>
      </w:r>
    </w:p>
    <w:p w:rsidR="00BC7DCA" w:rsidRDefault="009E1566" w:rsidP="00BC7D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E1566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BC7DCA" w:rsidRPr="00BC7D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study examines the theoretical background, system, country and regional features that determine the possibility of developing technologies of the fourth industrial revolution in industry. The research </w:t>
      </w:r>
      <w:proofErr w:type="gramStart"/>
      <w:r w:rsidR="00BC7DCA" w:rsidRPr="00BC7DCA">
        <w:rPr>
          <w:rFonts w:ascii="Times New Roman" w:hAnsi="Times New Roman" w:cs="Times New Roman"/>
          <w:i/>
          <w:sz w:val="24"/>
          <w:szCs w:val="24"/>
          <w:lang w:val="en-US"/>
        </w:rPr>
        <w:t>is based</w:t>
      </w:r>
      <w:proofErr w:type="gramEnd"/>
      <w:r w:rsidR="00BC7DCA" w:rsidRPr="00BC7D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open sources and official statistics.</w:t>
      </w:r>
    </w:p>
    <w:p w:rsidR="00BC7DCA" w:rsidRDefault="00BC7DCA" w:rsidP="00BC7D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E15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 words: </w:t>
      </w:r>
      <w:r w:rsidR="009E1566" w:rsidRPr="009E1566">
        <w:rPr>
          <w:rFonts w:ascii="Times New Roman" w:hAnsi="Times New Roman" w:cs="Times New Roman"/>
          <w:i/>
          <w:sz w:val="24"/>
          <w:szCs w:val="24"/>
          <w:lang w:val="en-US"/>
        </w:rPr>
        <w:t>Industry 4.0, fourth industrial revolution, digital transformation</w:t>
      </w:r>
    </w:p>
    <w:p w:rsidR="009E1566" w:rsidRDefault="009E1566" w:rsidP="00BC7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E1566" w:rsidRDefault="009A0276" w:rsidP="00BC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Liudmila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Alexandrovna</w:t>
      </w:r>
      <w:r w:rsidR="009E1566" w:rsidRPr="009E1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566" w:rsidRPr="009E1566">
        <w:rPr>
          <w:rFonts w:ascii="Times New Roman" w:hAnsi="Times New Roman" w:cs="Times New Roman"/>
          <w:sz w:val="24"/>
          <w:szCs w:val="24"/>
          <w:lang w:val="en-US"/>
        </w:rPr>
        <w:t>Ramenskaya</w:t>
      </w:r>
      <w:proofErr w:type="spellEnd"/>
      <w:r w:rsidR="009E1566" w:rsidRPr="009E1566">
        <w:rPr>
          <w:rFonts w:ascii="Times New Roman" w:hAnsi="Times New Roman" w:cs="Times New Roman"/>
          <w:sz w:val="24"/>
          <w:szCs w:val="24"/>
          <w:lang w:val="en-US"/>
        </w:rPr>
        <w:t xml:space="preserve">, https://orcid.org/0000-0003-3884-4500, Ural State University of Economics, 62/45 8 Marta / </w:t>
      </w:r>
      <w:proofErr w:type="spellStart"/>
      <w:r w:rsidR="009E1566" w:rsidRPr="009E1566">
        <w:rPr>
          <w:rFonts w:ascii="Times New Roman" w:hAnsi="Times New Roman" w:cs="Times New Roman"/>
          <w:sz w:val="24"/>
          <w:szCs w:val="24"/>
          <w:lang w:val="en-US"/>
        </w:rPr>
        <w:t>Narodnoy</w:t>
      </w:r>
      <w:proofErr w:type="spellEnd"/>
      <w:r w:rsidR="009E1566" w:rsidRPr="009E1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566" w:rsidRPr="009E1566">
        <w:rPr>
          <w:rFonts w:ascii="Times New Roman" w:hAnsi="Times New Roman" w:cs="Times New Roman"/>
          <w:sz w:val="24"/>
          <w:szCs w:val="24"/>
          <w:lang w:val="en-US"/>
        </w:rPr>
        <w:t>Voli</w:t>
      </w:r>
      <w:proofErr w:type="spellEnd"/>
      <w:r w:rsidR="009E1566" w:rsidRPr="009E1566">
        <w:rPr>
          <w:rFonts w:ascii="Times New Roman" w:hAnsi="Times New Roman" w:cs="Times New Roman"/>
          <w:sz w:val="24"/>
          <w:szCs w:val="24"/>
          <w:lang w:val="en-US"/>
        </w:rPr>
        <w:t xml:space="preserve"> St., Ekaterinburg 620144, Russia, </w:t>
      </w:r>
      <w:hyperlink r:id="rId11" w:history="1">
        <w:r w:rsidR="009E1566" w:rsidRPr="00424B5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ramen_lu@mail.ru</w:t>
        </w:r>
      </w:hyperlink>
    </w:p>
    <w:p w:rsidR="009E1566" w:rsidRDefault="009E1566" w:rsidP="00BC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566" w:rsidRPr="009E1566" w:rsidRDefault="009E1566" w:rsidP="00BC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E1566" w:rsidRPr="009E1566" w:rsidSect="00D21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59" w:rsidRDefault="000C4359" w:rsidP="00D9392D">
      <w:pPr>
        <w:spacing w:after="0" w:line="240" w:lineRule="auto"/>
      </w:pPr>
      <w:r>
        <w:separator/>
      </w:r>
    </w:p>
  </w:endnote>
  <w:endnote w:type="continuationSeparator" w:id="0">
    <w:p w:rsidR="000C4359" w:rsidRDefault="000C4359" w:rsidP="00D9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59" w:rsidRDefault="000C4359" w:rsidP="00D9392D">
      <w:pPr>
        <w:spacing w:after="0" w:line="240" w:lineRule="auto"/>
      </w:pPr>
      <w:r>
        <w:separator/>
      </w:r>
    </w:p>
  </w:footnote>
  <w:footnote w:type="continuationSeparator" w:id="0">
    <w:p w:rsidR="000C4359" w:rsidRDefault="000C4359" w:rsidP="00D9392D">
      <w:pPr>
        <w:spacing w:after="0" w:line="240" w:lineRule="auto"/>
      </w:pPr>
      <w:r>
        <w:continuationSeparator/>
      </w:r>
    </w:p>
  </w:footnote>
  <w:footnote w:id="1">
    <w:p w:rsidR="00B37B30" w:rsidRPr="007727D8" w:rsidRDefault="00B37B30" w:rsidP="007727D8">
      <w:pPr>
        <w:pStyle w:val="ae"/>
      </w:pPr>
      <w:r>
        <w:rPr>
          <w:rStyle w:val="af0"/>
        </w:rPr>
        <w:footnoteRef/>
      </w:r>
      <w:r>
        <w:t xml:space="preserve"> В исследовании рассматриваются данные индекса за 2016 и 2017 гг. соответственно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52B"/>
    <w:multiLevelType w:val="hybridMultilevel"/>
    <w:tmpl w:val="6A9C6870"/>
    <w:lvl w:ilvl="0" w:tplc="C0F895A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7D2E96"/>
    <w:multiLevelType w:val="hybridMultilevel"/>
    <w:tmpl w:val="E16EEE3E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3EF3297D"/>
    <w:multiLevelType w:val="hybridMultilevel"/>
    <w:tmpl w:val="6A9C6870"/>
    <w:lvl w:ilvl="0" w:tplc="C0F895A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47AE1"/>
    <w:multiLevelType w:val="hybridMultilevel"/>
    <w:tmpl w:val="6A9C6870"/>
    <w:lvl w:ilvl="0" w:tplc="C0F895A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70934"/>
    <w:multiLevelType w:val="hybridMultilevel"/>
    <w:tmpl w:val="BCC2F8EC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 w15:restartNumberingAfterBreak="0">
    <w:nsid w:val="6C1649B3"/>
    <w:multiLevelType w:val="hybridMultilevel"/>
    <w:tmpl w:val="E974C816"/>
    <w:lvl w:ilvl="0" w:tplc="C792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377E9C"/>
    <w:multiLevelType w:val="hybridMultilevel"/>
    <w:tmpl w:val="F5FC8E10"/>
    <w:lvl w:ilvl="0" w:tplc="92320C3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2D"/>
    <w:rsid w:val="0004085B"/>
    <w:rsid w:val="00074664"/>
    <w:rsid w:val="000A0775"/>
    <w:rsid w:val="000B0C40"/>
    <w:rsid w:val="000C00B2"/>
    <w:rsid w:val="000C4359"/>
    <w:rsid w:val="000F210F"/>
    <w:rsid w:val="000F249C"/>
    <w:rsid w:val="000F2BE8"/>
    <w:rsid w:val="0010448A"/>
    <w:rsid w:val="00136264"/>
    <w:rsid w:val="00177831"/>
    <w:rsid w:val="001E48A7"/>
    <w:rsid w:val="00202351"/>
    <w:rsid w:val="00335308"/>
    <w:rsid w:val="003E425E"/>
    <w:rsid w:val="0041085B"/>
    <w:rsid w:val="00427FA3"/>
    <w:rsid w:val="00431798"/>
    <w:rsid w:val="00431EAC"/>
    <w:rsid w:val="0048135E"/>
    <w:rsid w:val="004938A2"/>
    <w:rsid w:val="004E091C"/>
    <w:rsid w:val="005661FA"/>
    <w:rsid w:val="005A6FBF"/>
    <w:rsid w:val="005B17C3"/>
    <w:rsid w:val="005D5E0B"/>
    <w:rsid w:val="005E6676"/>
    <w:rsid w:val="0063174F"/>
    <w:rsid w:val="00661D2B"/>
    <w:rsid w:val="00670C87"/>
    <w:rsid w:val="0069538A"/>
    <w:rsid w:val="006D5F4C"/>
    <w:rsid w:val="006E6604"/>
    <w:rsid w:val="007460C2"/>
    <w:rsid w:val="007624A5"/>
    <w:rsid w:val="007727D8"/>
    <w:rsid w:val="007B0509"/>
    <w:rsid w:val="007C6525"/>
    <w:rsid w:val="007D1040"/>
    <w:rsid w:val="00806DF8"/>
    <w:rsid w:val="00884772"/>
    <w:rsid w:val="008B785B"/>
    <w:rsid w:val="00906DB5"/>
    <w:rsid w:val="009A0276"/>
    <w:rsid w:val="009B25E7"/>
    <w:rsid w:val="009D0AA1"/>
    <w:rsid w:val="009E1566"/>
    <w:rsid w:val="00A17F4B"/>
    <w:rsid w:val="00A55D95"/>
    <w:rsid w:val="00AA155E"/>
    <w:rsid w:val="00AA2ADC"/>
    <w:rsid w:val="00B14A48"/>
    <w:rsid w:val="00B336CB"/>
    <w:rsid w:val="00B36577"/>
    <w:rsid w:val="00B37B30"/>
    <w:rsid w:val="00B45C1B"/>
    <w:rsid w:val="00B7109E"/>
    <w:rsid w:val="00BA0F41"/>
    <w:rsid w:val="00BB78D8"/>
    <w:rsid w:val="00BC7DCA"/>
    <w:rsid w:val="00C13165"/>
    <w:rsid w:val="00C20C1F"/>
    <w:rsid w:val="00C63571"/>
    <w:rsid w:val="00C85F90"/>
    <w:rsid w:val="00D15D59"/>
    <w:rsid w:val="00D20D26"/>
    <w:rsid w:val="00D2102D"/>
    <w:rsid w:val="00D3136C"/>
    <w:rsid w:val="00D41E7F"/>
    <w:rsid w:val="00D9392D"/>
    <w:rsid w:val="00DB0CE6"/>
    <w:rsid w:val="00E305D8"/>
    <w:rsid w:val="00E3407E"/>
    <w:rsid w:val="00E83488"/>
    <w:rsid w:val="00EA7906"/>
    <w:rsid w:val="00EB61F4"/>
    <w:rsid w:val="00EF288A"/>
    <w:rsid w:val="00F23E37"/>
    <w:rsid w:val="00F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DC95-EF13-42C2-8D69-FC1C83E2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ПАРАГРАФ,List Paragraph"/>
    <w:basedOn w:val="a"/>
    <w:link w:val="a5"/>
    <w:uiPriority w:val="34"/>
    <w:qFormat/>
    <w:rsid w:val="000F210F"/>
    <w:pPr>
      <w:ind w:left="720"/>
      <w:contextualSpacing/>
    </w:pPr>
  </w:style>
  <w:style w:type="character" w:customStyle="1" w:styleId="a5">
    <w:name w:val="Абзац списка Знак"/>
    <w:aliases w:val="ПАРАГРАФ Знак,List Paragraph Знак"/>
    <w:link w:val="a4"/>
    <w:uiPriority w:val="34"/>
    <w:rsid w:val="000F210F"/>
  </w:style>
  <w:style w:type="paragraph" w:customStyle="1" w:styleId="Default">
    <w:name w:val="Default"/>
    <w:rsid w:val="00B3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D9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D9392D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9392D"/>
    <w:rPr>
      <w:rFonts w:ascii="Times New Roman" w:eastAsia="MS Mincho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9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392D"/>
  </w:style>
  <w:style w:type="paragraph" w:styleId="ab">
    <w:name w:val="footer"/>
    <w:basedOn w:val="a"/>
    <w:link w:val="ac"/>
    <w:uiPriority w:val="99"/>
    <w:unhideWhenUsed/>
    <w:rsid w:val="00D9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392D"/>
  </w:style>
  <w:style w:type="character" w:styleId="ad">
    <w:name w:val="Hyperlink"/>
    <w:basedOn w:val="a0"/>
    <w:uiPriority w:val="99"/>
    <w:unhideWhenUsed/>
    <w:rsid w:val="00D9392D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7727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727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727D8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C00B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00B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00B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00B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00B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C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men_l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ec.ru/activity/analytics/9884/" TargetMode="External"/><Relationship Id="rId4" Type="http://schemas.openxmlformats.org/officeDocument/2006/relationships/settings" Target="settings.xml"/><Relationship Id="rId9" Type="http://schemas.openxmlformats.org/officeDocument/2006/relationships/hyperlink" Target="URL:http://www.garant.ru/products/ipo/prime/doc/71837200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1;&#1102;&#1076;&#1072;\&#1053;&#1072;&#1091;&#1082;&#1072;\&#1053;&#1072;_&#1082;&#1086;&#1085;&#1092;_WOS_2020\it6(1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'[it6(1).xls]Лист1'!$B$3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'[it6(1).xls]Лист1'!$A$4:$A$13</c:f>
              <c:strCache>
                <c:ptCount val="10"/>
                <c:pt idx="0">
                  <c:v>Центральный федеральный округ</c:v>
                </c:pt>
                <c:pt idx="1">
                  <c:v> 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  <c:pt idx="8">
                  <c:v>г. Москва</c:v>
                </c:pt>
                <c:pt idx="9">
                  <c:v>г. Санкт-Петербург</c:v>
                </c:pt>
              </c:strCache>
            </c:strRef>
          </c:cat>
          <c:val>
            <c:numRef>
              <c:f>'[it6(1).xls]Лист1'!$B$4:$B$13</c:f>
              <c:numCache>
                <c:formatCode>#\ ##0.0</c:formatCode>
                <c:ptCount val="10"/>
                <c:pt idx="0">
                  <c:v>70.599999999999994</c:v>
                </c:pt>
                <c:pt idx="1">
                  <c:v>76.5</c:v>
                </c:pt>
                <c:pt idx="2">
                  <c:v>77.2</c:v>
                </c:pt>
                <c:pt idx="3">
                  <c:v>74.7</c:v>
                </c:pt>
                <c:pt idx="4">
                  <c:v>75.5</c:v>
                </c:pt>
                <c:pt idx="5">
                  <c:v>80.900000000000006</c:v>
                </c:pt>
                <c:pt idx="6">
                  <c:v>68.7</c:v>
                </c:pt>
                <c:pt idx="7">
                  <c:v>71.2</c:v>
                </c:pt>
                <c:pt idx="8">
                  <c:v>97.1</c:v>
                </c:pt>
                <c:pt idx="9">
                  <c:v>90.8</c:v>
                </c:pt>
              </c:numCache>
            </c:numRef>
          </c:val>
        </c:ser>
        <c:ser>
          <c:idx val="2"/>
          <c:order val="1"/>
          <c:tx>
            <c:strRef>
              <c:f>'[it6(1).xls]Лист1'!$C$3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'[it6(1).xls]Лист1'!$A$4:$A$13</c:f>
              <c:strCache>
                <c:ptCount val="10"/>
                <c:pt idx="0">
                  <c:v>Центральный федеральный округ</c:v>
                </c:pt>
                <c:pt idx="1">
                  <c:v> Северо-Западный федеральный округ</c:v>
                </c:pt>
                <c:pt idx="2">
                  <c:v>Южный федеральный округ</c:v>
                </c:pt>
                <c:pt idx="3">
                  <c:v>Северо-Кавказский федеральный округ</c:v>
                </c:pt>
                <c:pt idx="4">
                  <c:v>Приволжский федеральный округ</c:v>
                </c:pt>
                <c:pt idx="5">
                  <c:v>Уральский  федеральный округ</c:v>
                </c:pt>
                <c:pt idx="6">
                  <c:v>Сибирский федеральный округ</c:v>
                </c:pt>
                <c:pt idx="7">
                  <c:v>Дальневосточный федеральный округ</c:v>
                </c:pt>
                <c:pt idx="8">
                  <c:v>г. Москва</c:v>
                </c:pt>
                <c:pt idx="9">
                  <c:v>г. Санкт-Петербург</c:v>
                </c:pt>
              </c:strCache>
            </c:strRef>
          </c:cat>
          <c:val>
            <c:numRef>
              <c:f>'[it6(1).xls]Лист1'!$C$4:$C$13</c:f>
              <c:numCache>
                <c:formatCode>0.0</c:formatCode>
                <c:ptCount val="10"/>
                <c:pt idx="0">
                  <c:v>93.376219542291167</c:v>
                </c:pt>
                <c:pt idx="1">
                  <c:v>92.775455477561323</c:v>
                </c:pt>
                <c:pt idx="2">
                  <c:v>91.632877335253326</c:v>
                </c:pt>
                <c:pt idx="3">
                  <c:v>83.908151973441534</c:v>
                </c:pt>
                <c:pt idx="4">
                  <c:v>91.241137934129043</c:v>
                </c:pt>
                <c:pt idx="5">
                  <c:v>90.941152347754766</c:v>
                </c:pt>
                <c:pt idx="6">
                  <c:v>88.6</c:v>
                </c:pt>
                <c:pt idx="7">
                  <c:v>89.357622243528283</c:v>
                </c:pt>
                <c:pt idx="8">
                  <c:v>98.806378132118454</c:v>
                </c:pt>
                <c:pt idx="9">
                  <c:v>95.635586754158396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7155768"/>
        <c:axId val="397155376"/>
      </c:barChart>
      <c:catAx>
        <c:axId val="397155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7155376"/>
        <c:crosses val="autoZero"/>
        <c:auto val="1"/>
        <c:lblAlgn val="ctr"/>
        <c:lblOffset val="100"/>
        <c:noMultiLvlLbl val="0"/>
      </c:catAx>
      <c:valAx>
        <c:axId val="39715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7155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B2BE-B2E1-46E0-9666-FA7175BB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Николаев</dc:creator>
  <cp:keywords/>
  <dc:description/>
  <cp:lastModifiedBy>Людмила Раменская</cp:lastModifiedBy>
  <cp:revision>2</cp:revision>
  <dcterms:created xsi:type="dcterms:W3CDTF">2020-06-11T22:23:00Z</dcterms:created>
  <dcterms:modified xsi:type="dcterms:W3CDTF">2020-06-11T22:23:00Z</dcterms:modified>
</cp:coreProperties>
</file>