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7A7" w:rsidRDefault="00921B05" w:rsidP="002747A7">
      <w:pPr>
        <w:rPr>
          <w:b/>
        </w:rPr>
      </w:pPr>
      <w:r w:rsidRPr="00921B05">
        <w:rPr>
          <w:b/>
        </w:rPr>
        <w:t>УДК 336.02</w:t>
      </w:r>
      <w:r>
        <w:rPr>
          <w:b/>
        </w:rPr>
        <w:t xml:space="preserve"> ББК </w:t>
      </w:r>
      <w:r w:rsidRPr="00921B05">
        <w:rPr>
          <w:b/>
        </w:rPr>
        <w:t>65.05</w:t>
      </w:r>
    </w:p>
    <w:p w:rsidR="002747A7" w:rsidRDefault="002747A7" w:rsidP="002747A7">
      <w:pPr>
        <w:jc w:val="right"/>
        <w:rPr>
          <w:b/>
        </w:rPr>
      </w:pPr>
      <w:proofErr w:type="spellStart"/>
      <w:r>
        <w:rPr>
          <w:b/>
        </w:rPr>
        <w:t>Печенская</w:t>
      </w:r>
      <w:proofErr w:type="spellEnd"/>
      <w:r>
        <w:rPr>
          <w:b/>
        </w:rPr>
        <w:t>-Полищук М.А.</w:t>
      </w:r>
    </w:p>
    <w:p w:rsidR="00921B05" w:rsidRDefault="00921B05" w:rsidP="002747A7">
      <w:pPr>
        <w:jc w:val="right"/>
        <w:rPr>
          <w:b/>
        </w:rPr>
      </w:pPr>
    </w:p>
    <w:p w:rsidR="002747A7" w:rsidRPr="00650215" w:rsidRDefault="002747A7" w:rsidP="002747A7">
      <w:pPr>
        <w:jc w:val="center"/>
        <w:rPr>
          <w:rFonts w:asciiTheme="minorHAnsi" w:hAnsiTheme="minorHAnsi"/>
          <w:b/>
        </w:rPr>
      </w:pPr>
      <w:r w:rsidRPr="002747A7">
        <w:rPr>
          <w:rFonts w:ascii="Times New Roman Полужирный" w:hAnsi="Times New Roman Полужирный"/>
          <w:b/>
          <w:caps/>
        </w:rPr>
        <w:t>Теоретические вопросы повышения научной обоснованности инструментов бюджетного перераспределения</w:t>
      </w:r>
      <w:r w:rsidR="00650215" w:rsidRPr="00650215">
        <w:rPr>
          <w:rFonts w:asciiTheme="minorHAnsi" w:hAnsiTheme="minorHAnsi"/>
          <w:b/>
          <w:caps/>
        </w:rPr>
        <w:t>*</w:t>
      </w:r>
      <w:r w:rsidR="00650215" w:rsidRPr="00650215">
        <w:rPr>
          <w:rStyle w:val="ad"/>
          <w:rFonts w:ascii="Times New Roman Полужирный" w:hAnsi="Times New Roman Полужирный"/>
          <w:b/>
          <w:caps/>
          <w:color w:val="FFFFFF" w:themeColor="background1"/>
        </w:rPr>
        <w:footnoteReference w:id="1"/>
      </w:r>
    </w:p>
    <w:p w:rsidR="002747A7" w:rsidRDefault="002747A7" w:rsidP="002747A7">
      <w:pPr>
        <w:ind w:firstLine="426"/>
        <w:rPr>
          <w:b/>
        </w:rPr>
      </w:pPr>
    </w:p>
    <w:p w:rsidR="002747A7" w:rsidRDefault="002747A7" w:rsidP="002747A7">
      <w:pPr>
        <w:ind w:firstLine="709"/>
        <w:jc w:val="both"/>
        <w:rPr>
          <w:i/>
        </w:rPr>
      </w:pPr>
      <w:r w:rsidRPr="002747A7">
        <w:rPr>
          <w:i/>
        </w:rPr>
        <w:t>Тезисы доклада посвящены</w:t>
      </w:r>
      <w:r>
        <w:rPr>
          <w:i/>
        </w:rPr>
        <w:t xml:space="preserve"> актуальной проблеме – как наиболее эффективно распределить бюджетные ресурсы между разными уровнями управления для достижения задач, стоящих перед Российской Федерацией. Для этого необходимы современные методы научного обоснования. В исследовании представлен один из таких инструментариев.</w:t>
      </w:r>
    </w:p>
    <w:p w:rsidR="00921B05" w:rsidRDefault="00921B05" w:rsidP="002747A7">
      <w:pPr>
        <w:ind w:firstLine="709"/>
        <w:jc w:val="both"/>
        <w:rPr>
          <w:i/>
        </w:rPr>
      </w:pPr>
      <w:r>
        <w:rPr>
          <w:i/>
        </w:rPr>
        <w:t>Ключевые слова: бюджет, распределение, потенциал, экономический рост, эффективность.</w:t>
      </w:r>
    </w:p>
    <w:p w:rsidR="002747A7" w:rsidRDefault="002747A7" w:rsidP="002747A7">
      <w:pPr>
        <w:ind w:firstLine="426"/>
        <w:rPr>
          <w:i/>
        </w:rPr>
      </w:pPr>
    </w:p>
    <w:p w:rsidR="002747A7" w:rsidRPr="00921B05" w:rsidRDefault="00921B05" w:rsidP="00921B05">
      <w:pPr>
        <w:pStyle w:val="a3"/>
        <w:ind w:left="0" w:firstLine="709"/>
        <w:jc w:val="both"/>
        <w:rPr>
          <w:rFonts w:ascii="Times New Roman" w:eastAsia="TimesNewRomanPSMT" w:hAnsi="Times New Roman"/>
        </w:rPr>
      </w:pPr>
      <w:r>
        <w:rPr>
          <w:rFonts w:ascii="Times New Roman" w:hAnsi="Times New Roman"/>
        </w:rPr>
        <w:t>В</w:t>
      </w:r>
      <w:r w:rsidR="002747A7" w:rsidRPr="00921B05">
        <w:rPr>
          <w:rFonts w:ascii="Times New Roman" w:hAnsi="Times New Roman"/>
        </w:rPr>
        <w:t xml:space="preserve"> современных отечественных и зарубежных исследованиях отмечаются различные точки зрения в отношении необходимости стимулирования развития тех или иных типов муниципальных образований, а, следовательно, в приоритете бюджетного перераспределения в их пользу. Так, ряд исследований свидетельствует о таком приоритете в пользу городов как точек роста. Например, в работе [</w:t>
      </w:r>
      <w:r>
        <w:rPr>
          <w:rFonts w:ascii="Times New Roman" w:hAnsi="Times New Roman"/>
        </w:rPr>
        <w:t>1</w:t>
      </w:r>
      <w:r w:rsidR="002747A7" w:rsidRPr="00921B05">
        <w:rPr>
          <w:rFonts w:ascii="Times New Roman" w:hAnsi="Times New Roman"/>
        </w:rPr>
        <w:t xml:space="preserve">] показано значительное положительное влияние агломерационных эффектов на макропоказатели регионов. Ученые </w:t>
      </w:r>
      <w:r w:rsidR="002747A7" w:rsidRPr="00921B05">
        <w:rPr>
          <w:rFonts w:ascii="Times New Roman" w:hAnsi="Times New Roman"/>
          <w:lang w:val="en-US"/>
        </w:rPr>
        <w:t>M</w:t>
      </w:r>
      <w:r w:rsidR="002747A7" w:rsidRPr="00921B05">
        <w:rPr>
          <w:rFonts w:ascii="Times New Roman" w:hAnsi="Times New Roman"/>
        </w:rPr>
        <w:t xml:space="preserve">. </w:t>
      </w:r>
      <w:proofErr w:type="gramStart"/>
      <w:r w:rsidR="002747A7" w:rsidRPr="00921B05">
        <w:rPr>
          <w:rFonts w:ascii="Times New Roman" w:hAnsi="Times New Roman"/>
          <w:lang w:val="en-US"/>
        </w:rPr>
        <w:t>Fujita</w:t>
      </w:r>
      <w:r w:rsidR="002747A7" w:rsidRPr="00921B05">
        <w:rPr>
          <w:rFonts w:ascii="Times New Roman" w:hAnsi="Times New Roman"/>
        </w:rPr>
        <w:t xml:space="preserve">, </w:t>
      </w:r>
      <w:r w:rsidR="002747A7" w:rsidRPr="00921B05">
        <w:rPr>
          <w:rFonts w:ascii="Times New Roman" w:hAnsi="Times New Roman"/>
          <w:lang w:val="en-US"/>
        </w:rPr>
        <w:t>P</w:t>
      </w:r>
      <w:r w:rsidR="002747A7" w:rsidRPr="00921B05">
        <w:rPr>
          <w:rFonts w:ascii="Times New Roman" w:hAnsi="Times New Roman"/>
        </w:rPr>
        <w:t xml:space="preserve">. </w:t>
      </w:r>
      <w:proofErr w:type="spellStart"/>
      <w:r w:rsidR="002747A7" w:rsidRPr="00921B05">
        <w:rPr>
          <w:rFonts w:ascii="Times New Roman" w:hAnsi="Times New Roman"/>
          <w:lang w:val="en-US"/>
        </w:rPr>
        <w:t>Krugman</w:t>
      </w:r>
      <w:proofErr w:type="spellEnd"/>
      <w:r w:rsidR="002747A7" w:rsidRPr="00921B05">
        <w:rPr>
          <w:rFonts w:ascii="Times New Roman" w:hAnsi="Times New Roman"/>
        </w:rPr>
        <w:t xml:space="preserve"> и </w:t>
      </w:r>
      <w:r w:rsidR="002747A7" w:rsidRPr="00921B05">
        <w:rPr>
          <w:rFonts w:ascii="Times New Roman" w:hAnsi="Times New Roman"/>
          <w:lang w:val="en-US"/>
        </w:rPr>
        <w:t>F</w:t>
      </w:r>
      <w:r w:rsidR="002747A7" w:rsidRPr="00921B05">
        <w:rPr>
          <w:rFonts w:ascii="Times New Roman" w:hAnsi="Times New Roman"/>
        </w:rPr>
        <w:t>.</w:t>
      </w:r>
      <w:r w:rsidR="002747A7" w:rsidRPr="00921B05">
        <w:rPr>
          <w:rFonts w:ascii="Times New Roman" w:hAnsi="Times New Roman"/>
          <w:lang w:val="en-US"/>
        </w:rPr>
        <w:t>J</w:t>
      </w:r>
      <w:r w:rsidR="002747A7" w:rsidRPr="00921B05">
        <w:rPr>
          <w:rFonts w:ascii="Times New Roman" w:hAnsi="Times New Roman"/>
        </w:rPr>
        <w:t>. </w:t>
      </w:r>
      <w:proofErr w:type="spellStart"/>
      <w:r w:rsidR="002747A7" w:rsidRPr="00921B05">
        <w:rPr>
          <w:rFonts w:ascii="Times New Roman" w:hAnsi="Times New Roman"/>
          <w:lang w:val="en-US"/>
        </w:rPr>
        <w:t>Venables</w:t>
      </w:r>
      <w:proofErr w:type="spellEnd"/>
      <w:r w:rsidR="002747A7" w:rsidRPr="00921B05">
        <w:rPr>
          <w:rFonts w:ascii="Times New Roman" w:hAnsi="Times New Roman"/>
        </w:rPr>
        <w:t xml:space="preserve"> [</w:t>
      </w:r>
      <w:r>
        <w:rPr>
          <w:rFonts w:ascii="Times New Roman" w:hAnsi="Times New Roman"/>
        </w:rPr>
        <w:t>2</w:t>
      </w:r>
      <w:r w:rsidR="002747A7" w:rsidRPr="00921B05">
        <w:rPr>
          <w:rFonts w:ascii="Times New Roman" w:hAnsi="Times New Roman"/>
        </w:rPr>
        <w:t>] утверждали, что роль центров развития и модернизации принадлежит именно городам, но в разной степени и с разным качеством роста.</w:t>
      </w:r>
      <w:proofErr w:type="gramEnd"/>
      <w:r w:rsidR="002747A7" w:rsidRPr="00921B05">
        <w:rPr>
          <w:rFonts w:ascii="Times New Roman" w:hAnsi="Times New Roman"/>
        </w:rPr>
        <w:t xml:space="preserve"> Однако, как показывает практика, не все города в современных рыночных условиях готовы к конкуренции за трудовые и экономические ресурсы, потому не могут нарастить ни человеческий, ни экономический, ни бюджетный потенциалы [3]. Как отметила Н.В. </w:t>
      </w:r>
      <w:proofErr w:type="spellStart"/>
      <w:r w:rsidR="002747A7" w:rsidRPr="00921B05">
        <w:rPr>
          <w:rFonts w:ascii="Times New Roman" w:hAnsi="Times New Roman"/>
        </w:rPr>
        <w:t>Зубаревич</w:t>
      </w:r>
      <w:proofErr w:type="spellEnd"/>
      <w:r w:rsidR="002747A7" w:rsidRPr="00921B05">
        <w:rPr>
          <w:rFonts w:ascii="Times New Roman" w:hAnsi="Times New Roman"/>
        </w:rPr>
        <w:t xml:space="preserve"> [</w:t>
      </w:r>
      <w:r w:rsidR="00650215">
        <w:rPr>
          <w:rFonts w:ascii="Times New Roman" w:hAnsi="Times New Roman"/>
        </w:rPr>
        <w:t>3</w:t>
      </w:r>
      <w:r w:rsidR="002747A7" w:rsidRPr="00921B05">
        <w:rPr>
          <w:rFonts w:ascii="Times New Roman" w:hAnsi="Times New Roman"/>
        </w:rPr>
        <w:t>], уравнительный подход к развитию пространства, подразумевающий необходимость городов делиться с периферией, препятствует проведению политики, направленной на системную поддержку модернизации экономики и человеческого капитала российских городов. С другой стороны, теория агломераций объясняет сдерживание развития периферии из-за концентрации экономической активности в региональном центре, а теория кумулятивного роста указывает на двойственный эффект от развития центральных городов, в том числе и генерацию импульсов развития. Более того, с усилением актуальности пространственной составляющей территориального развития в научной и управленческой среде все больше внимания стало уделяться полярным вопросам: сохранению уникальности малых и средних городов, развитию крупных городов и агломераций, неравномерности «центр – периферия».</w:t>
      </w:r>
      <w:r w:rsidR="002747A7" w:rsidRPr="00921B05">
        <w:rPr>
          <w:rFonts w:ascii="Times New Roman" w:eastAsia="TimesNewRomanPSMT" w:hAnsi="Times New Roman"/>
        </w:rPr>
        <w:t xml:space="preserve"> </w:t>
      </w:r>
    </w:p>
    <w:p w:rsidR="002747A7" w:rsidRPr="00921B05" w:rsidRDefault="002747A7" w:rsidP="00921B05">
      <w:pPr>
        <w:pStyle w:val="a3"/>
        <w:ind w:left="0" w:firstLine="709"/>
        <w:jc w:val="both"/>
        <w:rPr>
          <w:rFonts w:ascii="Times New Roman" w:hAnsi="Times New Roman"/>
        </w:rPr>
      </w:pPr>
      <w:r w:rsidRPr="00921B05">
        <w:rPr>
          <w:rFonts w:ascii="Times New Roman" w:hAnsi="Times New Roman"/>
        </w:rPr>
        <w:t xml:space="preserve">В исследовании </w:t>
      </w:r>
      <w:r w:rsidR="00921B05" w:rsidRPr="00921B05">
        <w:rPr>
          <w:rFonts w:ascii="Times New Roman" w:hAnsi="Times New Roman"/>
        </w:rPr>
        <w:t>[</w:t>
      </w:r>
      <w:r w:rsidR="00650215">
        <w:rPr>
          <w:rFonts w:ascii="Times New Roman" w:eastAsia="Calibri" w:hAnsi="Times New Roman"/>
        </w:rPr>
        <w:t>4</w:t>
      </w:r>
      <w:r w:rsidRPr="00921B05">
        <w:rPr>
          <w:rFonts w:ascii="Times New Roman" w:eastAsia="Calibri" w:hAnsi="Times New Roman"/>
        </w:rPr>
        <w:t>] обосновано, что процессы концентрации экономической активности совместно с межрегиональной дивергенцией формируют положительный тренд пространственного развития России.</w:t>
      </w:r>
      <w:r w:rsidRPr="00921B05">
        <w:rPr>
          <w:rFonts w:ascii="Times New Roman" w:hAnsi="Times New Roman"/>
        </w:rPr>
        <w:t xml:space="preserve"> Однако проводимая бюджетная политика нацелена, напротив, на конвергенцию показателей регионального развития, что подразумевает соответствие данной цели характеристик ключевых бюджетных инструментов (формализованных методик распределения дотаций, нормативов отчислений от налогов и т.д.). Основываясь на данной позиции, мы приходим к выводу о том, что одним из недостатков обоснованности инструментов бюджетного перераспределения является отсутствие регулярного учета динамики </w:t>
      </w:r>
      <w:proofErr w:type="spellStart"/>
      <w:r w:rsidRPr="00921B05">
        <w:rPr>
          <w:rFonts w:ascii="Times New Roman" w:hAnsi="Times New Roman"/>
        </w:rPr>
        <w:t>соразвития</w:t>
      </w:r>
      <w:proofErr w:type="spellEnd"/>
      <w:r w:rsidRPr="00921B05">
        <w:rPr>
          <w:rFonts w:ascii="Times New Roman" w:hAnsi="Times New Roman"/>
        </w:rPr>
        <w:t xml:space="preserve"> центра и периферии региона.</w:t>
      </w:r>
    </w:p>
    <w:p w:rsidR="002747A7" w:rsidRPr="00921B05" w:rsidRDefault="002747A7" w:rsidP="00921B05">
      <w:pPr>
        <w:widowControl w:val="0"/>
        <w:autoSpaceDE w:val="0"/>
        <w:autoSpaceDN w:val="0"/>
        <w:adjustRightInd w:val="0"/>
        <w:ind w:firstLine="709"/>
        <w:jc w:val="both"/>
      </w:pPr>
      <w:r w:rsidRPr="00921B05">
        <w:t xml:space="preserve">Обращаясь к научной литературе, заметим, что она содержит целый ряд детальных </w:t>
      </w:r>
      <w:r w:rsidRPr="00921B05">
        <w:lastRenderedPageBreak/>
        <w:t>и интересных исследований дифференциации, асимметрии и поляризации внутрирегионального пространства [</w:t>
      </w:r>
      <w:r w:rsidR="00650215">
        <w:t>5</w:t>
      </w:r>
      <w:r w:rsidR="00921B05">
        <w:t>-</w:t>
      </w:r>
      <w:r w:rsidR="00650215">
        <w:t>9</w:t>
      </w:r>
      <w:r w:rsidRPr="00921B05">
        <w:t xml:space="preserve">] с точки зрения разнообразия подходов, анализа </w:t>
      </w:r>
      <w:proofErr w:type="gramStart"/>
      <w:r w:rsidRPr="00921B05">
        <w:t>динамики и выявления способов измерения уровня неравномерности</w:t>
      </w:r>
      <w:proofErr w:type="gramEnd"/>
      <w:r w:rsidRPr="00921B05">
        <w:t xml:space="preserve">. Вместе с тем, существующие в различных научных трудах инструментарии (коэффициент вариации, индекс </w:t>
      </w:r>
      <w:proofErr w:type="spellStart"/>
      <w:r w:rsidRPr="00921B05">
        <w:t>Джинни</w:t>
      </w:r>
      <w:proofErr w:type="spellEnd"/>
      <w:r w:rsidRPr="00921B05">
        <w:t xml:space="preserve">, индекс </w:t>
      </w:r>
      <w:proofErr w:type="spellStart"/>
      <w:r w:rsidRPr="00921B05">
        <w:t>Тейла</w:t>
      </w:r>
      <w:proofErr w:type="spellEnd"/>
      <w:r w:rsidRPr="00921B05">
        <w:t xml:space="preserve">, интегральная оценка, матрица перехода, цепи Маркова, наличие β- и </w:t>
      </w:r>
      <w:proofErr w:type="gramStart"/>
      <w:r w:rsidRPr="00921B05">
        <w:t>σ-</w:t>
      </w:r>
      <w:proofErr w:type="gramEnd"/>
      <w:r w:rsidRPr="00921B05">
        <w:t xml:space="preserve">конвергенции и др.) в большинстве случаев применяются для показателей социально-экономического развития городских округов и муниципальных районов, вскользь используясь для бюджетных показателей. Кроме того, в отличие от перечисленных инструментариев, с точки зрения влияния бюджетного перераспределения на бюджетный потенциал региона значимым становится исследование именно относительной длины разности между векторами уровня </w:t>
      </w:r>
      <w:proofErr w:type="spellStart"/>
      <w:r w:rsidRPr="00921B05">
        <w:t>подушевой</w:t>
      </w:r>
      <w:proofErr w:type="spellEnd"/>
      <w:r w:rsidRPr="00921B05">
        <w:t xml:space="preserve"> бюджетной обеспеченности центра и периферии. Современная методология не содержит методического инструментария для проведения подобного рода измерений. Вместе с тем, данный методологический пробел искажает возможности развития бюджетного потенциала региона, в том числе прямым образом влияя на бюджетное перераспределение и возможности реализации стимулирующей функции системы межбюджетных трансфертов.</w:t>
      </w:r>
    </w:p>
    <w:p w:rsidR="002747A7" w:rsidRPr="00921B05" w:rsidRDefault="002747A7" w:rsidP="00921B05">
      <w:pPr>
        <w:ind w:firstLine="709"/>
        <w:jc w:val="both"/>
      </w:pPr>
      <w:r w:rsidRPr="00921B05">
        <w:t xml:space="preserve">Расширяя инструментарий обоснованности принятия мер бюджетного перераспределения по линии «центр – периферия», в исследовании разработан так называемый Индекс </w:t>
      </w:r>
      <w:proofErr w:type="spellStart"/>
      <w:r w:rsidRPr="00921B05">
        <w:t>центрорегиональной</w:t>
      </w:r>
      <w:proofErr w:type="spellEnd"/>
      <w:r w:rsidRPr="00921B05">
        <w:t xml:space="preserve"> дифференциации по уровню бюджетной обеспеченности (</w:t>
      </w:r>
      <w:proofErr w:type="spellStart"/>
      <w:r w:rsidRPr="00921B05">
        <w:rPr>
          <w:lang w:val="en-US"/>
        </w:rPr>
        <w:t>Centroregional</w:t>
      </w:r>
      <w:proofErr w:type="spellEnd"/>
      <w:r w:rsidRPr="00921B05">
        <w:t xml:space="preserve"> </w:t>
      </w:r>
      <w:r w:rsidRPr="00921B05">
        <w:rPr>
          <w:lang w:val="en-US"/>
        </w:rPr>
        <w:t>B</w:t>
      </w:r>
      <w:proofErr w:type="spellStart"/>
      <w:r w:rsidRPr="00921B05">
        <w:t>udget</w:t>
      </w:r>
      <w:proofErr w:type="spellEnd"/>
      <w:r w:rsidRPr="00921B05">
        <w:t xml:space="preserve"> </w:t>
      </w:r>
      <w:r w:rsidRPr="00921B05">
        <w:rPr>
          <w:lang w:val="en-US"/>
        </w:rPr>
        <w:t>P</w:t>
      </w:r>
      <w:proofErr w:type="spellStart"/>
      <w:r w:rsidRPr="00921B05">
        <w:t>rovision</w:t>
      </w:r>
      <w:proofErr w:type="spellEnd"/>
      <w:r w:rsidRPr="00921B05">
        <w:t xml:space="preserve"> </w:t>
      </w:r>
      <w:r w:rsidRPr="00921B05">
        <w:rPr>
          <w:lang w:val="en-US"/>
        </w:rPr>
        <w:t>Differentiation</w:t>
      </w:r>
      <w:r w:rsidRPr="00921B05">
        <w:t xml:space="preserve"> </w:t>
      </w:r>
      <w:r w:rsidRPr="00921B05">
        <w:rPr>
          <w:lang w:val="en-US"/>
        </w:rPr>
        <w:t>Index</w:t>
      </w:r>
      <w:r w:rsidRPr="00921B05">
        <w:t xml:space="preserve">). Обозначим, что </w:t>
      </w:r>
      <w:proofErr w:type="spellStart"/>
      <w:r w:rsidRPr="00921B05">
        <w:t>центрорегиональная</w:t>
      </w:r>
      <w:proofErr w:type="spellEnd"/>
      <w:r w:rsidRPr="00921B05">
        <w:t xml:space="preserve"> дифференциация выражает различия </w:t>
      </w:r>
      <w:proofErr w:type="spellStart"/>
      <w:r w:rsidRPr="00921B05">
        <w:t>подушевых</w:t>
      </w:r>
      <w:proofErr w:type="spellEnd"/>
      <w:r w:rsidRPr="00921B05">
        <w:t xml:space="preserve"> объемов собственных доходов между региональным центром и периферийными муниципальными образованиями одного региона. В основу индекса положены два экономических индекса: </w:t>
      </w:r>
      <w:proofErr w:type="spellStart"/>
      <w:r w:rsidRPr="00921B05">
        <w:t>Herfindahl-Hirschman</w:t>
      </w:r>
      <w:proofErr w:type="spellEnd"/>
      <w:r w:rsidRPr="00921B05">
        <w:t xml:space="preserve"> </w:t>
      </w:r>
      <w:proofErr w:type="spellStart"/>
      <w:r w:rsidRPr="00921B05">
        <w:t>index</w:t>
      </w:r>
      <w:proofErr w:type="spellEnd"/>
      <w:r w:rsidRPr="00921B05">
        <w:t xml:space="preserve"> (индекс для оценки степени монополизации отрасли, 1945 г.) и </w:t>
      </w:r>
      <w:proofErr w:type="spellStart"/>
      <w:r w:rsidRPr="00921B05">
        <w:t>Theil</w:t>
      </w:r>
      <w:proofErr w:type="spellEnd"/>
      <w:r w:rsidRPr="00921B05">
        <w:t xml:space="preserve"> </w:t>
      </w:r>
      <w:proofErr w:type="spellStart"/>
      <w:r w:rsidRPr="00921B05">
        <w:t>index</w:t>
      </w:r>
      <w:proofErr w:type="spellEnd"/>
      <w:r w:rsidRPr="00921B05">
        <w:t xml:space="preserve"> (индекс для измерения социального неравенства, 1967 г.). Разработанный Индекс (</w:t>
      </w:r>
      <w:r w:rsidRPr="00921B05">
        <w:rPr>
          <w:lang w:val="en-US"/>
        </w:rPr>
        <w:t>ICRD</w:t>
      </w:r>
      <w:r w:rsidRPr="00921B05">
        <w:rPr>
          <w:vertAlign w:val="subscript"/>
          <w:lang w:val="en-US"/>
        </w:rPr>
        <w:t>BP</w:t>
      </w:r>
      <w:r w:rsidRPr="00921B05">
        <w:t xml:space="preserve">) учитывает абсолютные среднедушевые показатели и темпы роста уровня бюджетной обеспеченности, что повышает точность расчетов, так как города с наименьшими среднедушевыми показателями могут характеризоваться более высокими показателями прироста. Расчет </w:t>
      </w:r>
      <w:r w:rsidRPr="00921B05">
        <w:rPr>
          <w:lang w:val="en-US"/>
        </w:rPr>
        <w:t>ICRD</w:t>
      </w:r>
      <w:r w:rsidRPr="00921B05">
        <w:rPr>
          <w:vertAlign w:val="subscript"/>
          <w:lang w:val="en-US"/>
        </w:rPr>
        <w:t>BP</w:t>
      </w:r>
      <w:r w:rsidRPr="00921B05">
        <w:t xml:space="preserve"> предполагается проводить по формуле: </w:t>
      </w:r>
    </w:p>
    <w:p w:rsidR="002747A7" w:rsidRPr="00921B05" w:rsidRDefault="00573C7C" w:rsidP="00921B05">
      <w:pPr>
        <w:ind w:firstLine="709"/>
        <w:jc w:val="both"/>
      </w:pPr>
      <m:oMath>
        <m:sSub>
          <m:sSubPr>
            <m:ctrlPr>
              <w:rPr>
                <w:rFonts w:ascii="Cambria Math" w:hAnsi="Cambria Math"/>
                <w:i/>
                <w:lang w:val="en-US"/>
              </w:rPr>
            </m:ctrlPr>
          </m:sSubPr>
          <m:e>
            <m:r>
              <w:rPr>
                <w:rFonts w:ascii="Cambria Math" w:hAnsi="Cambria Math"/>
                <w:lang w:val="en-US"/>
              </w:rPr>
              <m:t>ICRD</m:t>
            </m:r>
          </m:e>
          <m:sub>
            <m:r>
              <w:rPr>
                <w:rFonts w:ascii="Cambria Math" w:hAnsi="Cambria Math"/>
                <w:lang w:val="en-US"/>
              </w:rPr>
              <m:t>BP</m:t>
            </m:r>
            <m:r>
              <w:rPr>
                <w:rFonts w:ascii="Cambria Math" w:hAnsi="Cambria Math"/>
              </w:rPr>
              <m:t xml:space="preserve"> </m:t>
            </m:r>
          </m:sub>
        </m:sSub>
        <m:r>
          <w:rPr>
            <w:rFonts w:ascii="Cambria Math" w:hAnsi="Cambria Math"/>
          </w:rPr>
          <m:t>=√</m:t>
        </m:r>
        <m:f>
          <m:fPr>
            <m:ctrlPr>
              <w:rPr>
                <w:rFonts w:ascii="Cambria Math" w:hAnsi="Cambria Math"/>
                <w:i/>
              </w:rPr>
            </m:ctrlPr>
          </m:fPr>
          <m:num>
            <m:nary>
              <m:naryPr>
                <m:chr m:val="∑"/>
                <m:limLoc m:val="undOvr"/>
                <m:supHide m:val="1"/>
                <m:ctrlPr>
                  <w:rPr>
                    <w:rFonts w:ascii="Cambria Math" w:hAnsi="Cambria Math"/>
                    <w:i/>
                  </w:rPr>
                </m:ctrlPr>
              </m:naryPr>
              <m:sub>
                <m:r>
                  <w:rPr>
                    <w:rFonts w:ascii="Cambria Math" w:hAnsi="Cambria Math"/>
                    <w:lang w:val="en-US"/>
                  </w:rPr>
                  <m:t>i</m:t>
                </m:r>
              </m:sub>
              <m:sup/>
              <m:e>
                <m:sSup>
                  <m:sSupPr>
                    <m:ctrlPr>
                      <w:rPr>
                        <w:rFonts w:ascii="Cambria Math" w:hAnsi="Cambria Math"/>
                        <w:i/>
                        <w:lang w:val="en-US"/>
                      </w:rPr>
                    </m:ctrlPr>
                  </m:sSupPr>
                  <m:e>
                    <m:r>
                      <w:rPr>
                        <w:rFonts w:ascii="Cambria Math" w:hAnsi="Cambria Math"/>
                      </w:rPr>
                      <m:t>[</m:t>
                    </m:r>
                    <m:sSubSup>
                      <m:sSubSupPr>
                        <m:ctrlPr>
                          <w:rPr>
                            <w:rFonts w:ascii="Cambria Math" w:hAnsi="Cambria Math"/>
                            <w:i/>
                          </w:rPr>
                        </m:ctrlPr>
                      </m:sSubSupPr>
                      <m:e>
                        <m:r>
                          <w:rPr>
                            <w:rFonts w:ascii="Cambria Math" w:hAnsi="Cambria Math"/>
                          </w:rPr>
                          <m:t>(</m:t>
                        </m:r>
                        <m:r>
                          <w:rPr>
                            <w:rFonts w:ascii="Cambria Math" w:hAnsi="Cambria Math"/>
                            <w:lang w:val="en-US"/>
                          </w:rPr>
                          <m:t>BP</m:t>
                        </m:r>
                      </m:e>
                      <m:sub>
                        <m:r>
                          <w:rPr>
                            <w:rFonts w:ascii="Cambria Math" w:hAnsi="Cambria Math"/>
                          </w:rPr>
                          <m:t>it</m:t>
                        </m:r>
                      </m:sub>
                      <m:sup>
                        <m:r>
                          <w:rPr>
                            <w:rFonts w:ascii="Cambria Math" w:hAnsi="Cambria Math"/>
                          </w:rPr>
                          <m:t>RC</m:t>
                        </m:r>
                      </m:sup>
                    </m:sSubSup>
                    <m:r>
                      <w:rPr>
                        <w:rFonts w:ascii="Cambria Math" w:hAnsi="Cambria Math"/>
                      </w:rPr>
                      <m:t>-</m:t>
                    </m:r>
                    <m:sSubSup>
                      <m:sSubSupPr>
                        <m:ctrlPr>
                          <w:rPr>
                            <w:rFonts w:ascii="Cambria Math" w:hAnsi="Cambria Math"/>
                            <w:i/>
                          </w:rPr>
                        </m:ctrlPr>
                      </m:sSubSupPr>
                      <m:e>
                        <m:r>
                          <w:rPr>
                            <w:rFonts w:ascii="Cambria Math" w:hAnsi="Cambria Math"/>
                            <w:lang w:val="en-US"/>
                          </w:rPr>
                          <m:t>BP</m:t>
                        </m:r>
                      </m:e>
                      <m:sub>
                        <m:r>
                          <w:rPr>
                            <w:rFonts w:ascii="Cambria Math" w:hAnsi="Cambria Math"/>
                            <w:lang w:val="en-US"/>
                          </w:rPr>
                          <m:t>j</m:t>
                        </m:r>
                        <m:r>
                          <w:rPr>
                            <w:rFonts w:ascii="Cambria Math" w:hAnsi="Cambria Math"/>
                          </w:rPr>
                          <m:t>it</m:t>
                        </m:r>
                      </m:sub>
                      <m:sup>
                        <m:r>
                          <w:rPr>
                            <w:rFonts w:ascii="Cambria Math" w:hAnsi="Cambria Math"/>
                          </w:rPr>
                          <m:t>P</m:t>
                        </m:r>
                      </m:sup>
                    </m:sSubSup>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lang w:val="en-US"/>
                      </w:rPr>
                    </m:ctrlPr>
                  </m:sSupPr>
                  <m:e>
                    <m:r>
                      <w:rPr>
                        <w:rFonts w:ascii="Cambria Math" w:hAnsi="Cambria Math"/>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it</m:t>
                            </m:r>
                          </m:sub>
                          <m:sup>
                            <m:r>
                              <w:rPr>
                                <w:rFonts w:ascii="Cambria Math" w:hAnsi="Cambria Math"/>
                                <w:lang w:val="en-US"/>
                              </w:rPr>
                              <m:t>RC</m:t>
                            </m:r>
                          </m:sup>
                        </m:sSubSup>
                      </m:num>
                      <m:den>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i</m:t>
                            </m:r>
                            <m:d>
                              <m:dPr>
                                <m:ctrlPr>
                                  <w:rPr>
                                    <w:rFonts w:ascii="Cambria Math" w:hAnsi="Cambria Math"/>
                                    <w:i/>
                                    <w:lang w:val="en-US"/>
                                  </w:rPr>
                                </m:ctrlPr>
                              </m:dPr>
                              <m:e>
                                <m:r>
                                  <w:rPr>
                                    <w:rFonts w:ascii="Cambria Math" w:hAnsi="Cambria Math"/>
                                    <w:lang w:val="en-US"/>
                                  </w:rPr>
                                  <m:t>t</m:t>
                                </m:r>
                                <m:r>
                                  <w:rPr>
                                    <w:rFonts w:ascii="Cambria Math" w:hAnsi="Cambria Math"/>
                                  </w:rPr>
                                  <m:t>-1</m:t>
                                </m:r>
                              </m:e>
                            </m:d>
                          </m:sub>
                          <m:sup>
                            <m:r>
                              <w:rPr>
                                <w:rFonts w:ascii="Cambria Math" w:hAnsi="Cambria Math"/>
                                <w:lang w:val="en-US"/>
                              </w:rPr>
                              <m:t>RC</m:t>
                            </m:r>
                          </m:sup>
                        </m:sSubSup>
                      </m:den>
                    </m:f>
                    <m:r>
                      <w:rPr>
                        <w:rFonts w:ascii="Cambria Math" w:hAnsi="Cambria Math"/>
                      </w:rPr>
                      <m:t xml:space="preserve">- </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jit</m:t>
                            </m:r>
                          </m:sub>
                          <m:sup>
                            <m:r>
                              <w:rPr>
                                <w:rFonts w:ascii="Cambria Math" w:hAnsi="Cambria Math"/>
                                <w:lang w:val="en-US"/>
                              </w:rPr>
                              <m:t>P</m:t>
                            </m:r>
                          </m:sup>
                        </m:sSubSup>
                      </m:num>
                      <m:den>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ji</m:t>
                            </m:r>
                            <m:r>
                              <w:rPr>
                                <w:rFonts w:ascii="Cambria Math" w:hAnsi="Cambria Math"/>
                              </w:rPr>
                              <m:t>(</m:t>
                            </m:r>
                            <m:r>
                              <w:rPr>
                                <w:rFonts w:ascii="Cambria Math" w:hAnsi="Cambria Math"/>
                                <w:lang w:val="en-US"/>
                              </w:rPr>
                              <m:t>t</m:t>
                            </m:r>
                            <m:r>
                              <w:rPr>
                                <w:rFonts w:ascii="Cambria Math" w:hAnsi="Cambria Math"/>
                              </w:rPr>
                              <m:t>-1)</m:t>
                            </m:r>
                          </m:sub>
                          <m:sup>
                            <m:r>
                              <w:rPr>
                                <w:rFonts w:ascii="Cambria Math" w:hAnsi="Cambria Math"/>
                                <w:lang w:val="en-US"/>
                              </w:rPr>
                              <m:t>P</m:t>
                            </m:r>
                          </m:sup>
                        </m:sSubSup>
                      </m:den>
                    </m:f>
                    <m:r>
                      <w:rPr>
                        <w:rFonts w:ascii="Cambria Math" w:hAnsi="Cambria Math"/>
                      </w:rPr>
                      <m:t>)</m:t>
                    </m:r>
                  </m:e>
                  <m:sup>
                    <m:r>
                      <w:rPr>
                        <w:rFonts w:ascii="Cambria Math" w:hAnsi="Cambria Math"/>
                      </w:rPr>
                      <m:t>2</m:t>
                    </m:r>
                  </m:sup>
                </m:sSup>
                <m:r>
                  <w:rPr>
                    <w:rFonts w:ascii="Cambria Math" w:hAnsi="Cambria Math"/>
                  </w:rPr>
                  <m:t xml:space="preserve">] </m:t>
                </m:r>
              </m:e>
            </m:nary>
          </m:num>
          <m:den>
            <m:nary>
              <m:naryPr>
                <m:chr m:val="∑"/>
                <m:limLoc m:val="subSup"/>
                <m:supHide m:val="1"/>
                <m:ctrlPr>
                  <w:rPr>
                    <w:rFonts w:ascii="Cambria Math" w:hAnsi="Cambria Math"/>
                    <w:i/>
                  </w:rPr>
                </m:ctrlPr>
              </m:naryPr>
              <m:sub>
                <m:r>
                  <w:rPr>
                    <w:rFonts w:ascii="Cambria Math" w:hAnsi="Cambria Math"/>
                  </w:rPr>
                  <m:t>i</m:t>
                </m:r>
              </m:sub>
              <m:sup/>
              <m:e>
                <m:r>
                  <w:rPr>
                    <w:rFonts w:ascii="Cambria Math" w:hAnsi="Cambria Math"/>
                  </w:rPr>
                  <m:t>[</m:t>
                </m:r>
                <m:sSup>
                  <m:sSupPr>
                    <m:ctrlPr>
                      <w:rPr>
                        <w:rFonts w:ascii="Cambria Math" w:hAnsi="Cambria Math"/>
                        <w:i/>
                      </w:rPr>
                    </m:ctrlPr>
                  </m:sSupPr>
                  <m:e>
                    <m:sSubSup>
                      <m:sSubSupPr>
                        <m:ctrlPr>
                          <w:rPr>
                            <w:rFonts w:ascii="Cambria Math" w:hAnsi="Cambria Math"/>
                            <w:i/>
                          </w:rPr>
                        </m:ctrlPr>
                      </m:sSubSupPr>
                      <m:e>
                        <m:r>
                          <w:rPr>
                            <w:rFonts w:ascii="Cambria Math" w:hAnsi="Cambria Math"/>
                          </w:rPr>
                          <m:t>(</m:t>
                        </m:r>
                        <m:r>
                          <w:rPr>
                            <w:rFonts w:ascii="Cambria Math" w:hAnsi="Cambria Math"/>
                            <w:lang w:val="en-US"/>
                          </w:rPr>
                          <m:t>BP</m:t>
                        </m:r>
                      </m:e>
                      <m:sub>
                        <m:r>
                          <w:rPr>
                            <w:rFonts w:ascii="Cambria Math" w:hAnsi="Cambria Math"/>
                          </w:rPr>
                          <m:t>jit</m:t>
                        </m:r>
                      </m:sub>
                      <m:sup>
                        <m:r>
                          <w:rPr>
                            <w:rFonts w:ascii="Cambria Math" w:hAnsi="Cambria Math"/>
                          </w:rPr>
                          <m:t>P</m:t>
                        </m:r>
                      </m:sup>
                    </m:sSubSup>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f>
                      <m:fPr>
                        <m:ctrlPr>
                          <w:rPr>
                            <w:rFonts w:ascii="Cambria Math" w:hAnsi="Cambria Math"/>
                            <w:i/>
                            <w:lang w:val="en-US"/>
                          </w:rPr>
                        </m:ctrlPr>
                      </m:fPr>
                      <m:num>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jit</m:t>
                            </m:r>
                          </m:sub>
                          <m:sup>
                            <m:r>
                              <w:rPr>
                                <w:rFonts w:ascii="Cambria Math" w:hAnsi="Cambria Math"/>
                                <w:lang w:val="en-US"/>
                              </w:rPr>
                              <m:t>P</m:t>
                            </m:r>
                          </m:sup>
                        </m:sSubSup>
                      </m:num>
                      <m:den>
                        <m:sSubSup>
                          <m:sSubSupPr>
                            <m:ctrlPr>
                              <w:rPr>
                                <w:rFonts w:ascii="Cambria Math" w:hAnsi="Cambria Math"/>
                                <w:i/>
                                <w:lang w:val="en-US"/>
                              </w:rPr>
                            </m:ctrlPr>
                          </m:sSubSupPr>
                          <m:e>
                            <m:r>
                              <w:rPr>
                                <w:rFonts w:ascii="Cambria Math" w:hAnsi="Cambria Math"/>
                                <w:lang w:val="en-US"/>
                              </w:rPr>
                              <m:t>BP</m:t>
                            </m:r>
                          </m:e>
                          <m:sub>
                            <m:r>
                              <w:rPr>
                                <w:rFonts w:ascii="Cambria Math" w:hAnsi="Cambria Math"/>
                                <w:lang w:val="en-US"/>
                              </w:rPr>
                              <m:t>ji</m:t>
                            </m:r>
                            <m:r>
                              <w:rPr>
                                <w:rFonts w:ascii="Cambria Math" w:hAnsi="Cambria Math"/>
                              </w:rPr>
                              <m:t>(</m:t>
                            </m:r>
                            <m:r>
                              <w:rPr>
                                <w:rFonts w:ascii="Cambria Math" w:hAnsi="Cambria Math"/>
                                <w:lang w:val="en-US"/>
                              </w:rPr>
                              <m:t>t</m:t>
                            </m:r>
                            <m:r>
                              <w:rPr>
                                <w:rFonts w:ascii="Cambria Math" w:hAnsi="Cambria Math"/>
                              </w:rPr>
                              <m:t>-1)</m:t>
                            </m:r>
                          </m:sub>
                          <m:sup>
                            <m:r>
                              <w:rPr>
                                <w:rFonts w:ascii="Cambria Math" w:hAnsi="Cambria Math"/>
                                <w:lang w:val="en-US"/>
                              </w:rPr>
                              <m:t>P</m:t>
                            </m:r>
                          </m:sup>
                        </m:sSubSup>
                      </m:den>
                    </m:f>
                    <m:r>
                      <w:rPr>
                        <w:rFonts w:ascii="Cambria Math" w:hAnsi="Cambria Math"/>
                      </w:rPr>
                      <m:t>)</m:t>
                    </m:r>
                  </m:e>
                  <m:sup>
                    <m:r>
                      <w:rPr>
                        <w:rFonts w:ascii="Cambria Math" w:hAnsi="Cambria Math"/>
                      </w:rPr>
                      <m:t>2</m:t>
                    </m:r>
                  </m:sup>
                </m:sSup>
                <m:r>
                  <w:rPr>
                    <w:rFonts w:ascii="Cambria Math" w:hAnsi="Cambria Math"/>
                  </w:rPr>
                  <m:t xml:space="preserve"> ]</m:t>
                </m:r>
              </m:e>
            </m:nary>
          </m:den>
        </m:f>
      </m:oMath>
      <w:r w:rsidR="002747A7" w:rsidRPr="00921B05">
        <w:t>,</w:t>
      </w:r>
    </w:p>
    <w:p w:rsidR="002747A7" w:rsidRPr="00921B05" w:rsidRDefault="002747A7" w:rsidP="00921B05">
      <w:pPr>
        <w:ind w:firstLine="709"/>
        <w:jc w:val="both"/>
      </w:pPr>
      <w:r w:rsidRPr="00921B05">
        <w:t xml:space="preserve">где </w:t>
      </w:r>
      <m:oMath>
        <m:sSubSup>
          <m:sSubSupPr>
            <m:ctrlPr>
              <w:rPr>
                <w:rFonts w:ascii="Cambria Math" w:hAnsi="Cambria Math"/>
                <w:i/>
              </w:rPr>
            </m:ctrlPr>
          </m:sSubSupPr>
          <m:e>
            <m:r>
              <w:rPr>
                <w:rFonts w:ascii="Cambria Math" w:hAnsi="Cambria Math"/>
                <w:lang w:val="en-US"/>
              </w:rPr>
              <m:t>BP</m:t>
            </m:r>
          </m:e>
          <m:sub>
            <m:r>
              <w:rPr>
                <w:rFonts w:ascii="Cambria Math" w:hAnsi="Cambria Math"/>
              </w:rPr>
              <m:t>it</m:t>
            </m:r>
          </m:sub>
          <m:sup>
            <m:r>
              <w:rPr>
                <w:rFonts w:ascii="Cambria Math" w:hAnsi="Cambria Math"/>
              </w:rPr>
              <m:t>RC</m:t>
            </m:r>
          </m:sup>
        </m:sSubSup>
      </m:oMath>
      <w:r w:rsidRPr="00921B05">
        <w:t xml:space="preserve"> – среднедушевой уровень бюджетной обеспеченности населения регионального центра </w:t>
      </w:r>
      <w:r w:rsidRPr="00921B05">
        <w:rPr>
          <w:i/>
          <w:lang w:val="en-US"/>
        </w:rPr>
        <w:t>i</w:t>
      </w:r>
      <w:r w:rsidRPr="00921B05">
        <w:t xml:space="preserve"> собственными доходами в году </w:t>
      </w:r>
      <w:r w:rsidRPr="00921B05">
        <w:rPr>
          <w:i/>
          <w:lang w:val="en-US"/>
        </w:rPr>
        <w:t>t</w:t>
      </w:r>
      <w:r w:rsidRPr="00921B05">
        <w:t>;</w:t>
      </w:r>
    </w:p>
    <w:p w:rsidR="002747A7" w:rsidRPr="00921B05" w:rsidRDefault="00573C7C" w:rsidP="00921B05">
      <w:pPr>
        <w:ind w:firstLine="709"/>
        <w:jc w:val="both"/>
      </w:pPr>
      <m:oMath>
        <m:sSubSup>
          <m:sSubSupPr>
            <m:ctrlPr>
              <w:rPr>
                <w:rFonts w:ascii="Cambria Math" w:hAnsi="Cambria Math"/>
                <w:i/>
              </w:rPr>
            </m:ctrlPr>
          </m:sSubSupPr>
          <m:e>
            <m:r>
              <w:rPr>
                <w:rFonts w:ascii="Cambria Math" w:hAnsi="Cambria Math"/>
                <w:lang w:val="en-US"/>
              </w:rPr>
              <m:t>BP</m:t>
            </m:r>
          </m:e>
          <m:sub>
            <m:r>
              <w:rPr>
                <w:rFonts w:ascii="Cambria Math" w:hAnsi="Cambria Math"/>
              </w:rPr>
              <m:t>it</m:t>
            </m:r>
          </m:sub>
          <m:sup>
            <m:r>
              <w:rPr>
                <w:rFonts w:ascii="Cambria Math" w:hAnsi="Cambria Math"/>
              </w:rPr>
              <m:t>P</m:t>
            </m:r>
          </m:sup>
        </m:sSubSup>
      </m:oMath>
      <w:r w:rsidR="002747A7" w:rsidRPr="00921B05">
        <w:t xml:space="preserve"> – среднедушевой уровень бюджетной обеспеченности населения региона </w:t>
      </w:r>
      <w:r w:rsidR="002747A7" w:rsidRPr="00921B05">
        <w:rPr>
          <w:i/>
          <w:lang w:val="en-US"/>
        </w:rPr>
        <w:t>j</w:t>
      </w:r>
      <w:r w:rsidR="002747A7" w:rsidRPr="00921B05">
        <w:t xml:space="preserve"> без регионального центра </w:t>
      </w:r>
      <w:r w:rsidR="002747A7" w:rsidRPr="00921B05">
        <w:rPr>
          <w:i/>
          <w:lang w:val="en-US"/>
        </w:rPr>
        <w:t>i</w:t>
      </w:r>
      <w:r w:rsidR="002747A7" w:rsidRPr="00921B05">
        <w:t xml:space="preserve"> собственными доходами в году </w:t>
      </w:r>
      <w:r w:rsidR="002747A7" w:rsidRPr="00921B05">
        <w:rPr>
          <w:i/>
          <w:lang w:val="en-US"/>
        </w:rPr>
        <w:t>t</w:t>
      </w:r>
      <w:r w:rsidR="002747A7" w:rsidRPr="00921B05">
        <w:t>;</w:t>
      </w:r>
    </w:p>
    <w:p w:rsidR="002747A7" w:rsidRPr="00921B05" w:rsidRDefault="00573C7C" w:rsidP="00921B05">
      <w:pPr>
        <w:ind w:firstLine="709"/>
        <w:jc w:val="both"/>
      </w:pPr>
      <m:oMath>
        <m:sSubSup>
          <m:sSubSupPr>
            <m:ctrlPr>
              <w:rPr>
                <w:rFonts w:ascii="Cambria Math" w:hAnsi="Cambria Math"/>
                <w:i/>
              </w:rPr>
            </m:ctrlPr>
          </m:sSubSupPr>
          <m:e>
            <m:r>
              <w:rPr>
                <w:rFonts w:ascii="Cambria Math" w:hAnsi="Cambria Math"/>
                <w:lang w:val="en-US"/>
              </w:rPr>
              <m:t>BP</m:t>
            </m:r>
          </m:e>
          <m:sub>
            <m:r>
              <w:rPr>
                <w:rFonts w:ascii="Cambria Math" w:hAnsi="Cambria Math"/>
              </w:rPr>
              <m:t>i(t-1)</m:t>
            </m:r>
          </m:sub>
          <m:sup>
            <m:r>
              <w:rPr>
                <w:rFonts w:ascii="Cambria Math" w:hAnsi="Cambria Math"/>
              </w:rPr>
              <m:t>RC</m:t>
            </m:r>
          </m:sup>
        </m:sSubSup>
      </m:oMath>
      <w:r w:rsidR="002747A7" w:rsidRPr="00921B05">
        <w:t xml:space="preserve"> – среднедушевой уровень бюджетной обеспеченности населения регионального центра </w:t>
      </w:r>
      <w:r w:rsidR="002747A7" w:rsidRPr="00921B05">
        <w:rPr>
          <w:i/>
          <w:lang w:val="en-US"/>
        </w:rPr>
        <w:t>i</w:t>
      </w:r>
      <w:r w:rsidR="002747A7" w:rsidRPr="00921B05">
        <w:t xml:space="preserve"> собственными доходами в году </w:t>
      </w:r>
      <w:r w:rsidR="002747A7" w:rsidRPr="00921B05">
        <w:rPr>
          <w:i/>
          <w:lang w:val="en-US"/>
        </w:rPr>
        <w:t>t</w:t>
      </w:r>
      <w:r w:rsidR="002747A7" w:rsidRPr="00921B05">
        <w:rPr>
          <w:i/>
        </w:rPr>
        <w:t>-1</w:t>
      </w:r>
      <w:r w:rsidR="002747A7" w:rsidRPr="00921B05">
        <w:t>;</w:t>
      </w:r>
    </w:p>
    <w:p w:rsidR="002747A7" w:rsidRPr="00921B05" w:rsidRDefault="00573C7C" w:rsidP="00921B05">
      <w:pPr>
        <w:ind w:firstLine="709"/>
        <w:jc w:val="both"/>
      </w:pPr>
      <m:oMath>
        <m:sSubSup>
          <m:sSubSupPr>
            <m:ctrlPr>
              <w:rPr>
                <w:rFonts w:ascii="Cambria Math" w:hAnsi="Cambria Math"/>
                <w:i/>
              </w:rPr>
            </m:ctrlPr>
          </m:sSubSupPr>
          <m:e>
            <m:r>
              <w:rPr>
                <w:rFonts w:ascii="Cambria Math" w:hAnsi="Cambria Math"/>
                <w:lang w:val="en-US"/>
              </w:rPr>
              <m:t>BP</m:t>
            </m:r>
          </m:e>
          <m:sub>
            <m:r>
              <w:rPr>
                <w:rFonts w:ascii="Cambria Math" w:hAnsi="Cambria Math"/>
              </w:rPr>
              <m:t>i(</m:t>
            </m:r>
            <m:r>
              <w:rPr>
                <w:rFonts w:ascii="Cambria Math" w:hAnsi="Cambria Math"/>
                <w:lang w:val="en-US"/>
              </w:rPr>
              <m:t>t</m:t>
            </m:r>
            <m:r>
              <w:rPr>
                <w:rFonts w:ascii="Cambria Math" w:hAnsi="Cambria Math"/>
              </w:rPr>
              <m:t>-1)</m:t>
            </m:r>
          </m:sub>
          <m:sup>
            <m:r>
              <w:rPr>
                <w:rFonts w:ascii="Cambria Math" w:hAnsi="Cambria Math"/>
              </w:rPr>
              <m:t>P</m:t>
            </m:r>
          </m:sup>
        </m:sSubSup>
      </m:oMath>
      <w:r w:rsidR="002747A7" w:rsidRPr="00921B05">
        <w:t xml:space="preserve"> – среднедушевой уровень бюджетной обеспеченности населения региона </w:t>
      </w:r>
      <w:r w:rsidR="002747A7" w:rsidRPr="00921B05">
        <w:rPr>
          <w:i/>
          <w:lang w:val="en-US"/>
        </w:rPr>
        <w:t>j</w:t>
      </w:r>
      <w:r w:rsidR="002747A7" w:rsidRPr="00921B05">
        <w:t xml:space="preserve"> без регионального центра </w:t>
      </w:r>
      <w:r w:rsidR="002747A7" w:rsidRPr="00921B05">
        <w:rPr>
          <w:i/>
          <w:lang w:val="en-US"/>
        </w:rPr>
        <w:t>i</w:t>
      </w:r>
      <w:r w:rsidR="002747A7" w:rsidRPr="00921B05">
        <w:t xml:space="preserve"> собственными доходами в году </w:t>
      </w:r>
      <w:r w:rsidR="002747A7" w:rsidRPr="00921B05">
        <w:rPr>
          <w:i/>
          <w:lang w:val="en-US"/>
        </w:rPr>
        <w:t>t</w:t>
      </w:r>
      <w:r w:rsidR="002747A7" w:rsidRPr="00921B05">
        <w:rPr>
          <w:i/>
        </w:rPr>
        <w:t>-1</w:t>
      </w:r>
      <w:r w:rsidR="002747A7" w:rsidRPr="00921B05">
        <w:t>.</w:t>
      </w:r>
    </w:p>
    <w:p w:rsidR="002747A7" w:rsidRPr="00921B05" w:rsidRDefault="002747A7" w:rsidP="00921B05">
      <w:pPr>
        <w:ind w:firstLine="708"/>
        <w:jc w:val="both"/>
      </w:pPr>
      <w:r w:rsidRPr="00921B05">
        <w:t xml:space="preserve">Интерпретация значений Индекса в динамическом ряду означает усиление </w:t>
      </w:r>
      <w:proofErr w:type="spellStart"/>
      <w:r w:rsidRPr="00921B05">
        <w:t>центрорегиональной</w:t>
      </w:r>
      <w:proofErr w:type="spellEnd"/>
      <w:r w:rsidRPr="00921B05">
        <w:t xml:space="preserve"> дифференциации при его росте и ослабление </w:t>
      </w:r>
      <w:proofErr w:type="spellStart"/>
      <w:r w:rsidRPr="00921B05">
        <w:t>центрорегиональной</w:t>
      </w:r>
      <w:proofErr w:type="spellEnd"/>
      <w:r w:rsidRPr="00921B05">
        <w:t xml:space="preserve"> дифференциации при снижении. Графическая расшифровка Индекса выглядит в виде кривой, приближение которой к оси абсцисс Х свидетельствует о </w:t>
      </w:r>
      <w:proofErr w:type="spellStart"/>
      <w:r w:rsidRPr="00921B05">
        <w:t>конвергенционном</w:t>
      </w:r>
      <w:proofErr w:type="spellEnd"/>
      <w:r w:rsidRPr="00921B05">
        <w:t xml:space="preserve"> процессе и выравнивании уровней бюджетных потенциалов в ущерб стимулированию его развития. Мониторинг Индекса позволит органам управления количественно очертить пределы и динамику </w:t>
      </w:r>
      <w:proofErr w:type="spellStart"/>
      <w:r w:rsidRPr="00921B05">
        <w:t>центрорегиональной</w:t>
      </w:r>
      <w:proofErr w:type="spellEnd"/>
      <w:r w:rsidRPr="00921B05">
        <w:t xml:space="preserve"> дифференциации. Предполагается, что важным шагом при обосновании применения инструментов бюджетного перераспределения должно стать разделение пределов </w:t>
      </w:r>
      <w:proofErr w:type="spellStart"/>
      <w:r w:rsidRPr="00921B05">
        <w:t>центрорегиональной</w:t>
      </w:r>
      <w:proofErr w:type="spellEnd"/>
      <w:r w:rsidRPr="00921B05">
        <w:t xml:space="preserve"> дифференциации на интервалы </w:t>
      </w:r>
      <w:r w:rsidRPr="00921B05">
        <w:lastRenderedPageBreak/>
        <w:t xml:space="preserve">соответствия тем или иным стратегическим приоритетам. Кроме того, проведение измерений на всех российских регионах (за исключением в силу специфики Москвы, Санкт-Петербурга, Севастополя, Ленинградской и Московской областей, Ненецкого автономного округа) позволит провести </w:t>
      </w:r>
      <w:proofErr w:type="spellStart"/>
      <w:r w:rsidRPr="00921B05">
        <w:t>типологизацию</w:t>
      </w:r>
      <w:proofErr w:type="spellEnd"/>
      <w:r w:rsidRPr="00921B05">
        <w:t xml:space="preserve"> регионов. Данный вопрос требует проведения дополнительных изысканий и расчетов, поэтому станет предметом наших будущих исследований.</w:t>
      </w:r>
    </w:p>
    <w:p w:rsidR="002747A7" w:rsidRPr="00921B05" w:rsidRDefault="002747A7" w:rsidP="00921B05">
      <w:pPr>
        <w:ind w:firstLine="708"/>
        <w:jc w:val="both"/>
      </w:pPr>
      <w:r w:rsidRPr="00921B05">
        <w:t xml:space="preserve">В рамках текущего этапа работы проведена апробация разработанного методического инструментария измерения </w:t>
      </w:r>
      <w:proofErr w:type="spellStart"/>
      <w:r w:rsidRPr="00921B05">
        <w:t>центрорегиональной</w:t>
      </w:r>
      <w:proofErr w:type="spellEnd"/>
      <w:r w:rsidRPr="00921B05">
        <w:t xml:space="preserve"> дифференциации по уровню бюджетной обеспеченности на примере Вологодской области как типичного региона Российской Федерации по большинству индикаторов социально-экономического развития, </w:t>
      </w:r>
      <w:proofErr w:type="gramStart"/>
      <w:r w:rsidRPr="00921B05">
        <w:t>который</w:t>
      </w:r>
      <w:proofErr w:type="gramEnd"/>
      <w:r w:rsidRPr="00921B05">
        <w:t>, как уже отмечалось, в числе пилотных регионов в 2006 году перешел к реализации реформы местного самоуправления. Расчет значений Индекса выявил заметную тенденцию к падению его кривой, что указывает на сближение уровней бюджетной обеспеченности регионального центра и периферии (рис. </w:t>
      </w:r>
      <w:r w:rsidR="00921B05">
        <w:t>1</w:t>
      </w:r>
      <w:r w:rsidRPr="00921B05">
        <w:t xml:space="preserve">). </w:t>
      </w:r>
    </w:p>
    <w:p w:rsidR="002747A7" w:rsidRPr="00921B05" w:rsidRDefault="002747A7" w:rsidP="00921B05">
      <w:pPr>
        <w:jc w:val="both"/>
      </w:pPr>
      <w:r w:rsidRPr="00921B05">
        <w:rPr>
          <w:noProof/>
        </w:rPr>
        <w:drawing>
          <wp:inline distT="0" distB="0" distL="0" distR="0" wp14:anchorId="48E3BA76" wp14:editId="63750CC5">
            <wp:extent cx="5762625" cy="295275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747A7" w:rsidRPr="00921B05" w:rsidRDefault="002747A7" w:rsidP="00921B05">
      <w:pPr>
        <w:jc w:val="center"/>
      </w:pPr>
      <w:r w:rsidRPr="00921B05">
        <w:t xml:space="preserve">Рис. </w:t>
      </w:r>
      <w:r w:rsidR="00921B05">
        <w:t>1</w:t>
      </w:r>
      <w:r w:rsidRPr="00921B05">
        <w:t xml:space="preserve">. </w:t>
      </w:r>
      <w:r w:rsidRPr="00921B05">
        <w:rPr>
          <w:b/>
        </w:rPr>
        <w:t xml:space="preserve">Кривая индекса </w:t>
      </w:r>
      <w:proofErr w:type="spellStart"/>
      <w:r w:rsidRPr="00921B05">
        <w:rPr>
          <w:b/>
        </w:rPr>
        <w:t>центрорегиональной</w:t>
      </w:r>
      <w:proofErr w:type="spellEnd"/>
      <w:r w:rsidRPr="00921B05">
        <w:rPr>
          <w:b/>
        </w:rPr>
        <w:t xml:space="preserve"> дифференциации по уровню бюджетной обеспеченности </w:t>
      </w:r>
      <w:r w:rsidRPr="00921B05">
        <w:t>(рассчитано автором на примере Вологодской области)</w:t>
      </w:r>
    </w:p>
    <w:p w:rsidR="002747A7" w:rsidRPr="00921B05" w:rsidRDefault="002747A7" w:rsidP="00921B05">
      <w:pPr>
        <w:ind w:firstLine="708"/>
        <w:jc w:val="both"/>
      </w:pPr>
    </w:p>
    <w:p w:rsidR="002747A7" w:rsidRDefault="002747A7" w:rsidP="00921B05">
      <w:pPr>
        <w:ind w:firstLine="708"/>
        <w:jc w:val="both"/>
      </w:pPr>
      <w:r w:rsidRPr="00921B05">
        <w:t xml:space="preserve">Исследование эмпирических данных на рисунке </w:t>
      </w:r>
      <w:r w:rsidR="00921B05">
        <w:t>1</w:t>
      </w:r>
      <w:r w:rsidRPr="00921B05">
        <w:t xml:space="preserve"> демонстрирует резкое падение кривой индекса в 2006 году, когда Вологодская область в числе других пилотных регионов, приступила к реализации организационной и финансовой реформы основ местного самоуправления. Детальные оценки данного процесса, а также его сравнительные расчеты на других российских регионах будут осуществлены на следующих этапах исследования.</w:t>
      </w:r>
    </w:p>
    <w:p w:rsidR="00921B05" w:rsidRPr="00921B05" w:rsidRDefault="00921B05" w:rsidP="00921B05">
      <w:pPr>
        <w:ind w:firstLine="708"/>
        <w:jc w:val="both"/>
      </w:pPr>
      <w:r>
        <w:t>Таким образом, современная государственная региональная политика в области внутрирегионального перераспределения бюджетных ресурсов с точки зрения развития бюджетного потенциала всего региона должна соответствовать принципу обоснованности, который свидетельствует о подкреплении тех или иных бюджетных перераспределений научно-методическим инструментарием.</w:t>
      </w:r>
    </w:p>
    <w:p w:rsidR="009D5CF2" w:rsidRDefault="009D5CF2" w:rsidP="00921B05"/>
    <w:p w:rsidR="00921B05" w:rsidRPr="00921B05" w:rsidRDefault="00921B05" w:rsidP="00921B05">
      <w:pPr>
        <w:jc w:val="center"/>
      </w:pPr>
      <w:r w:rsidRPr="00921B05">
        <w:rPr>
          <w:b/>
        </w:rPr>
        <w:t>Библиографический список</w:t>
      </w:r>
    </w:p>
    <w:p w:rsidR="00921B05" w:rsidRPr="00921B05" w:rsidRDefault="00921B05" w:rsidP="00921B05">
      <w:pPr>
        <w:pStyle w:val="a3"/>
        <w:numPr>
          <w:ilvl w:val="0"/>
          <w:numId w:val="1"/>
        </w:numPr>
        <w:ind w:left="0" w:firstLine="709"/>
        <w:jc w:val="both"/>
        <w:textAlignment w:val="baseline"/>
        <w:rPr>
          <w:rFonts w:ascii="Times New Roman" w:hAnsi="Times New Roman"/>
        </w:rPr>
      </w:pPr>
      <w:r w:rsidRPr="00921B05">
        <w:rPr>
          <w:rFonts w:ascii="Times New Roman" w:hAnsi="Times New Roman"/>
        </w:rPr>
        <w:t>Михеева Н.Н. Факторы роста российских регионов: адаптация к новым условиям // Регион: экономика и социология. 2017. № 4. С. 151–176.</w:t>
      </w:r>
    </w:p>
    <w:p w:rsidR="00921B05" w:rsidRPr="00921B05" w:rsidRDefault="00921B05" w:rsidP="00921B05">
      <w:pPr>
        <w:pStyle w:val="a3"/>
        <w:numPr>
          <w:ilvl w:val="0"/>
          <w:numId w:val="1"/>
        </w:numPr>
        <w:ind w:left="0" w:firstLine="709"/>
        <w:jc w:val="both"/>
        <w:textAlignment w:val="baseline"/>
        <w:rPr>
          <w:rFonts w:ascii="Times New Roman" w:hAnsi="Times New Roman"/>
          <w:lang w:val="en-US"/>
        </w:rPr>
      </w:pPr>
      <w:r w:rsidRPr="00921B05">
        <w:rPr>
          <w:rFonts w:ascii="Times New Roman" w:hAnsi="Times New Roman"/>
          <w:lang w:val="en-US"/>
        </w:rPr>
        <w:t xml:space="preserve">Fujita M., </w:t>
      </w:r>
      <w:proofErr w:type="spellStart"/>
      <w:r w:rsidRPr="00921B05">
        <w:rPr>
          <w:rFonts w:ascii="Times New Roman" w:hAnsi="Times New Roman"/>
          <w:lang w:val="en-US"/>
        </w:rPr>
        <w:t>Krugman</w:t>
      </w:r>
      <w:proofErr w:type="spellEnd"/>
      <w:r w:rsidRPr="00921B05">
        <w:rPr>
          <w:rFonts w:ascii="Times New Roman" w:hAnsi="Times New Roman"/>
          <w:lang w:val="en-US"/>
        </w:rPr>
        <w:t xml:space="preserve"> P., </w:t>
      </w:r>
      <w:proofErr w:type="spellStart"/>
      <w:r w:rsidRPr="00921B05">
        <w:rPr>
          <w:rFonts w:ascii="Times New Roman" w:hAnsi="Times New Roman"/>
          <w:lang w:val="en-US"/>
        </w:rPr>
        <w:t>Venables</w:t>
      </w:r>
      <w:proofErr w:type="spellEnd"/>
      <w:r w:rsidRPr="00921B05">
        <w:rPr>
          <w:rFonts w:ascii="Times New Roman" w:hAnsi="Times New Roman"/>
          <w:lang w:val="en-US"/>
        </w:rPr>
        <w:t xml:space="preserve"> F.J. The Spatial Economy: Cities, Regions and International Trade. Cambridge (Mass.), 2000. </w:t>
      </w:r>
    </w:p>
    <w:p w:rsidR="00921B05" w:rsidRPr="00921B05" w:rsidRDefault="00921B05" w:rsidP="00921B05">
      <w:pPr>
        <w:pStyle w:val="a3"/>
        <w:numPr>
          <w:ilvl w:val="0"/>
          <w:numId w:val="1"/>
        </w:numPr>
        <w:ind w:left="0" w:firstLine="709"/>
        <w:jc w:val="both"/>
        <w:textAlignment w:val="baseline"/>
        <w:rPr>
          <w:rFonts w:ascii="Times New Roman" w:hAnsi="Times New Roman"/>
        </w:rPr>
      </w:pPr>
      <w:proofErr w:type="spellStart"/>
      <w:r w:rsidRPr="00921B05">
        <w:rPr>
          <w:rFonts w:ascii="Times New Roman" w:hAnsi="Times New Roman"/>
        </w:rPr>
        <w:lastRenderedPageBreak/>
        <w:t>Зубаревич</w:t>
      </w:r>
      <w:proofErr w:type="spellEnd"/>
      <w:r w:rsidRPr="00921B05">
        <w:rPr>
          <w:rFonts w:ascii="Times New Roman" w:hAnsi="Times New Roman"/>
        </w:rPr>
        <w:t xml:space="preserve"> Н.В. Города как центры модернизации экономики и человеческого капитала // Общественные науки и современность. 2010. № 5. С. 5–19.</w:t>
      </w:r>
    </w:p>
    <w:p w:rsidR="00921B05" w:rsidRPr="00921B05" w:rsidRDefault="00921B05" w:rsidP="00921B05">
      <w:pPr>
        <w:pStyle w:val="a3"/>
        <w:numPr>
          <w:ilvl w:val="0"/>
          <w:numId w:val="1"/>
        </w:numPr>
        <w:ind w:left="0" w:firstLine="709"/>
        <w:jc w:val="both"/>
        <w:textAlignment w:val="baseline"/>
        <w:rPr>
          <w:rFonts w:ascii="Times New Roman" w:hAnsi="Times New Roman"/>
        </w:rPr>
      </w:pPr>
      <w:r w:rsidRPr="00921B05">
        <w:rPr>
          <w:rFonts w:ascii="Times New Roman" w:hAnsi="Times New Roman"/>
        </w:rPr>
        <w:t>Коломак Е. Неравномерное пространственное развитие в России: объяснения новой экономической географии // Вопросы экономики. 2013. № 2. С. 132–150.</w:t>
      </w:r>
    </w:p>
    <w:p w:rsidR="00921B05" w:rsidRPr="00921B05" w:rsidRDefault="00921B05" w:rsidP="00921B05">
      <w:pPr>
        <w:pStyle w:val="ab"/>
        <w:numPr>
          <w:ilvl w:val="0"/>
          <w:numId w:val="1"/>
        </w:numPr>
        <w:ind w:left="0" w:firstLine="709"/>
        <w:jc w:val="both"/>
        <w:rPr>
          <w:sz w:val="24"/>
        </w:rPr>
      </w:pPr>
      <w:r w:rsidRPr="00921B05">
        <w:rPr>
          <w:sz w:val="24"/>
        </w:rPr>
        <w:t xml:space="preserve">Ворошилов Н.В., Губанова Е.С. </w:t>
      </w:r>
      <w:proofErr w:type="spellStart"/>
      <w:r w:rsidRPr="00921B05">
        <w:rPr>
          <w:sz w:val="24"/>
        </w:rPr>
        <w:t>Внутрирегиональная</w:t>
      </w:r>
      <w:proofErr w:type="spellEnd"/>
      <w:r w:rsidRPr="00921B05">
        <w:rPr>
          <w:sz w:val="24"/>
        </w:rPr>
        <w:t xml:space="preserve"> социально-экономическая дифференциация. Вологда. 2019.  187 с. </w:t>
      </w:r>
    </w:p>
    <w:p w:rsidR="00921B05" w:rsidRPr="00921B05" w:rsidRDefault="00921B05" w:rsidP="00921B05">
      <w:pPr>
        <w:pStyle w:val="ab"/>
        <w:numPr>
          <w:ilvl w:val="0"/>
          <w:numId w:val="1"/>
        </w:numPr>
        <w:ind w:left="0" w:firstLine="709"/>
        <w:jc w:val="both"/>
        <w:rPr>
          <w:sz w:val="24"/>
        </w:rPr>
      </w:pPr>
      <w:proofErr w:type="spellStart"/>
      <w:r w:rsidRPr="00921B05">
        <w:rPr>
          <w:sz w:val="24"/>
        </w:rPr>
        <w:t>Евченко</w:t>
      </w:r>
      <w:proofErr w:type="spellEnd"/>
      <w:r w:rsidRPr="00921B05">
        <w:rPr>
          <w:sz w:val="24"/>
        </w:rPr>
        <w:t xml:space="preserve"> А.В., Столбов А.Г. Управление экономическим и социальным развитием субъекта Федерации с учетом </w:t>
      </w:r>
      <w:proofErr w:type="spellStart"/>
      <w:r w:rsidRPr="00921B05">
        <w:rPr>
          <w:sz w:val="24"/>
        </w:rPr>
        <w:t>внутрирегиональной</w:t>
      </w:r>
      <w:proofErr w:type="spellEnd"/>
      <w:r w:rsidRPr="00921B05">
        <w:rPr>
          <w:sz w:val="24"/>
        </w:rPr>
        <w:t xml:space="preserve"> асимметрии: теория и практика. Апатиты: КНЦ РАН, 2006. 245 с. </w:t>
      </w:r>
    </w:p>
    <w:p w:rsidR="00921B05" w:rsidRPr="00921B05" w:rsidRDefault="00921B05" w:rsidP="00921B05">
      <w:pPr>
        <w:pStyle w:val="ab"/>
        <w:numPr>
          <w:ilvl w:val="0"/>
          <w:numId w:val="1"/>
        </w:numPr>
        <w:ind w:left="0" w:firstLine="709"/>
        <w:jc w:val="both"/>
        <w:rPr>
          <w:sz w:val="24"/>
        </w:rPr>
      </w:pPr>
      <w:r w:rsidRPr="00921B05">
        <w:rPr>
          <w:sz w:val="24"/>
        </w:rPr>
        <w:t xml:space="preserve">Александрова А., Гришина Е. Неравномерность развития муниципальных образований // Вопросы экономики. 2005. № 8. С. 97-105. </w:t>
      </w:r>
    </w:p>
    <w:p w:rsidR="00921B05" w:rsidRPr="00921B05" w:rsidRDefault="00921B05" w:rsidP="00921B05">
      <w:pPr>
        <w:pStyle w:val="ab"/>
        <w:numPr>
          <w:ilvl w:val="0"/>
          <w:numId w:val="1"/>
        </w:numPr>
        <w:ind w:left="0" w:firstLine="709"/>
        <w:jc w:val="both"/>
        <w:rPr>
          <w:sz w:val="24"/>
        </w:rPr>
      </w:pPr>
      <w:proofErr w:type="spellStart"/>
      <w:r w:rsidRPr="00921B05">
        <w:rPr>
          <w:sz w:val="24"/>
        </w:rPr>
        <w:t>Тургель</w:t>
      </w:r>
      <w:proofErr w:type="spellEnd"/>
      <w:r w:rsidRPr="00921B05">
        <w:rPr>
          <w:sz w:val="24"/>
        </w:rPr>
        <w:t xml:space="preserve"> И.Д., </w:t>
      </w:r>
      <w:proofErr w:type="spellStart"/>
      <w:r w:rsidRPr="00921B05">
        <w:rPr>
          <w:sz w:val="24"/>
        </w:rPr>
        <w:t>Победин</w:t>
      </w:r>
      <w:proofErr w:type="spellEnd"/>
      <w:r w:rsidRPr="00921B05">
        <w:rPr>
          <w:sz w:val="24"/>
        </w:rPr>
        <w:t xml:space="preserve"> А.А. Территориальная дифференциация социально-экономического развития муниципальных образований в субъекте Российской Федерации: опыт вариационного анализа (на примере Свердловской области) // Региональная экономика: теория и практика. 2007. № 12. С. 12-23. </w:t>
      </w:r>
    </w:p>
    <w:p w:rsidR="00921B05" w:rsidRPr="00921B05" w:rsidRDefault="00921B05" w:rsidP="00921B05">
      <w:pPr>
        <w:pStyle w:val="a3"/>
        <w:numPr>
          <w:ilvl w:val="0"/>
          <w:numId w:val="1"/>
        </w:numPr>
        <w:ind w:left="0" w:firstLine="709"/>
        <w:jc w:val="both"/>
        <w:textAlignment w:val="baseline"/>
        <w:rPr>
          <w:rFonts w:ascii="Times New Roman" w:hAnsi="Times New Roman"/>
        </w:rPr>
      </w:pPr>
      <w:proofErr w:type="spellStart"/>
      <w:r w:rsidRPr="00921B05">
        <w:rPr>
          <w:rFonts w:ascii="Times New Roman" w:hAnsi="Times New Roman"/>
        </w:rPr>
        <w:t>Буфетова</w:t>
      </w:r>
      <w:proofErr w:type="spellEnd"/>
      <w:r w:rsidRPr="00921B05">
        <w:rPr>
          <w:rFonts w:ascii="Times New Roman" w:hAnsi="Times New Roman"/>
        </w:rPr>
        <w:t xml:space="preserve"> А.Н. Неравномерность пространственного развития: региональные центры и региональная периферия // Регион: экономика и социология. 2009. № 4. С. 55-68.</w:t>
      </w:r>
    </w:p>
    <w:p w:rsidR="00921B05" w:rsidRDefault="00921B05" w:rsidP="00921B05"/>
    <w:p w:rsidR="00650215" w:rsidRPr="008B3B46" w:rsidRDefault="00650215" w:rsidP="00650215">
      <w:pPr>
        <w:ind w:firstLine="709"/>
        <w:jc w:val="center"/>
        <w:rPr>
          <w:b/>
        </w:rPr>
      </w:pPr>
      <w:r w:rsidRPr="008B3B46">
        <w:rPr>
          <w:b/>
        </w:rPr>
        <w:t>Информация об авторе</w:t>
      </w:r>
    </w:p>
    <w:p w:rsidR="00650215" w:rsidRPr="003B6C71" w:rsidRDefault="00650215" w:rsidP="00650215">
      <w:pPr>
        <w:jc w:val="both"/>
      </w:pPr>
      <w:proofErr w:type="spellStart"/>
      <w:r w:rsidRPr="003B6C71">
        <w:t>Печенская</w:t>
      </w:r>
      <w:proofErr w:type="spellEnd"/>
      <w:r w:rsidRPr="003B6C71">
        <w:t xml:space="preserve">-Полищук Мария Александровна – кандидат экономических наук, заведующий лабораторией, старший научный сотрудник ФГБУН </w:t>
      </w:r>
      <w:proofErr w:type="spellStart"/>
      <w:r w:rsidRPr="003B6C71">
        <w:t>ВолНЦ</w:t>
      </w:r>
      <w:proofErr w:type="spellEnd"/>
      <w:r w:rsidRPr="003B6C71">
        <w:t xml:space="preserve"> РАН, </w:t>
      </w:r>
      <w:proofErr w:type="spellStart"/>
      <w:r w:rsidRPr="00714EAE">
        <w:rPr>
          <w:lang w:val="en-US"/>
        </w:rPr>
        <w:t>marileen</w:t>
      </w:r>
      <w:proofErr w:type="spellEnd"/>
      <w:r w:rsidRPr="00714EAE">
        <w:t>@</w:t>
      </w:r>
      <w:proofErr w:type="spellStart"/>
      <w:r w:rsidRPr="00714EAE">
        <w:rPr>
          <w:lang w:val="en-US"/>
        </w:rPr>
        <w:t>bk</w:t>
      </w:r>
      <w:proofErr w:type="spellEnd"/>
      <w:r w:rsidRPr="00714EAE">
        <w:t>.</w:t>
      </w:r>
      <w:proofErr w:type="spellStart"/>
      <w:r w:rsidRPr="00714EAE">
        <w:rPr>
          <w:lang w:val="en-US"/>
        </w:rPr>
        <w:t>ru</w:t>
      </w:r>
      <w:proofErr w:type="spellEnd"/>
    </w:p>
    <w:p w:rsidR="00921B05" w:rsidRDefault="00921B05" w:rsidP="00921B05"/>
    <w:p w:rsidR="00650215" w:rsidRPr="00D02D98" w:rsidRDefault="00650215" w:rsidP="0065021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color w:val="222222"/>
          <w:lang w:val="en-US"/>
        </w:rPr>
      </w:pPr>
      <w:proofErr w:type="spellStart"/>
      <w:r w:rsidRPr="00714EAE">
        <w:rPr>
          <w:b/>
          <w:color w:val="222222"/>
          <w:lang w:val="en"/>
        </w:rPr>
        <w:t>Pechenskaya</w:t>
      </w:r>
      <w:proofErr w:type="spellEnd"/>
      <w:r w:rsidRPr="00D02D98">
        <w:rPr>
          <w:b/>
          <w:color w:val="222222"/>
          <w:lang w:val="en-US"/>
        </w:rPr>
        <w:t>-</w:t>
      </w:r>
      <w:proofErr w:type="spellStart"/>
      <w:r w:rsidRPr="00714EAE">
        <w:rPr>
          <w:b/>
          <w:color w:val="222222"/>
          <w:lang w:val="en"/>
        </w:rPr>
        <w:t>Polishchuk</w:t>
      </w:r>
      <w:proofErr w:type="spellEnd"/>
      <w:r w:rsidRPr="00D02D98">
        <w:rPr>
          <w:b/>
          <w:color w:val="222222"/>
          <w:lang w:val="en-US"/>
        </w:rPr>
        <w:t xml:space="preserve"> </w:t>
      </w:r>
      <w:r w:rsidRPr="00714EAE">
        <w:rPr>
          <w:b/>
          <w:color w:val="222222"/>
          <w:lang w:val="en"/>
        </w:rPr>
        <w:t>M</w:t>
      </w:r>
      <w:r w:rsidRPr="00D02D98">
        <w:rPr>
          <w:b/>
          <w:color w:val="222222"/>
          <w:lang w:val="en-US"/>
        </w:rPr>
        <w:t>.</w:t>
      </w:r>
      <w:r w:rsidRPr="00714EAE">
        <w:rPr>
          <w:b/>
          <w:color w:val="222222"/>
          <w:lang w:val="en"/>
        </w:rPr>
        <w:t>A</w:t>
      </w:r>
      <w:r w:rsidRPr="00D02D98">
        <w:rPr>
          <w:b/>
          <w:color w:val="222222"/>
          <w:lang w:val="en-US"/>
        </w:rPr>
        <w:t>.</w:t>
      </w:r>
    </w:p>
    <w:p w:rsidR="00650215" w:rsidRPr="00D02D98" w:rsidRDefault="00650215" w:rsidP="00650215">
      <w:pPr>
        <w:spacing w:line="288" w:lineRule="auto"/>
        <w:jc w:val="center"/>
        <w:rPr>
          <w:rFonts w:eastAsia="Calibri"/>
          <w:b/>
          <w:lang w:val="en-US" w:eastAsia="en-US"/>
        </w:rPr>
      </w:pPr>
    </w:p>
    <w:p w:rsidR="00650215" w:rsidRPr="00650215" w:rsidRDefault="00650215" w:rsidP="00650215">
      <w:pPr>
        <w:spacing w:line="288" w:lineRule="auto"/>
        <w:jc w:val="center"/>
        <w:rPr>
          <w:rFonts w:eastAsia="Calibri"/>
          <w:b/>
          <w:lang w:val="en-US" w:eastAsia="en-US"/>
        </w:rPr>
      </w:pPr>
      <w:r w:rsidRPr="00650215">
        <w:rPr>
          <w:rFonts w:eastAsia="Calibri"/>
          <w:b/>
          <w:lang w:val="en-US" w:eastAsia="en-US"/>
        </w:rPr>
        <w:t>THEORETICAL ISSUES OF INCREASING THE SCIENTIFIC JUSTIFICATION OF THE BUDGET REDISTRIBUTION TOOLS</w:t>
      </w:r>
    </w:p>
    <w:p w:rsidR="00650215" w:rsidRPr="00650215" w:rsidRDefault="00650215" w:rsidP="00650215">
      <w:pPr>
        <w:spacing w:line="288" w:lineRule="auto"/>
        <w:ind w:firstLine="426"/>
        <w:jc w:val="both"/>
        <w:rPr>
          <w:rFonts w:eastAsia="Calibri"/>
          <w:b/>
          <w:lang w:val="en-US" w:eastAsia="en-US"/>
        </w:rPr>
      </w:pPr>
    </w:p>
    <w:p w:rsidR="00650215" w:rsidRPr="00650215" w:rsidRDefault="00650215" w:rsidP="00650215">
      <w:pPr>
        <w:spacing w:line="288" w:lineRule="auto"/>
        <w:ind w:firstLine="426"/>
        <w:jc w:val="both"/>
        <w:rPr>
          <w:i/>
          <w:lang w:val="en-US"/>
        </w:rPr>
      </w:pPr>
      <w:bookmarkStart w:id="0" w:name="_GoBack"/>
      <w:r w:rsidRPr="00650215">
        <w:rPr>
          <w:i/>
          <w:lang w:val="en-US"/>
        </w:rPr>
        <w:t>The theses of the report are devoted to the urgent problem - how to most efficiently distribute budgetary resources between different levels of government in order to achieve the challenges facing the Russian Federation. This requires modern methods of scientific justification. The study presents one of these tools.</w:t>
      </w:r>
      <w:bookmarkEnd w:id="0"/>
    </w:p>
    <w:p w:rsidR="00650215" w:rsidRPr="00D02D98" w:rsidRDefault="00650215" w:rsidP="00650215">
      <w:pPr>
        <w:spacing w:line="288" w:lineRule="auto"/>
        <w:ind w:firstLine="426"/>
        <w:jc w:val="both"/>
        <w:rPr>
          <w:i/>
          <w:lang w:val="en-US"/>
        </w:rPr>
      </w:pPr>
      <w:r w:rsidRPr="00D02D98">
        <w:rPr>
          <w:i/>
          <w:lang w:val="en-US"/>
        </w:rPr>
        <w:t xml:space="preserve">Keywords: budget, distribution, </w:t>
      </w:r>
      <w:r w:rsidR="00D02D98">
        <w:rPr>
          <w:i/>
          <w:lang w:val="en-US"/>
        </w:rPr>
        <w:t>capacity</w:t>
      </w:r>
      <w:r w:rsidRPr="00D02D98">
        <w:rPr>
          <w:i/>
          <w:lang w:val="en-US"/>
        </w:rPr>
        <w:t>, economic growth, efficiency.</w:t>
      </w:r>
    </w:p>
    <w:p w:rsidR="00650215" w:rsidRPr="00D02D98" w:rsidRDefault="00650215" w:rsidP="00650215">
      <w:pPr>
        <w:spacing w:line="288" w:lineRule="auto"/>
        <w:ind w:firstLine="426"/>
        <w:jc w:val="both"/>
        <w:rPr>
          <w:b/>
          <w:lang w:val="en-US"/>
        </w:rPr>
      </w:pPr>
    </w:p>
    <w:p w:rsidR="00650215" w:rsidRPr="0040288E" w:rsidRDefault="00650215" w:rsidP="00650215">
      <w:pPr>
        <w:ind w:firstLine="709"/>
        <w:jc w:val="center"/>
        <w:rPr>
          <w:b/>
          <w:lang w:val="en-US"/>
        </w:rPr>
      </w:pPr>
      <w:r>
        <w:rPr>
          <w:b/>
          <w:lang w:val="en-US"/>
        </w:rPr>
        <w:t>About a</w:t>
      </w:r>
      <w:r w:rsidRPr="0040288E">
        <w:rPr>
          <w:b/>
          <w:lang w:val="en-US"/>
        </w:rPr>
        <w:t xml:space="preserve">uthor </w:t>
      </w:r>
    </w:p>
    <w:p w:rsidR="00650215" w:rsidRPr="00714EAE" w:rsidRDefault="00650215" w:rsidP="00650215">
      <w:pPr>
        <w:suppressAutoHyphens/>
        <w:rPr>
          <w:lang w:val="en-US"/>
        </w:rPr>
      </w:pPr>
      <w:proofErr w:type="spellStart"/>
      <w:r w:rsidRPr="004C4E08">
        <w:rPr>
          <w:b/>
          <w:lang w:val="en-US"/>
        </w:rPr>
        <w:t>Mariya</w:t>
      </w:r>
      <w:proofErr w:type="spellEnd"/>
      <w:r w:rsidRPr="004C4E08">
        <w:rPr>
          <w:b/>
          <w:lang w:val="en-US"/>
        </w:rPr>
        <w:t xml:space="preserve"> </w:t>
      </w:r>
      <w:proofErr w:type="spellStart"/>
      <w:r w:rsidRPr="004C4E08">
        <w:rPr>
          <w:b/>
          <w:lang w:val="en-US"/>
        </w:rPr>
        <w:t>Pechenskaya-Polishchuk</w:t>
      </w:r>
      <w:proofErr w:type="spellEnd"/>
      <w:r w:rsidRPr="00714EAE">
        <w:rPr>
          <w:b/>
          <w:lang w:val="en-US"/>
        </w:rPr>
        <w:t xml:space="preserve">, </w:t>
      </w:r>
      <w:r w:rsidRPr="004C4E08">
        <w:rPr>
          <w:lang w:val="en-US"/>
        </w:rPr>
        <w:t xml:space="preserve">PhD in Economics, </w:t>
      </w:r>
      <w:r w:rsidRPr="0047785C">
        <w:rPr>
          <w:lang w:val="en-US"/>
        </w:rPr>
        <w:t xml:space="preserve">Head of the Laboratory </w:t>
      </w:r>
      <w:r w:rsidRPr="00B13B19">
        <w:rPr>
          <w:lang w:val="en-US"/>
        </w:rPr>
        <w:t>studies of public finance problems,</w:t>
      </w:r>
      <w:r w:rsidRPr="0047785C">
        <w:rPr>
          <w:lang w:val="en-US"/>
        </w:rPr>
        <w:t xml:space="preserve"> </w:t>
      </w:r>
      <w:r>
        <w:rPr>
          <w:lang w:val="en-US"/>
        </w:rPr>
        <w:t>Senior Researcher</w:t>
      </w:r>
    </w:p>
    <w:p w:rsidR="00650215" w:rsidRPr="00D02D98" w:rsidRDefault="00650215" w:rsidP="00650215">
      <w:pPr>
        <w:spacing w:line="288" w:lineRule="auto"/>
        <w:jc w:val="center"/>
        <w:rPr>
          <w:u w:val="single"/>
          <w:lang w:val="en-US"/>
        </w:rPr>
      </w:pPr>
    </w:p>
    <w:p w:rsidR="00650215" w:rsidRPr="00D02D98" w:rsidRDefault="00650215" w:rsidP="00650215">
      <w:pPr>
        <w:ind w:firstLine="709"/>
        <w:jc w:val="center"/>
        <w:rPr>
          <w:b/>
          <w:lang w:val="en-US"/>
        </w:rPr>
      </w:pPr>
      <w:r>
        <w:rPr>
          <w:b/>
          <w:lang w:val="en-US"/>
        </w:rPr>
        <w:t>R</w:t>
      </w:r>
      <w:r w:rsidRPr="0040288E">
        <w:rPr>
          <w:b/>
          <w:lang w:val="en-US"/>
        </w:rPr>
        <w:t>eferences</w:t>
      </w:r>
    </w:p>
    <w:p w:rsidR="00650215" w:rsidRPr="00D02D98" w:rsidRDefault="00650215" w:rsidP="00650215">
      <w:pPr>
        <w:ind w:firstLine="709"/>
        <w:jc w:val="both"/>
        <w:rPr>
          <w:lang w:val="en-US"/>
        </w:rPr>
      </w:pPr>
      <w:proofErr w:type="spellStart"/>
      <w:r w:rsidRPr="00650215">
        <w:rPr>
          <w:lang w:val="en-US"/>
        </w:rPr>
        <w:t>Mikheeva</w:t>
      </w:r>
      <w:proofErr w:type="spellEnd"/>
      <w:r w:rsidRPr="00650215">
        <w:rPr>
          <w:lang w:val="en-US"/>
        </w:rPr>
        <w:t xml:space="preserve"> N.N. Growth factors of Russian regions: adaptation to new conditions // Region: economics and sociology. </w:t>
      </w:r>
      <w:proofErr w:type="gramStart"/>
      <w:r w:rsidRPr="00D02D98">
        <w:rPr>
          <w:lang w:val="en-US"/>
        </w:rPr>
        <w:t>2017. No. 4.</w:t>
      </w:r>
      <w:proofErr w:type="gramEnd"/>
      <w:r w:rsidRPr="00D02D98">
        <w:rPr>
          <w:lang w:val="en-US"/>
        </w:rPr>
        <w:t xml:space="preserve"> P</w:t>
      </w:r>
      <w:r>
        <w:rPr>
          <w:lang w:val="en-US"/>
        </w:rPr>
        <w:t>p</w:t>
      </w:r>
      <w:r w:rsidRPr="00D02D98">
        <w:rPr>
          <w:lang w:val="en-US"/>
        </w:rPr>
        <w:t>. 151–176.</w:t>
      </w:r>
    </w:p>
    <w:p w:rsidR="00650215" w:rsidRPr="00650215" w:rsidRDefault="00650215" w:rsidP="00650215">
      <w:pPr>
        <w:ind w:firstLine="709"/>
        <w:jc w:val="both"/>
        <w:textAlignment w:val="baseline"/>
        <w:rPr>
          <w:lang w:val="en-US"/>
        </w:rPr>
      </w:pPr>
      <w:r w:rsidRPr="00650215">
        <w:rPr>
          <w:lang w:val="en-US"/>
        </w:rPr>
        <w:t xml:space="preserve">Fujita M., </w:t>
      </w:r>
      <w:proofErr w:type="spellStart"/>
      <w:r w:rsidRPr="00650215">
        <w:rPr>
          <w:lang w:val="en-US"/>
        </w:rPr>
        <w:t>Krugman</w:t>
      </w:r>
      <w:proofErr w:type="spellEnd"/>
      <w:r w:rsidRPr="00650215">
        <w:rPr>
          <w:lang w:val="en-US"/>
        </w:rPr>
        <w:t xml:space="preserve"> P., </w:t>
      </w:r>
      <w:proofErr w:type="spellStart"/>
      <w:r w:rsidRPr="00650215">
        <w:rPr>
          <w:lang w:val="en-US"/>
        </w:rPr>
        <w:t>Venables</w:t>
      </w:r>
      <w:proofErr w:type="spellEnd"/>
      <w:r w:rsidRPr="00650215">
        <w:rPr>
          <w:lang w:val="en-US"/>
        </w:rPr>
        <w:t xml:space="preserve"> F.J. The Spatial Economy: Cities, Regions and International Trade. Cambridge (Mass.), 2000. </w:t>
      </w:r>
    </w:p>
    <w:p w:rsidR="00650215" w:rsidRPr="00650215" w:rsidRDefault="00650215" w:rsidP="00650215">
      <w:pPr>
        <w:ind w:firstLine="709"/>
        <w:jc w:val="both"/>
        <w:rPr>
          <w:lang w:val="en-US"/>
        </w:rPr>
      </w:pPr>
      <w:proofErr w:type="spellStart"/>
      <w:r w:rsidRPr="00650215">
        <w:rPr>
          <w:lang w:val="en-US"/>
        </w:rPr>
        <w:t>Zubarevich</w:t>
      </w:r>
      <w:proofErr w:type="spellEnd"/>
      <w:r w:rsidRPr="00650215">
        <w:rPr>
          <w:lang w:val="en-US"/>
        </w:rPr>
        <w:t xml:space="preserve"> N.V. Cities as centers for the modernization of the economy and human capital // Social Sciences and Modernity. </w:t>
      </w:r>
      <w:proofErr w:type="gramStart"/>
      <w:r w:rsidRPr="00650215">
        <w:rPr>
          <w:lang w:val="en-US"/>
        </w:rPr>
        <w:t>2010. No. 5.</w:t>
      </w:r>
      <w:proofErr w:type="gramEnd"/>
      <w:r w:rsidRPr="00650215">
        <w:rPr>
          <w:lang w:val="en-US"/>
        </w:rPr>
        <w:t xml:space="preserve"> P</w:t>
      </w:r>
      <w:r>
        <w:rPr>
          <w:lang w:val="en-US"/>
        </w:rPr>
        <w:t>p</w:t>
      </w:r>
      <w:r w:rsidRPr="00650215">
        <w:rPr>
          <w:lang w:val="en-US"/>
        </w:rPr>
        <w:t>. 5–19.</w:t>
      </w:r>
    </w:p>
    <w:p w:rsidR="00650215" w:rsidRPr="00650215" w:rsidRDefault="00650215" w:rsidP="00650215">
      <w:pPr>
        <w:ind w:firstLine="709"/>
        <w:jc w:val="both"/>
        <w:rPr>
          <w:lang w:val="en-US"/>
        </w:rPr>
      </w:pPr>
      <w:proofErr w:type="spellStart"/>
      <w:r w:rsidRPr="00650215">
        <w:rPr>
          <w:lang w:val="en-US"/>
        </w:rPr>
        <w:t>Kolomak</w:t>
      </w:r>
      <w:proofErr w:type="spellEnd"/>
      <w:r w:rsidRPr="00650215">
        <w:rPr>
          <w:lang w:val="en-US"/>
        </w:rPr>
        <w:t xml:space="preserve"> E. Uneven spatial development in Russia: explanations of the new economic geography // Problems of Economics. </w:t>
      </w:r>
      <w:proofErr w:type="gramStart"/>
      <w:r w:rsidRPr="00650215">
        <w:rPr>
          <w:lang w:val="en-US"/>
        </w:rPr>
        <w:t>2013. No. 2.</w:t>
      </w:r>
      <w:proofErr w:type="gramEnd"/>
      <w:r w:rsidRPr="00650215">
        <w:rPr>
          <w:lang w:val="en-US"/>
        </w:rPr>
        <w:t xml:space="preserve"> P</w:t>
      </w:r>
      <w:r>
        <w:rPr>
          <w:lang w:val="en-US"/>
        </w:rPr>
        <w:t>p</w:t>
      </w:r>
      <w:r w:rsidRPr="00650215">
        <w:rPr>
          <w:lang w:val="en-US"/>
        </w:rPr>
        <w:t>. 132–150.</w:t>
      </w:r>
    </w:p>
    <w:p w:rsidR="00650215" w:rsidRPr="00650215" w:rsidRDefault="00650215" w:rsidP="00650215">
      <w:pPr>
        <w:ind w:firstLine="709"/>
        <w:jc w:val="both"/>
        <w:rPr>
          <w:lang w:val="en-US"/>
        </w:rPr>
      </w:pPr>
      <w:r w:rsidRPr="00650215">
        <w:rPr>
          <w:lang w:val="en-US"/>
        </w:rPr>
        <w:t xml:space="preserve">Voroshilov N.V., </w:t>
      </w:r>
      <w:proofErr w:type="spellStart"/>
      <w:r w:rsidRPr="00650215">
        <w:rPr>
          <w:lang w:val="en-US"/>
        </w:rPr>
        <w:t>Gubanova</w:t>
      </w:r>
      <w:proofErr w:type="spellEnd"/>
      <w:r w:rsidRPr="00650215">
        <w:rPr>
          <w:lang w:val="en-US"/>
        </w:rPr>
        <w:t xml:space="preserve"> E.S. Intraregional socio-economic diff</w:t>
      </w:r>
      <w:r>
        <w:rPr>
          <w:lang w:val="en-US"/>
        </w:rPr>
        <w:t xml:space="preserve">erentiation. Vologda. </w:t>
      </w:r>
      <w:proofErr w:type="gramStart"/>
      <w:r>
        <w:rPr>
          <w:lang w:val="en-US"/>
        </w:rPr>
        <w:t>2019.187 p</w:t>
      </w:r>
      <w:r w:rsidRPr="00650215">
        <w:rPr>
          <w:lang w:val="en-US"/>
        </w:rPr>
        <w:t>.</w:t>
      </w:r>
      <w:proofErr w:type="gramEnd"/>
    </w:p>
    <w:p w:rsidR="00650215" w:rsidRPr="00650215" w:rsidRDefault="00650215" w:rsidP="00650215">
      <w:pPr>
        <w:ind w:firstLine="709"/>
        <w:jc w:val="both"/>
        <w:rPr>
          <w:lang w:val="en-US"/>
        </w:rPr>
      </w:pPr>
      <w:proofErr w:type="spellStart"/>
      <w:r w:rsidRPr="00650215">
        <w:rPr>
          <w:lang w:val="en-US"/>
        </w:rPr>
        <w:lastRenderedPageBreak/>
        <w:t>Evchenko</w:t>
      </w:r>
      <w:proofErr w:type="spellEnd"/>
      <w:r w:rsidRPr="00650215">
        <w:rPr>
          <w:lang w:val="en-US"/>
        </w:rPr>
        <w:t xml:space="preserve"> A.V., </w:t>
      </w:r>
      <w:proofErr w:type="spellStart"/>
      <w:r w:rsidRPr="00650215">
        <w:rPr>
          <w:lang w:val="en-US"/>
        </w:rPr>
        <w:t>Stolbov</w:t>
      </w:r>
      <w:proofErr w:type="spellEnd"/>
      <w:r w:rsidRPr="00650215">
        <w:rPr>
          <w:lang w:val="en-US"/>
        </w:rPr>
        <w:t xml:space="preserve"> A.G. Management of the economic and social development of the subject of the Federation, taking into account intra-regional asymmetry: theory and practice. </w:t>
      </w:r>
      <w:proofErr w:type="spellStart"/>
      <w:r w:rsidRPr="00650215">
        <w:rPr>
          <w:lang w:val="en-US"/>
        </w:rPr>
        <w:t>Apatity</w:t>
      </w:r>
      <w:proofErr w:type="spellEnd"/>
      <w:r w:rsidRPr="00650215">
        <w:rPr>
          <w:lang w:val="en-US"/>
        </w:rPr>
        <w:t xml:space="preserve">: KSC RAS, 2006.245 </w:t>
      </w:r>
      <w:r>
        <w:rPr>
          <w:lang w:val="en-US"/>
        </w:rPr>
        <w:t>p</w:t>
      </w:r>
      <w:r w:rsidRPr="00650215">
        <w:rPr>
          <w:lang w:val="en-US"/>
        </w:rPr>
        <w:t>.</w:t>
      </w:r>
    </w:p>
    <w:p w:rsidR="00650215" w:rsidRPr="00650215" w:rsidRDefault="00650215" w:rsidP="00650215">
      <w:pPr>
        <w:ind w:firstLine="709"/>
        <w:jc w:val="both"/>
        <w:rPr>
          <w:lang w:val="en-US"/>
        </w:rPr>
      </w:pPr>
    </w:p>
    <w:p w:rsidR="00650215" w:rsidRPr="00650215" w:rsidRDefault="00650215" w:rsidP="00650215">
      <w:pPr>
        <w:ind w:firstLine="709"/>
        <w:jc w:val="both"/>
        <w:rPr>
          <w:lang w:val="en-US"/>
        </w:rPr>
      </w:pPr>
      <w:proofErr w:type="spellStart"/>
      <w:r w:rsidRPr="00650215">
        <w:rPr>
          <w:lang w:val="en-US"/>
        </w:rPr>
        <w:t>Alexandrova</w:t>
      </w:r>
      <w:proofErr w:type="spellEnd"/>
      <w:r w:rsidRPr="00650215">
        <w:rPr>
          <w:lang w:val="en-US"/>
        </w:rPr>
        <w:t xml:space="preserve"> A., </w:t>
      </w:r>
      <w:proofErr w:type="spellStart"/>
      <w:r w:rsidRPr="00650215">
        <w:rPr>
          <w:lang w:val="en-US"/>
        </w:rPr>
        <w:t>Grishina</w:t>
      </w:r>
      <w:proofErr w:type="spellEnd"/>
      <w:r w:rsidRPr="00650215">
        <w:rPr>
          <w:lang w:val="en-US"/>
        </w:rPr>
        <w:t xml:space="preserve"> E. Uneven development of municipalities // Issues of Economics. </w:t>
      </w:r>
      <w:proofErr w:type="gramStart"/>
      <w:r w:rsidRPr="00650215">
        <w:rPr>
          <w:lang w:val="en-US"/>
        </w:rPr>
        <w:t>2005. No. 8.</w:t>
      </w:r>
      <w:proofErr w:type="gramEnd"/>
      <w:r w:rsidRPr="00650215">
        <w:rPr>
          <w:lang w:val="en-US"/>
        </w:rPr>
        <w:t xml:space="preserve"> </w:t>
      </w:r>
      <w:r>
        <w:rPr>
          <w:lang w:val="en-US"/>
        </w:rPr>
        <w:t>Pp</w:t>
      </w:r>
      <w:r w:rsidRPr="00650215">
        <w:rPr>
          <w:lang w:val="en-US"/>
        </w:rPr>
        <w:t>. 97-105.</w:t>
      </w:r>
    </w:p>
    <w:p w:rsidR="00650215" w:rsidRPr="00650215" w:rsidRDefault="00650215" w:rsidP="00650215">
      <w:pPr>
        <w:ind w:firstLine="709"/>
        <w:jc w:val="both"/>
        <w:rPr>
          <w:lang w:val="en-US"/>
        </w:rPr>
      </w:pPr>
      <w:proofErr w:type="spellStart"/>
      <w:r w:rsidRPr="00650215">
        <w:rPr>
          <w:lang w:val="en-US"/>
        </w:rPr>
        <w:t>Turgel</w:t>
      </w:r>
      <w:proofErr w:type="spellEnd"/>
      <w:r w:rsidRPr="00650215">
        <w:rPr>
          <w:lang w:val="en-US"/>
        </w:rPr>
        <w:t xml:space="preserve"> I.D., </w:t>
      </w:r>
      <w:proofErr w:type="spellStart"/>
      <w:r w:rsidRPr="00650215">
        <w:rPr>
          <w:lang w:val="en-US"/>
        </w:rPr>
        <w:t>Pobedin</w:t>
      </w:r>
      <w:proofErr w:type="spellEnd"/>
      <w:r w:rsidRPr="00650215">
        <w:rPr>
          <w:lang w:val="en-US"/>
        </w:rPr>
        <w:t xml:space="preserve"> A.A. Territorial differentiation of the socio-economic development of municipalities in the subject of the Russian Federation: the experience of </w:t>
      </w:r>
      <w:proofErr w:type="spellStart"/>
      <w:r w:rsidRPr="00650215">
        <w:rPr>
          <w:lang w:val="en-US"/>
        </w:rPr>
        <w:t>variational</w:t>
      </w:r>
      <w:proofErr w:type="spellEnd"/>
      <w:r w:rsidRPr="00650215">
        <w:rPr>
          <w:lang w:val="en-US"/>
        </w:rPr>
        <w:t xml:space="preserve"> analysis (on the example of the Sverdlovsk region) // Regional Economics: theory and practice. </w:t>
      </w:r>
      <w:proofErr w:type="gramStart"/>
      <w:r w:rsidRPr="00650215">
        <w:rPr>
          <w:lang w:val="en-US"/>
        </w:rPr>
        <w:t>2007. No. 12.</w:t>
      </w:r>
      <w:proofErr w:type="gramEnd"/>
      <w:r w:rsidRPr="00650215">
        <w:rPr>
          <w:lang w:val="en-US"/>
        </w:rPr>
        <w:t xml:space="preserve"> P</w:t>
      </w:r>
      <w:r>
        <w:rPr>
          <w:lang w:val="en-US"/>
        </w:rPr>
        <w:t>p</w:t>
      </w:r>
      <w:r w:rsidRPr="00650215">
        <w:rPr>
          <w:lang w:val="en-US"/>
        </w:rPr>
        <w:t>. 12-23.</w:t>
      </w:r>
    </w:p>
    <w:p w:rsidR="00650215" w:rsidRPr="00650215" w:rsidRDefault="00650215" w:rsidP="00650215">
      <w:pPr>
        <w:ind w:firstLine="709"/>
        <w:jc w:val="both"/>
        <w:rPr>
          <w:lang w:val="en-US"/>
        </w:rPr>
      </w:pPr>
      <w:proofErr w:type="spellStart"/>
      <w:r w:rsidRPr="00650215">
        <w:rPr>
          <w:lang w:val="en-US"/>
        </w:rPr>
        <w:t>Bufetova</w:t>
      </w:r>
      <w:proofErr w:type="spellEnd"/>
      <w:r w:rsidRPr="00650215">
        <w:rPr>
          <w:lang w:val="en-US"/>
        </w:rPr>
        <w:t xml:space="preserve"> A.N. Uneven spatial development: regional centers and regional periphery // Region: economics and sociology. </w:t>
      </w:r>
      <w:proofErr w:type="gramStart"/>
      <w:r w:rsidRPr="00650215">
        <w:rPr>
          <w:lang w:val="en-US"/>
        </w:rPr>
        <w:t>2009. No. 4.</w:t>
      </w:r>
      <w:proofErr w:type="gramEnd"/>
      <w:r w:rsidRPr="00650215">
        <w:rPr>
          <w:lang w:val="en-US"/>
        </w:rPr>
        <w:t xml:space="preserve"> </w:t>
      </w:r>
      <w:r>
        <w:rPr>
          <w:lang w:val="en-US"/>
        </w:rPr>
        <w:t>Pp</w:t>
      </w:r>
      <w:r w:rsidRPr="00650215">
        <w:rPr>
          <w:lang w:val="en-US"/>
        </w:rPr>
        <w:t>. 55-68.</w:t>
      </w:r>
    </w:p>
    <w:sectPr w:rsidR="00650215" w:rsidRPr="00650215">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C7C" w:rsidRDefault="00573C7C" w:rsidP="00921B05">
      <w:r>
        <w:separator/>
      </w:r>
    </w:p>
  </w:endnote>
  <w:endnote w:type="continuationSeparator" w:id="0">
    <w:p w:rsidR="00573C7C" w:rsidRDefault="00573C7C" w:rsidP="00921B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TimesNewRomanPSMT">
    <w:altName w:val="MS Mincho"/>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4484262"/>
      <w:docPartObj>
        <w:docPartGallery w:val="Page Numbers (Bottom of Page)"/>
        <w:docPartUnique/>
      </w:docPartObj>
    </w:sdtPr>
    <w:sdtEndPr/>
    <w:sdtContent>
      <w:p w:rsidR="00921B05" w:rsidRDefault="00921B05">
        <w:pPr>
          <w:pStyle w:val="a9"/>
          <w:jc w:val="right"/>
        </w:pPr>
        <w:r>
          <w:fldChar w:fldCharType="begin"/>
        </w:r>
        <w:r>
          <w:instrText>PAGE   \* MERGEFORMAT</w:instrText>
        </w:r>
        <w:r>
          <w:fldChar w:fldCharType="separate"/>
        </w:r>
        <w:r w:rsidR="00D02D98">
          <w:rPr>
            <w:noProof/>
          </w:rPr>
          <w:t>4</w:t>
        </w:r>
        <w:r>
          <w:fldChar w:fldCharType="end"/>
        </w:r>
      </w:p>
    </w:sdtContent>
  </w:sdt>
  <w:p w:rsidR="00921B05" w:rsidRDefault="00921B0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C7C" w:rsidRDefault="00573C7C" w:rsidP="00921B05">
      <w:r>
        <w:separator/>
      </w:r>
    </w:p>
  </w:footnote>
  <w:footnote w:type="continuationSeparator" w:id="0">
    <w:p w:rsidR="00573C7C" w:rsidRDefault="00573C7C" w:rsidP="00921B05">
      <w:r>
        <w:continuationSeparator/>
      </w:r>
    </w:p>
  </w:footnote>
  <w:footnote w:id="1">
    <w:p w:rsidR="00650215" w:rsidRPr="00650215" w:rsidRDefault="00650215" w:rsidP="00650215">
      <w:pPr>
        <w:pStyle w:val="ab"/>
        <w:jc w:val="both"/>
      </w:pPr>
      <w:r w:rsidRPr="00650215">
        <w:t>*</w:t>
      </w:r>
      <w:r w:rsidRPr="00650215">
        <w:rPr>
          <w:rStyle w:val="ad"/>
          <w:color w:val="FFFFFF" w:themeColor="background1"/>
        </w:rPr>
        <w:footnoteRef/>
      </w:r>
      <w:r w:rsidRPr="00EA2270">
        <w:t>Статья подготовлена при финансовой поддержке гранта Президента Р</w:t>
      </w:r>
      <w:r>
        <w:t xml:space="preserve">Ф </w:t>
      </w:r>
      <w:r w:rsidRPr="00EA2270">
        <w:t>№МК-2003.2020.6 «Финансовые механизмы стимулирования муниципального развития в контексте обеспечения экономического роста государства».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983188"/>
    <w:multiLevelType w:val="hybridMultilevel"/>
    <w:tmpl w:val="27C0736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759231AC"/>
    <w:multiLevelType w:val="hybridMultilevel"/>
    <w:tmpl w:val="BA38923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B55"/>
    <w:rsid w:val="000D7B55"/>
    <w:rsid w:val="0023438D"/>
    <w:rsid w:val="002747A7"/>
    <w:rsid w:val="00573C7C"/>
    <w:rsid w:val="00650215"/>
    <w:rsid w:val="00921B05"/>
    <w:rsid w:val="009D5CF2"/>
    <w:rsid w:val="00D02D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7A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747A7"/>
    <w:pPr>
      <w:ind w:left="720"/>
      <w:contextualSpacing/>
    </w:pPr>
    <w:rPr>
      <w:rFonts w:ascii="Calibri" w:hAnsi="Calibri"/>
    </w:rPr>
  </w:style>
  <w:style w:type="character" w:customStyle="1" w:styleId="a4">
    <w:name w:val="Абзац списка Знак"/>
    <w:link w:val="a3"/>
    <w:uiPriority w:val="34"/>
    <w:locked/>
    <w:rsid w:val="002747A7"/>
    <w:rPr>
      <w:rFonts w:ascii="Calibri" w:eastAsia="Times New Roman" w:hAnsi="Calibri" w:cs="Times New Roman"/>
      <w:sz w:val="24"/>
      <w:szCs w:val="24"/>
      <w:lang w:eastAsia="ru-RU"/>
    </w:rPr>
  </w:style>
  <w:style w:type="paragraph" w:styleId="a5">
    <w:name w:val="Balloon Text"/>
    <w:basedOn w:val="a"/>
    <w:link w:val="a6"/>
    <w:uiPriority w:val="99"/>
    <w:semiHidden/>
    <w:unhideWhenUsed/>
    <w:rsid w:val="002747A7"/>
    <w:rPr>
      <w:rFonts w:ascii="Tahoma" w:hAnsi="Tahoma" w:cs="Tahoma"/>
      <w:sz w:val="16"/>
      <w:szCs w:val="16"/>
    </w:rPr>
  </w:style>
  <w:style w:type="character" w:customStyle="1" w:styleId="a6">
    <w:name w:val="Текст выноски Знак"/>
    <w:basedOn w:val="a0"/>
    <w:link w:val="a5"/>
    <w:uiPriority w:val="99"/>
    <w:semiHidden/>
    <w:rsid w:val="002747A7"/>
    <w:rPr>
      <w:rFonts w:ascii="Tahoma" w:eastAsia="Times New Roman" w:hAnsi="Tahoma" w:cs="Tahoma"/>
      <w:sz w:val="16"/>
      <w:szCs w:val="16"/>
      <w:lang w:eastAsia="ru-RU"/>
    </w:rPr>
  </w:style>
  <w:style w:type="paragraph" w:styleId="a7">
    <w:name w:val="header"/>
    <w:basedOn w:val="a"/>
    <w:link w:val="a8"/>
    <w:uiPriority w:val="99"/>
    <w:unhideWhenUsed/>
    <w:rsid w:val="00921B05"/>
    <w:pPr>
      <w:tabs>
        <w:tab w:val="center" w:pos="4677"/>
        <w:tab w:val="right" w:pos="9355"/>
      </w:tabs>
    </w:pPr>
  </w:style>
  <w:style w:type="character" w:customStyle="1" w:styleId="a8">
    <w:name w:val="Верхний колонтитул Знак"/>
    <w:basedOn w:val="a0"/>
    <w:link w:val="a7"/>
    <w:uiPriority w:val="99"/>
    <w:rsid w:val="00921B05"/>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921B05"/>
    <w:pPr>
      <w:tabs>
        <w:tab w:val="center" w:pos="4677"/>
        <w:tab w:val="right" w:pos="9355"/>
      </w:tabs>
    </w:pPr>
  </w:style>
  <w:style w:type="character" w:customStyle="1" w:styleId="aa">
    <w:name w:val="Нижний колонтитул Знак"/>
    <w:basedOn w:val="a0"/>
    <w:link w:val="a9"/>
    <w:uiPriority w:val="99"/>
    <w:rsid w:val="00921B05"/>
    <w:rPr>
      <w:rFonts w:ascii="Times New Roman" w:eastAsia="Times New Roman" w:hAnsi="Times New Roman" w:cs="Times New Roman"/>
      <w:sz w:val="24"/>
      <w:szCs w:val="24"/>
      <w:lang w:eastAsia="ru-RU"/>
    </w:rPr>
  </w:style>
  <w:style w:type="paragraph" w:styleId="ab">
    <w:name w:val="footnote text"/>
    <w:aliases w:val="Основной текст с отступом Знак,Знак Знак Знак,single space,Текст сноски Знак1 Знак,Текст сноски Знак Знак Знак,Footnote Text Char Знак Знак,Footnote Text Char Знак,Текст сноски-FN,Oaeno niinee-FN,Oaeno niinee Ciae,Table_Footnote_last Знак"/>
    <w:basedOn w:val="a"/>
    <w:link w:val="ac"/>
    <w:qFormat/>
    <w:rsid w:val="00921B05"/>
    <w:rPr>
      <w:sz w:val="20"/>
    </w:rPr>
  </w:style>
  <w:style w:type="character" w:customStyle="1" w:styleId="ac">
    <w:name w:val="Текст сноски Знак"/>
    <w:aliases w:val="Основной текст с отступом Знак Знак,Знак Знак Знак Знак,single space Знак,Текст сноски Знак1 Знак Знак,Текст сноски Знак Знак Знак Знак,Footnote Text Char Знак Знак Знак,Footnote Text Char Знак Знак1,Текст сноски-FN Знак"/>
    <w:basedOn w:val="a0"/>
    <w:link w:val="ab"/>
    <w:rsid w:val="00921B05"/>
    <w:rPr>
      <w:rFonts w:ascii="Times New Roman" w:eastAsia="Times New Roman" w:hAnsi="Times New Roman" w:cs="Times New Roman"/>
      <w:sz w:val="20"/>
      <w:szCs w:val="24"/>
      <w:lang w:eastAsia="ru-RU"/>
    </w:rPr>
  </w:style>
  <w:style w:type="character" w:styleId="ad">
    <w:name w:val="footnote reference"/>
    <w:basedOn w:val="a0"/>
    <w:uiPriority w:val="99"/>
    <w:semiHidden/>
    <w:unhideWhenUsed/>
    <w:rsid w:val="0065021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7A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2747A7"/>
    <w:pPr>
      <w:ind w:left="720"/>
      <w:contextualSpacing/>
    </w:pPr>
    <w:rPr>
      <w:rFonts w:ascii="Calibri" w:hAnsi="Calibri"/>
    </w:rPr>
  </w:style>
  <w:style w:type="character" w:customStyle="1" w:styleId="a4">
    <w:name w:val="Абзац списка Знак"/>
    <w:link w:val="a3"/>
    <w:uiPriority w:val="34"/>
    <w:locked/>
    <w:rsid w:val="002747A7"/>
    <w:rPr>
      <w:rFonts w:ascii="Calibri" w:eastAsia="Times New Roman" w:hAnsi="Calibri" w:cs="Times New Roman"/>
      <w:sz w:val="24"/>
      <w:szCs w:val="24"/>
      <w:lang w:eastAsia="ru-RU"/>
    </w:rPr>
  </w:style>
  <w:style w:type="paragraph" w:styleId="a5">
    <w:name w:val="Balloon Text"/>
    <w:basedOn w:val="a"/>
    <w:link w:val="a6"/>
    <w:uiPriority w:val="99"/>
    <w:semiHidden/>
    <w:unhideWhenUsed/>
    <w:rsid w:val="002747A7"/>
    <w:rPr>
      <w:rFonts w:ascii="Tahoma" w:hAnsi="Tahoma" w:cs="Tahoma"/>
      <w:sz w:val="16"/>
      <w:szCs w:val="16"/>
    </w:rPr>
  </w:style>
  <w:style w:type="character" w:customStyle="1" w:styleId="a6">
    <w:name w:val="Текст выноски Знак"/>
    <w:basedOn w:val="a0"/>
    <w:link w:val="a5"/>
    <w:uiPriority w:val="99"/>
    <w:semiHidden/>
    <w:rsid w:val="002747A7"/>
    <w:rPr>
      <w:rFonts w:ascii="Tahoma" w:eastAsia="Times New Roman" w:hAnsi="Tahoma" w:cs="Tahoma"/>
      <w:sz w:val="16"/>
      <w:szCs w:val="16"/>
      <w:lang w:eastAsia="ru-RU"/>
    </w:rPr>
  </w:style>
  <w:style w:type="paragraph" w:styleId="a7">
    <w:name w:val="header"/>
    <w:basedOn w:val="a"/>
    <w:link w:val="a8"/>
    <w:uiPriority w:val="99"/>
    <w:unhideWhenUsed/>
    <w:rsid w:val="00921B05"/>
    <w:pPr>
      <w:tabs>
        <w:tab w:val="center" w:pos="4677"/>
        <w:tab w:val="right" w:pos="9355"/>
      </w:tabs>
    </w:pPr>
  </w:style>
  <w:style w:type="character" w:customStyle="1" w:styleId="a8">
    <w:name w:val="Верхний колонтитул Знак"/>
    <w:basedOn w:val="a0"/>
    <w:link w:val="a7"/>
    <w:uiPriority w:val="99"/>
    <w:rsid w:val="00921B05"/>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921B05"/>
    <w:pPr>
      <w:tabs>
        <w:tab w:val="center" w:pos="4677"/>
        <w:tab w:val="right" w:pos="9355"/>
      </w:tabs>
    </w:pPr>
  </w:style>
  <w:style w:type="character" w:customStyle="1" w:styleId="aa">
    <w:name w:val="Нижний колонтитул Знак"/>
    <w:basedOn w:val="a0"/>
    <w:link w:val="a9"/>
    <w:uiPriority w:val="99"/>
    <w:rsid w:val="00921B05"/>
    <w:rPr>
      <w:rFonts w:ascii="Times New Roman" w:eastAsia="Times New Roman" w:hAnsi="Times New Roman" w:cs="Times New Roman"/>
      <w:sz w:val="24"/>
      <w:szCs w:val="24"/>
      <w:lang w:eastAsia="ru-RU"/>
    </w:rPr>
  </w:style>
  <w:style w:type="paragraph" w:styleId="ab">
    <w:name w:val="footnote text"/>
    <w:aliases w:val="Основной текст с отступом Знак,Знак Знак Знак,single space,Текст сноски Знак1 Знак,Текст сноски Знак Знак Знак,Footnote Text Char Знак Знак,Footnote Text Char Знак,Текст сноски-FN,Oaeno niinee-FN,Oaeno niinee Ciae,Table_Footnote_last Знак"/>
    <w:basedOn w:val="a"/>
    <w:link w:val="ac"/>
    <w:qFormat/>
    <w:rsid w:val="00921B05"/>
    <w:rPr>
      <w:sz w:val="20"/>
    </w:rPr>
  </w:style>
  <w:style w:type="character" w:customStyle="1" w:styleId="ac">
    <w:name w:val="Текст сноски Знак"/>
    <w:aliases w:val="Основной текст с отступом Знак Знак,Знак Знак Знак Знак,single space Знак,Текст сноски Знак1 Знак Знак,Текст сноски Знак Знак Знак Знак,Footnote Text Char Знак Знак Знак,Footnote Text Char Знак Знак1,Текст сноски-FN Знак"/>
    <w:basedOn w:val="a0"/>
    <w:link w:val="ab"/>
    <w:rsid w:val="00921B05"/>
    <w:rPr>
      <w:rFonts w:ascii="Times New Roman" w:eastAsia="Times New Roman" w:hAnsi="Times New Roman" w:cs="Times New Roman"/>
      <w:sz w:val="20"/>
      <w:szCs w:val="24"/>
      <w:lang w:eastAsia="ru-RU"/>
    </w:rPr>
  </w:style>
  <w:style w:type="character" w:styleId="ad">
    <w:name w:val="footnote reference"/>
    <w:basedOn w:val="a0"/>
    <w:uiPriority w:val="99"/>
    <w:semiHidden/>
    <w:unhideWhenUsed/>
    <w:rsid w:val="0065021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973111">
      <w:bodyDiv w:val="1"/>
      <w:marLeft w:val="0"/>
      <w:marRight w:val="0"/>
      <w:marTop w:val="0"/>
      <w:marBottom w:val="0"/>
      <w:divBdr>
        <w:top w:val="none" w:sz="0" w:space="0" w:color="auto"/>
        <w:left w:val="none" w:sz="0" w:space="0" w:color="auto"/>
        <w:bottom w:val="none" w:sz="0" w:space="0" w:color="auto"/>
        <w:right w:val="none" w:sz="0" w:space="0" w:color="auto"/>
      </w:divBdr>
    </w:div>
    <w:div w:id="280187507">
      <w:bodyDiv w:val="1"/>
      <w:marLeft w:val="0"/>
      <w:marRight w:val="0"/>
      <w:marTop w:val="0"/>
      <w:marBottom w:val="0"/>
      <w:divBdr>
        <w:top w:val="none" w:sz="0" w:space="0" w:color="auto"/>
        <w:left w:val="none" w:sz="0" w:space="0" w:color="auto"/>
        <w:bottom w:val="none" w:sz="0" w:space="0" w:color="auto"/>
        <w:right w:val="none" w:sz="0" w:space="0" w:color="auto"/>
      </w:divBdr>
    </w:div>
    <w:div w:id="532496949">
      <w:bodyDiv w:val="1"/>
      <w:marLeft w:val="0"/>
      <w:marRight w:val="0"/>
      <w:marTop w:val="0"/>
      <w:marBottom w:val="0"/>
      <w:divBdr>
        <w:top w:val="none" w:sz="0" w:space="0" w:color="auto"/>
        <w:left w:val="none" w:sz="0" w:space="0" w:color="auto"/>
        <w:bottom w:val="none" w:sz="0" w:space="0" w:color="auto"/>
        <w:right w:val="none" w:sz="0" w:space="0" w:color="auto"/>
      </w:divBdr>
    </w:div>
    <w:div w:id="1238436713">
      <w:bodyDiv w:val="1"/>
      <w:marLeft w:val="0"/>
      <w:marRight w:val="0"/>
      <w:marTop w:val="0"/>
      <w:marBottom w:val="0"/>
      <w:divBdr>
        <w:top w:val="none" w:sz="0" w:space="0" w:color="auto"/>
        <w:left w:val="none" w:sz="0" w:space="0" w:color="auto"/>
        <w:bottom w:val="none" w:sz="0" w:space="0" w:color="auto"/>
        <w:right w:val="none" w:sz="0" w:space="0" w:color="auto"/>
      </w:divBdr>
    </w:div>
    <w:div w:id="1326088110">
      <w:bodyDiv w:val="1"/>
      <w:marLeft w:val="0"/>
      <w:marRight w:val="0"/>
      <w:marTop w:val="0"/>
      <w:marBottom w:val="0"/>
      <w:divBdr>
        <w:top w:val="none" w:sz="0" w:space="0" w:color="auto"/>
        <w:left w:val="none" w:sz="0" w:space="0" w:color="auto"/>
        <w:bottom w:val="none" w:sz="0" w:space="0" w:color="auto"/>
        <w:right w:val="none" w:sz="0" w:space="0" w:color="auto"/>
      </w:divBdr>
    </w:div>
    <w:div w:id="1392383510">
      <w:bodyDiv w:val="1"/>
      <w:marLeft w:val="0"/>
      <w:marRight w:val="0"/>
      <w:marTop w:val="0"/>
      <w:marBottom w:val="0"/>
      <w:divBdr>
        <w:top w:val="none" w:sz="0" w:space="0" w:color="auto"/>
        <w:left w:val="none" w:sz="0" w:space="0" w:color="auto"/>
        <w:bottom w:val="none" w:sz="0" w:space="0" w:color="auto"/>
        <w:right w:val="none" w:sz="0" w:space="0" w:color="auto"/>
      </w:divBdr>
    </w:div>
    <w:div w:id="1876578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tx>
            <c:strRef>
              <c:f>'Мой индекс'!$A$43</c:f>
              <c:strCache>
                <c:ptCount val="1"/>
                <c:pt idx="0">
                  <c:v>Индекс центрорегиональной дифференциации</c:v>
                </c:pt>
              </c:strCache>
            </c:strRef>
          </c:tx>
          <c:dLbls>
            <c:dLbl>
              <c:idx val="0"/>
              <c:layout>
                <c:manualLayout>
                  <c:x val="-3.7664783427495289E-2"/>
                  <c:y val="-4.2941484957124444E-2"/>
                </c:manualLayout>
              </c:layout>
              <c:dLblPos val="r"/>
              <c:showLegendKey val="0"/>
              <c:showVal val="1"/>
              <c:showCatName val="0"/>
              <c:showSerName val="0"/>
              <c:showPercent val="0"/>
              <c:showBubbleSize val="0"/>
            </c:dLbl>
            <c:dLbl>
              <c:idx val="1"/>
              <c:layout>
                <c:manualLayout>
                  <c:x val="-5.0847457627118647E-2"/>
                  <c:y val="5.152978194854934E-2"/>
                </c:manualLayout>
              </c:layout>
              <c:dLblPos val="r"/>
              <c:showLegendKey val="0"/>
              <c:showVal val="1"/>
              <c:showCatName val="0"/>
              <c:showSerName val="0"/>
              <c:showPercent val="0"/>
              <c:showBubbleSize val="0"/>
            </c:dLbl>
            <c:dLbl>
              <c:idx val="3"/>
              <c:layout>
                <c:manualLayout>
                  <c:x val="-3.5781544256120526E-2"/>
                  <c:y val="-6.4412227435686711E-2"/>
                </c:manualLayout>
              </c:layout>
              <c:dLblPos val="r"/>
              <c:showLegendKey val="0"/>
              <c:showVal val="1"/>
              <c:showCatName val="0"/>
              <c:showSerName val="0"/>
              <c:showPercent val="0"/>
              <c:showBubbleSize val="0"/>
            </c:dLbl>
            <c:dLbl>
              <c:idx val="4"/>
              <c:layout>
                <c:manualLayout>
                  <c:x val="-3.5781544256120526E-2"/>
                  <c:y val="-6.441222743568667E-2"/>
                </c:manualLayout>
              </c:layout>
              <c:dLblPos val="r"/>
              <c:showLegendKey val="0"/>
              <c:showVal val="1"/>
              <c:showCatName val="0"/>
              <c:showSerName val="0"/>
              <c:showPercent val="0"/>
              <c:showBubbleSize val="0"/>
            </c:dLbl>
            <c:dLbl>
              <c:idx val="5"/>
              <c:layout>
                <c:manualLayout>
                  <c:x val="-3.3898305084745763E-2"/>
                  <c:y val="-5.5823930444261781E-2"/>
                </c:manualLayout>
              </c:layout>
              <c:dLblPos val="r"/>
              <c:showLegendKey val="0"/>
              <c:showVal val="1"/>
              <c:showCatName val="0"/>
              <c:showSerName val="0"/>
              <c:showPercent val="0"/>
              <c:showBubbleSize val="0"/>
            </c:dLbl>
            <c:dLbl>
              <c:idx val="6"/>
              <c:layout>
                <c:manualLayout>
                  <c:x val="-3.2015065913370999E-2"/>
                  <c:y val="-5.152978194854934E-2"/>
                </c:manualLayout>
              </c:layout>
              <c:dLblPos val="r"/>
              <c:showLegendKey val="0"/>
              <c:showVal val="1"/>
              <c:showCatName val="0"/>
              <c:showSerName val="0"/>
              <c:showPercent val="0"/>
              <c:showBubbleSize val="0"/>
            </c:dLbl>
            <c:dLbl>
              <c:idx val="7"/>
              <c:layout>
                <c:manualLayout>
                  <c:x val="-2.0715630885122412E-2"/>
                  <c:y val="-7.3000524427111566E-2"/>
                </c:manualLayout>
              </c:layout>
              <c:dLblPos val="r"/>
              <c:showLegendKey val="0"/>
              <c:showVal val="1"/>
              <c:showCatName val="0"/>
              <c:showSerName val="0"/>
              <c:showPercent val="0"/>
              <c:showBubbleSize val="0"/>
            </c:dLbl>
            <c:dLbl>
              <c:idx val="8"/>
              <c:layout>
                <c:manualLayout>
                  <c:x val="-3.0131826741996232E-2"/>
                  <c:y val="-6.441222743568667E-2"/>
                </c:manualLayout>
              </c:layout>
              <c:dLblPos val="r"/>
              <c:showLegendKey val="0"/>
              <c:showVal val="1"/>
              <c:showCatName val="0"/>
              <c:showSerName val="0"/>
              <c:showPercent val="0"/>
              <c:showBubbleSize val="0"/>
            </c:dLbl>
            <c:dLbl>
              <c:idx val="9"/>
              <c:layout>
                <c:manualLayout>
                  <c:x val="-3.0131826741996232E-2"/>
                  <c:y val="-6.0118078939974229E-2"/>
                </c:manualLayout>
              </c:layout>
              <c:dLblPos val="r"/>
              <c:showLegendKey val="0"/>
              <c:showVal val="1"/>
              <c:showCatName val="0"/>
              <c:showSerName val="0"/>
              <c:showPercent val="0"/>
              <c:showBubbleSize val="0"/>
            </c:dLbl>
            <c:dLbl>
              <c:idx val="10"/>
              <c:layout>
                <c:manualLayout>
                  <c:x val="-3.0131826741996232E-2"/>
                  <c:y val="-6.441222743568667E-2"/>
                </c:manualLayout>
              </c:layout>
              <c:dLblPos val="r"/>
              <c:showLegendKey val="0"/>
              <c:showVal val="1"/>
              <c:showCatName val="0"/>
              <c:showSerName val="0"/>
              <c:showPercent val="0"/>
              <c:showBubbleSize val="0"/>
            </c:dLbl>
            <c:dLbl>
              <c:idx val="11"/>
              <c:layout>
                <c:manualLayout>
                  <c:x val="-2.8248587570621469E-2"/>
                  <c:y val="-5.152978194854934E-2"/>
                </c:manualLayout>
              </c:layout>
              <c:dLblPos val="r"/>
              <c:showLegendKey val="0"/>
              <c:showVal val="1"/>
              <c:showCatName val="0"/>
              <c:showSerName val="0"/>
              <c:showPercent val="0"/>
              <c:showBubbleSize val="0"/>
            </c:dLbl>
            <c:dLbl>
              <c:idx val="12"/>
              <c:layout>
                <c:manualLayout>
                  <c:x val="-3.2015065913370999E-2"/>
                  <c:y val="-6.441222743568667E-2"/>
                </c:manualLayout>
              </c:layout>
              <c:dLblPos val="r"/>
              <c:showLegendKey val="0"/>
              <c:showVal val="1"/>
              <c:showCatName val="0"/>
              <c:showSerName val="0"/>
              <c:showPercent val="0"/>
              <c:showBubbleSize val="0"/>
            </c:dLbl>
            <c:spPr>
              <a:solidFill>
                <a:srgbClr val="FCFDFE"/>
              </a:solidFill>
            </c:spPr>
            <c:txPr>
              <a:bodyPr/>
              <a:lstStyle/>
              <a:p>
                <a:pPr>
                  <a:defRPr sz="1000" b="0"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numRef>
              <c:f>'Мой индекс'!$B$39:$O$39</c:f>
              <c:numCache>
                <c:formatCode>General</c:formatCode>
                <c:ptCount val="14"/>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numCache>
            </c:numRef>
          </c:cat>
          <c:val>
            <c:numRef>
              <c:f>'Мой индекс'!$B$43:$O$43</c:f>
              <c:numCache>
                <c:formatCode>0.00</c:formatCode>
                <c:ptCount val="14"/>
                <c:pt idx="0">
                  <c:v>0.73511368982849834</c:v>
                </c:pt>
                <c:pt idx="1">
                  <c:v>0.30884311079781035</c:v>
                </c:pt>
                <c:pt idx="2">
                  <c:v>0.24867004074006208</c:v>
                </c:pt>
                <c:pt idx="3">
                  <c:v>0.54504964597197125</c:v>
                </c:pt>
                <c:pt idx="4">
                  <c:v>0.53</c:v>
                </c:pt>
                <c:pt idx="5">
                  <c:v>0.53</c:v>
                </c:pt>
                <c:pt idx="6">
                  <c:v>0.52</c:v>
                </c:pt>
                <c:pt idx="7">
                  <c:v>0.4</c:v>
                </c:pt>
                <c:pt idx="8">
                  <c:v>0.4</c:v>
                </c:pt>
                <c:pt idx="9">
                  <c:v>0.39</c:v>
                </c:pt>
                <c:pt idx="10">
                  <c:v>0.35</c:v>
                </c:pt>
                <c:pt idx="11">
                  <c:v>0.33</c:v>
                </c:pt>
                <c:pt idx="12">
                  <c:v>0.32</c:v>
                </c:pt>
                <c:pt idx="13">
                  <c:v>0.31</c:v>
                </c:pt>
              </c:numCache>
            </c:numRef>
          </c:val>
          <c:smooth val="0"/>
        </c:ser>
        <c:dLbls>
          <c:showLegendKey val="0"/>
          <c:showVal val="0"/>
          <c:showCatName val="0"/>
          <c:showSerName val="0"/>
          <c:showPercent val="0"/>
          <c:showBubbleSize val="0"/>
        </c:dLbls>
        <c:marker val="1"/>
        <c:smooth val="0"/>
        <c:axId val="92532096"/>
        <c:axId val="92480640"/>
      </c:lineChart>
      <c:catAx>
        <c:axId val="92532096"/>
        <c:scaling>
          <c:orientation val="minMax"/>
        </c:scaling>
        <c:delete val="0"/>
        <c:axPos val="b"/>
        <c:numFmt formatCode="General" sourceLinked="1"/>
        <c:majorTickMark val="out"/>
        <c:minorTickMark val="none"/>
        <c:tickLblPos val="nextTo"/>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92480640"/>
        <c:crosses val="autoZero"/>
        <c:auto val="1"/>
        <c:lblAlgn val="ctr"/>
        <c:lblOffset val="100"/>
        <c:noMultiLvlLbl val="0"/>
      </c:catAx>
      <c:valAx>
        <c:axId val="92480640"/>
        <c:scaling>
          <c:orientation val="minMax"/>
        </c:scaling>
        <c:delete val="0"/>
        <c:axPos val="l"/>
        <c:majorGridlines/>
        <c:numFmt formatCode="0.00" sourceLinked="1"/>
        <c:majorTickMark val="out"/>
        <c:minorTickMark val="none"/>
        <c:tickLblPos val="nextTo"/>
        <c:txPr>
          <a:bodyPr rot="0" vert="horz"/>
          <a:lstStyle/>
          <a:p>
            <a:pPr>
              <a:defRPr sz="1000" b="0" i="0" u="none" strike="noStrike" baseline="0">
                <a:solidFill>
                  <a:srgbClr val="000000"/>
                </a:solidFill>
                <a:latin typeface="Times New Roman"/>
                <a:ea typeface="Times New Roman"/>
                <a:cs typeface="Times New Roman"/>
              </a:defRPr>
            </a:pPr>
            <a:endParaRPr lang="ru-RU"/>
          </a:p>
        </c:txPr>
        <c:crossAx val="92532096"/>
        <c:crosses val="autoZero"/>
        <c:crossBetween val="between"/>
      </c:valAx>
      <c:spPr>
        <a:solidFill>
          <a:srgbClr val="FCFDFE"/>
        </a:solidFill>
        <a:ln>
          <a:noFill/>
        </a:ln>
      </c:spPr>
    </c:plotArea>
    <c:plotVisOnly val="1"/>
    <c:dispBlanksAs val="zero"/>
    <c:showDLblsOverMax val="0"/>
  </c:chart>
  <c:spPr>
    <a:solidFill>
      <a:srgbClr val="FCFDFE"/>
    </a:solidFill>
    <a:ln>
      <a:noFill/>
    </a:ln>
  </c:spPr>
  <c:txPr>
    <a:bodyPr/>
    <a:lstStyle/>
    <a:p>
      <a:pPr>
        <a:defRPr sz="1000" b="0" i="0" u="none" strike="noStrike" baseline="0">
          <a:solidFill>
            <a:srgbClr val="000000"/>
          </a:solidFill>
          <a:latin typeface="Times New Roman"/>
          <a:ea typeface="Times New Roman"/>
          <a:cs typeface="Times New Roman"/>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70B183-77DE-4EDC-B529-5098CD3A0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5</Pages>
  <Words>1859</Words>
  <Characters>10602</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3</cp:revision>
  <dcterms:created xsi:type="dcterms:W3CDTF">2020-06-15T19:21:00Z</dcterms:created>
  <dcterms:modified xsi:type="dcterms:W3CDTF">2020-06-15T19:58:00Z</dcterms:modified>
</cp:coreProperties>
</file>