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harts/colors1.xml" ContentType="application/vnd.ms-office.chartcolorstyle+xml"/>
  <Override PartName="/word/charts/style1.xml" ContentType="application/vnd.ms-office.chartstyle+xml"/>
  <Override PartName="/word/charts/colors2.xml" ContentType="application/vnd.ms-office.chartcolorstyle+xml"/>
  <Override PartName="/word/charts/style2.xml" ContentType="application/vnd.ms-office.chart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30B72C2" w14:textId="75F0C4B0" w:rsidR="00EC493A" w:rsidRPr="009430A8" w:rsidRDefault="00EC493A" w:rsidP="00EC493A">
      <w:pPr>
        <w:spacing w:after="0" w:line="240" w:lineRule="auto"/>
        <w:rPr>
          <w:rFonts w:ascii="Times New Roman" w:hAnsi="Times New Roman"/>
          <w:sz w:val="28"/>
          <w:szCs w:val="28"/>
        </w:rPr>
      </w:pPr>
      <w:bookmarkStart w:id="0" w:name="_GoBack"/>
      <w:bookmarkEnd w:id="0"/>
      <w:r w:rsidRPr="00822369">
        <w:rPr>
          <w:rFonts w:ascii="Times New Roman" w:hAnsi="Times New Roman"/>
          <w:sz w:val="28"/>
          <w:szCs w:val="28"/>
        </w:rPr>
        <w:t>338.001.36</w:t>
      </w:r>
      <w:r w:rsidR="00775784">
        <w:rPr>
          <w:rFonts w:ascii="Times New Roman" w:hAnsi="Times New Roman"/>
          <w:sz w:val="28"/>
          <w:szCs w:val="28"/>
        </w:rPr>
        <w:t>/</w:t>
      </w:r>
      <w:r w:rsidRPr="009430A8">
        <w:rPr>
          <w:rFonts w:ascii="Times New Roman" w:hAnsi="Times New Roman"/>
          <w:sz w:val="28"/>
          <w:szCs w:val="28"/>
        </w:rPr>
        <w:t>65.053</w:t>
      </w:r>
    </w:p>
    <w:p w14:paraId="683C3C5A" w14:textId="494D8C0B" w:rsidR="00775784" w:rsidRPr="00775784" w:rsidRDefault="00775784" w:rsidP="003F3B38">
      <w:pPr>
        <w:spacing w:after="0" w:line="240" w:lineRule="auto"/>
        <w:jc w:val="right"/>
        <w:rPr>
          <w:rFonts w:ascii="Times New Roman" w:hAnsi="Times New Roman"/>
          <w:b/>
          <w:sz w:val="24"/>
          <w:szCs w:val="24"/>
        </w:rPr>
      </w:pPr>
      <w:r w:rsidRPr="00775784">
        <w:rPr>
          <w:rFonts w:ascii="Times New Roman" w:hAnsi="Times New Roman"/>
          <w:b/>
          <w:sz w:val="24"/>
          <w:szCs w:val="24"/>
        </w:rPr>
        <w:t>Морошкина М.В.</w:t>
      </w:r>
    </w:p>
    <w:p w14:paraId="3F02517F" w14:textId="1F87AF64" w:rsidR="00775784" w:rsidRPr="00775784" w:rsidRDefault="00775784" w:rsidP="003F3B38">
      <w:pPr>
        <w:spacing w:after="0" w:line="240" w:lineRule="auto"/>
        <w:jc w:val="right"/>
        <w:rPr>
          <w:rFonts w:ascii="Times New Roman" w:hAnsi="Times New Roman"/>
          <w:b/>
          <w:sz w:val="24"/>
          <w:szCs w:val="24"/>
        </w:rPr>
      </w:pPr>
      <w:r w:rsidRPr="00775784">
        <w:rPr>
          <w:rFonts w:ascii="Times New Roman" w:hAnsi="Times New Roman"/>
          <w:b/>
          <w:sz w:val="24"/>
          <w:szCs w:val="24"/>
        </w:rPr>
        <w:t>Мяки С.А.</w:t>
      </w:r>
    </w:p>
    <w:p w14:paraId="4FD18FF9" w14:textId="77777777" w:rsidR="00775784" w:rsidRPr="003F3B38" w:rsidRDefault="00775784" w:rsidP="003F3B38">
      <w:pPr>
        <w:spacing w:after="0" w:line="240" w:lineRule="auto"/>
        <w:jc w:val="right"/>
        <w:rPr>
          <w:rFonts w:ascii="Times New Roman" w:hAnsi="Times New Roman"/>
          <w:sz w:val="28"/>
          <w:szCs w:val="28"/>
        </w:rPr>
      </w:pPr>
    </w:p>
    <w:p w14:paraId="58B97C9E" w14:textId="1D4A1363" w:rsidR="003F3B38" w:rsidRPr="00775784" w:rsidRDefault="00775784" w:rsidP="003F3B38">
      <w:pPr>
        <w:spacing w:after="0" w:line="240" w:lineRule="auto"/>
        <w:jc w:val="center"/>
        <w:rPr>
          <w:rFonts w:ascii="Times New Roman" w:hAnsi="Times New Roman"/>
          <w:b/>
          <w:iCs/>
          <w:caps/>
          <w:sz w:val="28"/>
          <w:szCs w:val="28"/>
        </w:rPr>
      </w:pPr>
      <w:r w:rsidRPr="00775784">
        <w:rPr>
          <w:rFonts w:ascii="Times New Roman" w:eastAsia="SimSun" w:hAnsi="Times New Roman"/>
          <w:b/>
          <w:iCs/>
          <w:caps/>
          <w:kern w:val="2"/>
          <w:sz w:val="24"/>
          <w:szCs w:val="24"/>
          <w:lang w:eastAsia="hi-IN" w:bidi="hi-IN"/>
        </w:rPr>
        <w:t>Тенденции развития инно</w:t>
      </w:r>
      <w:r w:rsidR="00096AFA">
        <w:rPr>
          <w:rFonts w:ascii="Times New Roman" w:eastAsia="SimSun" w:hAnsi="Times New Roman"/>
          <w:b/>
          <w:iCs/>
          <w:caps/>
          <w:kern w:val="2"/>
          <w:sz w:val="24"/>
          <w:szCs w:val="24"/>
          <w:lang w:eastAsia="hi-IN" w:bidi="hi-IN"/>
        </w:rPr>
        <w:t>в</w:t>
      </w:r>
      <w:r w:rsidRPr="00775784">
        <w:rPr>
          <w:rFonts w:ascii="Times New Roman" w:eastAsia="SimSun" w:hAnsi="Times New Roman"/>
          <w:b/>
          <w:iCs/>
          <w:caps/>
          <w:kern w:val="2"/>
          <w:sz w:val="24"/>
          <w:szCs w:val="24"/>
          <w:lang w:eastAsia="hi-IN" w:bidi="hi-IN"/>
        </w:rPr>
        <w:t>ационной инфраструктуры на примере</w:t>
      </w:r>
      <w:r w:rsidR="003F3B38" w:rsidRPr="00775784">
        <w:rPr>
          <w:rFonts w:ascii="Times New Roman" w:eastAsia="SimSun" w:hAnsi="Times New Roman"/>
          <w:b/>
          <w:iCs/>
          <w:caps/>
          <w:kern w:val="2"/>
          <w:sz w:val="24"/>
          <w:szCs w:val="24"/>
          <w:lang w:eastAsia="hi-IN" w:bidi="hi-IN"/>
        </w:rPr>
        <w:t xml:space="preserve"> ОЭЗ</w:t>
      </w:r>
      <w:r w:rsidR="009430A8" w:rsidRPr="00775784">
        <w:rPr>
          <w:rStyle w:val="af2"/>
          <w:rFonts w:ascii="Times New Roman" w:hAnsi="Times New Roman"/>
          <w:b/>
          <w:iCs/>
          <w:caps/>
          <w:sz w:val="28"/>
          <w:szCs w:val="28"/>
        </w:rPr>
        <w:footnoteReference w:id="1"/>
      </w:r>
    </w:p>
    <w:p w14:paraId="5EEE9842" w14:textId="1CDD36F6" w:rsidR="003F3B38" w:rsidRDefault="003F3B38" w:rsidP="003F3B38">
      <w:pPr>
        <w:spacing w:after="0" w:line="240" w:lineRule="auto"/>
        <w:jc w:val="center"/>
        <w:rPr>
          <w:rFonts w:ascii="Times New Roman" w:hAnsi="Times New Roman"/>
          <w:sz w:val="28"/>
          <w:szCs w:val="28"/>
        </w:rPr>
      </w:pPr>
    </w:p>
    <w:p w14:paraId="12869053" w14:textId="04B17F2B" w:rsidR="00E84231" w:rsidRDefault="003F3B38" w:rsidP="00E84231">
      <w:pPr>
        <w:tabs>
          <w:tab w:val="left" w:pos="993"/>
        </w:tabs>
        <w:suppressAutoHyphens/>
        <w:spacing w:after="0" w:line="240" w:lineRule="auto"/>
        <w:ind w:firstLine="709"/>
        <w:jc w:val="both"/>
        <w:rPr>
          <w:rFonts w:ascii="Times New Roman" w:hAnsi="Times New Roman"/>
          <w:i/>
          <w:iCs/>
          <w:sz w:val="24"/>
          <w:szCs w:val="24"/>
          <w:highlight w:val="yellow"/>
        </w:rPr>
      </w:pPr>
      <w:r w:rsidRPr="00775784">
        <w:rPr>
          <w:rFonts w:ascii="Times New Roman" w:hAnsi="Times New Roman"/>
          <w:i/>
          <w:iCs/>
          <w:sz w:val="24"/>
          <w:szCs w:val="24"/>
        </w:rPr>
        <w:t>Аннотация</w:t>
      </w:r>
      <w:r w:rsidR="003B01F9" w:rsidRPr="00775784">
        <w:rPr>
          <w:rFonts w:ascii="Times New Roman" w:hAnsi="Times New Roman"/>
          <w:i/>
          <w:iCs/>
          <w:sz w:val="24"/>
          <w:szCs w:val="24"/>
        </w:rPr>
        <w:t xml:space="preserve">. Особые экономические зоны являются территориями, которые обладают конкурентными преимуществами в сравнении с другими российскими регионами. Оценка экономического развития данных территорий, позволит </w:t>
      </w:r>
      <w:r w:rsidR="00627F48" w:rsidRPr="00775784">
        <w:rPr>
          <w:rFonts w:ascii="Times New Roman" w:hAnsi="Times New Roman"/>
          <w:i/>
          <w:iCs/>
          <w:sz w:val="24"/>
          <w:szCs w:val="24"/>
        </w:rPr>
        <w:t xml:space="preserve">оценить </w:t>
      </w:r>
      <w:r w:rsidR="003B01F9" w:rsidRPr="00775784">
        <w:rPr>
          <w:rFonts w:ascii="Times New Roman" w:hAnsi="Times New Roman"/>
          <w:i/>
          <w:iCs/>
          <w:sz w:val="24"/>
          <w:szCs w:val="24"/>
        </w:rPr>
        <w:t>эффективность существующих мер государственного стимулирования.</w:t>
      </w:r>
      <w:r w:rsidR="00DC2F72" w:rsidRPr="00775784">
        <w:rPr>
          <w:rFonts w:ascii="Times New Roman" w:hAnsi="Times New Roman"/>
          <w:i/>
          <w:iCs/>
          <w:sz w:val="24"/>
          <w:szCs w:val="24"/>
        </w:rPr>
        <w:t xml:space="preserve"> </w:t>
      </w:r>
    </w:p>
    <w:p w14:paraId="29C0258C" w14:textId="5CB9B8DB" w:rsidR="00F077B8" w:rsidRPr="00775784" w:rsidRDefault="00F077B8" w:rsidP="00F077B8">
      <w:pPr>
        <w:tabs>
          <w:tab w:val="left" w:pos="993"/>
        </w:tabs>
        <w:suppressAutoHyphens/>
        <w:spacing w:after="0" w:line="240" w:lineRule="auto"/>
        <w:ind w:firstLine="709"/>
        <w:jc w:val="both"/>
        <w:rPr>
          <w:rFonts w:ascii="Times New Roman" w:hAnsi="Times New Roman"/>
          <w:i/>
          <w:iCs/>
          <w:sz w:val="24"/>
          <w:szCs w:val="24"/>
        </w:rPr>
      </w:pPr>
      <w:r w:rsidRPr="00775784">
        <w:rPr>
          <w:rFonts w:ascii="Times New Roman" w:hAnsi="Times New Roman"/>
          <w:i/>
          <w:iCs/>
          <w:sz w:val="24"/>
          <w:szCs w:val="24"/>
        </w:rPr>
        <w:t>Ключевые слова: регионы, ОЭЗ, индекс физического объема инвестиций в основной капитал, индекс промышленного производства</w:t>
      </w:r>
    </w:p>
    <w:p w14:paraId="3018ADE4" w14:textId="3DD3DD5E" w:rsidR="0061187B" w:rsidRPr="00E84231" w:rsidRDefault="0061187B" w:rsidP="0061187B">
      <w:pPr>
        <w:tabs>
          <w:tab w:val="left" w:pos="993"/>
        </w:tabs>
        <w:suppressAutoHyphens/>
        <w:spacing w:after="0" w:line="240" w:lineRule="auto"/>
        <w:jc w:val="both"/>
        <w:rPr>
          <w:rFonts w:ascii="Times New Roman" w:hAnsi="Times New Roman"/>
          <w:sz w:val="28"/>
          <w:szCs w:val="28"/>
        </w:rPr>
      </w:pPr>
    </w:p>
    <w:p w14:paraId="5B24ACDF" w14:textId="1F34CB01" w:rsidR="00B242E2" w:rsidRPr="00775784" w:rsidRDefault="003F3B38" w:rsidP="00E84231">
      <w:pPr>
        <w:spacing w:after="0" w:line="240" w:lineRule="auto"/>
        <w:ind w:firstLine="709"/>
        <w:jc w:val="both"/>
        <w:rPr>
          <w:rFonts w:ascii="Times New Roman" w:hAnsi="Times New Roman"/>
          <w:sz w:val="24"/>
          <w:szCs w:val="24"/>
        </w:rPr>
      </w:pPr>
      <w:r w:rsidRPr="00775784">
        <w:rPr>
          <w:rFonts w:ascii="Times New Roman" w:hAnsi="Times New Roman"/>
          <w:b/>
          <w:sz w:val="24"/>
          <w:szCs w:val="24"/>
        </w:rPr>
        <w:t>Введение</w:t>
      </w:r>
      <w:r w:rsidR="005261FC" w:rsidRPr="00775784">
        <w:rPr>
          <w:rFonts w:ascii="Times New Roman" w:hAnsi="Times New Roman"/>
          <w:b/>
          <w:sz w:val="24"/>
          <w:szCs w:val="24"/>
        </w:rPr>
        <w:t xml:space="preserve">. </w:t>
      </w:r>
      <w:r w:rsidR="005261FC" w:rsidRPr="00775784">
        <w:rPr>
          <w:rFonts w:ascii="Times New Roman" w:hAnsi="Times New Roman"/>
          <w:sz w:val="24"/>
          <w:szCs w:val="24"/>
        </w:rPr>
        <w:t>В современных условиях</w:t>
      </w:r>
      <w:r w:rsidR="00482A08">
        <w:rPr>
          <w:rFonts w:ascii="Times New Roman" w:hAnsi="Times New Roman"/>
          <w:sz w:val="24"/>
          <w:szCs w:val="24"/>
        </w:rPr>
        <w:t xml:space="preserve"> функционирования экономических систем </w:t>
      </w:r>
      <w:r w:rsidR="005261FC" w:rsidRPr="00775784">
        <w:rPr>
          <w:rFonts w:ascii="Times New Roman" w:hAnsi="Times New Roman"/>
          <w:sz w:val="24"/>
          <w:szCs w:val="24"/>
        </w:rPr>
        <w:t xml:space="preserve"> </w:t>
      </w:r>
      <w:r w:rsidR="000065B6" w:rsidRPr="00775784">
        <w:rPr>
          <w:rFonts w:ascii="Times New Roman" w:hAnsi="Times New Roman"/>
          <w:sz w:val="24"/>
          <w:szCs w:val="24"/>
        </w:rPr>
        <w:t xml:space="preserve">важное </w:t>
      </w:r>
      <w:r w:rsidR="005261FC" w:rsidRPr="00775784">
        <w:rPr>
          <w:rFonts w:ascii="Times New Roman" w:hAnsi="Times New Roman"/>
          <w:sz w:val="24"/>
          <w:szCs w:val="24"/>
        </w:rPr>
        <w:t>значение</w:t>
      </w:r>
      <w:r w:rsidR="00482A08">
        <w:rPr>
          <w:rFonts w:ascii="Times New Roman" w:hAnsi="Times New Roman"/>
          <w:sz w:val="24"/>
          <w:szCs w:val="24"/>
        </w:rPr>
        <w:t xml:space="preserve"> принимают особые условия развития. В рамках данного направления привлекает внимание</w:t>
      </w:r>
      <w:r w:rsidR="005261FC" w:rsidRPr="00775784">
        <w:rPr>
          <w:rFonts w:ascii="Times New Roman" w:hAnsi="Times New Roman"/>
          <w:sz w:val="24"/>
          <w:szCs w:val="24"/>
        </w:rPr>
        <w:t xml:space="preserve"> территори</w:t>
      </w:r>
      <w:r w:rsidR="00482A08">
        <w:rPr>
          <w:rFonts w:ascii="Times New Roman" w:hAnsi="Times New Roman"/>
          <w:sz w:val="24"/>
          <w:szCs w:val="24"/>
        </w:rPr>
        <w:t>и</w:t>
      </w:r>
      <w:r w:rsidR="005261FC" w:rsidRPr="00775784">
        <w:rPr>
          <w:rFonts w:ascii="Times New Roman" w:hAnsi="Times New Roman"/>
          <w:sz w:val="24"/>
          <w:szCs w:val="24"/>
        </w:rPr>
        <w:t>, имеющи</w:t>
      </w:r>
      <w:r w:rsidR="00482A08">
        <w:rPr>
          <w:rFonts w:ascii="Times New Roman" w:hAnsi="Times New Roman"/>
          <w:sz w:val="24"/>
          <w:szCs w:val="24"/>
        </w:rPr>
        <w:t>е</w:t>
      </w:r>
      <w:r w:rsidR="005261FC" w:rsidRPr="00775784">
        <w:rPr>
          <w:rFonts w:ascii="Times New Roman" w:hAnsi="Times New Roman"/>
          <w:sz w:val="24"/>
          <w:szCs w:val="24"/>
        </w:rPr>
        <w:t xml:space="preserve"> </w:t>
      </w:r>
      <w:r w:rsidR="00482A08">
        <w:rPr>
          <w:rFonts w:ascii="Times New Roman" w:hAnsi="Times New Roman"/>
          <w:sz w:val="24"/>
          <w:szCs w:val="24"/>
        </w:rPr>
        <w:t>отличные</w:t>
      </w:r>
      <w:r w:rsidR="005261FC" w:rsidRPr="00775784">
        <w:rPr>
          <w:rFonts w:ascii="Times New Roman" w:hAnsi="Times New Roman"/>
          <w:sz w:val="24"/>
          <w:szCs w:val="24"/>
        </w:rPr>
        <w:t xml:space="preserve"> условия хозяйственной и производственной деятельности</w:t>
      </w:r>
      <w:r w:rsidR="00573A6F" w:rsidRPr="00775784">
        <w:rPr>
          <w:rFonts w:ascii="Times New Roman" w:hAnsi="Times New Roman"/>
          <w:sz w:val="24"/>
          <w:szCs w:val="24"/>
        </w:rPr>
        <w:t xml:space="preserve"> [</w:t>
      </w:r>
      <w:r w:rsidR="00EB4E2C" w:rsidRPr="00775784">
        <w:rPr>
          <w:rFonts w:ascii="Times New Roman" w:hAnsi="Times New Roman"/>
          <w:sz w:val="24"/>
          <w:szCs w:val="24"/>
        </w:rPr>
        <w:t>1</w:t>
      </w:r>
      <w:r w:rsidR="00573A6F" w:rsidRPr="00775784">
        <w:rPr>
          <w:rFonts w:ascii="Times New Roman" w:hAnsi="Times New Roman"/>
          <w:sz w:val="24"/>
          <w:szCs w:val="24"/>
        </w:rPr>
        <w:t>]</w:t>
      </w:r>
      <w:r w:rsidR="005261FC" w:rsidRPr="00775784">
        <w:rPr>
          <w:rFonts w:ascii="Times New Roman" w:hAnsi="Times New Roman"/>
          <w:sz w:val="24"/>
          <w:szCs w:val="24"/>
        </w:rPr>
        <w:t xml:space="preserve">. </w:t>
      </w:r>
      <w:r w:rsidR="00482A08">
        <w:rPr>
          <w:rFonts w:ascii="Times New Roman" w:hAnsi="Times New Roman"/>
          <w:sz w:val="24"/>
          <w:szCs w:val="24"/>
        </w:rPr>
        <w:t>Р</w:t>
      </w:r>
      <w:r w:rsidR="005261FC" w:rsidRPr="00775784">
        <w:rPr>
          <w:rFonts w:ascii="Times New Roman" w:hAnsi="Times New Roman"/>
          <w:sz w:val="24"/>
          <w:szCs w:val="24"/>
        </w:rPr>
        <w:t>ежим налогообл</w:t>
      </w:r>
      <w:r w:rsidR="00656F8D" w:rsidRPr="00775784">
        <w:rPr>
          <w:rFonts w:ascii="Times New Roman" w:hAnsi="Times New Roman"/>
          <w:sz w:val="24"/>
          <w:szCs w:val="24"/>
        </w:rPr>
        <w:t>о</w:t>
      </w:r>
      <w:r w:rsidR="005261FC" w:rsidRPr="00775784">
        <w:rPr>
          <w:rFonts w:ascii="Times New Roman" w:hAnsi="Times New Roman"/>
          <w:sz w:val="24"/>
          <w:szCs w:val="24"/>
        </w:rPr>
        <w:t>жения</w:t>
      </w:r>
      <w:r w:rsidR="00482A08">
        <w:rPr>
          <w:rFonts w:ascii="Times New Roman" w:hAnsi="Times New Roman"/>
          <w:sz w:val="24"/>
          <w:szCs w:val="24"/>
        </w:rPr>
        <w:t>, принятый в данных территориях</w:t>
      </w:r>
      <w:r w:rsidR="005261FC" w:rsidRPr="00775784">
        <w:rPr>
          <w:rFonts w:ascii="Times New Roman" w:hAnsi="Times New Roman"/>
          <w:sz w:val="24"/>
          <w:szCs w:val="24"/>
        </w:rPr>
        <w:t xml:space="preserve"> позволяет концентрировать </w:t>
      </w:r>
      <w:r w:rsidR="00482A08">
        <w:rPr>
          <w:rFonts w:ascii="Times New Roman" w:hAnsi="Times New Roman"/>
          <w:sz w:val="24"/>
          <w:szCs w:val="24"/>
        </w:rPr>
        <w:t xml:space="preserve">экономически </w:t>
      </w:r>
      <w:r w:rsidR="005261FC" w:rsidRPr="00775784">
        <w:rPr>
          <w:rFonts w:ascii="Times New Roman" w:hAnsi="Times New Roman"/>
          <w:sz w:val="24"/>
          <w:szCs w:val="24"/>
        </w:rPr>
        <w:t xml:space="preserve">потенциал на </w:t>
      </w:r>
      <w:r w:rsidR="00482A08">
        <w:rPr>
          <w:rFonts w:ascii="Times New Roman" w:hAnsi="Times New Roman"/>
          <w:sz w:val="24"/>
          <w:szCs w:val="24"/>
        </w:rPr>
        <w:t xml:space="preserve">создании условий </w:t>
      </w:r>
      <w:r w:rsidR="005261FC" w:rsidRPr="00775784">
        <w:rPr>
          <w:rFonts w:ascii="Times New Roman" w:hAnsi="Times New Roman"/>
          <w:sz w:val="24"/>
          <w:szCs w:val="24"/>
        </w:rPr>
        <w:t>для экономического роста</w:t>
      </w:r>
      <w:r w:rsidR="00EB6411" w:rsidRPr="00775784">
        <w:rPr>
          <w:rFonts w:ascii="Times New Roman" w:hAnsi="Times New Roman"/>
          <w:sz w:val="24"/>
          <w:szCs w:val="24"/>
        </w:rPr>
        <w:t xml:space="preserve"> [</w:t>
      </w:r>
      <w:r w:rsidR="00EB4E2C" w:rsidRPr="00775784">
        <w:rPr>
          <w:rFonts w:ascii="Times New Roman" w:hAnsi="Times New Roman"/>
          <w:sz w:val="24"/>
          <w:szCs w:val="24"/>
        </w:rPr>
        <w:t>2, 3</w:t>
      </w:r>
      <w:r w:rsidR="00EB6411" w:rsidRPr="00775784">
        <w:rPr>
          <w:rFonts w:ascii="Times New Roman" w:hAnsi="Times New Roman"/>
          <w:sz w:val="24"/>
          <w:szCs w:val="24"/>
        </w:rPr>
        <w:t>]</w:t>
      </w:r>
      <w:r w:rsidR="00EB4E2C" w:rsidRPr="00775784">
        <w:rPr>
          <w:rFonts w:ascii="Times New Roman" w:hAnsi="Times New Roman"/>
          <w:sz w:val="24"/>
          <w:szCs w:val="24"/>
        </w:rPr>
        <w:t xml:space="preserve">. </w:t>
      </w:r>
      <w:r w:rsidR="005261FC" w:rsidRPr="00775784">
        <w:rPr>
          <w:rFonts w:ascii="Times New Roman" w:hAnsi="Times New Roman"/>
          <w:sz w:val="24"/>
          <w:szCs w:val="24"/>
        </w:rPr>
        <w:t xml:space="preserve">В </w:t>
      </w:r>
      <w:r w:rsidR="00482A08">
        <w:rPr>
          <w:rFonts w:ascii="Times New Roman" w:hAnsi="Times New Roman"/>
          <w:sz w:val="24"/>
          <w:szCs w:val="24"/>
        </w:rPr>
        <w:t xml:space="preserve">результате сложившихся </w:t>
      </w:r>
      <w:r w:rsidR="005261FC" w:rsidRPr="00775784">
        <w:rPr>
          <w:rFonts w:ascii="Times New Roman" w:hAnsi="Times New Roman"/>
          <w:sz w:val="24"/>
          <w:szCs w:val="24"/>
        </w:rPr>
        <w:t xml:space="preserve">условий, в </w:t>
      </w:r>
      <w:r w:rsidR="00482A08">
        <w:rPr>
          <w:rFonts w:ascii="Times New Roman" w:hAnsi="Times New Roman"/>
          <w:sz w:val="24"/>
          <w:szCs w:val="24"/>
        </w:rPr>
        <w:t xml:space="preserve">отдельных </w:t>
      </w:r>
      <w:r w:rsidR="005261FC" w:rsidRPr="00775784">
        <w:rPr>
          <w:rFonts w:ascii="Times New Roman" w:hAnsi="Times New Roman"/>
          <w:sz w:val="24"/>
          <w:szCs w:val="24"/>
        </w:rPr>
        <w:t>субъект</w:t>
      </w:r>
      <w:r w:rsidR="00482A08">
        <w:rPr>
          <w:rFonts w:ascii="Times New Roman" w:hAnsi="Times New Roman"/>
          <w:sz w:val="24"/>
          <w:szCs w:val="24"/>
        </w:rPr>
        <w:t xml:space="preserve">ах </w:t>
      </w:r>
      <w:r w:rsidR="005261FC" w:rsidRPr="00775784">
        <w:rPr>
          <w:rFonts w:ascii="Times New Roman" w:hAnsi="Times New Roman"/>
          <w:sz w:val="24"/>
          <w:szCs w:val="24"/>
        </w:rPr>
        <w:t>Российской Федерации, складыва</w:t>
      </w:r>
      <w:r w:rsidR="00482A08">
        <w:rPr>
          <w:rFonts w:ascii="Times New Roman" w:hAnsi="Times New Roman"/>
          <w:sz w:val="24"/>
          <w:szCs w:val="24"/>
        </w:rPr>
        <w:t>ется</w:t>
      </w:r>
      <w:r w:rsidR="005261FC" w:rsidRPr="00775784">
        <w:rPr>
          <w:rFonts w:ascii="Times New Roman" w:hAnsi="Times New Roman"/>
          <w:sz w:val="24"/>
          <w:szCs w:val="24"/>
        </w:rPr>
        <w:t xml:space="preserve"> экономический потенциал, </w:t>
      </w:r>
      <w:r w:rsidR="00482A08">
        <w:rPr>
          <w:rFonts w:ascii="Times New Roman" w:hAnsi="Times New Roman"/>
          <w:sz w:val="24"/>
          <w:szCs w:val="24"/>
        </w:rPr>
        <w:t xml:space="preserve">способный </w:t>
      </w:r>
      <w:r w:rsidR="005261FC" w:rsidRPr="00775784">
        <w:rPr>
          <w:rFonts w:ascii="Times New Roman" w:hAnsi="Times New Roman"/>
          <w:sz w:val="24"/>
          <w:szCs w:val="24"/>
        </w:rPr>
        <w:t>обеспечи</w:t>
      </w:r>
      <w:r w:rsidR="00482A08">
        <w:rPr>
          <w:rFonts w:ascii="Times New Roman" w:hAnsi="Times New Roman"/>
          <w:sz w:val="24"/>
          <w:szCs w:val="24"/>
        </w:rPr>
        <w:t>ть</w:t>
      </w:r>
      <w:r w:rsidR="005261FC" w:rsidRPr="00775784">
        <w:rPr>
          <w:rFonts w:ascii="Times New Roman" w:hAnsi="Times New Roman"/>
          <w:sz w:val="24"/>
          <w:szCs w:val="24"/>
        </w:rPr>
        <w:t xml:space="preserve"> развитие производственного, инновационного направления и привлечен</w:t>
      </w:r>
      <w:r w:rsidR="00482A08">
        <w:rPr>
          <w:rFonts w:ascii="Times New Roman" w:hAnsi="Times New Roman"/>
          <w:sz w:val="24"/>
          <w:szCs w:val="24"/>
        </w:rPr>
        <w:t xml:space="preserve">ие </w:t>
      </w:r>
      <w:r w:rsidR="005261FC" w:rsidRPr="00775784">
        <w:rPr>
          <w:rFonts w:ascii="Times New Roman" w:hAnsi="Times New Roman"/>
          <w:sz w:val="24"/>
          <w:szCs w:val="24"/>
        </w:rPr>
        <w:t>инвестиционного капитала</w:t>
      </w:r>
      <w:r w:rsidR="00EB6411" w:rsidRPr="00775784">
        <w:rPr>
          <w:rFonts w:ascii="Times New Roman" w:hAnsi="Times New Roman"/>
          <w:sz w:val="24"/>
          <w:szCs w:val="24"/>
        </w:rPr>
        <w:t xml:space="preserve"> [</w:t>
      </w:r>
      <w:r w:rsidR="00EB4E2C" w:rsidRPr="00775784">
        <w:rPr>
          <w:rFonts w:ascii="Times New Roman" w:hAnsi="Times New Roman"/>
          <w:sz w:val="24"/>
          <w:szCs w:val="24"/>
          <w:bdr w:val="none" w:sz="0" w:space="0" w:color="auto" w:frame="1"/>
        </w:rPr>
        <w:t>4</w:t>
      </w:r>
      <w:r w:rsidR="00EB6411" w:rsidRPr="00775784">
        <w:rPr>
          <w:rFonts w:ascii="Times New Roman" w:hAnsi="Times New Roman"/>
          <w:sz w:val="24"/>
          <w:szCs w:val="24"/>
        </w:rPr>
        <w:t>]</w:t>
      </w:r>
      <w:r w:rsidR="005261FC" w:rsidRPr="00775784">
        <w:rPr>
          <w:rFonts w:ascii="Times New Roman" w:hAnsi="Times New Roman"/>
          <w:sz w:val="24"/>
          <w:szCs w:val="24"/>
        </w:rPr>
        <w:t xml:space="preserve">. </w:t>
      </w:r>
    </w:p>
    <w:p w14:paraId="70F2D225" w14:textId="3F289CE3" w:rsidR="00E353E3" w:rsidRPr="00775784" w:rsidRDefault="003B40AF" w:rsidP="00E84231">
      <w:pPr>
        <w:spacing w:after="0" w:line="240" w:lineRule="auto"/>
        <w:ind w:firstLine="709"/>
        <w:jc w:val="both"/>
        <w:rPr>
          <w:rFonts w:ascii="Times New Roman" w:hAnsi="Times New Roman"/>
          <w:sz w:val="24"/>
          <w:szCs w:val="24"/>
        </w:rPr>
      </w:pPr>
      <w:r w:rsidRPr="00775784">
        <w:rPr>
          <w:rFonts w:ascii="Times New Roman" w:hAnsi="Times New Roman"/>
          <w:sz w:val="24"/>
          <w:szCs w:val="24"/>
        </w:rPr>
        <w:t xml:space="preserve">Территории, имеющие особый режим ведения хозяйственной деятельности </w:t>
      </w:r>
      <w:r w:rsidR="00482A08">
        <w:rPr>
          <w:rFonts w:ascii="Times New Roman" w:hAnsi="Times New Roman"/>
          <w:sz w:val="24"/>
          <w:szCs w:val="24"/>
        </w:rPr>
        <w:t>характеризуются специфическими направлениями экономического развития</w:t>
      </w:r>
      <w:r w:rsidRPr="00775784">
        <w:rPr>
          <w:rFonts w:ascii="Times New Roman" w:hAnsi="Times New Roman"/>
          <w:sz w:val="24"/>
          <w:szCs w:val="24"/>
        </w:rPr>
        <w:t xml:space="preserve">. </w:t>
      </w:r>
      <w:r w:rsidR="00482A08">
        <w:rPr>
          <w:rFonts w:ascii="Times New Roman" w:hAnsi="Times New Roman"/>
          <w:sz w:val="24"/>
          <w:szCs w:val="24"/>
        </w:rPr>
        <w:t>С</w:t>
      </w:r>
      <w:r w:rsidRPr="00775784">
        <w:rPr>
          <w:rFonts w:ascii="Times New Roman" w:hAnsi="Times New Roman"/>
          <w:sz w:val="24"/>
          <w:szCs w:val="24"/>
        </w:rPr>
        <w:t>татус территор</w:t>
      </w:r>
      <w:r w:rsidR="00482A08">
        <w:rPr>
          <w:rFonts w:ascii="Times New Roman" w:hAnsi="Times New Roman"/>
          <w:sz w:val="24"/>
          <w:szCs w:val="24"/>
        </w:rPr>
        <w:t>иального образования</w:t>
      </w:r>
      <w:r w:rsidRPr="00775784">
        <w:rPr>
          <w:rFonts w:ascii="Times New Roman" w:hAnsi="Times New Roman"/>
          <w:sz w:val="24"/>
          <w:szCs w:val="24"/>
        </w:rPr>
        <w:t xml:space="preserve"> определя</w:t>
      </w:r>
      <w:r w:rsidR="00482A08">
        <w:rPr>
          <w:rFonts w:ascii="Times New Roman" w:hAnsi="Times New Roman"/>
          <w:sz w:val="24"/>
          <w:szCs w:val="24"/>
        </w:rPr>
        <w:t>ет основные производственные сектора и обеспечивает активность</w:t>
      </w:r>
      <w:r w:rsidRPr="00775784">
        <w:rPr>
          <w:rFonts w:ascii="Times New Roman" w:hAnsi="Times New Roman"/>
          <w:sz w:val="24"/>
          <w:szCs w:val="24"/>
        </w:rPr>
        <w:t xml:space="preserve"> экономического развития. </w:t>
      </w:r>
      <w:r w:rsidR="00703A9C">
        <w:rPr>
          <w:rFonts w:ascii="Times New Roman" w:hAnsi="Times New Roman"/>
          <w:sz w:val="24"/>
          <w:szCs w:val="24"/>
        </w:rPr>
        <w:t>Статус</w:t>
      </w:r>
      <w:r w:rsidR="00E353E3" w:rsidRPr="00775784">
        <w:rPr>
          <w:rFonts w:ascii="Times New Roman" w:hAnsi="Times New Roman"/>
          <w:sz w:val="24"/>
          <w:szCs w:val="24"/>
        </w:rPr>
        <w:t xml:space="preserve"> ОЭЗ дол</w:t>
      </w:r>
      <w:r w:rsidR="00703A9C">
        <w:rPr>
          <w:rFonts w:ascii="Times New Roman" w:hAnsi="Times New Roman"/>
          <w:sz w:val="24"/>
          <w:szCs w:val="24"/>
        </w:rPr>
        <w:t>жен</w:t>
      </w:r>
      <w:r w:rsidR="00E353E3" w:rsidRPr="00775784">
        <w:rPr>
          <w:rFonts w:ascii="Times New Roman" w:hAnsi="Times New Roman"/>
          <w:sz w:val="24"/>
          <w:szCs w:val="24"/>
        </w:rPr>
        <w:t xml:space="preserve"> обеспечить</w:t>
      </w:r>
      <w:r w:rsidR="00703A9C">
        <w:rPr>
          <w:rFonts w:ascii="Times New Roman" w:hAnsi="Times New Roman"/>
          <w:sz w:val="24"/>
          <w:szCs w:val="24"/>
        </w:rPr>
        <w:t xml:space="preserve"> территориям более активное</w:t>
      </w:r>
      <w:r w:rsidR="00E353E3" w:rsidRPr="00775784">
        <w:rPr>
          <w:rFonts w:ascii="Times New Roman" w:hAnsi="Times New Roman"/>
          <w:sz w:val="24"/>
          <w:szCs w:val="24"/>
        </w:rPr>
        <w:t xml:space="preserve"> развитие </w:t>
      </w:r>
      <w:r w:rsidR="00703A9C">
        <w:rPr>
          <w:rFonts w:ascii="Times New Roman" w:hAnsi="Times New Roman"/>
          <w:sz w:val="24"/>
          <w:szCs w:val="24"/>
        </w:rPr>
        <w:t>производства</w:t>
      </w:r>
      <w:r w:rsidR="00E353E3" w:rsidRPr="00775784">
        <w:rPr>
          <w:rFonts w:ascii="Times New Roman" w:hAnsi="Times New Roman"/>
          <w:sz w:val="24"/>
          <w:szCs w:val="24"/>
        </w:rPr>
        <w:t xml:space="preserve">, привлечение инвестиций и </w:t>
      </w:r>
      <w:r w:rsidR="00703A9C">
        <w:rPr>
          <w:rFonts w:ascii="Times New Roman" w:hAnsi="Times New Roman"/>
          <w:sz w:val="24"/>
          <w:szCs w:val="24"/>
        </w:rPr>
        <w:t xml:space="preserve">активное </w:t>
      </w:r>
      <w:r w:rsidR="00E353E3" w:rsidRPr="00775784">
        <w:rPr>
          <w:rFonts w:ascii="Times New Roman" w:hAnsi="Times New Roman"/>
          <w:sz w:val="24"/>
          <w:szCs w:val="24"/>
        </w:rPr>
        <w:t>развитие инновационных направлений. Созданные на территориях ОЭЗ условия ведения хозяйственной и предпринимательской деятельности направлены на</w:t>
      </w:r>
      <w:r w:rsidR="00703A9C">
        <w:rPr>
          <w:rFonts w:ascii="Times New Roman" w:hAnsi="Times New Roman"/>
          <w:sz w:val="24"/>
          <w:szCs w:val="24"/>
        </w:rPr>
        <w:t xml:space="preserve"> формирование</w:t>
      </w:r>
      <w:r w:rsidR="00E353E3" w:rsidRPr="00775784">
        <w:rPr>
          <w:rFonts w:ascii="Times New Roman" w:hAnsi="Times New Roman"/>
          <w:sz w:val="24"/>
          <w:szCs w:val="24"/>
        </w:rPr>
        <w:t xml:space="preserve"> </w:t>
      </w:r>
      <w:r w:rsidR="00703A9C">
        <w:rPr>
          <w:rFonts w:ascii="Times New Roman" w:hAnsi="Times New Roman"/>
          <w:sz w:val="24"/>
          <w:szCs w:val="24"/>
        </w:rPr>
        <w:t xml:space="preserve">и активный процесс развития </w:t>
      </w:r>
      <w:r w:rsidR="00E353E3" w:rsidRPr="00775784">
        <w:rPr>
          <w:rFonts w:ascii="Times New Roman" w:hAnsi="Times New Roman"/>
          <w:sz w:val="24"/>
          <w:szCs w:val="24"/>
        </w:rPr>
        <w:t xml:space="preserve">предпринимательского и производственного сектора. </w:t>
      </w:r>
      <w:r w:rsidR="00703A9C">
        <w:rPr>
          <w:rFonts w:ascii="Times New Roman" w:hAnsi="Times New Roman"/>
          <w:sz w:val="24"/>
          <w:szCs w:val="24"/>
        </w:rPr>
        <w:t xml:space="preserve">Изменение структуры экономики, проявление тенденций экономического развития  и положительная динамика </w:t>
      </w:r>
      <w:r w:rsidR="00E353E3" w:rsidRPr="00775784">
        <w:rPr>
          <w:rFonts w:ascii="Times New Roman" w:hAnsi="Times New Roman"/>
          <w:sz w:val="24"/>
          <w:szCs w:val="24"/>
        </w:rPr>
        <w:t xml:space="preserve">экономических показателей позволяет </w:t>
      </w:r>
      <w:r w:rsidR="00703A9C">
        <w:rPr>
          <w:rFonts w:ascii="Times New Roman" w:hAnsi="Times New Roman"/>
          <w:sz w:val="24"/>
          <w:szCs w:val="24"/>
        </w:rPr>
        <w:t>говорить о</w:t>
      </w:r>
      <w:r w:rsidR="00E353E3" w:rsidRPr="00775784">
        <w:rPr>
          <w:rFonts w:ascii="Times New Roman" w:hAnsi="Times New Roman"/>
          <w:sz w:val="24"/>
          <w:szCs w:val="24"/>
        </w:rPr>
        <w:t xml:space="preserve"> эффективност</w:t>
      </w:r>
      <w:r w:rsidR="00703A9C">
        <w:rPr>
          <w:rFonts w:ascii="Times New Roman" w:hAnsi="Times New Roman"/>
          <w:sz w:val="24"/>
          <w:szCs w:val="24"/>
        </w:rPr>
        <w:t>и направлений государственной деятельности и проводимых</w:t>
      </w:r>
      <w:r w:rsidR="00E353E3" w:rsidRPr="00775784">
        <w:rPr>
          <w:rFonts w:ascii="Times New Roman" w:hAnsi="Times New Roman"/>
          <w:sz w:val="24"/>
          <w:szCs w:val="24"/>
        </w:rPr>
        <w:t xml:space="preserve"> мероприятий. </w:t>
      </w:r>
      <w:r w:rsidR="00703A9C">
        <w:rPr>
          <w:rFonts w:ascii="Times New Roman" w:hAnsi="Times New Roman"/>
          <w:sz w:val="24"/>
          <w:szCs w:val="24"/>
        </w:rPr>
        <w:t xml:space="preserve">Одним из существенных преимуществ территорий ОЭЗ являются действующие </w:t>
      </w:r>
      <w:r w:rsidR="00E353E3" w:rsidRPr="00775784">
        <w:rPr>
          <w:rFonts w:ascii="Times New Roman" w:hAnsi="Times New Roman"/>
          <w:sz w:val="24"/>
          <w:szCs w:val="24"/>
        </w:rPr>
        <w:t>налоговы</w:t>
      </w:r>
      <w:r w:rsidR="00703A9C">
        <w:rPr>
          <w:rFonts w:ascii="Times New Roman" w:hAnsi="Times New Roman"/>
          <w:sz w:val="24"/>
          <w:szCs w:val="24"/>
        </w:rPr>
        <w:t>е</w:t>
      </w:r>
      <w:r w:rsidR="00E353E3" w:rsidRPr="00775784">
        <w:rPr>
          <w:rFonts w:ascii="Times New Roman" w:hAnsi="Times New Roman"/>
          <w:sz w:val="24"/>
          <w:szCs w:val="24"/>
        </w:rPr>
        <w:t xml:space="preserve"> преференци</w:t>
      </w:r>
      <w:r w:rsidR="00703A9C">
        <w:rPr>
          <w:rFonts w:ascii="Times New Roman" w:hAnsi="Times New Roman"/>
          <w:sz w:val="24"/>
          <w:szCs w:val="24"/>
        </w:rPr>
        <w:t>и обеспечивающие облегченные условия для экономического развития</w:t>
      </w:r>
      <w:r w:rsidR="00E353E3" w:rsidRPr="00775784">
        <w:rPr>
          <w:rFonts w:ascii="Times New Roman" w:hAnsi="Times New Roman"/>
          <w:sz w:val="24"/>
          <w:szCs w:val="24"/>
        </w:rPr>
        <w:t xml:space="preserve">. Облегченный режим налогообложения на территориях ОЭЗ </w:t>
      </w:r>
      <w:r w:rsidR="00703A9C">
        <w:rPr>
          <w:rFonts w:ascii="Times New Roman" w:hAnsi="Times New Roman"/>
          <w:sz w:val="24"/>
          <w:szCs w:val="24"/>
        </w:rPr>
        <w:t>обеспечивает стимулирование и активизацию</w:t>
      </w:r>
      <w:r w:rsidR="00E353E3" w:rsidRPr="00775784">
        <w:rPr>
          <w:rFonts w:ascii="Times New Roman" w:hAnsi="Times New Roman"/>
          <w:sz w:val="24"/>
          <w:szCs w:val="24"/>
        </w:rPr>
        <w:t xml:space="preserve"> инвестиционн</w:t>
      </w:r>
      <w:r w:rsidR="00703A9C">
        <w:rPr>
          <w:rFonts w:ascii="Times New Roman" w:hAnsi="Times New Roman"/>
          <w:sz w:val="24"/>
          <w:szCs w:val="24"/>
        </w:rPr>
        <w:t>ой</w:t>
      </w:r>
      <w:r w:rsidR="00E353E3" w:rsidRPr="00775784">
        <w:rPr>
          <w:rFonts w:ascii="Times New Roman" w:hAnsi="Times New Roman"/>
          <w:sz w:val="24"/>
          <w:szCs w:val="24"/>
        </w:rPr>
        <w:t xml:space="preserve"> активност</w:t>
      </w:r>
      <w:r w:rsidR="00703A9C">
        <w:rPr>
          <w:rFonts w:ascii="Times New Roman" w:hAnsi="Times New Roman"/>
          <w:sz w:val="24"/>
          <w:szCs w:val="24"/>
        </w:rPr>
        <w:t>и</w:t>
      </w:r>
      <w:r w:rsidR="00B97953" w:rsidRPr="00775784">
        <w:rPr>
          <w:rFonts w:ascii="Times New Roman" w:hAnsi="Times New Roman"/>
          <w:sz w:val="24"/>
          <w:szCs w:val="24"/>
        </w:rPr>
        <w:t>, обеспечивая территории потенциалом для экономического развития</w:t>
      </w:r>
      <w:r w:rsidR="000065B6" w:rsidRPr="00775784">
        <w:rPr>
          <w:rFonts w:ascii="Times New Roman" w:hAnsi="Times New Roman"/>
          <w:sz w:val="24"/>
          <w:szCs w:val="24"/>
        </w:rPr>
        <w:t>.</w:t>
      </w:r>
    </w:p>
    <w:p w14:paraId="0A841130" w14:textId="47134C27" w:rsidR="003F3B38" w:rsidRPr="00775784" w:rsidRDefault="005261FC" w:rsidP="00E84231">
      <w:pPr>
        <w:spacing w:after="0" w:line="240" w:lineRule="auto"/>
        <w:ind w:firstLine="709"/>
        <w:jc w:val="both"/>
        <w:rPr>
          <w:rFonts w:ascii="Times New Roman" w:hAnsi="Times New Roman"/>
          <w:sz w:val="24"/>
          <w:szCs w:val="24"/>
        </w:rPr>
      </w:pPr>
      <w:r w:rsidRPr="00775784">
        <w:rPr>
          <w:rFonts w:ascii="Times New Roman" w:hAnsi="Times New Roman"/>
          <w:sz w:val="24"/>
          <w:szCs w:val="24"/>
        </w:rPr>
        <w:t xml:space="preserve">Целью </w:t>
      </w:r>
      <w:r w:rsidR="00703A9C">
        <w:rPr>
          <w:rFonts w:ascii="Times New Roman" w:hAnsi="Times New Roman"/>
          <w:sz w:val="24"/>
          <w:szCs w:val="24"/>
        </w:rPr>
        <w:t>исследовательской работы</w:t>
      </w:r>
      <w:r w:rsidRPr="00775784">
        <w:rPr>
          <w:rFonts w:ascii="Times New Roman" w:hAnsi="Times New Roman"/>
          <w:sz w:val="24"/>
          <w:szCs w:val="24"/>
        </w:rPr>
        <w:t xml:space="preserve"> является </w:t>
      </w:r>
      <w:r w:rsidR="00703A9C">
        <w:rPr>
          <w:rFonts w:ascii="Times New Roman" w:hAnsi="Times New Roman"/>
          <w:sz w:val="24"/>
          <w:szCs w:val="24"/>
        </w:rPr>
        <w:t>тенденции изменения</w:t>
      </w:r>
      <w:r w:rsidRPr="00775784">
        <w:rPr>
          <w:rFonts w:ascii="Times New Roman" w:hAnsi="Times New Roman"/>
          <w:sz w:val="24"/>
          <w:szCs w:val="24"/>
        </w:rPr>
        <w:t xml:space="preserve"> промышленного потенциала и уровня инвестиционной активности на территориях, имеющих статус ОЭЗ. В рамках поставленной цели объектом исследования являются территории ОЭЗ</w:t>
      </w:r>
      <w:r w:rsidR="000065B6" w:rsidRPr="00775784">
        <w:rPr>
          <w:rFonts w:ascii="Times New Roman" w:hAnsi="Times New Roman"/>
          <w:sz w:val="24"/>
          <w:szCs w:val="24"/>
        </w:rPr>
        <w:t>, а предметом исследования процесс</w:t>
      </w:r>
      <w:r w:rsidR="00703A9C">
        <w:rPr>
          <w:rFonts w:ascii="Times New Roman" w:hAnsi="Times New Roman"/>
          <w:sz w:val="24"/>
          <w:szCs w:val="24"/>
        </w:rPr>
        <w:t xml:space="preserve"> их</w:t>
      </w:r>
      <w:r w:rsidR="000065B6" w:rsidRPr="00775784">
        <w:rPr>
          <w:rFonts w:ascii="Times New Roman" w:hAnsi="Times New Roman"/>
          <w:sz w:val="24"/>
          <w:szCs w:val="24"/>
        </w:rPr>
        <w:t xml:space="preserve"> экономического развития</w:t>
      </w:r>
      <w:r w:rsidR="00703A9C">
        <w:rPr>
          <w:rFonts w:ascii="Times New Roman" w:hAnsi="Times New Roman"/>
          <w:sz w:val="24"/>
          <w:szCs w:val="24"/>
        </w:rPr>
        <w:t>, оцененный по темпам прироста производственных и инвестиционных показателей</w:t>
      </w:r>
      <w:r w:rsidR="000065B6" w:rsidRPr="00775784">
        <w:rPr>
          <w:rFonts w:ascii="Times New Roman" w:hAnsi="Times New Roman"/>
          <w:sz w:val="24"/>
          <w:szCs w:val="24"/>
        </w:rPr>
        <w:t xml:space="preserve">. В результате исследовательской работы предполагается </w:t>
      </w:r>
      <w:r w:rsidR="00B14712">
        <w:rPr>
          <w:rFonts w:ascii="Times New Roman" w:hAnsi="Times New Roman"/>
          <w:sz w:val="24"/>
          <w:szCs w:val="24"/>
        </w:rPr>
        <w:t>рассмотреть</w:t>
      </w:r>
      <w:r w:rsidR="000065B6" w:rsidRPr="00775784">
        <w:rPr>
          <w:rFonts w:ascii="Times New Roman" w:hAnsi="Times New Roman"/>
          <w:sz w:val="24"/>
          <w:szCs w:val="24"/>
        </w:rPr>
        <w:t xml:space="preserve"> уровень развития территорий, имеющих налоговые и оценить эффективность введенных</w:t>
      </w:r>
      <w:r w:rsidR="00B14712">
        <w:rPr>
          <w:rFonts w:ascii="Times New Roman" w:hAnsi="Times New Roman"/>
          <w:sz w:val="24"/>
          <w:szCs w:val="24"/>
        </w:rPr>
        <w:t xml:space="preserve"> государственных</w:t>
      </w:r>
      <w:r w:rsidR="000065B6" w:rsidRPr="00775784">
        <w:rPr>
          <w:rFonts w:ascii="Times New Roman" w:hAnsi="Times New Roman"/>
          <w:sz w:val="24"/>
          <w:szCs w:val="24"/>
        </w:rPr>
        <w:t xml:space="preserve"> мер для стимулирования экономического развития.</w:t>
      </w:r>
    </w:p>
    <w:p w14:paraId="5C6B300F" w14:textId="3931F182" w:rsidR="003F3B38" w:rsidRPr="00775784" w:rsidRDefault="003F3B38" w:rsidP="00E84231">
      <w:pPr>
        <w:spacing w:after="0" w:line="240" w:lineRule="auto"/>
        <w:ind w:firstLine="709"/>
        <w:jc w:val="both"/>
        <w:rPr>
          <w:rFonts w:ascii="Times New Roman" w:hAnsi="Times New Roman"/>
          <w:sz w:val="24"/>
          <w:szCs w:val="24"/>
        </w:rPr>
      </w:pPr>
      <w:r w:rsidRPr="00775784">
        <w:rPr>
          <w:rFonts w:ascii="Times New Roman" w:hAnsi="Times New Roman"/>
          <w:b/>
          <w:sz w:val="24"/>
          <w:szCs w:val="24"/>
        </w:rPr>
        <w:lastRenderedPageBreak/>
        <w:t>Методика</w:t>
      </w:r>
      <w:r w:rsidR="0013685B" w:rsidRPr="00775784">
        <w:rPr>
          <w:rFonts w:ascii="Times New Roman" w:hAnsi="Times New Roman"/>
          <w:b/>
          <w:sz w:val="24"/>
          <w:szCs w:val="24"/>
        </w:rPr>
        <w:t xml:space="preserve">. </w:t>
      </w:r>
      <w:r w:rsidR="0013685B" w:rsidRPr="00775784">
        <w:rPr>
          <w:rFonts w:ascii="Times New Roman" w:hAnsi="Times New Roman"/>
          <w:sz w:val="24"/>
          <w:szCs w:val="24"/>
        </w:rPr>
        <w:t>Основн</w:t>
      </w:r>
      <w:r w:rsidR="00B14712">
        <w:rPr>
          <w:rFonts w:ascii="Times New Roman" w:hAnsi="Times New Roman"/>
          <w:sz w:val="24"/>
          <w:szCs w:val="24"/>
        </w:rPr>
        <w:t xml:space="preserve">ая </w:t>
      </w:r>
      <w:r w:rsidR="0013685B" w:rsidRPr="00775784">
        <w:rPr>
          <w:rFonts w:ascii="Times New Roman" w:hAnsi="Times New Roman"/>
          <w:sz w:val="24"/>
          <w:szCs w:val="24"/>
        </w:rPr>
        <w:t xml:space="preserve">цель исследования </w:t>
      </w:r>
      <w:r w:rsidR="00B14712">
        <w:rPr>
          <w:rFonts w:ascii="Times New Roman" w:hAnsi="Times New Roman"/>
          <w:sz w:val="24"/>
          <w:szCs w:val="24"/>
        </w:rPr>
        <w:t>заключается в</w:t>
      </w:r>
      <w:r w:rsidR="0013685B" w:rsidRPr="00775784">
        <w:rPr>
          <w:rFonts w:ascii="Times New Roman" w:hAnsi="Times New Roman"/>
          <w:sz w:val="24"/>
          <w:szCs w:val="24"/>
        </w:rPr>
        <w:t xml:space="preserve"> оценк</w:t>
      </w:r>
      <w:r w:rsidR="00B14712">
        <w:rPr>
          <w:rFonts w:ascii="Times New Roman" w:hAnsi="Times New Roman"/>
          <w:sz w:val="24"/>
          <w:szCs w:val="24"/>
        </w:rPr>
        <w:t>е</w:t>
      </w:r>
      <w:r w:rsidR="0013685B" w:rsidRPr="00775784">
        <w:rPr>
          <w:rFonts w:ascii="Times New Roman" w:hAnsi="Times New Roman"/>
          <w:sz w:val="24"/>
          <w:szCs w:val="24"/>
        </w:rPr>
        <w:t xml:space="preserve"> динамики развития территорий, имеющих статус «особая экономическая зона». Аналитические работы  </w:t>
      </w:r>
      <w:r w:rsidR="00B14712">
        <w:rPr>
          <w:rFonts w:ascii="Times New Roman" w:hAnsi="Times New Roman"/>
          <w:sz w:val="24"/>
          <w:szCs w:val="24"/>
        </w:rPr>
        <w:t>оценивали</w:t>
      </w:r>
      <w:r w:rsidR="0013685B" w:rsidRPr="00775784">
        <w:rPr>
          <w:rFonts w:ascii="Times New Roman" w:hAnsi="Times New Roman"/>
          <w:sz w:val="24"/>
          <w:szCs w:val="24"/>
        </w:rPr>
        <w:t xml:space="preserve"> процесс</w:t>
      </w:r>
      <w:r w:rsidR="00B14712">
        <w:rPr>
          <w:rFonts w:ascii="Times New Roman" w:hAnsi="Times New Roman"/>
          <w:sz w:val="24"/>
          <w:szCs w:val="24"/>
        </w:rPr>
        <w:t>ы</w:t>
      </w:r>
      <w:r w:rsidR="0013685B" w:rsidRPr="00775784">
        <w:rPr>
          <w:rFonts w:ascii="Times New Roman" w:hAnsi="Times New Roman"/>
          <w:sz w:val="24"/>
          <w:szCs w:val="24"/>
        </w:rPr>
        <w:t xml:space="preserve"> изменения уров</w:t>
      </w:r>
      <w:r w:rsidR="00B14712">
        <w:rPr>
          <w:rFonts w:ascii="Times New Roman" w:hAnsi="Times New Roman"/>
          <w:sz w:val="24"/>
          <w:szCs w:val="24"/>
        </w:rPr>
        <w:t xml:space="preserve">ень </w:t>
      </w:r>
      <w:r w:rsidR="0013685B" w:rsidRPr="00775784">
        <w:rPr>
          <w:rFonts w:ascii="Times New Roman" w:hAnsi="Times New Roman"/>
          <w:sz w:val="24"/>
          <w:szCs w:val="24"/>
        </w:rPr>
        <w:t xml:space="preserve">промышленного </w:t>
      </w:r>
      <w:r w:rsidR="00B14712">
        <w:rPr>
          <w:rFonts w:ascii="Times New Roman" w:hAnsi="Times New Roman"/>
          <w:sz w:val="24"/>
          <w:szCs w:val="24"/>
        </w:rPr>
        <w:t>потенциала</w:t>
      </w:r>
      <w:r w:rsidR="0013685B" w:rsidRPr="00775784">
        <w:rPr>
          <w:rFonts w:ascii="Times New Roman" w:hAnsi="Times New Roman"/>
          <w:sz w:val="24"/>
          <w:szCs w:val="24"/>
        </w:rPr>
        <w:t xml:space="preserve"> территории ОЭ</w:t>
      </w:r>
      <w:r w:rsidR="00B14712">
        <w:rPr>
          <w:rFonts w:ascii="Times New Roman" w:hAnsi="Times New Roman"/>
          <w:sz w:val="24"/>
          <w:szCs w:val="24"/>
        </w:rPr>
        <w:t>З</w:t>
      </w:r>
      <w:r w:rsidR="0013685B" w:rsidRPr="00775784">
        <w:rPr>
          <w:rFonts w:ascii="Times New Roman" w:hAnsi="Times New Roman"/>
          <w:sz w:val="24"/>
          <w:szCs w:val="24"/>
        </w:rPr>
        <w:t>, что позволит оценить эффективность введенного налогового режима. Проведенная исследовательская работа по оценке производственного потенциала, опиралась на статистический показатель – индекс промышленного производства</w:t>
      </w:r>
      <w:r w:rsidR="00B14712">
        <w:rPr>
          <w:rFonts w:ascii="Times New Roman" w:hAnsi="Times New Roman"/>
          <w:sz w:val="24"/>
          <w:szCs w:val="24"/>
        </w:rPr>
        <w:t>.</w:t>
      </w:r>
      <w:r w:rsidR="009476C0" w:rsidRPr="00775784">
        <w:rPr>
          <w:rFonts w:ascii="Times New Roman" w:hAnsi="Times New Roman"/>
          <w:sz w:val="24"/>
          <w:szCs w:val="24"/>
        </w:rPr>
        <w:t xml:space="preserve"> </w:t>
      </w:r>
      <w:r w:rsidR="00B14712">
        <w:rPr>
          <w:rFonts w:ascii="Times New Roman" w:hAnsi="Times New Roman"/>
          <w:sz w:val="24"/>
          <w:szCs w:val="24"/>
        </w:rPr>
        <w:t xml:space="preserve">Другим направление является оценка </w:t>
      </w:r>
      <w:r w:rsidR="009476C0" w:rsidRPr="00775784">
        <w:rPr>
          <w:rFonts w:ascii="Times New Roman" w:hAnsi="Times New Roman"/>
          <w:sz w:val="24"/>
          <w:szCs w:val="24"/>
        </w:rPr>
        <w:t>индекс</w:t>
      </w:r>
      <w:r w:rsidR="00B14712">
        <w:rPr>
          <w:rFonts w:ascii="Times New Roman" w:hAnsi="Times New Roman"/>
          <w:sz w:val="24"/>
          <w:szCs w:val="24"/>
        </w:rPr>
        <w:t>а</w:t>
      </w:r>
      <w:r w:rsidR="009476C0" w:rsidRPr="00775784">
        <w:rPr>
          <w:rFonts w:ascii="Times New Roman" w:hAnsi="Times New Roman"/>
          <w:sz w:val="24"/>
          <w:szCs w:val="24"/>
        </w:rPr>
        <w:t xml:space="preserve"> физического объема инвестиций в основной капитал</w:t>
      </w:r>
      <w:r w:rsidR="0013685B" w:rsidRPr="00775784">
        <w:rPr>
          <w:rFonts w:ascii="Times New Roman" w:hAnsi="Times New Roman"/>
          <w:sz w:val="24"/>
          <w:szCs w:val="24"/>
        </w:rPr>
        <w:t>,</w:t>
      </w:r>
      <w:r w:rsidR="00B14712">
        <w:rPr>
          <w:rFonts w:ascii="Times New Roman" w:hAnsi="Times New Roman"/>
          <w:sz w:val="24"/>
          <w:szCs w:val="24"/>
        </w:rPr>
        <w:t xml:space="preserve"> которая позволит проанализировать динамику привлечения финансового капитала в исследуемые территории.</w:t>
      </w:r>
      <w:r w:rsidR="0013685B" w:rsidRPr="00775784">
        <w:rPr>
          <w:rFonts w:ascii="Times New Roman" w:hAnsi="Times New Roman"/>
          <w:sz w:val="24"/>
          <w:szCs w:val="24"/>
        </w:rPr>
        <w:t xml:space="preserve"> </w:t>
      </w:r>
      <w:r w:rsidR="00B14712">
        <w:rPr>
          <w:rFonts w:ascii="Times New Roman" w:hAnsi="Times New Roman"/>
          <w:sz w:val="24"/>
          <w:szCs w:val="24"/>
        </w:rPr>
        <w:t xml:space="preserve"> Статистические данные, используемые для проведения исследовательских работ </w:t>
      </w:r>
      <w:r w:rsidR="0013685B" w:rsidRPr="00775784">
        <w:rPr>
          <w:rFonts w:ascii="Times New Roman" w:hAnsi="Times New Roman"/>
          <w:sz w:val="24"/>
          <w:szCs w:val="24"/>
        </w:rPr>
        <w:t xml:space="preserve">получены на основании данных Росстата.  </w:t>
      </w:r>
    </w:p>
    <w:p w14:paraId="7C2755D0" w14:textId="1BB0F56A" w:rsidR="0013685B" w:rsidRPr="00775784" w:rsidRDefault="009476C0" w:rsidP="00B14712">
      <w:pPr>
        <w:spacing w:after="0" w:line="240" w:lineRule="auto"/>
        <w:ind w:firstLine="709"/>
        <w:jc w:val="both"/>
        <w:rPr>
          <w:rFonts w:ascii="Times New Roman" w:hAnsi="Times New Roman"/>
          <w:sz w:val="24"/>
          <w:szCs w:val="24"/>
        </w:rPr>
      </w:pPr>
      <w:r w:rsidRPr="00775784">
        <w:rPr>
          <w:rFonts w:ascii="Times New Roman" w:hAnsi="Times New Roman"/>
          <w:sz w:val="24"/>
          <w:szCs w:val="24"/>
        </w:rPr>
        <w:t>Наличие статуса –</w:t>
      </w:r>
      <w:r w:rsidR="00364B92" w:rsidRPr="00775784">
        <w:rPr>
          <w:rFonts w:ascii="Times New Roman" w:hAnsi="Times New Roman"/>
          <w:sz w:val="24"/>
          <w:szCs w:val="24"/>
        </w:rPr>
        <w:t xml:space="preserve"> </w:t>
      </w:r>
      <w:r w:rsidRPr="00775784">
        <w:rPr>
          <w:rFonts w:ascii="Times New Roman" w:hAnsi="Times New Roman"/>
          <w:sz w:val="24"/>
          <w:szCs w:val="24"/>
        </w:rPr>
        <w:t>особой экономической зоны</w:t>
      </w:r>
      <w:r w:rsidR="00364B92" w:rsidRPr="00775784">
        <w:rPr>
          <w:rFonts w:ascii="Times New Roman" w:hAnsi="Times New Roman"/>
          <w:sz w:val="24"/>
          <w:szCs w:val="24"/>
        </w:rPr>
        <w:t xml:space="preserve"> </w:t>
      </w:r>
      <w:r w:rsidRPr="00775784">
        <w:rPr>
          <w:rFonts w:ascii="Times New Roman" w:hAnsi="Times New Roman"/>
          <w:sz w:val="24"/>
          <w:szCs w:val="24"/>
        </w:rPr>
        <w:t xml:space="preserve"> – </w:t>
      </w:r>
      <w:r w:rsidR="00364B92" w:rsidRPr="00775784">
        <w:rPr>
          <w:rFonts w:ascii="Times New Roman" w:hAnsi="Times New Roman"/>
          <w:sz w:val="24"/>
          <w:szCs w:val="24"/>
        </w:rPr>
        <w:t xml:space="preserve"> </w:t>
      </w:r>
      <w:r w:rsidRPr="00775784">
        <w:rPr>
          <w:rFonts w:ascii="Times New Roman" w:hAnsi="Times New Roman"/>
          <w:sz w:val="24"/>
          <w:szCs w:val="24"/>
        </w:rPr>
        <w:t>подразумевает более высокий уровень экономической активности в данном направлении. Сравнительный анализ позволит понять и оценить изменения</w:t>
      </w:r>
      <w:r w:rsidR="00364B92" w:rsidRPr="00775784">
        <w:rPr>
          <w:rFonts w:ascii="Times New Roman" w:hAnsi="Times New Roman"/>
          <w:sz w:val="24"/>
          <w:szCs w:val="24"/>
        </w:rPr>
        <w:t>,</w:t>
      </w:r>
      <w:r w:rsidRPr="00775784">
        <w:rPr>
          <w:rFonts w:ascii="Times New Roman" w:hAnsi="Times New Roman"/>
          <w:sz w:val="24"/>
          <w:szCs w:val="24"/>
        </w:rPr>
        <w:t xml:space="preserve"> происходящие в рамках  ОЭЗ.</w:t>
      </w:r>
      <w:r w:rsidR="0013685B" w:rsidRPr="00775784">
        <w:rPr>
          <w:rFonts w:ascii="Times New Roman" w:hAnsi="Times New Roman"/>
          <w:sz w:val="24"/>
          <w:szCs w:val="24"/>
        </w:rPr>
        <w:t xml:space="preserve"> Второе направление рассматривало территори</w:t>
      </w:r>
      <w:r w:rsidR="00364B92" w:rsidRPr="00775784">
        <w:rPr>
          <w:rFonts w:ascii="Times New Roman" w:hAnsi="Times New Roman"/>
          <w:sz w:val="24"/>
          <w:szCs w:val="24"/>
        </w:rPr>
        <w:t xml:space="preserve">и ОЭЗ по типам их классификации и по показателю – индекс промышленного производства. Данный анализ позволит оценить влияние фактора специализации на динамику развития производственного сектора. </w:t>
      </w:r>
    </w:p>
    <w:p w14:paraId="0C1410D0" w14:textId="77777777" w:rsidR="00364B92" w:rsidRPr="00775784" w:rsidRDefault="00364B92" w:rsidP="00E84231">
      <w:pPr>
        <w:spacing w:after="0" w:line="240" w:lineRule="auto"/>
        <w:ind w:firstLine="709"/>
        <w:jc w:val="both"/>
        <w:rPr>
          <w:rFonts w:ascii="Times New Roman" w:hAnsi="Times New Roman"/>
          <w:sz w:val="24"/>
          <w:szCs w:val="24"/>
        </w:rPr>
      </w:pPr>
      <w:r w:rsidRPr="00775784">
        <w:rPr>
          <w:rFonts w:ascii="Times New Roman" w:hAnsi="Times New Roman"/>
          <w:sz w:val="24"/>
          <w:szCs w:val="24"/>
        </w:rPr>
        <w:t>Алгоритм исследования был повторен для показателя индекс физического объема инвестиций в основной капитал. В рамках данного анализа, предпринята попытка оценить влияние налоговых преференция ОЭЗ для увеличения инвестиционной активности. Также как и в случае с показателем индекс промышленного производства оценка проводится в двух направлениях: в межрегиональном и</w:t>
      </w:r>
      <w:r w:rsidR="001C71F0" w:rsidRPr="00775784">
        <w:rPr>
          <w:rFonts w:ascii="Times New Roman" w:hAnsi="Times New Roman"/>
          <w:sz w:val="24"/>
          <w:szCs w:val="24"/>
        </w:rPr>
        <w:t>сследовании</w:t>
      </w:r>
      <w:r w:rsidRPr="00775784">
        <w:rPr>
          <w:rFonts w:ascii="Times New Roman" w:hAnsi="Times New Roman"/>
          <w:sz w:val="24"/>
          <w:szCs w:val="24"/>
        </w:rPr>
        <w:t xml:space="preserve"> среди территорий ОЭЗ. </w:t>
      </w:r>
    </w:p>
    <w:p w14:paraId="78D5C5F7" w14:textId="77777777" w:rsidR="003E69CE" w:rsidRPr="00775784" w:rsidRDefault="003E69CE" w:rsidP="00E84231">
      <w:pPr>
        <w:spacing w:after="0" w:line="240" w:lineRule="auto"/>
        <w:ind w:firstLine="709"/>
        <w:jc w:val="both"/>
        <w:rPr>
          <w:rFonts w:ascii="Times New Roman" w:hAnsi="Times New Roman"/>
          <w:sz w:val="24"/>
          <w:szCs w:val="24"/>
        </w:rPr>
      </w:pPr>
      <w:r w:rsidRPr="00775784">
        <w:rPr>
          <w:rFonts w:ascii="Times New Roman" w:hAnsi="Times New Roman"/>
          <w:sz w:val="24"/>
          <w:szCs w:val="24"/>
        </w:rPr>
        <w:t>Проведенное исследование основано на использовании статистических данных Росстата по анализируемым показателям. Источником статистической информации является статистический сборник «регионы России»</w:t>
      </w:r>
    </w:p>
    <w:p w14:paraId="403CFB54" w14:textId="3BCE415A" w:rsidR="003F3B38" w:rsidRDefault="003F3B38" w:rsidP="00E84231">
      <w:pPr>
        <w:spacing w:after="0" w:line="240" w:lineRule="auto"/>
        <w:ind w:firstLine="709"/>
        <w:jc w:val="both"/>
        <w:rPr>
          <w:rFonts w:ascii="Times New Roman" w:hAnsi="Times New Roman"/>
          <w:sz w:val="24"/>
          <w:szCs w:val="24"/>
        </w:rPr>
      </w:pPr>
      <w:r w:rsidRPr="00B14712">
        <w:rPr>
          <w:rFonts w:ascii="Times New Roman" w:hAnsi="Times New Roman"/>
          <w:b/>
          <w:bCs/>
          <w:sz w:val="24"/>
          <w:szCs w:val="24"/>
        </w:rPr>
        <w:t>Результаты</w:t>
      </w:r>
      <w:r w:rsidR="005261FC" w:rsidRPr="00B14712">
        <w:rPr>
          <w:rFonts w:ascii="Times New Roman" w:hAnsi="Times New Roman"/>
          <w:b/>
          <w:bCs/>
          <w:sz w:val="24"/>
          <w:szCs w:val="24"/>
        </w:rPr>
        <w:t>.</w:t>
      </w:r>
      <w:r w:rsidR="005261FC" w:rsidRPr="00E84231">
        <w:rPr>
          <w:rFonts w:ascii="Times New Roman" w:hAnsi="Times New Roman"/>
          <w:sz w:val="24"/>
          <w:szCs w:val="24"/>
        </w:rPr>
        <w:t xml:space="preserve">  </w:t>
      </w:r>
      <w:r w:rsidR="0042101B" w:rsidRPr="00E84231">
        <w:rPr>
          <w:rFonts w:ascii="Times New Roman" w:hAnsi="Times New Roman"/>
          <w:sz w:val="24"/>
          <w:szCs w:val="24"/>
        </w:rPr>
        <w:t>Проведенное исследование</w:t>
      </w:r>
      <w:r w:rsidR="00802F82">
        <w:rPr>
          <w:rFonts w:ascii="Times New Roman" w:hAnsi="Times New Roman"/>
          <w:sz w:val="24"/>
          <w:szCs w:val="24"/>
        </w:rPr>
        <w:t xml:space="preserve"> по российским регионам</w:t>
      </w:r>
      <w:r w:rsidR="0042101B" w:rsidRPr="00E84231">
        <w:rPr>
          <w:rFonts w:ascii="Times New Roman" w:hAnsi="Times New Roman"/>
          <w:sz w:val="24"/>
          <w:szCs w:val="24"/>
        </w:rPr>
        <w:t xml:space="preserve"> по</w:t>
      </w:r>
      <w:r w:rsidR="00C1189A">
        <w:rPr>
          <w:rFonts w:ascii="Times New Roman" w:hAnsi="Times New Roman"/>
          <w:sz w:val="24"/>
          <w:szCs w:val="24"/>
        </w:rPr>
        <w:t xml:space="preserve"> экономическим и социальным показателям определило, что наибольшую динамику экономического развития показывают регионы с высоким уровнем развития ресурсного, производственного и финансового потенциала.</w:t>
      </w:r>
      <w:r w:rsidR="0042101B" w:rsidRPr="00E84231">
        <w:rPr>
          <w:rFonts w:ascii="Times New Roman" w:hAnsi="Times New Roman"/>
          <w:sz w:val="24"/>
          <w:szCs w:val="24"/>
        </w:rPr>
        <w:t xml:space="preserve"> </w:t>
      </w:r>
      <w:r w:rsidR="00C1189A">
        <w:rPr>
          <w:rFonts w:ascii="Times New Roman" w:hAnsi="Times New Roman"/>
          <w:sz w:val="24"/>
          <w:szCs w:val="24"/>
        </w:rPr>
        <w:t>Оценка региональной неоднородности по п</w:t>
      </w:r>
      <w:r w:rsidR="0042101B" w:rsidRPr="00E84231">
        <w:rPr>
          <w:rFonts w:ascii="Times New Roman" w:hAnsi="Times New Roman"/>
          <w:sz w:val="24"/>
          <w:szCs w:val="24"/>
        </w:rPr>
        <w:t>оказател</w:t>
      </w:r>
      <w:r w:rsidR="00C1189A">
        <w:rPr>
          <w:rFonts w:ascii="Times New Roman" w:hAnsi="Times New Roman"/>
          <w:sz w:val="24"/>
          <w:szCs w:val="24"/>
        </w:rPr>
        <w:t>ю</w:t>
      </w:r>
      <w:r w:rsidR="0042101B" w:rsidRPr="00E84231">
        <w:rPr>
          <w:rFonts w:ascii="Times New Roman" w:hAnsi="Times New Roman"/>
          <w:sz w:val="24"/>
          <w:szCs w:val="24"/>
        </w:rPr>
        <w:t xml:space="preserve"> прироста промышленного производства, </w:t>
      </w:r>
      <w:r w:rsidR="00C1189A">
        <w:rPr>
          <w:rFonts w:ascii="Times New Roman" w:hAnsi="Times New Roman"/>
          <w:sz w:val="24"/>
          <w:szCs w:val="24"/>
        </w:rPr>
        <w:t xml:space="preserve">подтверждает общероссийскую динамику - </w:t>
      </w:r>
      <w:r w:rsidR="0042101B" w:rsidRPr="00E84231">
        <w:rPr>
          <w:rFonts w:ascii="Times New Roman" w:hAnsi="Times New Roman"/>
          <w:sz w:val="24"/>
          <w:szCs w:val="24"/>
        </w:rPr>
        <w:t xml:space="preserve"> среди регионов, которые характеризуются высокими темпами прироста в 2017 г. – высокий уровень прироста имеет Московская область</w:t>
      </w:r>
      <w:r w:rsidR="0026554F" w:rsidRPr="00E84231">
        <w:rPr>
          <w:rFonts w:ascii="Times New Roman" w:hAnsi="Times New Roman"/>
          <w:sz w:val="24"/>
          <w:szCs w:val="24"/>
        </w:rPr>
        <w:t>, Калужская область</w:t>
      </w:r>
      <w:r w:rsidR="0042101B" w:rsidRPr="00E84231">
        <w:rPr>
          <w:rFonts w:ascii="Times New Roman" w:hAnsi="Times New Roman"/>
          <w:sz w:val="24"/>
          <w:szCs w:val="24"/>
        </w:rPr>
        <w:t xml:space="preserve">. Возможной причиной высокого значения прироста промышленного производства в Московской области является процесс перераспределения производственного фонда г. Москвы в пригород – Московскую область </w:t>
      </w:r>
      <w:r w:rsidR="00C1189A">
        <w:rPr>
          <w:rFonts w:ascii="Times New Roman" w:hAnsi="Times New Roman"/>
          <w:sz w:val="24"/>
          <w:szCs w:val="24"/>
        </w:rPr>
        <w:t>Р</w:t>
      </w:r>
      <w:r w:rsidR="0042101B" w:rsidRPr="00E84231">
        <w:rPr>
          <w:rFonts w:ascii="Times New Roman" w:hAnsi="Times New Roman"/>
          <w:sz w:val="24"/>
          <w:szCs w:val="24"/>
        </w:rPr>
        <w:t>егион</w:t>
      </w:r>
      <w:r w:rsidR="00C1189A">
        <w:rPr>
          <w:rFonts w:ascii="Times New Roman" w:hAnsi="Times New Roman"/>
          <w:sz w:val="24"/>
          <w:szCs w:val="24"/>
        </w:rPr>
        <w:t>ы, которые</w:t>
      </w:r>
      <w:r w:rsidR="0042101B" w:rsidRPr="00E84231">
        <w:rPr>
          <w:rFonts w:ascii="Times New Roman" w:hAnsi="Times New Roman"/>
          <w:sz w:val="24"/>
          <w:szCs w:val="24"/>
        </w:rPr>
        <w:t xml:space="preserve"> показали незначительный прирост</w:t>
      </w:r>
      <w:r w:rsidR="00C1189A">
        <w:rPr>
          <w:rFonts w:ascii="Times New Roman" w:hAnsi="Times New Roman"/>
          <w:sz w:val="24"/>
          <w:szCs w:val="24"/>
        </w:rPr>
        <w:t xml:space="preserve">, имеют монопрофильную структуру экономики, которая сокращает возможности экономического развития. </w:t>
      </w:r>
      <w:r w:rsidR="0042101B" w:rsidRPr="00E84231">
        <w:rPr>
          <w:rFonts w:ascii="Times New Roman" w:hAnsi="Times New Roman"/>
          <w:sz w:val="24"/>
          <w:szCs w:val="24"/>
        </w:rPr>
        <w:t xml:space="preserve"> </w:t>
      </w:r>
    </w:p>
    <w:p w14:paraId="72ADEF43" w14:textId="72294DA9" w:rsidR="00C1189A" w:rsidRPr="00E84231" w:rsidRDefault="00C1189A" w:rsidP="00E84231">
      <w:pPr>
        <w:spacing w:after="0" w:line="240" w:lineRule="auto"/>
        <w:ind w:firstLine="709"/>
        <w:jc w:val="both"/>
        <w:rPr>
          <w:rFonts w:ascii="Times New Roman" w:hAnsi="Times New Roman"/>
          <w:sz w:val="24"/>
          <w:szCs w:val="24"/>
        </w:rPr>
      </w:pPr>
      <w:r>
        <w:rPr>
          <w:rFonts w:ascii="Times New Roman" w:hAnsi="Times New Roman"/>
          <w:sz w:val="24"/>
          <w:szCs w:val="24"/>
        </w:rPr>
        <w:t>Специализация экономики оказывает существенное влияние на динамику экономического развития. Для территорий ОЭЗ специализация также играет важное значение, определяя</w:t>
      </w:r>
      <w:r w:rsidR="00B11975">
        <w:rPr>
          <w:rFonts w:ascii="Times New Roman" w:hAnsi="Times New Roman"/>
          <w:sz w:val="24"/>
          <w:szCs w:val="24"/>
        </w:rPr>
        <w:t xml:space="preserve"> основные направления для развития.</w:t>
      </w:r>
    </w:p>
    <w:p w14:paraId="76671DDD" w14:textId="58F1DEA7" w:rsidR="003F3B38" w:rsidRPr="00E84231" w:rsidRDefault="0042101B" w:rsidP="00E84231">
      <w:pPr>
        <w:spacing w:after="0" w:line="240" w:lineRule="auto"/>
        <w:ind w:firstLine="709"/>
        <w:jc w:val="both"/>
        <w:rPr>
          <w:rFonts w:ascii="Times New Roman" w:hAnsi="Times New Roman"/>
          <w:sz w:val="24"/>
          <w:szCs w:val="24"/>
        </w:rPr>
      </w:pPr>
      <w:r w:rsidRPr="00E84231">
        <w:rPr>
          <w:rFonts w:ascii="Times New Roman" w:hAnsi="Times New Roman"/>
          <w:sz w:val="24"/>
          <w:szCs w:val="24"/>
        </w:rPr>
        <w:t>Особого внимания заслуживает анализ расположения в классификации ОЭЗ по специализации. Основой для данного исследования является гипотеза о том, что, территории одного вида специализации име</w:t>
      </w:r>
      <w:r w:rsidR="00E93A53" w:rsidRPr="00E84231">
        <w:rPr>
          <w:rFonts w:ascii="Times New Roman" w:hAnsi="Times New Roman"/>
          <w:sz w:val="24"/>
          <w:szCs w:val="24"/>
        </w:rPr>
        <w:t>ют более высок</w:t>
      </w:r>
      <w:r w:rsidRPr="00E84231">
        <w:rPr>
          <w:rFonts w:ascii="Times New Roman" w:hAnsi="Times New Roman"/>
          <w:sz w:val="24"/>
          <w:szCs w:val="24"/>
        </w:rPr>
        <w:t>ие показатели промышленного прироста</w:t>
      </w:r>
      <w:r w:rsidR="00E93A53" w:rsidRPr="00E84231">
        <w:rPr>
          <w:rFonts w:ascii="Times New Roman" w:hAnsi="Times New Roman"/>
          <w:sz w:val="24"/>
          <w:szCs w:val="24"/>
        </w:rPr>
        <w:t>. В рамках данного предположение произведен анализ расположения территорий ОЭЗ с учетом их специализации</w:t>
      </w:r>
      <w:r w:rsidR="0026554F" w:rsidRPr="00E84231">
        <w:rPr>
          <w:rFonts w:ascii="Times New Roman" w:hAnsi="Times New Roman"/>
          <w:sz w:val="24"/>
          <w:szCs w:val="24"/>
        </w:rPr>
        <w:t xml:space="preserve"> (см. таблиц</w:t>
      </w:r>
      <w:r w:rsidR="00B11975">
        <w:rPr>
          <w:rFonts w:ascii="Times New Roman" w:hAnsi="Times New Roman"/>
          <w:sz w:val="24"/>
          <w:szCs w:val="24"/>
        </w:rPr>
        <w:t>а</w:t>
      </w:r>
      <w:r w:rsidR="0026554F" w:rsidRPr="00E84231">
        <w:rPr>
          <w:rFonts w:ascii="Times New Roman" w:hAnsi="Times New Roman"/>
          <w:sz w:val="24"/>
          <w:szCs w:val="24"/>
        </w:rPr>
        <w:t xml:space="preserve"> </w:t>
      </w:r>
      <w:r w:rsidR="00B11975">
        <w:rPr>
          <w:rFonts w:ascii="Times New Roman" w:hAnsi="Times New Roman"/>
          <w:sz w:val="24"/>
          <w:szCs w:val="24"/>
        </w:rPr>
        <w:t>1</w:t>
      </w:r>
      <w:r w:rsidR="0026554F" w:rsidRPr="00E84231">
        <w:rPr>
          <w:rFonts w:ascii="Times New Roman" w:hAnsi="Times New Roman"/>
          <w:sz w:val="24"/>
          <w:szCs w:val="24"/>
        </w:rPr>
        <w:t>)</w:t>
      </w:r>
    </w:p>
    <w:p w14:paraId="6CF1949A" w14:textId="222C012A" w:rsidR="0013685B" w:rsidRPr="00E84231" w:rsidRDefault="0026554F" w:rsidP="0026554F">
      <w:pPr>
        <w:spacing w:after="0" w:line="240" w:lineRule="auto"/>
        <w:jc w:val="right"/>
        <w:rPr>
          <w:rFonts w:ascii="Times New Roman" w:hAnsi="Times New Roman"/>
          <w:bCs/>
          <w:i/>
          <w:iCs/>
          <w:sz w:val="24"/>
          <w:szCs w:val="24"/>
        </w:rPr>
      </w:pPr>
      <w:r w:rsidRPr="00E84231">
        <w:rPr>
          <w:rFonts w:ascii="Times New Roman" w:hAnsi="Times New Roman"/>
          <w:bCs/>
          <w:i/>
          <w:iCs/>
          <w:sz w:val="24"/>
          <w:szCs w:val="24"/>
        </w:rPr>
        <w:t xml:space="preserve">Таблица </w:t>
      </w:r>
      <w:r w:rsidR="00B11975">
        <w:rPr>
          <w:rFonts w:ascii="Times New Roman" w:hAnsi="Times New Roman"/>
          <w:bCs/>
          <w:i/>
          <w:iCs/>
          <w:sz w:val="24"/>
          <w:szCs w:val="24"/>
        </w:rPr>
        <w:t>1</w:t>
      </w:r>
    </w:p>
    <w:p w14:paraId="0ADED8C0" w14:textId="61509DCB" w:rsidR="0013685B" w:rsidRPr="00E84231" w:rsidRDefault="00086971" w:rsidP="00D10C9E">
      <w:pPr>
        <w:spacing w:after="0" w:line="240" w:lineRule="auto"/>
        <w:jc w:val="center"/>
        <w:rPr>
          <w:rFonts w:ascii="Times New Roman" w:hAnsi="Times New Roman"/>
          <w:b/>
          <w:sz w:val="24"/>
          <w:szCs w:val="24"/>
        </w:rPr>
      </w:pPr>
      <w:r w:rsidRPr="00E84231">
        <w:rPr>
          <w:rFonts w:ascii="Times New Roman" w:hAnsi="Times New Roman"/>
          <w:color w:val="000000"/>
          <w:sz w:val="24"/>
          <w:szCs w:val="24"/>
        </w:rPr>
        <w:t>Индексы промышленного производства территорий ОЭЗ</w:t>
      </w:r>
      <w:r w:rsidRPr="00E84231">
        <w:rPr>
          <w:rFonts w:ascii="Times New Roman" w:hAnsi="Times New Roman"/>
          <w:b/>
          <w:bCs/>
          <w:color w:val="000000"/>
          <w:sz w:val="24"/>
          <w:szCs w:val="24"/>
        </w:rPr>
        <w:t xml:space="preserve"> </w:t>
      </w:r>
      <w:r w:rsidR="0013685B" w:rsidRPr="00E84231">
        <w:rPr>
          <w:rFonts w:ascii="Times New Roman" w:hAnsi="Times New Roman"/>
          <w:color w:val="000000"/>
          <w:sz w:val="24"/>
          <w:szCs w:val="24"/>
        </w:rPr>
        <w:t>(в процентах к предыдущему году</w:t>
      </w:r>
      <w:r w:rsidR="00D10C9E" w:rsidRPr="00E84231">
        <w:rPr>
          <w:rFonts w:ascii="Times New Roman" w:hAnsi="Times New Roman"/>
          <w:color w:val="000000"/>
          <w:sz w:val="24"/>
          <w:szCs w:val="24"/>
        </w:rPr>
        <w:t>)</w:t>
      </w:r>
      <w:r w:rsidR="00D10C9E" w:rsidRPr="00E84231">
        <w:rPr>
          <w:rFonts w:ascii="Times New Roman" w:hAnsi="Times New Roman"/>
          <w:sz w:val="24"/>
          <w:szCs w:val="24"/>
        </w:rPr>
        <w:t xml:space="preserve">, </w:t>
      </w:r>
      <w:r w:rsidR="00D10C9E" w:rsidRPr="00E84231">
        <w:rPr>
          <w:rFonts w:ascii="Times New Roman" w:hAnsi="Times New Roman"/>
          <w:color w:val="000000"/>
          <w:sz w:val="24"/>
          <w:szCs w:val="24"/>
        </w:rPr>
        <w:t>2017 г.</w:t>
      </w:r>
    </w:p>
    <w:tbl>
      <w:tblPr>
        <w:tblW w:w="8897" w:type="dxa"/>
        <w:jc w:val="center"/>
        <w:tblLook w:val="04A0" w:firstRow="1" w:lastRow="0" w:firstColumn="1" w:lastColumn="0" w:noHBand="0" w:noVBand="1"/>
      </w:tblPr>
      <w:tblGrid>
        <w:gridCol w:w="1433"/>
        <w:gridCol w:w="2835"/>
        <w:gridCol w:w="4629"/>
      </w:tblGrid>
      <w:tr w:rsidR="00E93A53" w:rsidRPr="00E84231" w14:paraId="094D1AE1" w14:textId="77777777" w:rsidTr="00E84231">
        <w:trPr>
          <w:trHeight w:val="275"/>
          <w:jc w:val="center"/>
        </w:trPr>
        <w:tc>
          <w:tcPr>
            <w:tcW w:w="1433" w:type="dxa"/>
            <w:tcBorders>
              <w:top w:val="single" w:sz="4" w:space="0" w:color="auto"/>
              <w:left w:val="single" w:sz="4" w:space="0" w:color="auto"/>
              <w:bottom w:val="single" w:sz="12" w:space="0" w:color="auto"/>
              <w:right w:val="single" w:sz="4" w:space="0" w:color="auto"/>
            </w:tcBorders>
            <w:shd w:val="clear" w:color="auto" w:fill="auto"/>
            <w:vAlign w:val="center"/>
            <w:hideMark/>
          </w:tcPr>
          <w:p w14:paraId="222DFA85" w14:textId="77777777" w:rsidR="00E93A53" w:rsidRPr="00E84231" w:rsidRDefault="00E93A53" w:rsidP="00086971">
            <w:pPr>
              <w:spacing w:after="0" w:line="240" w:lineRule="auto"/>
              <w:jc w:val="center"/>
              <w:rPr>
                <w:rFonts w:ascii="Times New Roman" w:hAnsi="Times New Roman"/>
                <w:sz w:val="24"/>
                <w:szCs w:val="24"/>
              </w:rPr>
            </w:pPr>
            <w:r w:rsidRPr="00E84231">
              <w:rPr>
                <w:rFonts w:ascii="Times New Roman" w:hAnsi="Times New Roman"/>
                <w:sz w:val="24"/>
                <w:szCs w:val="24"/>
              </w:rPr>
              <w:t>Значение индекса</w:t>
            </w:r>
          </w:p>
        </w:tc>
        <w:tc>
          <w:tcPr>
            <w:tcW w:w="2835" w:type="dxa"/>
            <w:tcBorders>
              <w:top w:val="single" w:sz="4" w:space="0" w:color="auto"/>
              <w:left w:val="nil"/>
              <w:bottom w:val="single" w:sz="12" w:space="0" w:color="auto"/>
              <w:right w:val="single" w:sz="4" w:space="0" w:color="auto"/>
            </w:tcBorders>
            <w:shd w:val="clear" w:color="auto" w:fill="auto"/>
            <w:vAlign w:val="center"/>
            <w:hideMark/>
          </w:tcPr>
          <w:p w14:paraId="58F07FB4" w14:textId="77777777" w:rsidR="00E93A53" w:rsidRPr="00E84231" w:rsidRDefault="00E93A53" w:rsidP="00086971">
            <w:pPr>
              <w:spacing w:after="0" w:line="240" w:lineRule="auto"/>
              <w:jc w:val="center"/>
              <w:rPr>
                <w:rFonts w:ascii="Times New Roman" w:hAnsi="Times New Roman"/>
                <w:b/>
                <w:bCs/>
                <w:sz w:val="24"/>
                <w:szCs w:val="24"/>
              </w:rPr>
            </w:pPr>
            <w:r w:rsidRPr="00E84231">
              <w:rPr>
                <w:rFonts w:ascii="Times New Roman" w:hAnsi="Times New Roman"/>
                <w:b/>
                <w:bCs/>
                <w:sz w:val="24"/>
                <w:szCs w:val="24"/>
              </w:rPr>
              <w:t>ОЭЗ</w:t>
            </w:r>
          </w:p>
        </w:tc>
        <w:tc>
          <w:tcPr>
            <w:tcW w:w="4629" w:type="dxa"/>
            <w:tcBorders>
              <w:top w:val="single" w:sz="4" w:space="0" w:color="auto"/>
              <w:left w:val="nil"/>
              <w:bottom w:val="single" w:sz="12" w:space="0" w:color="auto"/>
              <w:right w:val="single" w:sz="4" w:space="0" w:color="auto"/>
            </w:tcBorders>
            <w:vAlign w:val="center"/>
          </w:tcPr>
          <w:p w14:paraId="1D600FDC" w14:textId="77777777" w:rsidR="00E93A53" w:rsidRPr="00E84231" w:rsidRDefault="00E93A53" w:rsidP="00086971">
            <w:pPr>
              <w:spacing w:after="0" w:line="240" w:lineRule="auto"/>
              <w:jc w:val="center"/>
              <w:rPr>
                <w:rFonts w:ascii="Times New Roman" w:hAnsi="Times New Roman"/>
                <w:b/>
                <w:bCs/>
                <w:sz w:val="24"/>
                <w:szCs w:val="24"/>
              </w:rPr>
            </w:pPr>
            <w:r w:rsidRPr="00E84231">
              <w:rPr>
                <w:rFonts w:ascii="Times New Roman" w:hAnsi="Times New Roman"/>
                <w:b/>
                <w:bCs/>
                <w:sz w:val="24"/>
                <w:szCs w:val="24"/>
              </w:rPr>
              <w:t>Тип ОЭЗ</w:t>
            </w:r>
          </w:p>
        </w:tc>
      </w:tr>
      <w:tr w:rsidR="0026554F" w:rsidRPr="00E84231" w14:paraId="17C35F73" w14:textId="77777777" w:rsidTr="00E84231">
        <w:trPr>
          <w:trHeight w:val="275"/>
          <w:jc w:val="center"/>
        </w:trPr>
        <w:tc>
          <w:tcPr>
            <w:tcW w:w="1433" w:type="dxa"/>
            <w:vMerge w:val="restart"/>
            <w:tcBorders>
              <w:top w:val="single" w:sz="12" w:space="0" w:color="auto"/>
              <w:left w:val="single" w:sz="12" w:space="0" w:color="auto"/>
              <w:bottom w:val="single" w:sz="2" w:space="0" w:color="auto"/>
              <w:right w:val="single" w:sz="2" w:space="0" w:color="auto"/>
            </w:tcBorders>
            <w:shd w:val="clear" w:color="auto" w:fill="auto"/>
            <w:vAlign w:val="center"/>
            <w:hideMark/>
          </w:tcPr>
          <w:p w14:paraId="6E0CE6CD" w14:textId="77777777" w:rsidR="0026554F" w:rsidRPr="00E84231" w:rsidRDefault="0026554F" w:rsidP="00086971">
            <w:pPr>
              <w:spacing w:after="0" w:line="240" w:lineRule="auto"/>
              <w:jc w:val="center"/>
              <w:rPr>
                <w:rFonts w:ascii="Times New Roman" w:hAnsi="Times New Roman"/>
                <w:sz w:val="24"/>
                <w:szCs w:val="24"/>
              </w:rPr>
            </w:pPr>
            <w:r w:rsidRPr="00E84231">
              <w:rPr>
                <w:rFonts w:ascii="Times New Roman" w:hAnsi="Times New Roman"/>
                <w:sz w:val="24"/>
                <w:szCs w:val="24"/>
              </w:rPr>
              <w:t>0 д</w:t>
            </w:r>
            <w:r w:rsidR="003E56C0" w:rsidRPr="00E84231">
              <w:rPr>
                <w:rFonts w:ascii="Times New Roman" w:hAnsi="Times New Roman"/>
                <w:sz w:val="24"/>
                <w:szCs w:val="24"/>
              </w:rPr>
              <w:t>о</w:t>
            </w:r>
            <w:r w:rsidRPr="00E84231">
              <w:rPr>
                <w:rFonts w:ascii="Times New Roman" w:hAnsi="Times New Roman"/>
                <w:sz w:val="24"/>
                <w:szCs w:val="24"/>
              </w:rPr>
              <w:t xml:space="preserve"> 102</w:t>
            </w:r>
          </w:p>
        </w:tc>
        <w:tc>
          <w:tcPr>
            <w:tcW w:w="2835" w:type="dxa"/>
            <w:tcBorders>
              <w:top w:val="single" w:sz="12" w:space="0" w:color="auto"/>
              <w:left w:val="single" w:sz="2" w:space="0" w:color="auto"/>
              <w:bottom w:val="single" w:sz="2" w:space="0" w:color="auto"/>
              <w:right w:val="single" w:sz="2" w:space="0" w:color="auto"/>
            </w:tcBorders>
            <w:shd w:val="clear" w:color="auto" w:fill="auto"/>
            <w:vAlign w:val="center"/>
            <w:hideMark/>
          </w:tcPr>
          <w:p w14:paraId="7FFF4818" w14:textId="1EA56A00" w:rsidR="0026554F" w:rsidRPr="00E84231" w:rsidRDefault="0026554F" w:rsidP="00086971">
            <w:pPr>
              <w:spacing w:after="0" w:line="240" w:lineRule="auto"/>
              <w:jc w:val="center"/>
              <w:rPr>
                <w:rFonts w:ascii="Times New Roman" w:hAnsi="Times New Roman"/>
                <w:sz w:val="24"/>
                <w:szCs w:val="24"/>
              </w:rPr>
            </w:pPr>
            <w:r w:rsidRPr="00E84231">
              <w:rPr>
                <w:rFonts w:ascii="Times New Roman" w:hAnsi="Times New Roman"/>
                <w:bCs/>
                <w:sz w:val="24"/>
                <w:szCs w:val="24"/>
              </w:rPr>
              <w:t>Томская область,</w:t>
            </w:r>
          </w:p>
        </w:tc>
        <w:tc>
          <w:tcPr>
            <w:tcW w:w="4629" w:type="dxa"/>
            <w:tcBorders>
              <w:top w:val="single" w:sz="12" w:space="0" w:color="auto"/>
              <w:left w:val="single" w:sz="2" w:space="0" w:color="auto"/>
              <w:bottom w:val="single" w:sz="2" w:space="0" w:color="auto"/>
              <w:right w:val="single" w:sz="12" w:space="0" w:color="auto"/>
            </w:tcBorders>
            <w:shd w:val="clear" w:color="auto" w:fill="auto"/>
            <w:vAlign w:val="center"/>
          </w:tcPr>
          <w:p w14:paraId="7F7DCA35" w14:textId="77777777" w:rsidR="0026554F" w:rsidRPr="00E84231" w:rsidRDefault="0026554F" w:rsidP="00086971">
            <w:pPr>
              <w:spacing w:after="0" w:line="240" w:lineRule="auto"/>
              <w:jc w:val="center"/>
              <w:rPr>
                <w:rFonts w:ascii="Times New Roman" w:hAnsi="Times New Roman"/>
                <w:bCs/>
                <w:sz w:val="24"/>
                <w:szCs w:val="24"/>
              </w:rPr>
            </w:pPr>
            <w:r w:rsidRPr="00E84231">
              <w:rPr>
                <w:rFonts w:ascii="Times New Roman" w:hAnsi="Times New Roman"/>
                <w:bCs/>
                <w:sz w:val="24"/>
                <w:szCs w:val="24"/>
              </w:rPr>
              <w:t>Технико-внедренческая ОЭЗ</w:t>
            </w:r>
          </w:p>
        </w:tc>
      </w:tr>
      <w:tr w:rsidR="0026554F" w:rsidRPr="00E84231" w14:paraId="66526F75" w14:textId="77777777" w:rsidTr="00E84231">
        <w:trPr>
          <w:trHeight w:val="275"/>
          <w:jc w:val="center"/>
        </w:trPr>
        <w:tc>
          <w:tcPr>
            <w:tcW w:w="1433" w:type="dxa"/>
            <w:vMerge/>
            <w:tcBorders>
              <w:top w:val="single" w:sz="2" w:space="0" w:color="auto"/>
              <w:left w:val="single" w:sz="12" w:space="0" w:color="auto"/>
              <w:bottom w:val="single" w:sz="2" w:space="0" w:color="auto"/>
              <w:right w:val="single" w:sz="2" w:space="0" w:color="auto"/>
            </w:tcBorders>
            <w:shd w:val="clear" w:color="auto" w:fill="auto"/>
            <w:vAlign w:val="center"/>
            <w:hideMark/>
          </w:tcPr>
          <w:p w14:paraId="3D316C8F" w14:textId="77777777" w:rsidR="0026554F" w:rsidRPr="00E84231" w:rsidRDefault="0026554F" w:rsidP="00086971">
            <w:pPr>
              <w:spacing w:after="0" w:line="240" w:lineRule="auto"/>
              <w:jc w:val="center"/>
              <w:rPr>
                <w:rFonts w:ascii="Times New Roman" w:hAnsi="Times New Roman"/>
                <w:sz w:val="24"/>
                <w:szCs w:val="24"/>
              </w:rPr>
            </w:pPr>
          </w:p>
        </w:tc>
        <w:tc>
          <w:tcPr>
            <w:tcW w:w="2835"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2C1E831E" w14:textId="4AE03387" w:rsidR="0026554F" w:rsidRPr="00E84231" w:rsidRDefault="0026554F" w:rsidP="00086971">
            <w:pPr>
              <w:spacing w:after="0" w:line="240" w:lineRule="auto"/>
              <w:jc w:val="center"/>
              <w:rPr>
                <w:rFonts w:ascii="Times New Roman" w:hAnsi="Times New Roman"/>
                <w:bCs/>
                <w:sz w:val="24"/>
                <w:szCs w:val="24"/>
              </w:rPr>
            </w:pPr>
            <w:r w:rsidRPr="00E84231">
              <w:rPr>
                <w:rFonts w:ascii="Times New Roman" w:hAnsi="Times New Roman"/>
                <w:bCs/>
                <w:sz w:val="24"/>
                <w:szCs w:val="24"/>
              </w:rPr>
              <w:t>г. Москва,</w:t>
            </w:r>
          </w:p>
        </w:tc>
        <w:tc>
          <w:tcPr>
            <w:tcW w:w="4629" w:type="dxa"/>
            <w:tcBorders>
              <w:top w:val="single" w:sz="2" w:space="0" w:color="auto"/>
              <w:left w:val="single" w:sz="2" w:space="0" w:color="auto"/>
              <w:bottom w:val="single" w:sz="2" w:space="0" w:color="auto"/>
              <w:right w:val="single" w:sz="12" w:space="0" w:color="auto"/>
            </w:tcBorders>
            <w:shd w:val="clear" w:color="auto" w:fill="auto"/>
            <w:vAlign w:val="center"/>
          </w:tcPr>
          <w:p w14:paraId="2998CF38" w14:textId="77777777" w:rsidR="0026554F" w:rsidRPr="00E84231" w:rsidRDefault="0026554F" w:rsidP="00086971">
            <w:pPr>
              <w:spacing w:after="0" w:line="240" w:lineRule="auto"/>
              <w:jc w:val="center"/>
              <w:rPr>
                <w:rFonts w:ascii="Times New Roman" w:hAnsi="Times New Roman"/>
                <w:bCs/>
                <w:sz w:val="24"/>
                <w:szCs w:val="24"/>
              </w:rPr>
            </w:pPr>
            <w:r w:rsidRPr="00E84231">
              <w:rPr>
                <w:rFonts w:ascii="Times New Roman" w:hAnsi="Times New Roman"/>
                <w:bCs/>
                <w:sz w:val="24"/>
                <w:szCs w:val="24"/>
              </w:rPr>
              <w:t>Технико-внедренческая ОЭЗ</w:t>
            </w:r>
          </w:p>
        </w:tc>
      </w:tr>
      <w:tr w:rsidR="0026554F" w:rsidRPr="00E84231" w14:paraId="3B4F1D35" w14:textId="77777777" w:rsidTr="00E84231">
        <w:trPr>
          <w:trHeight w:val="888"/>
          <w:jc w:val="center"/>
        </w:trPr>
        <w:tc>
          <w:tcPr>
            <w:tcW w:w="1433" w:type="dxa"/>
            <w:vMerge/>
            <w:tcBorders>
              <w:top w:val="single" w:sz="2" w:space="0" w:color="auto"/>
              <w:left w:val="single" w:sz="12" w:space="0" w:color="auto"/>
              <w:bottom w:val="single" w:sz="2" w:space="0" w:color="auto"/>
              <w:right w:val="single" w:sz="2" w:space="0" w:color="auto"/>
            </w:tcBorders>
            <w:shd w:val="clear" w:color="auto" w:fill="auto"/>
            <w:vAlign w:val="center"/>
            <w:hideMark/>
          </w:tcPr>
          <w:p w14:paraId="038ACCB9" w14:textId="77777777" w:rsidR="0026554F" w:rsidRPr="00E84231" w:rsidRDefault="0026554F" w:rsidP="00086971">
            <w:pPr>
              <w:spacing w:after="0" w:line="240" w:lineRule="auto"/>
              <w:jc w:val="center"/>
              <w:rPr>
                <w:rFonts w:ascii="Times New Roman" w:hAnsi="Times New Roman"/>
                <w:sz w:val="24"/>
                <w:szCs w:val="24"/>
              </w:rPr>
            </w:pPr>
          </w:p>
        </w:tc>
        <w:tc>
          <w:tcPr>
            <w:tcW w:w="2835"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7EDC9A4A" w14:textId="77777777" w:rsidR="0026554F" w:rsidRPr="00E84231" w:rsidRDefault="0026554F" w:rsidP="00086971">
            <w:pPr>
              <w:spacing w:after="0" w:line="240" w:lineRule="auto"/>
              <w:jc w:val="center"/>
              <w:rPr>
                <w:rFonts w:ascii="Times New Roman" w:hAnsi="Times New Roman"/>
                <w:bCs/>
                <w:sz w:val="24"/>
                <w:szCs w:val="24"/>
              </w:rPr>
            </w:pPr>
            <w:r w:rsidRPr="00E84231">
              <w:rPr>
                <w:rFonts w:ascii="Times New Roman" w:hAnsi="Times New Roman"/>
                <w:bCs/>
                <w:sz w:val="24"/>
                <w:szCs w:val="24"/>
              </w:rPr>
              <w:t>Республика Татарстан</w:t>
            </w:r>
          </w:p>
          <w:p w14:paraId="7017F4DA" w14:textId="16259E5C" w:rsidR="0026554F" w:rsidRPr="00E84231" w:rsidRDefault="0026554F" w:rsidP="00086971">
            <w:pPr>
              <w:spacing w:after="0" w:line="240" w:lineRule="auto"/>
              <w:jc w:val="center"/>
              <w:rPr>
                <w:rFonts w:ascii="Times New Roman" w:hAnsi="Times New Roman"/>
                <w:bCs/>
                <w:sz w:val="24"/>
                <w:szCs w:val="24"/>
              </w:rPr>
            </w:pPr>
            <w:r w:rsidRPr="00E84231">
              <w:rPr>
                <w:rFonts w:ascii="Times New Roman" w:hAnsi="Times New Roman"/>
                <w:bCs/>
                <w:sz w:val="24"/>
                <w:szCs w:val="24"/>
              </w:rPr>
              <w:t>«Алабуга»</w:t>
            </w:r>
          </w:p>
          <w:p w14:paraId="621945A8" w14:textId="3C38DA82" w:rsidR="0026554F" w:rsidRPr="00E84231" w:rsidRDefault="0026554F" w:rsidP="00086971">
            <w:pPr>
              <w:spacing w:after="0" w:line="240" w:lineRule="auto"/>
              <w:jc w:val="center"/>
              <w:rPr>
                <w:rFonts w:ascii="Times New Roman" w:hAnsi="Times New Roman"/>
                <w:bCs/>
                <w:sz w:val="24"/>
                <w:szCs w:val="24"/>
              </w:rPr>
            </w:pPr>
            <w:r w:rsidRPr="00E84231">
              <w:rPr>
                <w:rFonts w:ascii="Times New Roman" w:hAnsi="Times New Roman"/>
                <w:bCs/>
                <w:sz w:val="24"/>
                <w:szCs w:val="24"/>
              </w:rPr>
              <w:t>«Иннополис»</w:t>
            </w:r>
          </w:p>
        </w:tc>
        <w:tc>
          <w:tcPr>
            <w:tcW w:w="4629" w:type="dxa"/>
            <w:tcBorders>
              <w:top w:val="single" w:sz="2" w:space="0" w:color="auto"/>
              <w:left w:val="single" w:sz="2" w:space="0" w:color="auto"/>
              <w:bottom w:val="single" w:sz="2" w:space="0" w:color="auto"/>
              <w:right w:val="single" w:sz="12" w:space="0" w:color="auto"/>
            </w:tcBorders>
            <w:shd w:val="clear" w:color="auto" w:fill="auto"/>
            <w:vAlign w:val="center"/>
          </w:tcPr>
          <w:p w14:paraId="7E921E9C" w14:textId="77777777" w:rsidR="0026554F" w:rsidRPr="00E84231" w:rsidRDefault="0026554F" w:rsidP="00086971">
            <w:pPr>
              <w:spacing w:after="0" w:line="240" w:lineRule="auto"/>
              <w:jc w:val="center"/>
              <w:rPr>
                <w:rFonts w:ascii="Times New Roman" w:hAnsi="Times New Roman"/>
                <w:bCs/>
                <w:sz w:val="24"/>
                <w:szCs w:val="24"/>
              </w:rPr>
            </w:pPr>
          </w:p>
          <w:p w14:paraId="46AD4C0B" w14:textId="77777777" w:rsidR="0026554F" w:rsidRPr="00E84231" w:rsidRDefault="0026554F" w:rsidP="00086971">
            <w:pPr>
              <w:spacing w:after="0" w:line="240" w:lineRule="auto"/>
              <w:jc w:val="center"/>
              <w:rPr>
                <w:rFonts w:ascii="Times New Roman" w:hAnsi="Times New Roman"/>
                <w:bCs/>
                <w:sz w:val="24"/>
                <w:szCs w:val="24"/>
              </w:rPr>
            </w:pPr>
            <w:r w:rsidRPr="00E84231">
              <w:rPr>
                <w:rFonts w:ascii="Times New Roman" w:hAnsi="Times New Roman"/>
                <w:bCs/>
                <w:sz w:val="24"/>
                <w:szCs w:val="24"/>
              </w:rPr>
              <w:t>Промышленно-производственная ОЭЗ</w:t>
            </w:r>
          </w:p>
          <w:p w14:paraId="014B2821" w14:textId="77777777" w:rsidR="0026554F" w:rsidRPr="00E84231" w:rsidRDefault="0026554F" w:rsidP="00086971">
            <w:pPr>
              <w:spacing w:after="0" w:line="240" w:lineRule="auto"/>
              <w:jc w:val="center"/>
              <w:rPr>
                <w:rFonts w:ascii="Times New Roman" w:hAnsi="Times New Roman"/>
                <w:bCs/>
                <w:sz w:val="24"/>
                <w:szCs w:val="24"/>
              </w:rPr>
            </w:pPr>
            <w:r w:rsidRPr="00E84231">
              <w:rPr>
                <w:rFonts w:ascii="Times New Roman" w:hAnsi="Times New Roman"/>
                <w:bCs/>
                <w:sz w:val="24"/>
                <w:szCs w:val="24"/>
              </w:rPr>
              <w:t>Технико-внедренческая ОЭЗ</w:t>
            </w:r>
          </w:p>
        </w:tc>
      </w:tr>
      <w:tr w:rsidR="0026554F" w:rsidRPr="00E84231" w14:paraId="4362080D" w14:textId="77777777" w:rsidTr="00E84231">
        <w:trPr>
          <w:trHeight w:val="275"/>
          <w:jc w:val="center"/>
        </w:trPr>
        <w:tc>
          <w:tcPr>
            <w:tcW w:w="1433" w:type="dxa"/>
            <w:vMerge/>
            <w:tcBorders>
              <w:top w:val="single" w:sz="2" w:space="0" w:color="auto"/>
              <w:left w:val="single" w:sz="12" w:space="0" w:color="auto"/>
              <w:bottom w:val="single" w:sz="2" w:space="0" w:color="auto"/>
              <w:right w:val="single" w:sz="2" w:space="0" w:color="auto"/>
            </w:tcBorders>
            <w:shd w:val="clear" w:color="auto" w:fill="auto"/>
            <w:vAlign w:val="center"/>
            <w:hideMark/>
          </w:tcPr>
          <w:p w14:paraId="65203BF7" w14:textId="77777777" w:rsidR="0026554F" w:rsidRPr="00E84231" w:rsidRDefault="0026554F" w:rsidP="00086971">
            <w:pPr>
              <w:spacing w:after="0" w:line="240" w:lineRule="auto"/>
              <w:jc w:val="center"/>
              <w:rPr>
                <w:rFonts w:ascii="Times New Roman" w:hAnsi="Times New Roman"/>
                <w:sz w:val="24"/>
                <w:szCs w:val="24"/>
              </w:rPr>
            </w:pPr>
          </w:p>
        </w:tc>
        <w:tc>
          <w:tcPr>
            <w:tcW w:w="2835"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20A96380" w14:textId="77777777" w:rsidR="0026554F" w:rsidRPr="00E84231" w:rsidRDefault="0026554F" w:rsidP="00086971">
            <w:pPr>
              <w:spacing w:after="0" w:line="240" w:lineRule="auto"/>
              <w:jc w:val="center"/>
              <w:rPr>
                <w:rFonts w:ascii="Times New Roman" w:hAnsi="Times New Roman"/>
                <w:bCs/>
                <w:sz w:val="24"/>
                <w:szCs w:val="24"/>
              </w:rPr>
            </w:pPr>
            <w:r w:rsidRPr="00E84231">
              <w:rPr>
                <w:rFonts w:ascii="Times New Roman" w:hAnsi="Times New Roman"/>
                <w:sz w:val="24"/>
                <w:szCs w:val="24"/>
              </w:rPr>
              <w:t>Свердловская область</w:t>
            </w:r>
          </w:p>
        </w:tc>
        <w:tc>
          <w:tcPr>
            <w:tcW w:w="4629" w:type="dxa"/>
            <w:tcBorders>
              <w:top w:val="single" w:sz="2" w:space="0" w:color="auto"/>
              <w:left w:val="single" w:sz="2" w:space="0" w:color="auto"/>
              <w:bottom w:val="single" w:sz="2" w:space="0" w:color="auto"/>
              <w:right w:val="single" w:sz="12" w:space="0" w:color="auto"/>
            </w:tcBorders>
            <w:shd w:val="clear" w:color="auto" w:fill="auto"/>
            <w:vAlign w:val="center"/>
          </w:tcPr>
          <w:p w14:paraId="1D5AE724" w14:textId="77777777" w:rsidR="0026554F" w:rsidRPr="00E84231" w:rsidRDefault="0026554F" w:rsidP="00086971">
            <w:pPr>
              <w:spacing w:after="0" w:line="240" w:lineRule="auto"/>
              <w:jc w:val="center"/>
              <w:rPr>
                <w:rFonts w:ascii="Times New Roman" w:hAnsi="Times New Roman"/>
                <w:bCs/>
                <w:sz w:val="24"/>
                <w:szCs w:val="24"/>
              </w:rPr>
            </w:pPr>
            <w:r w:rsidRPr="00E84231">
              <w:rPr>
                <w:rFonts w:ascii="Times New Roman" w:hAnsi="Times New Roman"/>
                <w:bCs/>
                <w:sz w:val="24"/>
                <w:szCs w:val="24"/>
              </w:rPr>
              <w:t>Промышленно-производственная ОЭЗ</w:t>
            </w:r>
          </w:p>
        </w:tc>
      </w:tr>
      <w:tr w:rsidR="0026554F" w:rsidRPr="00E84231" w14:paraId="2939D1C5" w14:textId="77777777" w:rsidTr="00E84231">
        <w:trPr>
          <w:trHeight w:val="275"/>
          <w:jc w:val="center"/>
        </w:trPr>
        <w:tc>
          <w:tcPr>
            <w:tcW w:w="1433" w:type="dxa"/>
            <w:vMerge/>
            <w:tcBorders>
              <w:top w:val="single" w:sz="2" w:space="0" w:color="auto"/>
              <w:left w:val="single" w:sz="12" w:space="0" w:color="auto"/>
              <w:bottom w:val="single" w:sz="2" w:space="0" w:color="auto"/>
              <w:right w:val="single" w:sz="2" w:space="0" w:color="auto"/>
            </w:tcBorders>
            <w:shd w:val="clear" w:color="auto" w:fill="auto"/>
            <w:vAlign w:val="center"/>
            <w:hideMark/>
          </w:tcPr>
          <w:p w14:paraId="22DBA880" w14:textId="77777777" w:rsidR="0026554F" w:rsidRPr="00E84231" w:rsidRDefault="0026554F" w:rsidP="00086971">
            <w:pPr>
              <w:spacing w:after="0" w:line="240" w:lineRule="auto"/>
              <w:jc w:val="center"/>
              <w:rPr>
                <w:rFonts w:ascii="Times New Roman" w:hAnsi="Times New Roman"/>
                <w:sz w:val="24"/>
                <w:szCs w:val="24"/>
              </w:rPr>
            </w:pPr>
          </w:p>
        </w:tc>
        <w:tc>
          <w:tcPr>
            <w:tcW w:w="2835" w:type="dxa"/>
            <w:tcBorders>
              <w:top w:val="single" w:sz="2" w:space="0" w:color="auto"/>
              <w:left w:val="single" w:sz="2" w:space="0" w:color="auto"/>
              <w:bottom w:val="single" w:sz="2" w:space="0" w:color="auto"/>
              <w:right w:val="single" w:sz="2" w:space="0" w:color="auto"/>
            </w:tcBorders>
            <w:shd w:val="clear" w:color="auto" w:fill="auto"/>
            <w:vAlign w:val="center"/>
            <w:hideMark/>
          </w:tcPr>
          <w:p w14:paraId="5FDBFECE" w14:textId="77777777" w:rsidR="0026554F" w:rsidRPr="00E84231" w:rsidRDefault="0026554F" w:rsidP="00086971">
            <w:pPr>
              <w:spacing w:after="0" w:line="240" w:lineRule="auto"/>
              <w:jc w:val="center"/>
              <w:rPr>
                <w:rFonts w:ascii="Times New Roman" w:hAnsi="Times New Roman"/>
                <w:sz w:val="24"/>
                <w:szCs w:val="24"/>
              </w:rPr>
            </w:pPr>
            <w:r w:rsidRPr="00E84231">
              <w:rPr>
                <w:rFonts w:ascii="Times New Roman" w:hAnsi="Times New Roman"/>
                <w:sz w:val="24"/>
                <w:szCs w:val="24"/>
              </w:rPr>
              <w:t>Тверская область</w:t>
            </w:r>
          </w:p>
        </w:tc>
        <w:tc>
          <w:tcPr>
            <w:tcW w:w="4629" w:type="dxa"/>
            <w:tcBorders>
              <w:top w:val="single" w:sz="2" w:space="0" w:color="auto"/>
              <w:left w:val="single" w:sz="2" w:space="0" w:color="auto"/>
              <w:bottom w:val="single" w:sz="2" w:space="0" w:color="auto"/>
              <w:right w:val="single" w:sz="12" w:space="0" w:color="auto"/>
            </w:tcBorders>
            <w:shd w:val="clear" w:color="auto" w:fill="auto"/>
            <w:vAlign w:val="center"/>
          </w:tcPr>
          <w:p w14:paraId="15CB098B" w14:textId="77777777" w:rsidR="0026554F" w:rsidRPr="00E84231" w:rsidRDefault="0026554F" w:rsidP="00086971">
            <w:pPr>
              <w:spacing w:after="0" w:line="240" w:lineRule="auto"/>
              <w:jc w:val="center"/>
              <w:rPr>
                <w:rFonts w:ascii="Times New Roman" w:hAnsi="Times New Roman"/>
                <w:bCs/>
                <w:sz w:val="24"/>
                <w:szCs w:val="24"/>
              </w:rPr>
            </w:pPr>
            <w:r w:rsidRPr="00E84231">
              <w:rPr>
                <w:rFonts w:ascii="Times New Roman" w:hAnsi="Times New Roman"/>
                <w:bCs/>
                <w:sz w:val="24"/>
                <w:szCs w:val="24"/>
              </w:rPr>
              <w:t>Туристско-рекреационная ОЭЗ</w:t>
            </w:r>
          </w:p>
        </w:tc>
      </w:tr>
      <w:tr w:rsidR="0026554F" w:rsidRPr="00E84231" w14:paraId="25D2AC9A" w14:textId="77777777" w:rsidTr="00E84231">
        <w:trPr>
          <w:trHeight w:val="275"/>
          <w:jc w:val="center"/>
        </w:trPr>
        <w:tc>
          <w:tcPr>
            <w:tcW w:w="1433" w:type="dxa"/>
            <w:vMerge/>
            <w:tcBorders>
              <w:top w:val="single" w:sz="2" w:space="0" w:color="auto"/>
              <w:left w:val="single" w:sz="12" w:space="0" w:color="auto"/>
              <w:bottom w:val="single" w:sz="12" w:space="0" w:color="auto"/>
              <w:right w:val="single" w:sz="2" w:space="0" w:color="auto"/>
            </w:tcBorders>
            <w:shd w:val="clear" w:color="auto" w:fill="auto"/>
            <w:vAlign w:val="center"/>
            <w:hideMark/>
          </w:tcPr>
          <w:p w14:paraId="2A3135DB" w14:textId="77777777" w:rsidR="0026554F" w:rsidRPr="00E84231" w:rsidRDefault="0026554F" w:rsidP="00086971">
            <w:pPr>
              <w:spacing w:after="0" w:line="240" w:lineRule="auto"/>
              <w:jc w:val="center"/>
              <w:rPr>
                <w:rFonts w:ascii="Times New Roman" w:hAnsi="Times New Roman"/>
                <w:sz w:val="24"/>
                <w:szCs w:val="24"/>
              </w:rPr>
            </w:pPr>
          </w:p>
        </w:tc>
        <w:tc>
          <w:tcPr>
            <w:tcW w:w="2835" w:type="dxa"/>
            <w:tcBorders>
              <w:top w:val="single" w:sz="2" w:space="0" w:color="auto"/>
              <w:left w:val="single" w:sz="2" w:space="0" w:color="auto"/>
              <w:bottom w:val="single" w:sz="12" w:space="0" w:color="auto"/>
              <w:right w:val="single" w:sz="2" w:space="0" w:color="auto"/>
            </w:tcBorders>
            <w:shd w:val="clear" w:color="auto" w:fill="auto"/>
            <w:vAlign w:val="center"/>
            <w:hideMark/>
          </w:tcPr>
          <w:p w14:paraId="3CEBCA61" w14:textId="77777777" w:rsidR="0026554F" w:rsidRPr="00E84231" w:rsidRDefault="0026554F" w:rsidP="00086971">
            <w:pPr>
              <w:spacing w:after="0" w:line="240" w:lineRule="auto"/>
              <w:jc w:val="center"/>
              <w:rPr>
                <w:rFonts w:ascii="Times New Roman" w:hAnsi="Times New Roman"/>
                <w:sz w:val="24"/>
                <w:szCs w:val="24"/>
              </w:rPr>
            </w:pPr>
            <w:r w:rsidRPr="00E84231">
              <w:rPr>
                <w:rFonts w:ascii="Times New Roman" w:hAnsi="Times New Roman"/>
                <w:sz w:val="24"/>
                <w:szCs w:val="24"/>
              </w:rPr>
              <w:t>Республика Бурятия</w:t>
            </w:r>
          </w:p>
        </w:tc>
        <w:tc>
          <w:tcPr>
            <w:tcW w:w="4629" w:type="dxa"/>
            <w:tcBorders>
              <w:top w:val="single" w:sz="2" w:space="0" w:color="auto"/>
              <w:left w:val="single" w:sz="2" w:space="0" w:color="auto"/>
              <w:bottom w:val="single" w:sz="12" w:space="0" w:color="auto"/>
              <w:right w:val="single" w:sz="12" w:space="0" w:color="auto"/>
            </w:tcBorders>
            <w:shd w:val="clear" w:color="auto" w:fill="auto"/>
            <w:vAlign w:val="center"/>
          </w:tcPr>
          <w:p w14:paraId="3CBFD171" w14:textId="77777777" w:rsidR="0026554F" w:rsidRPr="00E84231" w:rsidRDefault="0026554F" w:rsidP="00086971">
            <w:pPr>
              <w:spacing w:after="0" w:line="240" w:lineRule="auto"/>
              <w:jc w:val="center"/>
              <w:rPr>
                <w:rFonts w:ascii="Times New Roman" w:hAnsi="Times New Roman"/>
                <w:bCs/>
                <w:sz w:val="24"/>
                <w:szCs w:val="24"/>
              </w:rPr>
            </w:pPr>
            <w:r w:rsidRPr="00E84231">
              <w:rPr>
                <w:rFonts w:ascii="Times New Roman" w:hAnsi="Times New Roman"/>
                <w:bCs/>
                <w:sz w:val="24"/>
                <w:szCs w:val="24"/>
              </w:rPr>
              <w:t>Туристско-рекреационная ОЭЗ</w:t>
            </w:r>
          </w:p>
        </w:tc>
      </w:tr>
      <w:tr w:rsidR="00A27D9A" w:rsidRPr="00E84231" w14:paraId="21213816" w14:textId="77777777" w:rsidTr="00E84231">
        <w:trPr>
          <w:trHeight w:val="275"/>
          <w:jc w:val="center"/>
        </w:trPr>
        <w:tc>
          <w:tcPr>
            <w:tcW w:w="1433" w:type="dxa"/>
            <w:vMerge w:val="restart"/>
            <w:tcBorders>
              <w:top w:val="single" w:sz="12" w:space="0" w:color="auto"/>
              <w:left w:val="single" w:sz="12" w:space="0" w:color="auto"/>
              <w:right w:val="single" w:sz="4" w:space="0" w:color="auto"/>
            </w:tcBorders>
            <w:shd w:val="clear" w:color="auto" w:fill="auto"/>
            <w:vAlign w:val="center"/>
            <w:hideMark/>
          </w:tcPr>
          <w:p w14:paraId="1E344D8A" w14:textId="77777777" w:rsidR="00A27D9A" w:rsidRPr="00E84231" w:rsidRDefault="00A27D9A" w:rsidP="00086971">
            <w:pPr>
              <w:spacing w:after="0" w:line="240" w:lineRule="auto"/>
              <w:jc w:val="center"/>
              <w:rPr>
                <w:rFonts w:ascii="Times New Roman" w:hAnsi="Times New Roman"/>
                <w:sz w:val="24"/>
                <w:szCs w:val="24"/>
              </w:rPr>
            </w:pPr>
            <w:r w:rsidRPr="00E84231">
              <w:rPr>
                <w:rFonts w:ascii="Times New Roman" w:hAnsi="Times New Roman"/>
                <w:sz w:val="24"/>
                <w:szCs w:val="24"/>
              </w:rPr>
              <w:t>102 до 110</w:t>
            </w:r>
          </w:p>
        </w:tc>
        <w:tc>
          <w:tcPr>
            <w:tcW w:w="2835" w:type="dxa"/>
            <w:tcBorders>
              <w:top w:val="single" w:sz="12" w:space="0" w:color="auto"/>
              <w:left w:val="nil"/>
              <w:bottom w:val="single" w:sz="4" w:space="0" w:color="auto"/>
              <w:right w:val="single" w:sz="4" w:space="0" w:color="auto"/>
            </w:tcBorders>
            <w:shd w:val="clear" w:color="auto" w:fill="auto"/>
            <w:vAlign w:val="center"/>
            <w:hideMark/>
          </w:tcPr>
          <w:p w14:paraId="578F6672" w14:textId="26CE2DB5" w:rsidR="00A27D9A" w:rsidRPr="00E84231" w:rsidRDefault="00A27D9A" w:rsidP="00086971">
            <w:pPr>
              <w:spacing w:after="0" w:line="240" w:lineRule="auto"/>
              <w:jc w:val="center"/>
              <w:rPr>
                <w:rFonts w:ascii="Times New Roman" w:hAnsi="Times New Roman"/>
                <w:sz w:val="24"/>
                <w:szCs w:val="24"/>
              </w:rPr>
            </w:pPr>
            <w:r w:rsidRPr="00E84231">
              <w:rPr>
                <w:rFonts w:ascii="Times New Roman" w:hAnsi="Times New Roman"/>
                <w:bCs/>
                <w:sz w:val="24"/>
                <w:szCs w:val="24"/>
              </w:rPr>
              <w:t>Самарская область,</w:t>
            </w:r>
          </w:p>
        </w:tc>
        <w:tc>
          <w:tcPr>
            <w:tcW w:w="4629" w:type="dxa"/>
            <w:tcBorders>
              <w:top w:val="single" w:sz="12" w:space="0" w:color="auto"/>
              <w:left w:val="nil"/>
              <w:bottom w:val="single" w:sz="4" w:space="0" w:color="auto"/>
              <w:right w:val="single" w:sz="12" w:space="0" w:color="auto"/>
            </w:tcBorders>
            <w:shd w:val="clear" w:color="auto" w:fill="auto"/>
            <w:vAlign w:val="center"/>
          </w:tcPr>
          <w:p w14:paraId="335A0FE9" w14:textId="77777777" w:rsidR="00A27D9A" w:rsidRPr="00E84231" w:rsidRDefault="00A27D9A" w:rsidP="00086971">
            <w:pPr>
              <w:spacing w:after="0" w:line="240" w:lineRule="auto"/>
              <w:jc w:val="center"/>
              <w:rPr>
                <w:rFonts w:ascii="Times New Roman" w:hAnsi="Times New Roman"/>
                <w:bCs/>
                <w:sz w:val="24"/>
                <w:szCs w:val="24"/>
              </w:rPr>
            </w:pPr>
            <w:r w:rsidRPr="00E84231">
              <w:rPr>
                <w:rFonts w:ascii="Times New Roman" w:hAnsi="Times New Roman"/>
                <w:bCs/>
                <w:sz w:val="24"/>
                <w:szCs w:val="24"/>
              </w:rPr>
              <w:t>Промышленно-производственная ОЭЗ</w:t>
            </w:r>
          </w:p>
        </w:tc>
      </w:tr>
      <w:tr w:rsidR="00A27D9A" w:rsidRPr="00E84231" w14:paraId="0C4C39E3" w14:textId="77777777" w:rsidTr="00E84231">
        <w:trPr>
          <w:trHeight w:val="275"/>
          <w:jc w:val="center"/>
        </w:trPr>
        <w:tc>
          <w:tcPr>
            <w:tcW w:w="1433" w:type="dxa"/>
            <w:vMerge/>
            <w:tcBorders>
              <w:left w:val="single" w:sz="12" w:space="0" w:color="auto"/>
              <w:right w:val="single" w:sz="4" w:space="0" w:color="auto"/>
            </w:tcBorders>
            <w:shd w:val="clear" w:color="auto" w:fill="auto"/>
            <w:vAlign w:val="center"/>
            <w:hideMark/>
          </w:tcPr>
          <w:p w14:paraId="127160B0" w14:textId="77777777" w:rsidR="00A27D9A" w:rsidRPr="00E84231" w:rsidRDefault="00A27D9A" w:rsidP="00086971">
            <w:pPr>
              <w:spacing w:after="0" w:line="240" w:lineRule="auto"/>
              <w:jc w:val="center"/>
              <w:rPr>
                <w:rFonts w:ascii="Times New Roman" w:hAnsi="Times New Roman"/>
                <w:sz w:val="24"/>
                <w:szCs w:val="24"/>
              </w:rPr>
            </w:pPr>
          </w:p>
        </w:tc>
        <w:tc>
          <w:tcPr>
            <w:tcW w:w="2835" w:type="dxa"/>
            <w:tcBorders>
              <w:top w:val="nil"/>
              <w:left w:val="nil"/>
              <w:bottom w:val="single" w:sz="4" w:space="0" w:color="auto"/>
              <w:right w:val="single" w:sz="4" w:space="0" w:color="auto"/>
            </w:tcBorders>
            <w:shd w:val="clear" w:color="auto" w:fill="auto"/>
            <w:vAlign w:val="center"/>
            <w:hideMark/>
          </w:tcPr>
          <w:p w14:paraId="2296F85C" w14:textId="77777777" w:rsidR="00A27D9A" w:rsidRPr="00E84231" w:rsidRDefault="00A27D9A" w:rsidP="00086971">
            <w:pPr>
              <w:spacing w:after="0" w:line="240" w:lineRule="auto"/>
              <w:jc w:val="center"/>
              <w:rPr>
                <w:rFonts w:ascii="Times New Roman" w:hAnsi="Times New Roman"/>
                <w:bCs/>
                <w:sz w:val="24"/>
                <w:szCs w:val="24"/>
              </w:rPr>
            </w:pPr>
            <w:r w:rsidRPr="00E84231">
              <w:rPr>
                <w:rFonts w:ascii="Times New Roman" w:hAnsi="Times New Roman"/>
                <w:bCs/>
                <w:sz w:val="24"/>
                <w:szCs w:val="24"/>
              </w:rPr>
              <w:t>Липецкая область,</w:t>
            </w:r>
          </w:p>
        </w:tc>
        <w:tc>
          <w:tcPr>
            <w:tcW w:w="4629" w:type="dxa"/>
            <w:tcBorders>
              <w:top w:val="nil"/>
              <w:left w:val="nil"/>
              <w:bottom w:val="single" w:sz="4" w:space="0" w:color="auto"/>
              <w:right w:val="single" w:sz="12" w:space="0" w:color="auto"/>
            </w:tcBorders>
            <w:shd w:val="clear" w:color="auto" w:fill="auto"/>
            <w:vAlign w:val="center"/>
          </w:tcPr>
          <w:p w14:paraId="14C2B2A6" w14:textId="77777777" w:rsidR="00A27D9A" w:rsidRPr="00E84231" w:rsidRDefault="00A27D9A" w:rsidP="00086971">
            <w:pPr>
              <w:spacing w:after="0" w:line="240" w:lineRule="auto"/>
              <w:jc w:val="center"/>
              <w:rPr>
                <w:rFonts w:ascii="Times New Roman" w:hAnsi="Times New Roman"/>
                <w:bCs/>
                <w:sz w:val="24"/>
                <w:szCs w:val="24"/>
              </w:rPr>
            </w:pPr>
            <w:r w:rsidRPr="00E84231">
              <w:rPr>
                <w:rFonts w:ascii="Times New Roman" w:hAnsi="Times New Roman"/>
                <w:bCs/>
                <w:sz w:val="24"/>
                <w:szCs w:val="24"/>
              </w:rPr>
              <w:t>Промышленно-производственная ОЭЗ</w:t>
            </w:r>
          </w:p>
        </w:tc>
      </w:tr>
      <w:tr w:rsidR="00A27D9A" w:rsidRPr="00E84231" w14:paraId="5BC277CA" w14:textId="77777777" w:rsidTr="00E84231">
        <w:trPr>
          <w:trHeight w:val="275"/>
          <w:jc w:val="center"/>
        </w:trPr>
        <w:tc>
          <w:tcPr>
            <w:tcW w:w="1433" w:type="dxa"/>
            <w:vMerge/>
            <w:tcBorders>
              <w:left w:val="single" w:sz="12" w:space="0" w:color="auto"/>
              <w:right w:val="single" w:sz="4" w:space="0" w:color="auto"/>
            </w:tcBorders>
            <w:shd w:val="clear" w:color="auto" w:fill="auto"/>
            <w:vAlign w:val="center"/>
            <w:hideMark/>
          </w:tcPr>
          <w:p w14:paraId="63557A0D" w14:textId="77777777" w:rsidR="00A27D9A" w:rsidRPr="00E84231" w:rsidRDefault="00A27D9A" w:rsidP="00086971">
            <w:pPr>
              <w:spacing w:after="0" w:line="240" w:lineRule="auto"/>
              <w:jc w:val="center"/>
              <w:rPr>
                <w:rFonts w:ascii="Times New Roman" w:hAnsi="Times New Roman"/>
                <w:sz w:val="24"/>
                <w:szCs w:val="24"/>
              </w:rPr>
            </w:pPr>
          </w:p>
        </w:tc>
        <w:tc>
          <w:tcPr>
            <w:tcW w:w="2835" w:type="dxa"/>
            <w:tcBorders>
              <w:top w:val="nil"/>
              <w:left w:val="nil"/>
              <w:bottom w:val="single" w:sz="4" w:space="0" w:color="auto"/>
              <w:right w:val="single" w:sz="4" w:space="0" w:color="auto"/>
            </w:tcBorders>
            <w:shd w:val="clear" w:color="auto" w:fill="auto"/>
            <w:vAlign w:val="center"/>
            <w:hideMark/>
          </w:tcPr>
          <w:p w14:paraId="61383497" w14:textId="4EBC4375" w:rsidR="00A27D9A" w:rsidRPr="00E84231" w:rsidRDefault="00A27D9A" w:rsidP="00086971">
            <w:pPr>
              <w:spacing w:after="0" w:line="240" w:lineRule="auto"/>
              <w:jc w:val="center"/>
              <w:rPr>
                <w:rFonts w:ascii="Times New Roman" w:hAnsi="Times New Roman"/>
                <w:bCs/>
                <w:sz w:val="24"/>
                <w:szCs w:val="24"/>
              </w:rPr>
            </w:pPr>
            <w:r w:rsidRPr="00E84231">
              <w:rPr>
                <w:rFonts w:ascii="Times New Roman" w:hAnsi="Times New Roman"/>
                <w:bCs/>
                <w:sz w:val="24"/>
                <w:szCs w:val="24"/>
              </w:rPr>
              <w:t>Алтайский край,</w:t>
            </w:r>
          </w:p>
        </w:tc>
        <w:tc>
          <w:tcPr>
            <w:tcW w:w="4629" w:type="dxa"/>
            <w:tcBorders>
              <w:top w:val="nil"/>
              <w:left w:val="nil"/>
              <w:bottom w:val="single" w:sz="4" w:space="0" w:color="auto"/>
              <w:right w:val="single" w:sz="12" w:space="0" w:color="auto"/>
            </w:tcBorders>
            <w:shd w:val="clear" w:color="auto" w:fill="auto"/>
            <w:vAlign w:val="center"/>
          </w:tcPr>
          <w:p w14:paraId="444665F6" w14:textId="77777777" w:rsidR="00A27D9A" w:rsidRPr="00E84231" w:rsidRDefault="00A27D9A" w:rsidP="00086971">
            <w:pPr>
              <w:spacing w:after="0" w:line="240" w:lineRule="auto"/>
              <w:jc w:val="center"/>
              <w:rPr>
                <w:rFonts w:ascii="Times New Roman" w:hAnsi="Times New Roman"/>
                <w:bCs/>
                <w:sz w:val="24"/>
                <w:szCs w:val="24"/>
              </w:rPr>
            </w:pPr>
            <w:r w:rsidRPr="00E84231">
              <w:rPr>
                <w:rFonts w:ascii="Times New Roman" w:hAnsi="Times New Roman"/>
                <w:bCs/>
                <w:sz w:val="24"/>
                <w:szCs w:val="24"/>
              </w:rPr>
              <w:t>Туристско-рекреационная ОЭЗ</w:t>
            </w:r>
          </w:p>
        </w:tc>
      </w:tr>
      <w:tr w:rsidR="00A27D9A" w:rsidRPr="00E84231" w14:paraId="3DC7B1B8" w14:textId="77777777" w:rsidTr="00E84231">
        <w:trPr>
          <w:trHeight w:val="275"/>
          <w:jc w:val="center"/>
        </w:trPr>
        <w:tc>
          <w:tcPr>
            <w:tcW w:w="1433" w:type="dxa"/>
            <w:vMerge/>
            <w:tcBorders>
              <w:left w:val="single" w:sz="12" w:space="0" w:color="auto"/>
              <w:right w:val="single" w:sz="4" w:space="0" w:color="auto"/>
            </w:tcBorders>
            <w:shd w:val="clear" w:color="auto" w:fill="auto"/>
            <w:vAlign w:val="center"/>
            <w:hideMark/>
          </w:tcPr>
          <w:p w14:paraId="4E7A7007" w14:textId="77777777" w:rsidR="00A27D9A" w:rsidRPr="00E84231" w:rsidRDefault="00A27D9A" w:rsidP="00086971">
            <w:pPr>
              <w:spacing w:after="0" w:line="240" w:lineRule="auto"/>
              <w:jc w:val="center"/>
              <w:rPr>
                <w:rFonts w:ascii="Times New Roman" w:hAnsi="Times New Roman"/>
                <w:sz w:val="24"/>
                <w:szCs w:val="24"/>
              </w:rPr>
            </w:pPr>
          </w:p>
        </w:tc>
        <w:tc>
          <w:tcPr>
            <w:tcW w:w="2835" w:type="dxa"/>
            <w:tcBorders>
              <w:top w:val="nil"/>
              <w:left w:val="nil"/>
              <w:bottom w:val="single" w:sz="4" w:space="0" w:color="auto"/>
              <w:right w:val="single" w:sz="4" w:space="0" w:color="auto"/>
            </w:tcBorders>
            <w:shd w:val="clear" w:color="auto" w:fill="auto"/>
            <w:vAlign w:val="center"/>
            <w:hideMark/>
          </w:tcPr>
          <w:p w14:paraId="4A2888BF" w14:textId="2774BD04" w:rsidR="00A27D9A" w:rsidRPr="00E84231" w:rsidRDefault="00A27D9A" w:rsidP="00086971">
            <w:pPr>
              <w:spacing w:after="0" w:line="240" w:lineRule="auto"/>
              <w:jc w:val="center"/>
              <w:rPr>
                <w:rFonts w:ascii="Times New Roman" w:hAnsi="Times New Roman"/>
                <w:sz w:val="24"/>
                <w:szCs w:val="24"/>
              </w:rPr>
            </w:pPr>
            <w:r w:rsidRPr="00E84231">
              <w:rPr>
                <w:rFonts w:ascii="Times New Roman" w:hAnsi="Times New Roman"/>
                <w:bCs/>
                <w:sz w:val="24"/>
                <w:szCs w:val="24"/>
              </w:rPr>
              <w:t>Иркутская область,</w:t>
            </w:r>
          </w:p>
        </w:tc>
        <w:tc>
          <w:tcPr>
            <w:tcW w:w="4629" w:type="dxa"/>
            <w:tcBorders>
              <w:top w:val="nil"/>
              <w:left w:val="nil"/>
              <w:bottom w:val="single" w:sz="4" w:space="0" w:color="auto"/>
              <w:right w:val="single" w:sz="12" w:space="0" w:color="auto"/>
            </w:tcBorders>
            <w:shd w:val="clear" w:color="auto" w:fill="auto"/>
            <w:vAlign w:val="center"/>
          </w:tcPr>
          <w:p w14:paraId="1012D6D0" w14:textId="77777777" w:rsidR="00A27D9A" w:rsidRPr="00E84231" w:rsidRDefault="0026554F" w:rsidP="00086971">
            <w:pPr>
              <w:spacing w:after="0" w:line="240" w:lineRule="auto"/>
              <w:jc w:val="center"/>
              <w:rPr>
                <w:rFonts w:ascii="Times New Roman" w:hAnsi="Times New Roman"/>
                <w:bCs/>
                <w:sz w:val="24"/>
                <w:szCs w:val="24"/>
              </w:rPr>
            </w:pPr>
            <w:r w:rsidRPr="00E84231">
              <w:rPr>
                <w:rFonts w:ascii="Times New Roman" w:hAnsi="Times New Roman"/>
                <w:bCs/>
                <w:sz w:val="24"/>
                <w:szCs w:val="24"/>
              </w:rPr>
              <w:t>Туристско-рекреационная ОЭЗ</w:t>
            </w:r>
          </w:p>
        </w:tc>
      </w:tr>
      <w:tr w:rsidR="00A27D9A" w:rsidRPr="00E84231" w14:paraId="1C22BBB5" w14:textId="77777777" w:rsidTr="00E84231">
        <w:trPr>
          <w:trHeight w:val="275"/>
          <w:jc w:val="center"/>
        </w:trPr>
        <w:tc>
          <w:tcPr>
            <w:tcW w:w="1433" w:type="dxa"/>
            <w:vMerge/>
            <w:tcBorders>
              <w:left w:val="single" w:sz="12" w:space="0" w:color="auto"/>
              <w:right w:val="single" w:sz="4" w:space="0" w:color="auto"/>
            </w:tcBorders>
            <w:shd w:val="clear" w:color="auto" w:fill="auto"/>
            <w:vAlign w:val="center"/>
            <w:hideMark/>
          </w:tcPr>
          <w:p w14:paraId="30F9B69D" w14:textId="77777777" w:rsidR="00A27D9A" w:rsidRPr="00E84231" w:rsidRDefault="00A27D9A" w:rsidP="00086971">
            <w:pPr>
              <w:spacing w:after="0" w:line="240" w:lineRule="auto"/>
              <w:jc w:val="center"/>
              <w:rPr>
                <w:rFonts w:ascii="Times New Roman" w:hAnsi="Times New Roman"/>
                <w:sz w:val="24"/>
                <w:szCs w:val="24"/>
              </w:rPr>
            </w:pPr>
          </w:p>
        </w:tc>
        <w:tc>
          <w:tcPr>
            <w:tcW w:w="2835" w:type="dxa"/>
            <w:tcBorders>
              <w:top w:val="nil"/>
              <w:left w:val="nil"/>
              <w:bottom w:val="single" w:sz="4" w:space="0" w:color="auto"/>
              <w:right w:val="single" w:sz="4" w:space="0" w:color="auto"/>
            </w:tcBorders>
            <w:shd w:val="clear" w:color="auto" w:fill="auto"/>
            <w:vAlign w:val="center"/>
            <w:hideMark/>
          </w:tcPr>
          <w:p w14:paraId="76DF658C" w14:textId="4484104E" w:rsidR="00A27D9A" w:rsidRPr="00E84231" w:rsidRDefault="00A27D9A" w:rsidP="00086971">
            <w:pPr>
              <w:spacing w:after="0" w:line="240" w:lineRule="auto"/>
              <w:jc w:val="center"/>
              <w:rPr>
                <w:rFonts w:ascii="Times New Roman" w:hAnsi="Times New Roman"/>
                <w:sz w:val="24"/>
                <w:szCs w:val="24"/>
              </w:rPr>
            </w:pPr>
            <w:r w:rsidRPr="00E84231">
              <w:rPr>
                <w:rFonts w:ascii="Times New Roman" w:hAnsi="Times New Roman"/>
                <w:bCs/>
                <w:sz w:val="24"/>
                <w:szCs w:val="24"/>
              </w:rPr>
              <w:t>г. Санкт-Петербург,</w:t>
            </w:r>
          </w:p>
        </w:tc>
        <w:tc>
          <w:tcPr>
            <w:tcW w:w="4629" w:type="dxa"/>
            <w:tcBorders>
              <w:top w:val="nil"/>
              <w:left w:val="nil"/>
              <w:bottom w:val="single" w:sz="4" w:space="0" w:color="auto"/>
              <w:right w:val="single" w:sz="12" w:space="0" w:color="auto"/>
            </w:tcBorders>
            <w:shd w:val="clear" w:color="auto" w:fill="auto"/>
            <w:vAlign w:val="center"/>
          </w:tcPr>
          <w:p w14:paraId="734794C2" w14:textId="77777777" w:rsidR="00A27D9A" w:rsidRPr="00E84231" w:rsidRDefault="00A27D9A" w:rsidP="00086971">
            <w:pPr>
              <w:spacing w:after="0" w:line="240" w:lineRule="auto"/>
              <w:jc w:val="center"/>
              <w:rPr>
                <w:rFonts w:ascii="Times New Roman" w:hAnsi="Times New Roman"/>
                <w:bCs/>
                <w:sz w:val="24"/>
                <w:szCs w:val="24"/>
              </w:rPr>
            </w:pPr>
            <w:r w:rsidRPr="00E84231">
              <w:rPr>
                <w:rFonts w:ascii="Times New Roman" w:hAnsi="Times New Roman"/>
                <w:bCs/>
                <w:sz w:val="24"/>
                <w:szCs w:val="24"/>
              </w:rPr>
              <w:t>Технико-внедренческая ОЭЗ</w:t>
            </w:r>
          </w:p>
        </w:tc>
      </w:tr>
      <w:tr w:rsidR="00A27D9A" w:rsidRPr="00E84231" w14:paraId="4B08C7DC" w14:textId="77777777" w:rsidTr="00E84231">
        <w:trPr>
          <w:trHeight w:val="275"/>
          <w:jc w:val="center"/>
        </w:trPr>
        <w:tc>
          <w:tcPr>
            <w:tcW w:w="1433" w:type="dxa"/>
            <w:vMerge/>
            <w:tcBorders>
              <w:left w:val="single" w:sz="12" w:space="0" w:color="auto"/>
              <w:right w:val="single" w:sz="4" w:space="0" w:color="auto"/>
            </w:tcBorders>
            <w:shd w:val="clear" w:color="auto" w:fill="auto"/>
            <w:vAlign w:val="center"/>
            <w:hideMark/>
          </w:tcPr>
          <w:p w14:paraId="7B87D183" w14:textId="77777777" w:rsidR="00A27D9A" w:rsidRPr="00E84231" w:rsidRDefault="00A27D9A" w:rsidP="00086971">
            <w:pPr>
              <w:spacing w:after="0" w:line="240" w:lineRule="auto"/>
              <w:jc w:val="center"/>
              <w:rPr>
                <w:rFonts w:ascii="Times New Roman" w:hAnsi="Times New Roman"/>
                <w:sz w:val="24"/>
                <w:szCs w:val="24"/>
              </w:rPr>
            </w:pPr>
          </w:p>
        </w:tc>
        <w:tc>
          <w:tcPr>
            <w:tcW w:w="2835" w:type="dxa"/>
            <w:tcBorders>
              <w:top w:val="nil"/>
              <w:left w:val="nil"/>
              <w:bottom w:val="single" w:sz="4" w:space="0" w:color="auto"/>
              <w:right w:val="single" w:sz="4" w:space="0" w:color="auto"/>
            </w:tcBorders>
            <w:shd w:val="clear" w:color="auto" w:fill="auto"/>
            <w:vAlign w:val="center"/>
            <w:hideMark/>
          </w:tcPr>
          <w:p w14:paraId="247D88BA" w14:textId="77777777" w:rsidR="00A27D9A" w:rsidRPr="00E84231" w:rsidRDefault="00A27D9A" w:rsidP="00086971">
            <w:pPr>
              <w:spacing w:after="0" w:line="240" w:lineRule="auto"/>
              <w:jc w:val="center"/>
              <w:rPr>
                <w:rFonts w:ascii="Times New Roman" w:hAnsi="Times New Roman"/>
                <w:bCs/>
                <w:sz w:val="24"/>
                <w:szCs w:val="24"/>
              </w:rPr>
            </w:pPr>
            <w:r w:rsidRPr="00E84231">
              <w:rPr>
                <w:rFonts w:ascii="Times New Roman" w:hAnsi="Times New Roman"/>
                <w:bCs/>
                <w:sz w:val="24"/>
                <w:szCs w:val="24"/>
              </w:rPr>
              <w:t>Ульяновская область</w:t>
            </w:r>
          </w:p>
        </w:tc>
        <w:tc>
          <w:tcPr>
            <w:tcW w:w="4629" w:type="dxa"/>
            <w:tcBorders>
              <w:top w:val="nil"/>
              <w:left w:val="nil"/>
              <w:bottom w:val="single" w:sz="4" w:space="0" w:color="auto"/>
              <w:right w:val="single" w:sz="12" w:space="0" w:color="auto"/>
            </w:tcBorders>
            <w:shd w:val="clear" w:color="auto" w:fill="auto"/>
            <w:vAlign w:val="center"/>
          </w:tcPr>
          <w:p w14:paraId="7EF2FE0A" w14:textId="77777777" w:rsidR="00A27D9A" w:rsidRPr="00E84231" w:rsidRDefault="0026554F" w:rsidP="00086971">
            <w:pPr>
              <w:spacing w:after="0" w:line="240" w:lineRule="auto"/>
              <w:jc w:val="center"/>
              <w:rPr>
                <w:rFonts w:ascii="Times New Roman" w:hAnsi="Times New Roman"/>
                <w:bCs/>
                <w:sz w:val="24"/>
                <w:szCs w:val="24"/>
              </w:rPr>
            </w:pPr>
            <w:r w:rsidRPr="00E84231">
              <w:rPr>
                <w:rFonts w:ascii="Times New Roman" w:hAnsi="Times New Roman"/>
                <w:bCs/>
                <w:sz w:val="24"/>
                <w:szCs w:val="24"/>
              </w:rPr>
              <w:t>Портовая ОЭЗ</w:t>
            </w:r>
          </w:p>
        </w:tc>
      </w:tr>
      <w:tr w:rsidR="00A27D9A" w:rsidRPr="00E84231" w14:paraId="596643C7" w14:textId="77777777" w:rsidTr="00E84231">
        <w:trPr>
          <w:trHeight w:val="275"/>
          <w:jc w:val="center"/>
        </w:trPr>
        <w:tc>
          <w:tcPr>
            <w:tcW w:w="1433" w:type="dxa"/>
            <w:vMerge/>
            <w:tcBorders>
              <w:left w:val="single" w:sz="12" w:space="0" w:color="auto"/>
              <w:right w:val="single" w:sz="4" w:space="0" w:color="auto"/>
            </w:tcBorders>
            <w:shd w:val="clear" w:color="auto" w:fill="auto"/>
            <w:vAlign w:val="center"/>
            <w:hideMark/>
          </w:tcPr>
          <w:p w14:paraId="2AE81113" w14:textId="77777777" w:rsidR="00A27D9A" w:rsidRPr="00E84231" w:rsidRDefault="00A27D9A" w:rsidP="00086971">
            <w:pPr>
              <w:spacing w:after="0" w:line="240" w:lineRule="auto"/>
              <w:jc w:val="center"/>
              <w:rPr>
                <w:rFonts w:ascii="Times New Roman" w:hAnsi="Times New Roman"/>
                <w:sz w:val="24"/>
                <w:szCs w:val="24"/>
              </w:rPr>
            </w:pPr>
          </w:p>
        </w:tc>
        <w:tc>
          <w:tcPr>
            <w:tcW w:w="2835" w:type="dxa"/>
            <w:tcBorders>
              <w:top w:val="nil"/>
              <w:left w:val="nil"/>
              <w:bottom w:val="single" w:sz="4" w:space="0" w:color="auto"/>
              <w:right w:val="single" w:sz="4" w:space="0" w:color="auto"/>
            </w:tcBorders>
            <w:shd w:val="clear" w:color="auto" w:fill="auto"/>
            <w:vAlign w:val="center"/>
            <w:hideMark/>
          </w:tcPr>
          <w:p w14:paraId="23E3CAB0" w14:textId="77777777" w:rsidR="00A27D9A" w:rsidRPr="00E84231" w:rsidRDefault="00A27D9A" w:rsidP="00086971">
            <w:pPr>
              <w:spacing w:after="0" w:line="240" w:lineRule="auto"/>
              <w:jc w:val="center"/>
              <w:rPr>
                <w:rFonts w:ascii="Times New Roman" w:hAnsi="Times New Roman"/>
                <w:bCs/>
                <w:sz w:val="24"/>
                <w:szCs w:val="24"/>
              </w:rPr>
            </w:pPr>
            <w:r w:rsidRPr="00E84231">
              <w:rPr>
                <w:rFonts w:ascii="Times New Roman" w:hAnsi="Times New Roman"/>
                <w:sz w:val="24"/>
                <w:szCs w:val="24"/>
              </w:rPr>
              <w:t>Тульская область</w:t>
            </w:r>
          </w:p>
        </w:tc>
        <w:tc>
          <w:tcPr>
            <w:tcW w:w="4629" w:type="dxa"/>
            <w:tcBorders>
              <w:top w:val="nil"/>
              <w:left w:val="nil"/>
              <w:bottom w:val="single" w:sz="4" w:space="0" w:color="auto"/>
              <w:right w:val="single" w:sz="12" w:space="0" w:color="auto"/>
            </w:tcBorders>
            <w:shd w:val="clear" w:color="auto" w:fill="auto"/>
            <w:vAlign w:val="center"/>
          </w:tcPr>
          <w:p w14:paraId="74E39208" w14:textId="77777777" w:rsidR="00A27D9A" w:rsidRPr="00E84231" w:rsidRDefault="0026554F" w:rsidP="00086971">
            <w:pPr>
              <w:spacing w:after="0" w:line="240" w:lineRule="auto"/>
              <w:jc w:val="center"/>
              <w:rPr>
                <w:rFonts w:ascii="Times New Roman" w:hAnsi="Times New Roman"/>
                <w:bCs/>
                <w:sz w:val="24"/>
                <w:szCs w:val="24"/>
              </w:rPr>
            </w:pPr>
            <w:r w:rsidRPr="00E84231">
              <w:rPr>
                <w:rFonts w:ascii="Times New Roman" w:hAnsi="Times New Roman"/>
                <w:bCs/>
                <w:sz w:val="24"/>
                <w:szCs w:val="24"/>
              </w:rPr>
              <w:t>Промышленно-производственная ОЭЗ</w:t>
            </w:r>
          </w:p>
        </w:tc>
      </w:tr>
      <w:tr w:rsidR="00A27D9A" w:rsidRPr="00E84231" w14:paraId="5ECD5679" w14:textId="77777777" w:rsidTr="00E84231">
        <w:trPr>
          <w:trHeight w:val="275"/>
          <w:jc w:val="center"/>
        </w:trPr>
        <w:tc>
          <w:tcPr>
            <w:tcW w:w="1433" w:type="dxa"/>
            <w:vMerge/>
            <w:tcBorders>
              <w:left w:val="single" w:sz="12" w:space="0" w:color="auto"/>
              <w:bottom w:val="single" w:sz="12" w:space="0" w:color="auto"/>
              <w:right w:val="single" w:sz="4" w:space="0" w:color="auto"/>
            </w:tcBorders>
            <w:shd w:val="clear" w:color="auto" w:fill="auto"/>
            <w:vAlign w:val="center"/>
            <w:hideMark/>
          </w:tcPr>
          <w:p w14:paraId="43430155" w14:textId="77777777" w:rsidR="00A27D9A" w:rsidRPr="00E84231" w:rsidRDefault="00A27D9A" w:rsidP="00086971">
            <w:pPr>
              <w:spacing w:after="0" w:line="240" w:lineRule="auto"/>
              <w:jc w:val="center"/>
              <w:rPr>
                <w:rFonts w:ascii="Times New Roman" w:hAnsi="Times New Roman"/>
                <w:sz w:val="24"/>
                <w:szCs w:val="24"/>
              </w:rPr>
            </w:pPr>
          </w:p>
        </w:tc>
        <w:tc>
          <w:tcPr>
            <w:tcW w:w="2835" w:type="dxa"/>
            <w:tcBorders>
              <w:top w:val="nil"/>
              <w:left w:val="nil"/>
              <w:bottom w:val="single" w:sz="12" w:space="0" w:color="auto"/>
              <w:right w:val="single" w:sz="4" w:space="0" w:color="auto"/>
            </w:tcBorders>
            <w:shd w:val="clear" w:color="auto" w:fill="auto"/>
            <w:vAlign w:val="center"/>
            <w:hideMark/>
          </w:tcPr>
          <w:p w14:paraId="7C970420" w14:textId="77777777" w:rsidR="00A27D9A" w:rsidRPr="00E84231" w:rsidRDefault="00A27D9A" w:rsidP="00086971">
            <w:pPr>
              <w:spacing w:after="0" w:line="240" w:lineRule="auto"/>
              <w:jc w:val="center"/>
              <w:rPr>
                <w:rFonts w:ascii="Times New Roman" w:hAnsi="Times New Roman"/>
                <w:sz w:val="24"/>
                <w:szCs w:val="24"/>
              </w:rPr>
            </w:pPr>
            <w:r w:rsidRPr="00E84231">
              <w:rPr>
                <w:rFonts w:ascii="Times New Roman" w:hAnsi="Times New Roman"/>
                <w:sz w:val="24"/>
                <w:szCs w:val="24"/>
              </w:rPr>
              <w:t>Псковская область</w:t>
            </w:r>
          </w:p>
        </w:tc>
        <w:tc>
          <w:tcPr>
            <w:tcW w:w="4629" w:type="dxa"/>
            <w:tcBorders>
              <w:top w:val="nil"/>
              <w:left w:val="nil"/>
              <w:bottom w:val="single" w:sz="12" w:space="0" w:color="auto"/>
              <w:right w:val="single" w:sz="12" w:space="0" w:color="auto"/>
            </w:tcBorders>
            <w:shd w:val="clear" w:color="auto" w:fill="auto"/>
            <w:vAlign w:val="center"/>
          </w:tcPr>
          <w:p w14:paraId="48862F31" w14:textId="77777777" w:rsidR="00A27D9A" w:rsidRPr="00E84231" w:rsidRDefault="0026554F" w:rsidP="00086971">
            <w:pPr>
              <w:spacing w:after="0" w:line="240" w:lineRule="auto"/>
              <w:jc w:val="center"/>
              <w:rPr>
                <w:rFonts w:ascii="Times New Roman" w:hAnsi="Times New Roman"/>
                <w:bCs/>
                <w:sz w:val="24"/>
                <w:szCs w:val="24"/>
              </w:rPr>
            </w:pPr>
            <w:r w:rsidRPr="00E84231">
              <w:rPr>
                <w:rFonts w:ascii="Times New Roman" w:hAnsi="Times New Roman"/>
                <w:bCs/>
                <w:sz w:val="24"/>
                <w:szCs w:val="24"/>
              </w:rPr>
              <w:t>Промышленно-производственная ОЭЗ</w:t>
            </w:r>
          </w:p>
        </w:tc>
      </w:tr>
      <w:tr w:rsidR="0026554F" w:rsidRPr="00E84231" w14:paraId="0C8F8E6A" w14:textId="77777777" w:rsidTr="00E84231">
        <w:trPr>
          <w:trHeight w:val="315"/>
          <w:jc w:val="center"/>
        </w:trPr>
        <w:tc>
          <w:tcPr>
            <w:tcW w:w="1433" w:type="dxa"/>
            <w:vMerge w:val="restart"/>
            <w:tcBorders>
              <w:top w:val="single" w:sz="12" w:space="0" w:color="auto"/>
              <w:left w:val="single" w:sz="12" w:space="0" w:color="auto"/>
              <w:bottom w:val="single" w:sz="2" w:space="0" w:color="auto"/>
              <w:right w:val="single" w:sz="2" w:space="0" w:color="auto"/>
            </w:tcBorders>
            <w:shd w:val="clear" w:color="auto" w:fill="auto"/>
            <w:vAlign w:val="center"/>
            <w:hideMark/>
          </w:tcPr>
          <w:p w14:paraId="067B3A79" w14:textId="77777777" w:rsidR="0026554F" w:rsidRPr="00E84231" w:rsidRDefault="0026554F" w:rsidP="00086971">
            <w:pPr>
              <w:spacing w:after="0" w:line="240" w:lineRule="auto"/>
              <w:jc w:val="center"/>
              <w:rPr>
                <w:rFonts w:ascii="Times New Roman" w:hAnsi="Times New Roman"/>
                <w:sz w:val="24"/>
                <w:szCs w:val="24"/>
              </w:rPr>
            </w:pPr>
            <w:r w:rsidRPr="00E84231">
              <w:rPr>
                <w:rFonts w:ascii="Times New Roman" w:hAnsi="Times New Roman"/>
                <w:sz w:val="24"/>
                <w:szCs w:val="24"/>
              </w:rPr>
              <w:t>100 до 110</w:t>
            </w:r>
          </w:p>
        </w:tc>
        <w:tc>
          <w:tcPr>
            <w:tcW w:w="2835" w:type="dxa"/>
            <w:tcBorders>
              <w:top w:val="single" w:sz="12" w:space="0" w:color="auto"/>
              <w:left w:val="single" w:sz="2" w:space="0" w:color="auto"/>
              <w:bottom w:val="single" w:sz="2" w:space="0" w:color="auto"/>
              <w:right w:val="single" w:sz="2" w:space="0" w:color="auto"/>
            </w:tcBorders>
            <w:shd w:val="clear" w:color="auto" w:fill="auto"/>
            <w:vAlign w:val="center"/>
            <w:hideMark/>
          </w:tcPr>
          <w:p w14:paraId="407EF79E" w14:textId="77777777" w:rsidR="0026554F" w:rsidRPr="00E84231" w:rsidRDefault="0026554F" w:rsidP="00086971">
            <w:pPr>
              <w:spacing w:after="0" w:line="240" w:lineRule="auto"/>
              <w:jc w:val="center"/>
              <w:rPr>
                <w:rFonts w:ascii="Times New Roman" w:hAnsi="Times New Roman"/>
                <w:bCs/>
                <w:sz w:val="24"/>
                <w:szCs w:val="24"/>
              </w:rPr>
            </w:pPr>
            <w:r w:rsidRPr="00E84231">
              <w:rPr>
                <w:rFonts w:ascii="Times New Roman" w:hAnsi="Times New Roman"/>
                <w:bCs/>
                <w:sz w:val="24"/>
                <w:szCs w:val="24"/>
              </w:rPr>
              <w:t>Московская область</w:t>
            </w:r>
          </w:p>
        </w:tc>
        <w:tc>
          <w:tcPr>
            <w:tcW w:w="4629" w:type="dxa"/>
            <w:tcBorders>
              <w:top w:val="single" w:sz="12" w:space="0" w:color="auto"/>
              <w:left w:val="single" w:sz="2" w:space="0" w:color="auto"/>
              <w:bottom w:val="single" w:sz="2" w:space="0" w:color="auto"/>
              <w:right w:val="single" w:sz="12" w:space="0" w:color="auto"/>
            </w:tcBorders>
            <w:vAlign w:val="center"/>
          </w:tcPr>
          <w:p w14:paraId="61EE430F" w14:textId="77777777" w:rsidR="0026554F" w:rsidRPr="00E84231" w:rsidRDefault="0026554F" w:rsidP="00086971">
            <w:pPr>
              <w:spacing w:after="0" w:line="240" w:lineRule="auto"/>
              <w:jc w:val="center"/>
              <w:rPr>
                <w:rFonts w:ascii="Times New Roman" w:hAnsi="Times New Roman"/>
                <w:bCs/>
                <w:sz w:val="24"/>
                <w:szCs w:val="24"/>
              </w:rPr>
            </w:pPr>
            <w:r w:rsidRPr="00E84231">
              <w:rPr>
                <w:rFonts w:ascii="Times New Roman" w:hAnsi="Times New Roman"/>
                <w:bCs/>
                <w:sz w:val="24"/>
                <w:szCs w:val="24"/>
              </w:rPr>
              <w:t>Промышленно-производственная ОЭЗ</w:t>
            </w:r>
          </w:p>
        </w:tc>
      </w:tr>
      <w:tr w:rsidR="0026554F" w:rsidRPr="00E84231" w14:paraId="1E71D365" w14:textId="77777777" w:rsidTr="00E84231">
        <w:trPr>
          <w:trHeight w:val="315"/>
          <w:jc w:val="center"/>
        </w:trPr>
        <w:tc>
          <w:tcPr>
            <w:tcW w:w="1433" w:type="dxa"/>
            <w:vMerge/>
            <w:tcBorders>
              <w:top w:val="single" w:sz="2" w:space="0" w:color="auto"/>
              <w:left w:val="single" w:sz="12" w:space="0" w:color="auto"/>
              <w:bottom w:val="single" w:sz="12" w:space="0" w:color="auto"/>
              <w:right w:val="single" w:sz="2" w:space="0" w:color="auto"/>
            </w:tcBorders>
            <w:shd w:val="clear" w:color="auto" w:fill="auto"/>
            <w:vAlign w:val="center"/>
            <w:hideMark/>
          </w:tcPr>
          <w:p w14:paraId="7A572490" w14:textId="77777777" w:rsidR="0026554F" w:rsidRPr="00E84231" w:rsidRDefault="0026554F" w:rsidP="00086971">
            <w:pPr>
              <w:spacing w:after="0" w:line="240" w:lineRule="auto"/>
              <w:jc w:val="center"/>
              <w:rPr>
                <w:rFonts w:ascii="Times New Roman" w:hAnsi="Times New Roman"/>
                <w:sz w:val="24"/>
                <w:szCs w:val="24"/>
              </w:rPr>
            </w:pPr>
          </w:p>
        </w:tc>
        <w:tc>
          <w:tcPr>
            <w:tcW w:w="2835" w:type="dxa"/>
            <w:tcBorders>
              <w:top w:val="single" w:sz="2" w:space="0" w:color="auto"/>
              <w:left w:val="single" w:sz="2" w:space="0" w:color="auto"/>
              <w:bottom w:val="single" w:sz="12" w:space="0" w:color="auto"/>
              <w:right w:val="single" w:sz="2" w:space="0" w:color="auto"/>
            </w:tcBorders>
            <w:shd w:val="clear" w:color="auto" w:fill="auto"/>
            <w:vAlign w:val="center"/>
            <w:hideMark/>
          </w:tcPr>
          <w:p w14:paraId="7C22A105" w14:textId="77777777" w:rsidR="0026554F" w:rsidRPr="00E84231" w:rsidRDefault="0026554F" w:rsidP="00086971">
            <w:pPr>
              <w:spacing w:after="0" w:line="240" w:lineRule="auto"/>
              <w:jc w:val="center"/>
              <w:rPr>
                <w:rFonts w:ascii="Times New Roman" w:hAnsi="Times New Roman"/>
                <w:bCs/>
                <w:sz w:val="24"/>
                <w:szCs w:val="24"/>
              </w:rPr>
            </w:pPr>
            <w:r w:rsidRPr="00E84231">
              <w:rPr>
                <w:rFonts w:ascii="Times New Roman" w:hAnsi="Times New Roman"/>
                <w:bCs/>
                <w:sz w:val="24"/>
                <w:szCs w:val="24"/>
              </w:rPr>
              <w:t>Калужская область</w:t>
            </w:r>
          </w:p>
        </w:tc>
        <w:tc>
          <w:tcPr>
            <w:tcW w:w="4629" w:type="dxa"/>
            <w:tcBorders>
              <w:top w:val="single" w:sz="2" w:space="0" w:color="auto"/>
              <w:left w:val="single" w:sz="2" w:space="0" w:color="auto"/>
              <w:bottom w:val="single" w:sz="12" w:space="0" w:color="auto"/>
              <w:right w:val="single" w:sz="12" w:space="0" w:color="auto"/>
            </w:tcBorders>
            <w:vAlign w:val="center"/>
          </w:tcPr>
          <w:p w14:paraId="57882EA2" w14:textId="77777777" w:rsidR="0026554F" w:rsidRPr="00E84231" w:rsidRDefault="0026554F" w:rsidP="00086971">
            <w:pPr>
              <w:spacing w:after="0" w:line="240" w:lineRule="auto"/>
              <w:jc w:val="center"/>
              <w:rPr>
                <w:rFonts w:ascii="Times New Roman" w:hAnsi="Times New Roman"/>
                <w:bCs/>
                <w:sz w:val="24"/>
                <w:szCs w:val="24"/>
              </w:rPr>
            </w:pPr>
            <w:r w:rsidRPr="00E84231">
              <w:rPr>
                <w:rFonts w:ascii="Times New Roman" w:hAnsi="Times New Roman"/>
                <w:bCs/>
                <w:sz w:val="24"/>
                <w:szCs w:val="24"/>
              </w:rPr>
              <w:t>Промышленно-производственная ОЭЗ</w:t>
            </w:r>
          </w:p>
        </w:tc>
      </w:tr>
    </w:tbl>
    <w:p w14:paraId="0FC79BAB" w14:textId="77777777" w:rsidR="0026554F" w:rsidRDefault="0026554F" w:rsidP="0026554F">
      <w:pPr>
        <w:spacing w:after="0" w:line="240" w:lineRule="auto"/>
        <w:jc w:val="both"/>
        <w:rPr>
          <w:rFonts w:ascii="Times New Roman" w:hAnsi="Times New Roman"/>
          <w:i/>
          <w:sz w:val="28"/>
          <w:szCs w:val="28"/>
        </w:rPr>
      </w:pPr>
      <w:r w:rsidRPr="0042101B">
        <w:rPr>
          <w:rFonts w:ascii="Times New Roman" w:hAnsi="Times New Roman"/>
          <w:i/>
          <w:sz w:val="28"/>
          <w:szCs w:val="28"/>
        </w:rPr>
        <w:t>*Источник: Данные Росстата, составлено авторами</w:t>
      </w:r>
    </w:p>
    <w:p w14:paraId="0CE5EC24" w14:textId="55A92DD2" w:rsidR="003F3B38" w:rsidRDefault="003E56C0" w:rsidP="00E84231">
      <w:pPr>
        <w:spacing w:after="0" w:line="240" w:lineRule="auto"/>
        <w:ind w:firstLine="709"/>
        <w:jc w:val="both"/>
        <w:rPr>
          <w:rFonts w:ascii="Times New Roman" w:hAnsi="Times New Roman"/>
          <w:sz w:val="24"/>
          <w:szCs w:val="24"/>
        </w:rPr>
      </w:pPr>
      <w:r w:rsidRPr="00E84231">
        <w:rPr>
          <w:rFonts w:ascii="Times New Roman" w:hAnsi="Times New Roman"/>
          <w:sz w:val="24"/>
          <w:szCs w:val="24"/>
        </w:rPr>
        <w:t>Проведенный анализ и построенная классификация российских регионов позволили выделить территории, которые характеризуются высоким уровнем промышленного прироста. Для территории ОЭЗ наибольший прирос в 2017 г. имели территории промышленно-производственной специализации.  Однако стоит отметить, что данная специализация ОЭЗ  присутствует во всех группах классификации, что позволяет сделать вывод о не значимости вида специализации ОЭЗ.</w:t>
      </w:r>
    </w:p>
    <w:p w14:paraId="564FBE29" w14:textId="5B048B70" w:rsidR="001C7604" w:rsidRDefault="001C7604" w:rsidP="00E84231">
      <w:pPr>
        <w:spacing w:after="0" w:line="240" w:lineRule="auto"/>
        <w:ind w:firstLine="709"/>
        <w:jc w:val="both"/>
        <w:rPr>
          <w:rFonts w:ascii="Times New Roman" w:hAnsi="Times New Roman"/>
          <w:sz w:val="24"/>
          <w:szCs w:val="24"/>
        </w:rPr>
      </w:pPr>
      <w:r>
        <w:rPr>
          <w:rFonts w:ascii="Times New Roman" w:hAnsi="Times New Roman"/>
          <w:sz w:val="24"/>
          <w:szCs w:val="24"/>
        </w:rPr>
        <w:t>Рассмотренная динамика изменения исследуемого показателя по территориям ОЭЗ позволит определить территории, имеющие положительный тренд.</w:t>
      </w:r>
    </w:p>
    <w:p w14:paraId="58661FA7" w14:textId="60D92CF2" w:rsidR="00832AD8" w:rsidRDefault="00832AD8" w:rsidP="00E84231">
      <w:pPr>
        <w:spacing w:after="0" w:line="240" w:lineRule="auto"/>
        <w:ind w:firstLine="709"/>
        <w:jc w:val="both"/>
        <w:rPr>
          <w:rFonts w:ascii="Times New Roman" w:hAnsi="Times New Roman"/>
          <w:sz w:val="24"/>
          <w:szCs w:val="24"/>
        </w:rPr>
      </w:pPr>
    </w:p>
    <w:p w14:paraId="069E339B" w14:textId="51D85AF6" w:rsidR="00832AD8" w:rsidRDefault="00832AD8" w:rsidP="00832AD8">
      <w:pPr>
        <w:spacing w:after="0" w:line="240" w:lineRule="auto"/>
        <w:jc w:val="both"/>
        <w:rPr>
          <w:rFonts w:ascii="Times New Roman" w:hAnsi="Times New Roman"/>
          <w:sz w:val="24"/>
          <w:szCs w:val="24"/>
        </w:rPr>
      </w:pPr>
      <w:r>
        <w:rPr>
          <w:noProof/>
        </w:rPr>
        <w:drawing>
          <wp:inline distT="0" distB="0" distL="0" distR="0" wp14:anchorId="7426714C" wp14:editId="2727017E">
            <wp:extent cx="6120130" cy="3375660"/>
            <wp:effectExtent l="0" t="0" r="0" b="0"/>
            <wp:docPr id="2" name="Диаграмма 2">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776D750-41D7-4784-ABF0-DF4DE959A06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59DDF6B0" w14:textId="77777777" w:rsidR="00832AD8" w:rsidRDefault="00832AD8" w:rsidP="00E84231">
      <w:pPr>
        <w:spacing w:after="0" w:line="240" w:lineRule="auto"/>
        <w:ind w:firstLine="709"/>
        <w:jc w:val="both"/>
        <w:rPr>
          <w:rFonts w:ascii="Times New Roman" w:hAnsi="Times New Roman"/>
          <w:sz w:val="24"/>
          <w:szCs w:val="24"/>
        </w:rPr>
      </w:pPr>
    </w:p>
    <w:p w14:paraId="62145913" w14:textId="024ED637" w:rsidR="00832AD8" w:rsidRDefault="00832AD8" w:rsidP="00E84231">
      <w:pPr>
        <w:spacing w:after="0" w:line="240" w:lineRule="auto"/>
        <w:ind w:firstLine="709"/>
        <w:jc w:val="both"/>
        <w:rPr>
          <w:rFonts w:ascii="Times New Roman" w:hAnsi="Times New Roman"/>
          <w:sz w:val="24"/>
          <w:szCs w:val="24"/>
        </w:rPr>
      </w:pPr>
      <w:r>
        <w:rPr>
          <w:rFonts w:ascii="Times New Roman" w:hAnsi="Times New Roman"/>
          <w:sz w:val="24"/>
          <w:szCs w:val="24"/>
        </w:rPr>
        <w:t>Рис. 1. Динамика изменения показателя индекс промышленного производства в ОЭЗ.</w:t>
      </w:r>
    </w:p>
    <w:p w14:paraId="257CB65A" w14:textId="521D0431" w:rsidR="00832AD8" w:rsidRDefault="00832AD8" w:rsidP="00E84231">
      <w:pPr>
        <w:spacing w:after="0" w:line="240" w:lineRule="auto"/>
        <w:ind w:firstLine="709"/>
        <w:jc w:val="both"/>
        <w:rPr>
          <w:rFonts w:ascii="Times New Roman" w:hAnsi="Times New Roman"/>
          <w:sz w:val="24"/>
          <w:szCs w:val="24"/>
        </w:rPr>
      </w:pPr>
      <w:r>
        <w:rPr>
          <w:rFonts w:ascii="Times New Roman" w:hAnsi="Times New Roman"/>
          <w:sz w:val="24"/>
          <w:szCs w:val="24"/>
        </w:rPr>
        <w:t>Траснформационные процессы оказывают весомое значение на динамику исследуемого показателя (рисунок 1). Период экономического кризиса, большинство территорий значительно сокращают производство.</w:t>
      </w:r>
    </w:p>
    <w:p w14:paraId="49ADFF59" w14:textId="0F6B6471" w:rsidR="00022A88" w:rsidRPr="00E84231" w:rsidRDefault="00F92ECA" w:rsidP="00E84231">
      <w:pPr>
        <w:spacing w:after="0" w:line="240" w:lineRule="auto"/>
        <w:ind w:firstLine="709"/>
        <w:jc w:val="both"/>
        <w:rPr>
          <w:rFonts w:ascii="Times New Roman" w:hAnsi="Times New Roman"/>
          <w:sz w:val="24"/>
          <w:szCs w:val="24"/>
        </w:rPr>
      </w:pPr>
      <w:r w:rsidRPr="00E84231">
        <w:rPr>
          <w:rFonts w:ascii="Times New Roman" w:hAnsi="Times New Roman"/>
          <w:sz w:val="24"/>
          <w:szCs w:val="24"/>
        </w:rPr>
        <w:lastRenderedPageBreak/>
        <w:t>Другим</w:t>
      </w:r>
      <w:r w:rsidR="00832AD8">
        <w:rPr>
          <w:rFonts w:ascii="Times New Roman" w:hAnsi="Times New Roman"/>
          <w:sz w:val="24"/>
          <w:szCs w:val="24"/>
        </w:rPr>
        <w:t xml:space="preserve"> экономическим п</w:t>
      </w:r>
      <w:r w:rsidRPr="00E84231">
        <w:rPr>
          <w:rFonts w:ascii="Times New Roman" w:hAnsi="Times New Roman"/>
          <w:sz w:val="24"/>
          <w:szCs w:val="24"/>
        </w:rPr>
        <w:t>оказателем</w:t>
      </w:r>
      <w:r w:rsidR="00092697">
        <w:rPr>
          <w:rFonts w:ascii="Times New Roman" w:hAnsi="Times New Roman"/>
          <w:sz w:val="24"/>
          <w:szCs w:val="24"/>
        </w:rPr>
        <w:t xml:space="preserve"> динамика которого должна увеличиваться в рамках территорий</w:t>
      </w:r>
      <w:r w:rsidRPr="00E84231">
        <w:rPr>
          <w:rFonts w:ascii="Times New Roman" w:hAnsi="Times New Roman"/>
          <w:sz w:val="24"/>
          <w:szCs w:val="24"/>
        </w:rPr>
        <w:t xml:space="preserve"> О</w:t>
      </w:r>
      <w:r w:rsidR="00092697">
        <w:rPr>
          <w:rFonts w:ascii="Times New Roman" w:hAnsi="Times New Roman"/>
          <w:sz w:val="24"/>
          <w:szCs w:val="24"/>
        </w:rPr>
        <w:t xml:space="preserve">ЭЗ </w:t>
      </w:r>
      <w:r w:rsidRPr="00E84231">
        <w:rPr>
          <w:rFonts w:ascii="Times New Roman" w:hAnsi="Times New Roman"/>
          <w:sz w:val="24"/>
          <w:szCs w:val="24"/>
        </w:rPr>
        <w:t xml:space="preserve"> является</w:t>
      </w:r>
      <w:r w:rsidR="00092697">
        <w:rPr>
          <w:rFonts w:ascii="Times New Roman" w:hAnsi="Times New Roman"/>
          <w:sz w:val="24"/>
          <w:szCs w:val="24"/>
        </w:rPr>
        <w:t xml:space="preserve"> показатель </w:t>
      </w:r>
      <w:r w:rsidRPr="00E84231">
        <w:rPr>
          <w:rFonts w:ascii="Times New Roman" w:hAnsi="Times New Roman"/>
          <w:sz w:val="24"/>
          <w:szCs w:val="24"/>
        </w:rPr>
        <w:t>инвестиции. Инвестиционная активность территории с режимом налоговых преференций должна иметь тенденцию к росту. Исследование индекса физического объема инвестиции в региональном разрезе и в рамках территорий ОЭЗ позволит доказать или опровергнуть данный факт</w:t>
      </w:r>
      <w:r w:rsidR="00092697">
        <w:rPr>
          <w:rFonts w:ascii="Times New Roman" w:hAnsi="Times New Roman"/>
          <w:sz w:val="24"/>
          <w:szCs w:val="24"/>
        </w:rPr>
        <w:t>.</w:t>
      </w:r>
    </w:p>
    <w:p w14:paraId="3329DB57" w14:textId="5D0D7415" w:rsidR="00022A88" w:rsidRPr="00E84231" w:rsidRDefault="00D10C9E" w:rsidP="00D10C9E">
      <w:pPr>
        <w:spacing w:after="0" w:line="240" w:lineRule="auto"/>
        <w:jc w:val="right"/>
        <w:rPr>
          <w:rFonts w:ascii="Times New Roman" w:hAnsi="Times New Roman"/>
          <w:bCs/>
          <w:i/>
          <w:iCs/>
          <w:sz w:val="24"/>
          <w:szCs w:val="24"/>
        </w:rPr>
      </w:pPr>
      <w:r w:rsidRPr="00E84231">
        <w:rPr>
          <w:rFonts w:ascii="Times New Roman" w:hAnsi="Times New Roman"/>
          <w:bCs/>
          <w:i/>
          <w:iCs/>
          <w:sz w:val="24"/>
          <w:szCs w:val="24"/>
        </w:rPr>
        <w:t xml:space="preserve">Таблица </w:t>
      </w:r>
      <w:r w:rsidR="00092697">
        <w:rPr>
          <w:rFonts w:ascii="Times New Roman" w:hAnsi="Times New Roman"/>
          <w:bCs/>
          <w:i/>
          <w:iCs/>
          <w:sz w:val="24"/>
          <w:szCs w:val="24"/>
        </w:rPr>
        <w:t>2</w:t>
      </w:r>
    </w:p>
    <w:p w14:paraId="67D0628F" w14:textId="07072BFA" w:rsidR="00022A88" w:rsidRPr="00E84231" w:rsidRDefault="00883269" w:rsidP="00D10C9E">
      <w:pPr>
        <w:spacing w:after="0" w:line="240" w:lineRule="auto"/>
        <w:jc w:val="center"/>
        <w:rPr>
          <w:rFonts w:ascii="Times New Roman" w:hAnsi="Times New Roman"/>
          <w:color w:val="000000"/>
          <w:sz w:val="24"/>
          <w:szCs w:val="24"/>
        </w:rPr>
      </w:pPr>
      <w:r w:rsidRPr="00E84231">
        <w:rPr>
          <w:rFonts w:ascii="Times New Roman" w:hAnsi="Times New Roman"/>
          <w:color w:val="000000"/>
          <w:sz w:val="24"/>
          <w:szCs w:val="24"/>
        </w:rPr>
        <w:t>Индексы</w:t>
      </w:r>
      <w:r w:rsidR="00022A88" w:rsidRPr="00E84231">
        <w:rPr>
          <w:rFonts w:ascii="Times New Roman" w:hAnsi="Times New Roman"/>
          <w:color w:val="000000"/>
          <w:sz w:val="24"/>
          <w:szCs w:val="24"/>
        </w:rPr>
        <w:t xml:space="preserve"> </w:t>
      </w:r>
      <w:r w:rsidR="002712B5" w:rsidRPr="00E84231">
        <w:rPr>
          <w:rFonts w:ascii="Times New Roman" w:hAnsi="Times New Roman"/>
          <w:color w:val="000000"/>
          <w:sz w:val="24"/>
          <w:szCs w:val="24"/>
        </w:rPr>
        <w:t>физического объема инвестиций в основанной капитал</w:t>
      </w:r>
      <w:r w:rsidR="00022A88" w:rsidRPr="00E84231">
        <w:rPr>
          <w:rFonts w:ascii="Times New Roman" w:hAnsi="Times New Roman"/>
          <w:color w:val="000000"/>
          <w:sz w:val="24"/>
          <w:szCs w:val="24"/>
        </w:rPr>
        <w:t xml:space="preserve"> ПО ОЭЗ (в процентах к предыдущему году</w:t>
      </w:r>
      <w:r w:rsidR="00D10C9E" w:rsidRPr="00E84231">
        <w:rPr>
          <w:rFonts w:ascii="Times New Roman" w:hAnsi="Times New Roman"/>
          <w:color w:val="000000"/>
          <w:sz w:val="24"/>
          <w:szCs w:val="24"/>
        </w:rPr>
        <w:t>),</w:t>
      </w:r>
      <w:r w:rsidR="00022A88" w:rsidRPr="00E84231">
        <w:rPr>
          <w:rFonts w:ascii="Times New Roman" w:hAnsi="Times New Roman"/>
          <w:color w:val="000000"/>
          <w:sz w:val="24"/>
          <w:szCs w:val="24"/>
        </w:rPr>
        <w:t xml:space="preserve"> </w:t>
      </w:r>
      <w:r w:rsidR="00AA132F" w:rsidRPr="00E84231">
        <w:rPr>
          <w:rFonts w:ascii="Times New Roman" w:hAnsi="Times New Roman"/>
          <w:color w:val="000000"/>
          <w:sz w:val="24"/>
          <w:szCs w:val="24"/>
        </w:rPr>
        <w:t>2017 г.</w:t>
      </w:r>
    </w:p>
    <w:tbl>
      <w:tblPr>
        <w:tblW w:w="8896" w:type="dxa"/>
        <w:jc w:val="center"/>
        <w:tblLook w:val="04A0" w:firstRow="1" w:lastRow="0" w:firstColumn="1" w:lastColumn="0" w:noHBand="0" w:noVBand="1"/>
      </w:tblPr>
      <w:tblGrid>
        <w:gridCol w:w="1291"/>
        <w:gridCol w:w="2976"/>
        <w:gridCol w:w="4629"/>
      </w:tblGrid>
      <w:tr w:rsidR="00022A88" w:rsidRPr="00E84231" w14:paraId="799B418A" w14:textId="77777777" w:rsidTr="00883269">
        <w:trPr>
          <w:trHeight w:val="275"/>
          <w:jc w:val="center"/>
        </w:trPr>
        <w:tc>
          <w:tcPr>
            <w:tcW w:w="1291" w:type="dxa"/>
            <w:tcBorders>
              <w:top w:val="single" w:sz="12" w:space="0" w:color="000000"/>
              <w:left w:val="single" w:sz="12" w:space="0" w:color="000000"/>
              <w:bottom w:val="single" w:sz="12" w:space="0" w:color="000000"/>
              <w:right w:val="single" w:sz="4" w:space="0" w:color="auto"/>
            </w:tcBorders>
            <w:shd w:val="clear" w:color="auto" w:fill="auto"/>
            <w:vAlign w:val="center"/>
            <w:hideMark/>
          </w:tcPr>
          <w:p w14:paraId="4061EC81" w14:textId="77777777" w:rsidR="00022A88" w:rsidRPr="00E84231" w:rsidRDefault="00022A88" w:rsidP="000047BF">
            <w:pPr>
              <w:spacing w:after="0" w:line="240" w:lineRule="auto"/>
              <w:jc w:val="center"/>
              <w:rPr>
                <w:rFonts w:ascii="Times New Roman" w:hAnsi="Times New Roman"/>
                <w:sz w:val="24"/>
                <w:szCs w:val="24"/>
              </w:rPr>
            </w:pPr>
            <w:r w:rsidRPr="00E84231">
              <w:rPr>
                <w:rFonts w:ascii="Times New Roman" w:hAnsi="Times New Roman"/>
                <w:sz w:val="24"/>
                <w:szCs w:val="24"/>
              </w:rPr>
              <w:t>Значение индекса</w:t>
            </w:r>
          </w:p>
        </w:tc>
        <w:tc>
          <w:tcPr>
            <w:tcW w:w="2976" w:type="dxa"/>
            <w:tcBorders>
              <w:top w:val="single" w:sz="12" w:space="0" w:color="000000"/>
              <w:left w:val="nil"/>
              <w:bottom w:val="single" w:sz="12" w:space="0" w:color="000000"/>
              <w:right w:val="single" w:sz="4" w:space="0" w:color="auto"/>
            </w:tcBorders>
            <w:shd w:val="clear" w:color="auto" w:fill="auto"/>
            <w:vAlign w:val="center"/>
            <w:hideMark/>
          </w:tcPr>
          <w:p w14:paraId="07BAE191" w14:textId="77777777" w:rsidR="00022A88" w:rsidRPr="00E84231" w:rsidRDefault="00022A88" w:rsidP="000047BF">
            <w:pPr>
              <w:spacing w:after="0" w:line="240" w:lineRule="auto"/>
              <w:jc w:val="center"/>
              <w:rPr>
                <w:rFonts w:ascii="Times New Roman" w:hAnsi="Times New Roman"/>
                <w:b/>
                <w:bCs/>
                <w:sz w:val="24"/>
                <w:szCs w:val="24"/>
              </w:rPr>
            </w:pPr>
            <w:r w:rsidRPr="00E84231">
              <w:rPr>
                <w:rFonts w:ascii="Times New Roman" w:hAnsi="Times New Roman"/>
                <w:b/>
                <w:bCs/>
                <w:sz w:val="24"/>
                <w:szCs w:val="24"/>
              </w:rPr>
              <w:t>ОЭЗ</w:t>
            </w:r>
          </w:p>
        </w:tc>
        <w:tc>
          <w:tcPr>
            <w:tcW w:w="4629" w:type="dxa"/>
            <w:tcBorders>
              <w:top w:val="single" w:sz="12" w:space="0" w:color="000000"/>
              <w:left w:val="nil"/>
              <w:bottom w:val="single" w:sz="12" w:space="0" w:color="000000"/>
              <w:right w:val="single" w:sz="12" w:space="0" w:color="000000"/>
            </w:tcBorders>
            <w:vAlign w:val="center"/>
          </w:tcPr>
          <w:p w14:paraId="276C1CD8" w14:textId="77777777" w:rsidR="00022A88" w:rsidRPr="00E84231" w:rsidRDefault="00022A88" w:rsidP="000047BF">
            <w:pPr>
              <w:spacing w:after="0" w:line="240" w:lineRule="auto"/>
              <w:jc w:val="center"/>
              <w:rPr>
                <w:rFonts w:ascii="Times New Roman" w:hAnsi="Times New Roman"/>
                <w:b/>
                <w:bCs/>
                <w:sz w:val="24"/>
                <w:szCs w:val="24"/>
              </w:rPr>
            </w:pPr>
            <w:r w:rsidRPr="00E84231">
              <w:rPr>
                <w:rFonts w:ascii="Times New Roman" w:hAnsi="Times New Roman"/>
                <w:b/>
                <w:bCs/>
                <w:sz w:val="24"/>
                <w:szCs w:val="24"/>
              </w:rPr>
              <w:t>Тип ОЭЗ</w:t>
            </w:r>
          </w:p>
        </w:tc>
      </w:tr>
      <w:tr w:rsidR="002141C6" w:rsidRPr="00E84231" w14:paraId="5FF374C2" w14:textId="77777777" w:rsidTr="00883269">
        <w:trPr>
          <w:trHeight w:val="275"/>
          <w:jc w:val="center"/>
        </w:trPr>
        <w:tc>
          <w:tcPr>
            <w:tcW w:w="1291" w:type="dxa"/>
            <w:vMerge w:val="restart"/>
            <w:tcBorders>
              <w:top w:val="single" w:sz="12" w:space="0" w:color="000000"/>
              <w:left w:val="single" w:sz="12" w:space="0" w:color="000000"/>
              <w:bottom w:val="single" w:sz="2" w:space="0" w:color="auto"/>
              <w:right w:val="single" w:sz="2" w:space="0" w:color="auto"/>
            </w:tcBorders>
            <w:shd w:val="clear" w:color="auto" w:fill="auto"/>
            <w:vAlign w:val="center"/>
            <w:hideMark/>
          </w:tcPr>
          <w:p w14:paraId="542E3861" w14:textId="77777777" w:rsidR="002141C6" w:rsidRPr="00E84231" w:rsidRDefault="002141C6" w:rsidP="000047BF">
            <w:pPr>
              <w:spacing w:after="0" w:line="240" w:lineRule="auto"/>
              <w:jc w:val="center"/>
              <w:rPr>
                <w:rFonts w:ascii="Times New Roman" w:hAnsi="Times New Roman"/>
                <w:sz w:val="24"/>
                <w:szCs w:val="24"/>
              </w:rPr>
            </w:pPr>
            <w:r w:rsidRPr="00E84231">
              <w:rPr>
                <w:rFonts w:ascii="Times New Roman" w:hAnsi="Times New Roman"/>
                <w:sz w:val="24"/>
                <w:szCs w:val="24"/>
              </w:rPr>
              <w:t>0 до 102</w:t>
            </w:r>
          </w:p>
        </w:tc>
        <w:tc>
          <w:tcPr>
            <w:tcW w:w="2976" w:type="dxa"/>
            <w:tcBorders>
              <w:top w:val="single" w:sz="12" w:space="0" w:color="000000"/>
              <w:left w:val="single" w:sz="2" w:space="0" w:color="auto"/>
              <w:bottom w:val="single" w:sz="2" w:space="0" w:color="auto"/>
              <w:right w:val="single" w:sz="2" w:space="0" w:color="auto"/>
            </w:tcBorders>
            <w:shd w:val="clear" w:color="auto" w:fill="auto"/>
            <w:vAlign w:val="bottom"/>
            <w:hideMark/>
          </w:tcPr>
          <w:p w14:paraId="0C35B4C9" w14:textId="77777777" w:rsidR="002141C6" w:rsidRPr="00E84231" w:rsidRDefault="002141C6" w:rsidP="000047BF">
            <w:pPr>
              <w:spacing w:after="0" w:line="240" w:lineRule="auto"/>
              <w:rPr>
                <w:rFonts w:ascii="Times New Roman" w:hAnsi="Times New Roman"/>
                <w:sz w:val="24"/>
                <w:szCs w:val="24"/>
              </w:rPr>
            </w:pPr>
            <w:r w:rsidRPr="00E84231">
              <w:rPr>
                <w:rFonts w:ascii="Times New Roman" w:hAnsi="Times New Roman"/>
                <w:bCs/>
                <w:sz w:val="24"/>
                <w:szCs w:val="24"/>
              </w:rPr>
              <w:t>Томская область,</w:t>
            </w:r>
            <w:r w:rsidRPr="00E84231">
              <w:rPr>
                <w:rFonts w:ascii="Times New Roman" w:hAnsi="Times New Roman"/>
                <w:sz w:val="24"/>
                <w:szCs w:val="24"/>
              </w:rPr>
              <w:t xml:space="preserve"> </w:t>
            </w:r>
          </w:p>
        </w:tc>
        <w:tc>
          <w:tcPr>
            <w:tcW w:w="4629" w:type="dxa"/>
            <w:tcBorders>
              <w:top w:val="single" w:sz="12" w:space="0" w:color="000000"/>
              <w:left w:val="single" w:sz="2" w:space="0" w:color="auto"/>
              <w:bottom w:val="single" w:sz="2" w:space="0" w:color="auto"/>
              <w:right w:val="single" w:sz="12" w:space="0" w:color="000000"/>
            </w:tcBorders>
            <w:shd w:val="clear" w:color="auto" w:fill="auto"/>
          </w:tcPr>
          <w:p w14:paraId="03654ACE" w14:textId="77777777" w:rsidR="002141C6" w:rsidRPr="00E84231" w:rsidRDefault="002141C6" w:rsidP="000047BF">
            <w:pPr>
              <w:spacing w:after="0" w:line="240" w:lineRule="auto"/>
              <w:rPr>
                <w:rFonts w:ascii="Times New Roman" w:hAnsi="Times New Roman"/>
                <w:bCs/>
                <w:sz w:val="24"/>
                <w:szCs w:val="24"/>
              </w:rPr>
            </w:pPr>
            <w:r w:rsidRPr="00E84231">
              <w:rPr>
                <w:rFonts w:ascii="Times New Roman" w:hAnsi="Times New Roman"/>
                <w:bCs/>
                <w:sz w:val="24"/>
                <w:szCs w:val="24"/>
              </w:rPr>
              <w:t>Технико-внедренческая ОЭЗ</w:t>
            </w:r>
          </w:p>
        </w:tc>
      </w:tr>
      <w:tr w:rsidR="002141C6" w:rsidRPr="00E84231" w14:paraId="43A78039" w14:textId="77777777" w:rsidTr="00883269">
        <w:trPr>
          <w:trHeight w:val="275"/>
          <w:jc w:val="center"/>
        </w:trPr>
        <w:tc>
          <w:tcPr>
            <w:tcW w:w="1291" w:type="dxa"/>
            <w:vMerge/>
            <w:tcBorders>
              <w:top w:val="single" w:sz="2" w:space="0" w:color="auto"/>
              <w:left w:val="single" w:sz="12" w:space="0" w:color="000000"/>
              <w:bottom w:val="single" w:sz="2" w:space="0" w:color="auto"/>
              <w:right w:val="single" w:sz="2" w:space="0" w:color="auto"/>
            </w:tcBorders>
            <w:shd w:val="clear" w:color="auto" w:fill="auto"/>
            <w:vAlign w:val="center"/>
            <w:hideMark/>
          </w:tcPr>
          <w:p w14:paraId="19D331F6" w14:textId="77777777" w:rsidR="002141C6" w:rsidRPr="00E84231" w:rsidRDefault="002141C6" w:rsidP="000047BF">
            <w:pPr>
              <w:spacing w:after="0" w:line="240" w:lineRule="auto"/>
              <w:jc w:val="center"/>
              <w:rPr>
                <w:rFonts w:ascii="Times New Roman" w:hAnsi="Times New Roman"/>
                <w:sz w:val="24"/>
                <w:szCs w:val="24"/>
              </w:rPr>
            </w:pPr>
          </w:p>
        </w:tc>
        <w:tc>
          <w:tcPr>
            <w:tcW w:w="2976" w:type="dxa"/>
            <w:tcBorders>
              <w:top w:val="single" w:sz="2" w:space="0" w:color="auto"/>
              <w:left w:val="single" w:sz="2" w:space="0" w:color="auto"/>
              <w:bottom w:val="single" w:sz="2" w:space="0" w:color="auto"/>
              <w:right w:val="single" w:sz="2" w:space="0" w:color="auto"/>
            </w:tcBorders>
            <w:shd w:val="clear" w:color="auto" w:fill="auto"/>
            <w:vAlign w:val="bottom"/>
            <w:hideMark/>
          </w:tcPr>
          <w:p w14:paraId="56306B07" w14:textId="77777777" w:rsidR="002141C6" w:rsidRPr="00E84231" w:rsidRDefault="002141C6" w:rsidP="000047BF">
            <w:pPr>
              <w:spacing w:after="0" w:line="240" w:lineRule="auto"/>
              <w:rPr>
                <w:rFonts w:ascii="Times New Roman" w:hAnsi="Times New Roman"/>
                <w:sz w:val="24"/>
                <w:szCs w:val="24"/>
              </w:rPr>
            </w:pPr>
            <w:r w:rsidRPr="00E84231">
              <w:rPr>
                <w:rFonts w:ascii="Times New Roman" w:hAnsi="Times New Roman"/>
                <w:bCs/>
                <w:sz w:val="24"/>
                <w:szCs w:val="24"/>
              </w:rPr>
              <w:t>г. Санкт-Петербург,</w:t>
            </w:r>
            <w:r w:rsidRPr="00E84231">
              <w:rPr>
                <w:rFonts w:ascii="Times New Roman" w:hAnsi="Times New Roman"/>
                <w:sz w:val="24"/>
                <w:szCs w:val="24"/>
              </w:rPr>
              <w:t xml:space="preserve"> </w:t>
            </w:r>
          </w:p>
        </w:tc>
        <w:tc>
          <w:tcPr>
            <w:tcW w:w="4629" w:type="dxa"/>
            <w:tcBorders>
              <w:top w:val="single" w:sz="2" w:space="0" w:color="auto"/>
              <w:left w:val="single" w:sz="2" w:space="0" w:color="auto"/>
              <w:bottom w:val="single" w:sz="2" w:space="0" w:color="auto"/>
              <w:right w:val="single" w:sz="12" w:space="0" w:color="000000"/>
            </w:tcBorders>
            <w:shd w:val="clear" w:color="auto" w:fill="auto"/>
          </w:tcPr>
          <w:p w14:paraId="1A86E262" w14:textId="77777777" w:rsidR="002141C6" w:rsidRPr="00E84231" w:rsidRDefault="002141C6" w:rsidP="000047BF">
            <w:pPr>
              <w:spacing w:after="0" w:line="240" w:lineRule="auto"/>
              <w:rPr>
                <w:rFonts w:ascii="Times New Roman" w:hAnsi="Times New Roman"/>
                <w:bCs/>
                <w:sz w:val="24"/>
                <w:szCs w:val="24"/>
              </w:rPr>
            </w:pPr>
            <w:r w:rsidRPr="00E84231">
              <w:rPr>
                <w:rFonts w:ascii="Times New Roman" w:hAnsi="Times New Roman"/>
                <w:bCs/>
                <w:sz w:val="24"/>
                <w:szCs w:val="24"/>
              </w:rPr>
              <w:t>Технико-внедренческая ОЭЗ</w:t>
            </w:r>
          </w:p>
        </w:tc>
      </w:tr>
      <w:tr w:rsidR="002141C6" w:rsidRPr="00E84231" w14:paraId="6247CD86" w14:textId="77777777" w:rsidTr="00883269">
        <w:trPr>
          <w:trHeight w:val="275"/>
          <w:jc w:val="center"/>
        </w:trPr>
        <w:tc>
          <w:tcPr>
            <w:tcW w:w="1291" w:type="dxa"/>
            <w:vMerge/>
            <w:tcBorders>
              <w:top w:val="single" w:sz="2" w:space="0" w:color="auto"/>
              <w:left w:val="single" w:sz="12" w:space="0" w:color="000000"/>
              <w:bottom w:val="single" w:sz="2" w:space="0" w:color="auto"/>
              <w:right w:val="single" w:sz="2" w:space="0" w:color="auto"/>
            </w:tcBorders>
            <w:shd w:val="clear" w:color="auto" w:fill="auto"/>
            <w:vAlign w:val="bottom"/>
            <w:hideMark/>
          </w:tcPr>
          <w:p w14:paraId="0BEEF482" w14:textId="77777777" w:rsidR="002141C6" w:rsidRPr="00E84231" w:rsidRDefault="002141C6" w:rsidP="000047BF">
            <w:pPr>
              <w:spacing w:after="0" w:line="240" w:lineRule="auto"/>
              <w:rPr>
                <w:rFonts w:ascii="Times New Roman" w:hAnsi="Times New Roman"/>
                <w:sz w:val="24"/>
                <w:szCs w:val="24"/>
              </w:rPr>
            </w:pPr>
          </w:p>
        </w:tc>
        <w:tc>
          <w:tcPr>
            <w:tcW w:w="2976" w:type="dxa"/>
            <w:tcBorders>
              <w:top w:val="single" w:sz="2" w:space="0" w:color="auto"/>
              <w:left w:val="single" w:sz="2" w:space="0" w:color="auto"/>
              <w:bottom w:val="single" w:sz="2" w:space="0" w:color="auto"/>
              <w:right w:val="single" w:sz="2" w:space="0" w:color="auto"/>
            </w:tcBorders>
            <w:shd w:val="clear" w:color="auto" w:fill="auto"/>
            <w:vAlign w:val="bottom"/>
            <w:hideMark/>
          </w:tcPr>
          <w:p w14:paraId="6926E4FC" w14:textId="77777777" w:rsidR="002141C6" w:rsidRPr="00E84231" w:rsidRDefault="002141C6" w:rsidP="000047BF">
            <w:pPr>
              <w:spacing w:after="0" w:line="240" w:lineRule="auto"/>
              <w:rPr>
                <w:rFonts w:ascii="Times New Roman" w:hAnsi="Times New Roman"/>
                <w:sz w:val="24"/>
                <w:szCs w:val="24"/>
              </w:rPr>
            </w:pPr>
            <w:r w:rsidRPr="00E84231">
              <w:rPr>
                <w:rFonts w:ascii="Times New Roman" w:hAnsi="Times New Roman"/>
                <w:bCs/>
                <w:sz w:val="24"/>
                <w:szCs w:val="24"/>
              </w:rPr>
              <w:t xml:space="preserve"> Самарская область,</w:t>
            </w:r>
            <w:r w:rsidRPr="00E84231">
              <w:rPr>
                <w:rFonts w:ascii="Times New Roman" w:hAnsi="Times New Roman"/>
                <w:sz w:val="24"/>
                <w:szCs w:val="24"/>
              </w:rPr>
              <w:t xml:space="preserve">   </w:t>
            </w:r>
          </w:p>
        </w:tc>
        <w:tc>
          <w:tcPr>
            <w:tcW w:w="4629" w:type="dxa"/>
            <w:tcBorders>
              <w:top w:val="single" w:sz="2" w:space="0" w:color="auto"/>
              <w:left w:val="single" w:sz="2" w:space="0" w:color="auto"/>
              <w:bottom w:val="single" w:sz="2" w:space="0" w:color="auto"/>
              <w:right w:val="single" w:sz="12" w:space="0" w:color="000000"/>
            </w:tcBorders>
            <w:shd w:val="clear" w:color="auto" w:fill="auto"/>
          </w:tcPr>
          <w:p w14:paraId="142B7583" w14:textId="77777777" w:rsidR="002141C6" w:rsidRPr="00E84231" w:rsidRDefault="002141C6" w:rsidP="000047BF">
            <w:pPr>
              <w:spacing w:after="0" w:line="240" w:lineRule="auto"/>
              <w:rPr>
                <w:rFonts w:ascii="Times New Roman" w:hAnsi="Times New Roman"/>
                <w:bCs/>
                <w:sz w:val="24"/>
                <w:szCs w:val="24"/>
              </w:rPr>
            </w:pPr>
            <w:r w:rsidRPr="00E84231">
              <w:rPr>
                <w:rFonts w:ascii="Times New Roman" w:hAnsi="Times New Roman"/>
                <w:bCs/>
                <w:sz w:val="24"/>
                <w:szCs w:val="24"/>
              </w:rPr>
              <w:t>Промышленно-производственная ОЭЗ</w:t>
            </w:r>
          </w:p>
        </w:tc>
      </w:tr>
      <w:tr w:rsidR="002141C6" w:rsidRPr="00E84231" w14:paraId="331DE175" w14:textId="77777777" w:rsidTr="00883269">
        <w:trPr>
          <w:trHeight w:val="275"/>
          <w:jc w:val="center"/>
        </w:trPr>
        <w:tc>
          <w:tcPr>
            <w:tcW w:w="1291" w:type="dxa"/>
            <w:vMerge/>
            <w:tcBorders>
              <w:top w:val="single" w:sz="2" w:space="0" w:color="auto"/>
              <w:left w:val="single" w:sz="12" w:space="0" w:color="000000"/>
              <w:bottom w:val="single" w:sz="2" w:space="0" w:color="auto"/>
              <w:right w:val="single" w:sz="2" w:space="0" w:color="auto"/>
            </w:tcBorders>
            <w:shd w:val="clear" w:color="auto" w:fill="auto"/>
            <w:vAlign w:val="bottom"/>
            <w:hideMark/>
          </w:tcPr>
          <w:p w14:paraId="77A46A96" w14:textId="77777777" w:rsidR="002141C6" w:rsidRPr="00E84231" w:rsidRDefault="002141C6" w:rsidP="000047BF">
            <w:pPr>
              <w:spacing w:after="0" w:line="240" w:lineRule="auto"/>
              <w:rPr>
                <w:rFonts w:ascii="Times New Roman" w:hAnsi="Times New Roman"/>
                <w:sz w:val="24"/>
                <w:szCs w:val="24"/>
              </w:rPr>
            </w:pPr>
          </w:p>
        </w:tc>
        <w:tc>
          <w:tcPr>
            <w:tcW w:w="2976" w:type="dxa"/>
            <w:tcBorders>
              <w:top w:val="single" w:sz="2" w:space="0" w:color="auto"/>
              <w:left w:val="single" w:sz="2" w:space="0" w:color="auto"/>
              <w:bottom w:val="single" w:sz="2" w:space="0" w:color="auto"/>
              <w:right w:val="single" w:sz="2" w:space="0" w:color="auto"/>
            </w:tcBorders>
            <w:shd w:val="clear" w:color="auto" w:fill="auto"/>
            <w:vAlign w:val="bottom"/>
            <w:hideMark/>
          </w:tcPr>
          <w:p w14:paraId="799A05AF" w14:textId="77777777" w:rsidR="002141C6" w:rsidRPr="00E84231" w:rsidRDefault="002141C6" w:rsidP="000047BF">
            <w:pPr>
              <w:spacing w:after="0" w:line="240" w:lineRule="auto"/>
              <w:rPr>
                <w:rFonts w:ascii="Times New Roman" w:hAnsi="Times New Roman"/>
                <w:sz w:val="24"/>
                <w:szCs w:val="24"/>
              </w:rPr>
            </w:pPr>
            <w:r w:rsidRPr="00E84231">
              <w:rPr>
                <w:rFonts w:ascii="Times New Roman" w:hAnsi="Times New Roman"/>
                <w:bCs/>
                <w:sz w:val="24"/>
                <w:szCs w:val="24"/>
              </w:rPr>
              <w:t>Иркутская область,</w:t>
            </w:r>
            <w:r w:rsidRPr="00E84231">
              <w:rPr>
                <w:rFonts w:ascii="Times New Roman" w:hAnsi="Times New Roman"/>
                <w:sz w:val="24"/>
                <w:szCs w:val="24"/>
              </w:rPr>
              <w:t xml:space="preserve"> </w:t>
            </w:r>
          </w:p>
        </w:tc>
        <w:tc>
          <w:tcPr>
            <w:tcW w:w="4629" w:type="dxa"/>
            <w:tcBorders>
              <w:top w:val="single" w:sz="2" w:space="0" w:color="auto"/>
              <w:left w:val="single" w:sz="2" w:space="0" w:color="auto"/>
              <w:bottom w:val="single" w:sz="2" w:space="0" w:color="auto"/>
              <w:right w:val="single" w:sz="12" w:space="0" w:color="000000"/>
            </w:tcBorders>
            <w:shd w:val="clear" w:color="auto" w:fill="auto"/>
          </w:tcPr>
          <w:p w14:paraId="24D8FAE5" w14:textId="77777777" w:rsidR="002141C6" w:rsidRPr="00E84231" w:rsidRDefault="002141C6" w:rsidP="00883269">
            <w:pPr>
              <w:spacing w:after="0" w:line="240" w:lineRule="auto"/>
              <w:ind w:left="-16" w:firstLine="16"/>
              <w:rPr>
                <w:rFonts w:ascii="Times New Roman" w:hAnsi="Times New Roman"/>
                <w:bCs/>
                <w:sz w:val="24"/>
                <w:szCs w:val="24"/>
              </w:rPr>
            </w:pPr>
            <w:r w:rsidRPr="00E84231">
              <w:rPr>
                <w:rFonts w:ascii="Times New Roman" w:hAnsi="Times New Roman"/>
                <w:bCs/>
                <w:sz w:val="24"/>
                <w:szCs w:val="24"/>
              </w:rPr>
              <w:t>Туристско-рекреационная ОЭЗ</w:t>
            </w:r>
          </w:p>
        </w:tc>
      </w:tr>
      <w:tr w:rsidR="002141C6" w:rsidRPr="00E84231" w14:paraId="4EEFA122" w14:textId="77777777" w:rsidTr="00883269">
        <w:trPr>
          <w:trHeight w:val="888"/>
          <w:jc w:val="center"/>
        </w:trPr>
        <w:tc>
          <w:tcPr>
            <w:tcW w:w="1291" w:type="dxa"/>
            <w:vMerge/>
            <w:tcBorders>
              <w:top w:val="single" w:sz="2" w:space="0" w:color="auto"/>
              <w:left w:val="single" w:sz="12" w:space="0" w:color="000000"/>
              <w:bottom w:val="single" w:sz="2" w:space="0" w:color="auto"/>
              <w:right w:val="single" w:sz="2" w:space="0" w:color="auto"/>
            </w:tcBorders>
            <w:shd w:val="clear" w:color="auto" w:fill="auto"/>
            <w:vAlign w:val="bottom"/>
            <w:hideMark/>
          </w:tcPr>
          <w:p w14:paraId="1C5F1D2C" w14:textId="77777777" w:rsidR="002141C6" w:rsidRPr="00E84231" w:rsidRDefault="002141C6" w:rsidP="000047BF">
            <w:pPr>
              <w:spacing w:after="0" w:line="240" w:lineRule="auto"/>
              <w:rPr>
                <w:rFonts w:ascii="Times New Roman" w:hAnsi="Times New Roman"/>
                <w:sz w:val="24"/>
                <w:szCs w:val="24"/>
              </w:rPr>
            </w:pPr>
          </w:p>
        </w:tc>
        <w:tc>
          <w:tcPr>
            <w:tcW w:w="2976" w:type="dxa"/>
            <w:tcBorders>
              <w:top w:val="single" w:sz="2" w:space="0" w:color="auto"/>
              <w:left w:val="single" w:sz="2" w:space="0" w:color="auto"/>
              <w:bottom w:val="single" w:sz="2" w:space="0" w:color="auto"/>
              <w:right w:val="single" w:sz="2" w:space="0" w:color="auto"/>
            </w:tcBorders>
            <w:shd w:val="clear" w:color="auto" w:fill="auto"/>
            <w:vAlign w:val="bottom"/>
            <w:hideMark/>
          </w:tcPr>
          <w:p w14:paraId="07EEE865" w14:textId="77777777" w:rsidR="002141C6" w:rsidRPr="00E84231" w:rsidRDefault="002141C6" w:rsidP="000047BF">
            <w:pPr>
              <w:spacing w:after="0" w:line="240" w:lineRule="auto"/>
              <w:rPr>
                <w:rFonts w:ascii="Times New Roman" w:hAnsi="Times New Roman"/>
                <w:bCs/>
                <w:sz w:val="24"/>
                <w:szCs w:val="24"/>
              </w:rPr>
            </w:pPr>
            <w:r w:rsidRPr="00E84231">
              <w:rPr>
                <w:rFonts w:ascii="Times New Roman" w:hAnsi="Times New Roman"/>
                <w:bCs/>
                <w:sz w:val="24"/>
                <w:szCs w:val="24"/>
              </w:rPr>
              <w:t>Республика Татарстан</w:t>
            </w:r>
          </w:p>
          <w:p w14:paraId="73562223" w14:textId="77777777" w:rsidR="002141C6" w:rsidRPr="00E84231" w:rsidRDefault="002141C6" w:rsidP="000047BF">
            <w:pPr>
              <w:spacing w:after="0" w:line="240" w:lineRule="auto"/>
              <w:rPr>
                <w:rFonts w:ascii="Times New Roman" w:hAnsi="Times New Roman"/>
                <w:bCs/>
                <w:sz w:val="24"/>
                <w:szCs w:val="24"/>
              </w:rPr>
            </w:pPr>
            <w:r w:rsidRPr="00E84231">
              <w:rPr>
                <w:rFonts w:ascii="Times New Roman" w:hAnsi="Times New Roman"/>
                <w:bCs/>
                <w:sz w:val="24"/>
                <w:szCs w:val="24"/>
              </w:rPr>
              <w:t xml:space="preserve">           «Алабуга»</w:t>
            </w:r>
          </w:p>
          <w:p w14:paraId="4A688270" w14:textId="77777777" w:rsidR="002141C6" w:rsidRPr="00E84231" w:rsidRDefault="002141C6" w:rsidP="000047BF">
            <w:pPr>
              <w:spacing w:after="0" w:line="240" w:lineRule="auto"/>
              <w:rPr>
                <w:rFonts w:ascii="Times New Roman" w:hAnsi="Times New Roman"/>
                <w:bCs/>
                <w:sz w:val="24"/>
                <w:szCs w:val="24"/>
              </w:rPr>
            </w:pPr>
            <w:r w:rsidRPr="00E84231">
              <w:rPr>
                <w:rFonts w:ascii="Times New Roman" w:hAnsi="Times New Roman"/>
                <w:bCs/>
                <w:sz w:val="24"/>
                <w:szCs w:val="24"/>
              </w:rPr>
              <w:t xml:space="preserve">           «Иннополис»</w:t>
            </w:r>
          </w:p>
        </w:tc>
        <w:tc>
          <w:tcPr>
            <w:tcW w:w="4629" w:type="dxa"/>
            <w:tcBorders>
              <w:top w:val="single" w:sz="2" w:space="0" w:color="auto"/>
              <w:left w:val="single" w:sz="2" w:space="0" w:color="auto"/>
              <w:bottom w:val="single" w:sz="2" w:space="0" w:color="auto"/>
              <w:right w:val="single" w:sz="12" w:space="0" w:color="000000"/>
            </w:tcBorders>
            <w:shd w:val="clear" w:color="auto" w:fill="auto"/>
          </w:tcPr>
          <w:p w14:paraId="2660E7EB" w14:textId="77777777" w:rsidR="002141C6" w:rsidRPr="00E84231" w:rsidRDefault="002141C6" w:rsidP="000047BF">
            <w:pPr>
              <w:spacing w:after="0" w:line="240" w:lineRule="auto"/>
              <w:rPr>
                <w:rFonts w:ascii="Times New Roman" w:hAnsi="Times New Roman"/>
                <w:bCs/>
                <w:sz w:val="24"/>
                <w:szCs w:val="24"/>
              </w:rPr>
            </w:pPr>
          </w:p>
          <w:p w14:paraId="6EADE50E" w14:textId="77777777" w:rsidR="002141C6" w:rsidRPr="00E84231" w:rsidRDefault="002141C6" w:rsidP="000047BF">
            <w:pPr>
              <w:spacing w:after="0" w:line="240" w:lineRule="auto"/>
              <w:rPr>
                <w:rFonts w:ascii="Times New Roman" w:hAnsi="Times New Roman"/>
                <w:bCs/>
                <w:sz w:val="24"/>
                <w:szCs w:val="24"/>
              </w:rPr>
            </w:pPr>
            <w:r w:rsidRPr="00E84231">
              <w:rPr>
                <w:rFonts w:ascii="Times New Roman" w:hAnsi="Times New Roman"/>
                <w:bCs/>
                <w:sz w:val="24"/>
                <w:szCs w:val="24"/>
              </w:rPr>
              <w:t>Промышленно-производственная ОЭЗ</w:t>
            </w:r>
          </w:p>
          <w:p w14:paraId="20393D41" w14:textId="77777777" w:rsidR="002141C6" w:rsidRPr="00E84231" w:rsidRDefault="002141C6" w:rsidP="000047BF">
            <w:pPr>
              <w:spacing w:after="0" w:line="240" w:lineRule="auto"/>
              <w:rPr>
                <w:rFonts w:ascii="Times New Roman" w:hAnsi="Times New Roman"/>
                <w:bCs/>
                <w:sz w:val="24"/>
                <w:szCs w:val="24"/>
              </w:rPr>
            </w:pPr>
            <w:r w:rsidRPr="00E84231">
              <w:rPr>
                <w:rFonts w:ascii="Times New Roman" w:hAnsi="Times New Roman"/>
                <w:bCs/>
                <w:sz w:val="24"/>
                <w:szCs w:val="24"/>
              </w:rPr>
              <w:t>Технико-внедренческая ОЭЗ</w:t>
            </w:r>
          </w:p>
        </w:tc>
      </w:tr>
      <w:tr w:rsidR="002141C6" w:rsidRPr="00E84231" w14:paraId="5E5F7129" w14:textId="77777777" w:rsidTr="00883269">
        <w:trPr>
          <w:trHeight w:val="271"/>
          <w:jc w:val="center"/>
        </w:trPr>
        <w:tc>
          <w:tcPr>
            <w:tcW w:w="1291" w:type="dxa"/>
            <w:vMerge/>
            <w:tcBorders>
              <w:top w:val="single" w:sz="2" w:space="0" w:color="auto"/>
              <w:left w:val="single" w:sz="12" w:space="0" w:color="000000"/>
              <w:bottom w:val="single" w:sz="2" w:space="0" w:color="auto"/>
              <w:right w:val="single" w:sz="2" w:space="0" w:color="auto"/>
            </w:tcBorders>
            <w:shd w:val="clear" w:color="auto" w:fill="auto"/>
            <w:vAlign w:val="bottom"/>
            <w:hideMark/>
          </w:tcPr>
          <w:p w14:paraId="5A0569DF" w14:textId="77777777" w:rsidR="002141C6" w:rsidRPr="00E84231" w:rsidRDefault="002141C6" w:rsidP="000047BF">
            <w:pPr>
              <w:spacing w:after="0" w:line="240" w:lineRule="auto"/>
              <w:rPr>
                <w:rFonts w:ascii="Times New Roman" w:hAnsi="Times New Roman"/>
                <w:sz w:val="24"/>
                <w:szCs w:val="24"/>
              </w:rPr>
            </w:pPr>
          </w:p>
        </w:tc>
        <w:tc>
          <w:tcPr>
            <w:tcW w:w="2976" w:type="dxa"/>
            <w:tcBorders>
              <w:top w:val="single" w:sz="2" w:space="0" w:color="auto"/>
              <w:left w:val="single" w:sz="2" w:space="0" w:color="auto"/>
              <w:bottom w:val="single" w:sz="2" w:space="0" w:color="auto"/>
              <w:right w:val="single" w:sz="2" w:space="0" w:color="auto"/>
            </w:tcBorders>
            <w:shd w:val="clear" w:color="auto" w:fill="auto"/>
            <w:vAlign w:val="bottom"/>
            <w:hideMark/>
          </w:tcPr>
          <w:p w14:paraId="1CBB65A8" w14:textId="77777777" w:rsidR="002141C6" w:rsidRPr="00E84231" w:rsidRDefault="002141C6" w:rsidP="000047BF">
            <w:pPr>
              <w:spacing w:after="0" w:line="240" w:lineRule="auto"/>
              <w:rPr>
                <w:rFonts w:ascii="Times New Roman" w:hAnsi="Times New Roman"/>
                <w:bCs/>
                <w:sz w:val="24"/>
                <w:szCs w:val="24"/>
              </w:rPr>
            </w:pPr>
            <w:r w:rsidRPr="00E84231">
              <w:rPr>
                <w:rFonts w:ascii="Times New Roman" w:hAnsi="Times New Roman"/>
                <w:sz w:val="24"/>
                <w:szCs w:val="24"/>
              </w:rPr>
              <w:t>Свердловская область</w:t>
            </w:r>
          </w:p>
        </w:tc>
        <w:tc>
          <w:tcPr>
            <w:tcW w:w="4629" w:type="dxa"/>
            <w:tcBorders>
              <w:top w:val="single" w:sz="2" w:space="0" w:color="auto"/>
              <w:left w:val="single" w:sz="2" w:space="0" w:color="auto"/>
              <w:bottom w:val="single" w:sz="2" w:space="0" w:color="auto"/>
              <w:right w:val="single" w:sz="12" w:space="0" w:color="000000"/>
            </w:tcBorders>
            <w:shd w:val="clear" w:color="auto" w:fill="auto"/>
          </w:tcPr>
          <w:p w14:paraId="5C37A91C" w14:textId="77777777" w:rsidR="002141C6" w:rsidRPr="00E84231" w:rsidRDefault="002141C6" w:rsidP="000047BF">
            <w:pPr>
              <w:spacing w:after="0" w:line="240" w:lineRule="auto"/>
              <w:rPr>
                <w:rFonts w:ascii="Times New Roman" w:hAnsi="Times New Roman"/>
                <w:bCs/>
                <w:sz w:val="24"/>
                <w:szCs w:val="24"/>
              </w:rPr>
            </w:pPr>
            <w:r w:rsidRPr="00E84231">
              <w:rPr>
                <w:rFonts w:ascii="Times New Roman" w:hAnsi="Times New Roman"/>
                <w:bCs/>
                <w:sz w:val="24"/>
                <w:szCs w:val="24"/>
              </w:rPr>
              <w:t>Промышленно-производственная ОЭЗ</w:t>
            </w:r>
          </w:p>
        </w:tc>
      </w:tr>
      <w:tr w:rsidR="002141C6" w:rsidRPr="00E84231" w14:paraId="09D975E3" w14:textId="77777777" w:rsidTr="00883269">
        <w:trPr>
          <w:trHeight w:val="275"/>
          <w:jc w:val="center"/>
        </w:trPr>
        <w:tc>
          <w:tcPr>
            <w:tcW w:w="1291" w:type="dxa"/>
            <w:vMerge/>
            <w:tcBorders>
              <w:top w:val="single" w:sz="2" w:space="0" w:color="auto"/>
              <w:left w:val="single" w:sz="12" w:space="0" w:color="000000"/>
              <w:bottom w:val="single" w:sz="12" w:space="0" w:color="000000"/>
              <w:right w:val="single" w:sz="2" w:space="0" w:color="auto"/>
            </w:tcBorders>
            <w:shd w:val="clear" w:color="auto" w:fill="auto"/>
            <w:vAlign w:val="bottom"/>
            <w:hideMark/>
          </w:tcPr>
          <w:p w14:paraId="0E851182" w14:textId="77777777" w:rsidR="002141C6" w:rsidRPr="00E84231" w:rsidRDefault="002141C6" w:rsidP="000047BF">
            <w:pPr>
              <w:spacing w:after="0" w:line="240" w:lineRule="auto"/>
              <w:rPr>
                <w:rFonts w:ascii="Times New Roman" w:hAnsi="Times New Roman"/>
                <w:sz w:val="24"/>
                <w:szCs w:val="24"/>
              </w:rPr>
            </w:pPr>
          </w:p>
        </w:tc>
        <w:tc>
          <w:tcPr>
            <w:tcW w:w="2976" w:type="dxa"/>
            <w:tcBorders>
              <w:top w:val="single" w:sz="2" w:space="0" w:color="auto"/>
              <w:left w:val="single" w:sz="2" w:space="0" w:color="auto"/>
              <w:bottom w:val="single" w:sz="12" w:space="0" w:color="000000"/>
              <w:right w:val="single" w:sz="2" w:space="0" w:color="auto"/>
            </w:tcBorders>
            <w:shd w:val="clear" w:color="auto" w:fill="auto"/>
            <w:vAlign w:val="center"/>
            <w:hideMark/>
          </w:tcPr>
          <w:p w14:paraId="21FD5303" w14:textId="77777777" w:rsidR="002141C6" w:rsidRPr="00E84231" w:rsidRDefault="002141C6" w:rsidP="000047BF">
            <w:pPr>
              <w:spacing w:after="0" w:line="240" w:lineRule="auto"/>
              <w:rPr>
                <w:rFonts w:ascii="Times New Roman" w:hAnsi="Times New Roman"/>
                <w:bCs/>
                <w:sz w:val="24"/>
                <w:szCs w:val="24"/>
              </w:rPr>
            </w:pPr>
            <w:r w:rsidRPr="00E84231">
              <w:rPr>
                <w:rFonts w:ascii="Times New Roman" w:hAnsi="Times New Roman"/>
                <w:bCs/>
                <w:sz w:val="24"/>
                <w:szCs w:val="24"/>
              </w:rPr>
              <w:t>Калужская область</w:t>
            </w:r>
          </w:p>
        </w:tc>
        <w:tc>
          <w:tcPr>
            <w:tcW w:w="4629" w:type="dxa"/>
            <w:tcBorders>
              <w:top w:val="single" w:sz="2" w:space="0" w:color="auto"/>
              <w:left w:val="single" w:sz="2" w:space="0" w:color="auto"/>
              <w:bottom w:val="single" w:sz="12" w:space="0" w:color="000000"/>
              <w:right w:val="single" w:sz="12" w:space="0" w:color="000000"/>
            </w:tcBorders>
            <w:shd w:val="clear" w:color="auto" w:fill="auto"/>
          </w:tcPr>
          <w:p w14:paraId="0E666911" w14:textId="77777777" w:rsidR="002141C6" w:rsidRPr="00E84231" w:rsidRDefault="002141C6" w:rsidP="000047BF">
            <w:pPr>
              <w:spacing w:after="0" w:line="240" w:lineRule="auto"/>
              <w:rPr>
                <w:rFonts w:ascii="Times New Roman" w:hAnsi="Times New Roman"/>
                <w:bCs/>
                <w:sz w:val="24"/>
                <w:szCs w:val="24"/>
              </w:rPr>
            </w:pPr>
            <w:r w:rsidRPr="00E84231">
              <w:rPr>
                <w:rFonts w:ascii="Times New Roman" w:hAnsi="Times New Roman"/>
                <w:bCs/>
                <w:sz w:val="24"/>
                <w:szCs w:val="24"/>
              </w:rPr>
              <w:t>Промышленно-производственная ОЭЗ</w:t>
            </w:r>
          </w:p>
        </w:tc>
      </w:tr>
      <w:tr w:rsidR="002141C6" w:rsidRPr="00E84231" w14:paraId="27330ADB" w14:textId="77777777" w:rsidTr="00883269">
        <w:trPr>
          <w:trHeight w:val="275"/>
          <w:jc w:val="center"/>
        </w:trPr>
        <w:tc>
          <w:tcPr>
            <w:tcW w:w="1291" w:type="dxa"/>
            <w:vMerge w:val="restart"/>
            <w:tcBorders>
              <w:top w:val="single" w:sz="12" w:space="0" w:color="000000"/>
              <w:left w:val="single" w:sz="12" w:space="0" w:color="000000"/>
              <w:right w:val="single" w:sz="4" w:space="0" w:color="auto"/>
            </w:tcBorders>
            <w:shd w:val="clear" w:color="auto" w:fill="auto"/>
            <w:vAlign w:val="center"/>
            <w:hideMark/>
          </w:tcPr>
          <w:p w14:paraId="768C4E98" w14:textId="77777777" w:rsidR="002141C6" w:rsidRPr="00E84231" w:rsidRDefault="002141C6" w:rsidP="000047BF">
            <w:pPr>
              <w:spacing w:after="0" w:line="240" w:lineRule="auto"/>
              <w:jc w:val="center"/>
              <w:rPr>
                <w:rFonts w:ascii="Times New Roman" w:hAnsi="Times New Roman"/>
                <w:sz w:val="24"/>
                <w:szCs w:val="24"/>
              </w:rPr>
            </w:pPr>
            <w:r w:rsidRPr="00E84231">
              <w:rPr>
                <w:rFonts w:ascii="Times New Roman" w:hAnsi="Times New Roman"/>
                <w:sz w:val="24"/>
                <w:szCs w:val="24"/>
              </w:rPr>
              <w:t>102 до 110</w:t>
            </w:r>
          </w:p>
        </w:tc>
        <w:tc>
          <w:tcPr>
            <w:tcW w:w="2976" w:type="dxa"/>
            <w:tcBorders>
              <w:top w:val="single" w:sz="12" w:space="0" w:color="000000"/>
              <w:left w:val="nil"/>
              <w:bottom w:val="single" w:sz="4" w:space="0" w:color="auto"/>
              <w:right w:val="single" w:sz="4" w:space="0" w:color="auto"/>
            </w:tcBorders>
            <w:shd w:val="clear" w:color="auto" w:fill="auto"/>
            <w:vAlign w:val="center"/>
            <w:hideMark/>
          </w:tcPr>
          <w:p w14:paraId="7FB001D8" w14:textId="77777777" w:rsidR="002141C6" w:rsidRPr="00E84231" w:rsidRDefault="002141C6" w:rsidP="000047BF">
            <w:pPr>
              <w:spacing w:after="0" w:line="240" w:lineRule="auto"/>
              <w:rPr>
                <w:rFonts w:ascii="Times New Roman" w:hAnsi="Times New Roman"/>
                <w:bCs/>
                <w:sz w:val="24"/>
                <w:szCs w:val="24"/>
              </w:rPr>
            </w:pPr>
            <w:r w:rsidRPr="00E84231">
              <w:rPr>
                <w:rFonts w:ascii="Times New Roman" w:hAnsi="Times New Roman"/>
                <w:bCs/>
                <w:sz w:val="24"/>
                <w:szCs w:val="24"/>
              </w:rPr>
              <w:t>Московская область</w:t>
            </w:r>
          </w:p>
        </w:tc>
        <w:tc>
          <w:tcPr>
            <w:tcW w:w="4629" w:type="dxa"/>
            <w:tcBorders>
              <w:top w:val="single" w:sz="12" w:space="0" w:color="000000"/>
              <w:left w:val="nil"/>
              <w:bottom w:val="single" w:sz="4" w:space="0" w:color="auto"/>
              <w:right w:val="single" w:sz="12" w:space="0" w:color="000000"/>
            </w:tcBorders>
            <w:shd w:val="clear" w:color="auto" w:fill="auto"/>
          </w:tcPr>
          <w:p w14:paraId="1E43B993" w14:textId="77777777" w:rsidR="002141C6" w:rsidRPr="00E84231" w:rsidRDefault="002141C6" w:rsidP="000047BF">
            <w:pPr>
              <w:spacing w:after="0" w:line="240" w:lineRule="auto"/>
              <w:rPr>
                <w:rFonts w:ascii="Times New Roman" w:hAnsi="Times New Roman"/>
                <w:bCs/>
                <w:sz w:val="24"/>
                <w:szCs w:val="24"/>
              </w:rPr>
            </w:pPr>
            <w:r w:rsidRPr="00E84231">
              <w:rPr>
                <w:rFonts w:ascii="Times New Roman" w:hAnsi="Times New Roman"/>
                <w:bCs/>
                <w:sz w:val="24"/>
                <w:szCs w:val="24"/>
              </w:rPr>
              <w:t>Промышленно-производственная ОЭЗ</w:t>
            </w:r>
          </w:p>
        </w:tc>
      </w:tr>
      <w:tr w:rsidR="002141C6" w:rsidRPr="00E84231" w14:paraId="763F6918" w14:textId="77777777" w:rsidTr="00883269">
        <w:trPr>
          <w:trHeight w:val="275"/>
          <w:jc w:val="center"/>
        </w:trPr>
        <w:tc>
          <w:tcPr>
            <w:tcW w:w="1291" w:type="dxa"/>
            <w:vMerge/>
            <w:tcBorders>
              <w:left w:val="single" w:sz="12" w:space="0" w:color="000000"/>
              <w:right w:val="single" w:sz="4" w:space="0" w:color="auto"/>
            </w:tcBorders>
            <w:shd w:val="clear" w:color="auto" w:fill="auto"/>
            <w:vAlign w:val="center"/>
            <w:hideMark/>
          </w:tcPr>
          <w:p w14:paraId="6C342DDA" w14:textId="77777777" w:rsidR="002141C6" w:rsidRPr="00E84231" w:rsidRDefault="002141C6" w:rsidP="000047BF">
            <w:pPr>
              <w:spacing w:after="0" w:line="240" w:lineRule="auto"/>
              <w:jc w:val="center"/>
              <w:rPr>
                <w:rFonts w:ascii="Times New Roman" w:hAnsi="Times New Roman"/>
                <w:sz w:val="24"/>
                <w:szCs w:val="24"/>
              </w:rPr>
            </w:pPr>
          </w:p>
        </w:tc>
        <w:tc>
          <w:tcPr>
            <w:tcW w:w="2976" w:type="dxa"/>
            <w:tcBorders>
              <w:top w:val="single" w:sz="4" w:space="0" w:color="auto"/>
              <w:left w:val="nil"/>
              <w:bottom w:val="single" w:sz="4" w:space="0" w:color="auto"/>
              <w:right w:val="single" w:sz="4" w:space="0" w:color="auto"/>
            </w:tcBorders>
            <w:shd w:val="clear" w:color="auto" w:fill="auto"/>
            <w:vAlign w:val="bottom"/>
            <w:hideMark/>
          </w:tcPr>
          <w:p w14:paraId="28CFEA2D" w14:textId="77777777" w:rsidR="002141C6" w:rsidRPr="00E84231" w:rsidRDefault="002141C6" w:rsidP="000047BF">
            <w:pPr>
              <w:spacing w:after="0" w:line="240" w:lineRule="auto"/>
              <w:rPr>
                <w:rFonts w:ascii="Times New Roman" w:hAnsi="Times New Roman"/>
                <w:bCs/>
                <w:sz w:val="24"/>
                <w:szCs w:val="24"/>
              </w:rPr>
            </w:pPr>
            <w:r w:rsidRPr="00E84231">
              <w:rPr>
                <w:rFonts w:ascii="Times New Roman" w:hAnsi="Times New Roman"/>
                <w:bCs/>
                <w:sz w:val="24"/>
                <w:szCs w:val="24"/>
              </w:rPr>
              <w:t>Липецкая область,</w:t>
            </w:r>
          </w:p>
        </w:tc>
        <w:tc>
          <w:tcPr>
            <w:tcW w:w="4629" w:type="dxa"/>
            <w:tcBorders>
              <w:top w:val="single" w:sz="4" w:space="0" w:color="auto"/>
              <w:left w:val="nil"/>
              <w:bottom w:val="single" w:sz="4" w:space="0" w:color="auto"/>
              <w:right w:val="single" w:sz="12" w:space="0" w:color="000000"/>
            </w:tcBorders>
            <w:shd w:val="clear" w:color="auto" w:fill="auto"/>
          </w:tcPr>
          <w:p w14:paraId="4B577C11" w14:textId="77777777" w:rsidR="002141C6" w:rsidRPr="00E84231" w:rsidRDefault="002141C6" w:rsidP="000047BF">
            <w:pPr>
              <w:spacing w:after="0" w:line="240" w:lineRule="auto"/>
              <w:rPr>
                <w:rFonts w:ascii="Times New Roman" w:hAnsi="Times New Roman"/>
                <w:bCs/>
                <w:sz w:val="24"/>
                <w:szCs w:val="24"/>
              </w:rPr>
            </w:pPr>
            <w:r w:rsidRPr="00E84231">
              <w:rPr>
                <w:rFonts w:ascii="Times New Roman" w:hAnsi="Times New Roman"/>
                <w:bCs/>
                <w:sz w:val="24"/>
                <w:szCs w:val="24"/>
              </w:rPr>
              <w:t>Промышленно-производственная ОЭЗ</w:t>
            </w:r>
          </w:p>
        </w:tc>
      </w:tr>
      <w:tr w:rsidR="002141C6" w:rsidRPr="00E84231" w14:paraId="2D052CD1" w14:textId="77777777" w:rsidTr="00883269">
        <w:trPr>
          <w:trHeight w:val="275"/>
          <w:jc w:val="center"/>
        </w:trPr>
        <w:tc>
          <w:tcPr>
            <w:tcW w:w="1291" w:type="dxa"/>
            <w:vMerge/>
            <w:tcBorders>
              <w:left w:val="single" w:sz="12" w:space="0" w:color="000000"/>
              <w:right w:val="single" w:sz="4" w:space="0" w:color="auto"/>
            </w:tcBorders>
            <w:shd w:val="clear" w:color="auto" w:fill="auto"/>
            <w:vAlign w:val="bottom"/>
            <w:hideMark/>
          </w:tcPr>
          <w:p w14:paraId="79AFC483" w14:textId="77777777" w:rsidR="002141C6" w:rsidRPr="00E84231" w:rsidRDefault="002141C6" w:rsidP="000047BF">
            <w:pPr>
              <w:spacing w:after="0" w:line="240" w:lineRule="auto"/>
              <w:rPr>
                <w:rFonts w:ascii="Times New Roman" w:hAnsi="Times New Roman"/>
                <w:sz w:val="24"/>
                <w:szCs w:val="24"/>
              </w:rPr>
            </w:pPr>
          </w:p>
        </w:tc>
        <w:tc>
          <w:tcPr>
            <w:tcW w:w="2976" w:type="dxa"/>
            <w:tcBorders>
              <w:top w:val="single" w:sz="4" w:space="0" w:color="auto"/>
              <w:left w:val="nil"/>
              <w:bottom w:val="single" w:sz="4" w:space="0" w:color="auto"/>
              <w:right w:val="single" w:sz="4" w:space="0" w:color="auto"/>
            </w:tcBorders>
            <w:shd w:val="clear" w:color="auto" w:fill="auto"/>
            <w:vAlign w:val="bottom"/>
            <w:hideMark/>
          </w:tcPr>
          <w:p w14:paraId="6712CD19" w14:textId="77777777" w:rsidR="002141C6" w:rsidRPr="00E84231" w:rsidRDefault="002141C6" w:rsidP="000047BF">
            <w:pPr>
              <w:spacing w:after="0" w:line="240" w:lineRule="auto"/>
              <w:rPr>
                <w:rFonts w:ascii="Times New Roman" w:hAnsi="Times New Roman"/>
                <w:sz w:val="24"/>
                <w:szCs w:val="24"/>
              </w:rPr>
            </w:pPr>
            <w:r w:rsidRPr="00E84231">
              <w:rPr>
                <w:rFonts w:ascii="Times New Roman" w:hAnsi="Times New Roman"/>
                <w:sz w:val="24"/>
                <w:szCs w:val="24"/>
              </w:rPr>
              <w:t>Тверская область</w:t>
            </w:r>
          </w:p>
        </w:tc>
        <w:tc>
          <w:tcPr>
            <w:tcW w:w="4629" w:type="dxa"/>
            <w:tcBorders>
              <w:top w:val="single" w:sz="4" w:space="0" w:color="auto"/>
              <w:left w:val="nil"/>
              <w:bottom w:val="single" w:sz="4" w:space="0" w:color="auto"/>
              <w:right w:val="single" w:sz="12" w:space="0" w:color="000000"/>
            </w:tcBorders>
            <w:shd w:val="clear" w:color="auto" w:fill="auto"/>
          </w:tcPr>
          <w:p w14:paraId="57532D7E" w14:textId="77777777" w:rsidR="002141C6" w:rsidRPr="00E84231" w:rsidRDefault="002141C6" w:rsidP="000047BF">
            <w:pPr>
              <w:spacing w:after="0" w:line="240" w:lineRule="auto"/>
              <w:rPr>
                <w:rFonts w:ascii="Times New Roman" w:hAnsi="Times New Roman"/>
                <w:bCs/>
                <w:sz w:val="24"/>
                <w:szCs w:val="24"/>
              </w:rPr>
            </w:pPr>
            <w:r w:rsidRPr="00E84231">
              <w:rPr>
                <w:rFonts w:ascii="Times New Roman" w:hAnsi="Times New Roman"/>
                <w:bCs/>
                <w:sz w:val="24"/>
                <w:szCs w:val="24"/>
              </w:rPr>
              <w:t>Туристско-рекреационная ОЭЗ</w:t>
            </w:r>
          </w:p>
        </w:tc>
      </w:tr>
      <w:tr w:rsidR="002141C6" w:rsidRPr="00E84231" w14:paraId="63D50A0F" w14:textId="77777777" w:rsidTr="00883269">
        <w:trPr>
          <w:trHeight w:val="275"/>
          <w:jc w:val="center"/>
        </w:trPr>
        <w:tc>
          <w:tcPr>
            <w:tcW w:w="1291" w:type="dxa"/>
            <w:vMerge/>
            <w:tcBorders>
              <w:left w:val="single" w:sz="12" w:space="0" w:color="000000"/>
              <w:right w:val="single" w:sz="4" w:space="0" w:color="auto"/>
            </w:tcBorders>
            <w:shd w:val="clear" w:color="auto" w:fill="auto"/>
            <w:vAlign w:val="bottom"/>
            <w:hideMark/>
          </w:tcPr>
          <w:p w14:paraId="3A9512EF" w14:textId="77777777" w:rsidR="002141C6" w:rsidRPr="00E84231" w:rsidRDefault="002141C6" w:rsidP="000047BF">
            <w:pPr>
              <w:spacing w:after="0" w:line="240" w:lineRule="auto"/>
              <w:rPr>
                <w:rFonts w:ascii="Times New Roman" w:hAnsi="Times New Roman"/>
                <w:sz w:val="24"/>
                <w:szCs w:val="24"/>
              </w:rPr>
            </w:pPr>
          </w:p>
        </w:tc>
        <w:tc>
          <w:tcPr>
            <w:tcW w:w="2976" w:type="dxa"/>
            <w:tcBorders>
              <w:top w:val="single" w:sz="4" w:space="0" w:color="auto"/>
              <w:left w:val="nil"/>
              <w:bottom w:val="single" w:sz="4" w:space="0" w:color="auto"/>
              <w:right w:val="single" w:sz="4" w:space="0" w:color="auto"/>
            </w:tcBorders>
            <w:shd w:val="clear" w:color="auto" w:fill="auto"/>
            <w:vAlign w:val="bottom"/>
            <w:hideMark/>
          </w:tcPr>
          <w:p w14:paraId="04043FD5" w14:textId="77777777" w:rsidR="002141C6" w:rsidRPr="00E84231" w:rsidRDefault="002141C6" w:rsidP="000047BF">
            <w:pPr>
              <w:spacing w:after="0" w:line="240" w:lineRule="auto"/>
              <w:rPr>
                <w:rFonts w:ascii="Times New Roman" w:hAnsi="Times New Roman"/>
                <w:bCs/>
                <w:sz w:val="24"/>
                <w:szCs w:val="24"/>
              </w:rPr>
            </w:pPr>
            <w:r w:rsidRPr="00E84231">
              <w:rPr>
                <w:rFonts w:ascii="Times New Roman" w:hAnsi="Times New Roman"/>
                <w:sz w:val="24"/>
                <w:szCs w:val="24"/>
              </w:rPr>
              <w:t>Тульская область</w:t>
            </w:r>
          </w:p>
        </w:tc>
        <w:tc>
          <w:tcPr>
            <w:tcW w:w="4629" w:type="dxa"/>
            <w:tcBorders>
              <w:top w:val="single" w:sz="4" w:space="0" w:color="auto"/>
              <w:left w:val="nil"/>
              <w:bottom w:val="single" w:sz="4" w:space="0" w:color="auto"/>
              <w:right w:val="single" w:sz="12" w:space="0" w:color="000000"/>
            </w:tcBorders>
            <w:shd w:val="clear" w:color="auto" w:fill="auto"/>
          </w:tcPr>
          <w:p w14:paraId="32117C29" w14:textId="77777777" w:rsidR="002141C6" w:rsidRPr="00E84231" w:rsidRDefault="002141C6" w:rsidP="000047BF">
            <w:pPr>
              <w:spacing w:after="0" w:line="240" w:lineRule="auto"/>
              <w:rPr>
                <w:rFonts w:ascii="Times New Roman" w:hAnsi="Times New Roman"/>
                <w:bCs/>
                <w:sz w:val="24"/>
                <w:szCs w:val="24"/>
              </w:rPr>
            </w:pPr>
            <w:r w:rsidRPr="00E84231">
              <w:rPr>
                <w:rFonts w:ascii="Times New Roman" w:hAnsi="Times New Roman"/>
                <w:bCs/>
                <w:sz w:val="24"/>
                <w:szCs w:val="24"/>
              </w:rPr>
              <w:t>Промышленно-производственная ОЭЗ</w:t>
            </w:r>
          </w:p>
        </w:tc>
      </w:tr>
      <w:tr w:rsidR="002141C6" w:rsidRPr="00E84231" w14:paraId="726C23DC" w14:textId="77777777" w:rsidTr="00883269">
        <w:trPr>
          <w:trHeight w:val="275"/>
          <w:jc w:val="center"/>
        </w:trPr>
        <w:tc>
          <w:tcPr>
            <w:tcW w:w="1291" w:type="dxa"/>
            <w:vMerge/>
            <w:tcBorders>
              <w:left w:val="single" w:sz="12" w:space="0" w:color="000000"/>
              <w:bottom w:val="single" w:sz="12" w:space="0" w:color="000000"/>
              <w:right w:val="single" w:sz="4" w:space="0" w:color="auto"/>
            </w:tcBorders>
            <w:shd w:val="clear" w:color="auto" w:fill="auto"/>
            <w:vAlign w:val="bottom"/>
            <w:hideMark/>
          </w:tcPr>
          <w:p w14:paraId="7EEFC121" w14:textId="77777777" w:rsidR="002141C6" w:rsidRPr="00E84231" w:rsidRDefault="002141C6" w:rsidP="000047BF">
            <w:pPr>
              <w:spacing w:after="0" w:line="240" w:lineRule="auto"/>
              <w:rPr>
                <w:rFonts w:ascii="Times New Roman" w:hAnsi="Times New Roman"/>
                <w:sz w:val="24"/>
                <w:szCs w:val="24"/>
              </w:rPr>
            </w:pPr>
          </w:p>
        </w:tc>
        <w:tc>
          <w:tcPr>
            <w:tcW w:w="2976" w:type="dxa"/>
            <w:tcBorders>
              <w:top w:val="single" w:sz="4" w:space="0" w:color="auto"/>
              <w:left w:val="nil"/>
              <w:bottom w:val="single" w:sz="12" w:space="0" w:color="000000"/>
              <w:right w:val="single" w:sz="4" w:space="0" w:color="auto"/>
            </w:tcBorders>
            <w:shd w:val="clear" w:color="auto" w:fill="auto"/>
            <w:vAlign w:val="bottom"/>
            <w:hideMark/>
          </w:tcPr>
          <w:p w14:paraId="4ED10D77" w14:textId="77777777" w:rsidR="002141C6" w:rsidRPr="00E84231" w:rsidRDefault="002141C6" w:rsidP="000047BF">
            <w:pPr>
              <w:spacing w:after="0" w:line="240" w:lineRule="auto"/>
              <w:rPr>
                <w:rFonts w:ascii="Times New Roman" w:hAnsi="Times New Roman"/>
                <w:sz w:val="24"/>
                <w:szCs w:val="24"/>
              </w:rPr>
            </w:pPr>
            <w:r w:rsidRPr="00E84231">
              <w:rPr>
                <w:rFonts w:ascii="Times New Roman" w:hAnsi="Times New Roman"/>
                <w:sz w:val="24"/>
                <w:szCs w:val="24"/>
              </w:rPr>
              <w:t>Псковская область</w:t>
            </w:r>
          </w:p>
        </w:tc>
        <w:tc>
          <w:tcPr>
            <w:tcW w:w="4629" w:type="dxa"/>
            <w:tcBorders>
              <w:top w:val="single" w:sz="4" w:space="0" w:color="auto"/>
              <w:left w:val="nil"/>
              <w:bottom w:val="single" w:sz="12" w:space="0" w:color="000000"/>
              <w:right w:val="single" w:sz="12" w:space="0" w:color="000000"/>
            </w:tcBorders>
            <w:shd w:val="clear" w:color="auto" w:fill="auto"/>
          </w:tcPr>
          <w:p w14:paraId="44FE7F72" w14:textId="77777777" w:rsidR="002141C6" w:rsidRPr="00E84231" w:rsidRDefault="002141C6" w:rsidP="000047BF">
            <w:pPr>
              <w:spacing w:after="0" w:line="240" w:lineRule="auto"/>
              <w:rPr>
                <w:rFonts w:ascii="Times New Roman" w:hAnsi="Times New Roman"/>
                <w:bCs/>
                <w:sz w:val="24"/>
                <w:szCs w:val="24"/>
              </w:rPr>
            </w:pPr>
            <w:r w:rsidRPr="00E84231">
              <w:rPr>
                <w:rFonts w:ascii="Times New Roman" w:hAnsi="Times New Roman"/>
                <w:bCs/>
                <w:sz w:val="24"/>
                <w:szCs w:val="24"/>
              </w:rPr>
              <w:t>Промышленно-производственная ОЭЗ</w:t>
            </w:r>
          </w:p>
        </w:tc>
      </w:tr>
      <w:tr w:rsidR="002141C6" w:rsidRPr="00E84231" w14:paraId="0A737A5F" w14:textId="77777777" w:rsidTr="00883269">
        <w:trPr>
          <w:trHeight w:val="315"/>
          <w:jc w:val="center"/>
        </w:trPr>
        <w:tc>
          <w:tcPr>
            <w:tcW w:w="1291" w:type="dxa"/>
            <w:vMerge w:val="restart"/>
            <w:tcBorders>
              <w:top w:val="single" w:sz="12" w:space="0" w:color="000000"/>
              <w:left w:val="single" w:sz="12" w:space="0" w:color="auto"/>
              <w:right w:val="single" w:sz="2" w:space="0" w:color="auto"/>
            </w:tcBorders>
            <w:shd w:val="clear" w:color="auto" w:fill="auto"/>
            <w:vAlign w:val="center"/>
            <w:hideMark/>
          </w:tcPr>
          <w:p w14:paraId="39A89AE5" w14:textId="77777777" w:rsidR="002141C6" w:rsidRPr="00E84231" w:rsidRDefault="002141C6" w:rsidP="002141C6">
            <w:pPr>
              <w:spacing w:after="0" w:line="240" w:lineRule="auto"/>
              <w:jc w:val="center"/>
              <w:rPr>
                <w:rFonts w:ascii="Times New Roman" w:hAnsi="Times New Roman"/>
                <w:sz w:val="24"/>
                <w:szCs w:val="24"/>
              </w:rPr>
            </w:pPr>
            <w:r w:rsidRPr="00E84231">
              <w:rPr>
                <w:rFonts w:ascii="Times New Roman" w:hAnsi="Times New Roman"/>
                <w:sz w:val="24"/>
                <w:szCs w:val="24"/>
              </w:rPr>
              <w:t>100 до 110</w:t>
            </w:r>
          </w:p>
        </w:tc>
        <w:tc>
          <w:tcPr>
            <w:tcW w:w="2976" w:type="dxa"/>
            <w:tcBorders>
              <w:top w:val="single" w:sz="12" w:space="0" w:color="000000"/>
              <w:left w:val="single" w:sz="2" w:space="0" w:color="auto"/>
              <w:bottom w:val="single" w:sz="2" w:space="0" w:color="auto"/>
              <w:right w:val="single" w:sz="2" w:space="0" w:color="auto"/>
            </w:tcBorders>
            <w:shd w:val="clear" w:color="auto" w:fill="auto"/>
            <w:vAlign w:val="bottom"/>
            <w:hideMark/>
          </w:tcPr>
          <w:p w14:paraId="144B134B" w14:textId="77777777" w:rsidR="002141C6" w:rsidRPr="00E84231" w:rsidRDefault="002141C6" w:rsidP="000047BF">
            <w:pPr>
              <w:spacing w:after="0" w:line="240" w:lineRule="auto"/>
              <w:rPr>
                <w:rFonts w:ascii="Times New Roman" w:hAnsi="Times New Roman"/>
                <w:bCs/>
                <w:sz w:val="24"/>
                <w:szCs w:val="24"/>
              </w:rPr>
            </w:pPr>
            <w:r w:rsidRPr="00E84231">
              <w:rPr>
                <w:rFonts w:ascii="Times New Roman" w:hAnsi="Times New Roman"/>
                <w:bCs/>
                <w:sz w:val="24"/>
                <w:szCs w:val="24"/>
              </w:rPr>
              <w:t xml:space="preserve">г. Москва, </w:t>
            </w:r>
          </w:p>
        </w:tc>
        <w:tc>
          <w:tcPr>
            <w:tcW w:w="4629" w:type="dxa"/>
            <w:tcBorders>
              <w:top w:val="single" w:sz="12" w:space="0" w:color="000000"/>
              <w:left w:val="single" w:sz="2" w:space="0" w:color="auto"/>
              <w:bottom w:val="single" w:sz="2" w:space="0" w:color="auto"/>
              <w:right w:val="single" w:sz="12" w:space="0" w:color="auto"/>
            </w:tcBorders>
          </w:tcPr>
          <w:p w14:paraId="1F2FDE65" w14:textId="77777777" w:rsidR="002141C6" w:rsidRPr="00E84231" w:rsidRDefault="002141C6" w:rsidP="000047BF">
            <w:pPr>
              <w:spacing w:after="0" w:line="240" w:lineRule="auto"/>
              <w:rPr>
                <w:rFonts w:ascii="Times New Roman" w:hAnsi="Times New Roman"/>
                <w:bCs/>
                <w:sz w:val="24"/>
                <w:szCs w:val="24"/>
              </w:rPr>
            </w:pPr>
            <w:r w:rsidRPr="00E84231">
              <w:rPr>
                <w:rFonts w:ascii="Times New Roman" w:hAnsi="Times New Roman"/>
                <w:bCs/>
                <w:sz w:val="24"/>
                <w:szCs w:val="24"/>
              </w:rPr>
              <w:t>Технико-внедренческая ОЭЗ</w:t>
            </w:r>
          </w:p>
        </w:tc>
      </w:tr>
      <w:tr w:rsidR="002141C6" w:rsidRPr="00E84231" w14:paraId="235DC9F3" w14:textId="77777777" w:rsidTr="00883269">
        <w:trPr>
          <w:trHeight w:val="315"/>
          <w:jc w:val="center"/>
        </w:trPr>
        <w:tc>
          <w:tcPr>
            <w:tcW w:w="1291" w:type="dxa"/>
            <w:vMerge/>
            <w:tcBorders>
              <w:left w:val="single" w:sz="12" w:space="0" w:color="auto"/>
              <w:right w:val="single" w:sz="2" w:space="0" w:color="auto"/>
            </w:tcBorders>
            <w:shd w:val="clear" w:color="auto" w:fill="auto"/>
            <w:vAlign w:val="bottom"/>
            <w:hideMark/>
          </w:tcPr>
          <w:p w14:paraId="0B2A5266" w14:textId="77777777" w:rsidR="002141C6" w:rsidRPr="00E84231" w:rsidRDefault="002141C6" w:rsidP="000047BF">
            <w:pPr>
              <w:spacing w:after="0" w:line="240" w:lineRule="auto"/>
              <w:rPr>
                <w:rFonts w:ascii="Times New Roman" w:hAnsi="Times New Roman"/>
                <w:sz w:val="24"/>
                <w:szCs w:val="24"/>
              </w:rPr>
            </w:pPr>
          </w:p>
        </w:tc>
        <w:tc>
          <w:tcPr>
            <w:tcW w:w="2976" w:type="dxa"/>
            <w:tcBorders>
              <w:top w:val="single" w:sz="2" w:space="0" w:color="auto"/>
              <w:left w:val="single" w:sz="2" w:space="0" w:color="auto"/>
              <w:bottom w:val="single" w:sz="2" w:space="0" w:color="auto"/>
              <w:right w:val="single" w:sz="2" w:space="0" w:color="auto"/>
            </w:tcBorders>
            <w:shd w:val="clear" w:color="auto" w:fill="auto"/>
            <w:vAlign w:val="bottom"/>
            <w:hideMark/>
          </w:tcPr>
          <w:p w14:paraId="71A7DC42" w14:textId="77777777" w:rsidR="002141C6" w:rsidRPr="00E84231" w:rsidRDefault="002141C6" w:rsidP="000047BF">
            <w:pPr>
              <w:spacing w:after="0" w:line="240" w:lineRule="auto"/>
              <w:rPr>
                <w:rFonts w:ascii="Times New Roman" w:hAnsi="Times New Roman"/>
                <w:bCs/>
                <w:sz w:val="24"/>
                <w:szCs w:val="24"/>
              </w:rPr>
            </w:pPr>
            <w:r w:rsidRPr="00E84231">
              <w:rPr>
                <w:rFonts w:ascii="Times New Roman" w:hAnsi="Times New Roman"/>
                <w:bCs/>
                <w:sz w:val="24"/>
                <w:szCs w:val="24"/>
              </w:rPr>
              <w:t>Алтайский край,</w:t>
            </w:r>
            <w:r w:rsidRPr="00E84231">
              <w:rPr>
                <w:rFonts w:ascii="Times New Roman" w:hAnsi="Times New Roman"/>
                <w:sz w:val="24"/>
                <w:szCs w:val="24"/>
              </w:rPr>
              <w:t xml:space="preserve">  </w:t>
            </w:r>
          </w:p>
        </w:tc>
        <w:tc>
          <w:tcPr>
            <w:tcW w:w="4629" w:type="dxa"/>
            <w:tcBorders>
              <w:top w:val="single" w:sz="2" w:space="0" w:color="auto"/>
              <w:left w:val="single" w:sz="2" w:space="0" w:color="auto"/>
              <w:bottom w:val="single" w:sz="2" w:space="0" w:color="auto"/>
              <w:right w:val="single" w:sz="12" w:space="0" w:color="auto"/>
            </w:tcBorders>
          </w:tcPr>
          <w:p w14:paraId="4FB9BB93" w14:textId="77777777" w:rsidR="002141C6" w:rsidRPr="00E84231" w:rsidRDefault="002141C6" w:rsidP="000047BF">
            <w:pPr>
              <w:spacing w:after="0" w:line="240" w:lineRule="auto"/>
              <w:rPr>
                <w:rFonts w:ascii="Times New Roman" w:hAnsi="Times New Roman"/>
                <w:bCs/>
                <w:sz w:val="24"/>
                <w:szCs w:val="24"/>
              </w:rPr>
            </w:pPr>
            <w:r w:rsidRPr="00E84231">
              <w:rPr>
                <w:rFonts w:ascii="Times New Roman" w:hAnsi="Times New Roman"/>
                <w:bCs/>
                <w:sz w:val="24"/>
                <w:szCs w:val="24"/>
              </w:rPr>
              <w:t>Туристско-рекреационная ОЭЗ</w:t>
            </w:r>
          </w:p>
        </w:tc>
      </w:tr>
      <w:tr w:rsidR="002141C6" w:rsidRPr="00E84231" w14:paraId="08AD9853" w14:textId="77777777" w:rsidTr="00883269">
        <w:trPr>
          <w:trHeight w:val="315"/>
          <w:jc w:val="center"/>
        </w:trPr>
        <w:tc>
          <w:tcPr>
            <w:tcW w:w="1291" w:type="dxa"/>
            <w:vMerge/>
            <w:tcBorders>
              <w:left w:val="single" w:sz="12" w:space="0" w:color="auto"/>
              <w:right w:val="single" w:sz="2" w:space="0" w:color="auto"/>
            </w:tcBorders>
            <w:shd w:val="clear" w:color="auto" w:fill="auto"/>
            <w:vAlign w:val="bottom"/>
            <w:hideMark/>
          </w:tcPr>
          <w:p w14:paraId="6019370F" w14:textId="77777777" w:rsidR="002141C6" w:rsidRPr="00E84231" w:rsidRDefault="002141C6" w:rsidP="000047BF">
            <w:pPr>
              <w:spacing w:after="0" w:line="240" w:lineRule="auto"/>
              <w:rPr>
                <w:rFonts w:ascii="Times New Roman" w:hAnsi="Times New Roman"/>
                <w:sz w:val="24"/>
                <w:szCs w:val="24"/>
              </w:rPr>
            </w:pPr>
          </w:p>
        </w:tc>
        <w:tc>
          <w:tcPr>
            <w:tcW w:w="2976" w:type="dxa"/>
            <w:tcBorders>
              <w:top w:val="single" w:sz="2" w:space="0" w:color="auto"/>
              <w:left w:val="single" w:sz="2" w:space="0" w:color="auto"/>
              <w:bottom w:val="single" w:sz="2" w:space="0" w:color="auto"/>
              <w:right w:val="single" w:sz="2" w:space="0" w:color="auto"/>
            </w:tcBorders>
            <w:shd w:val="clear" w:color="auto" w:fill="auto"/>
            <w:vAlign w:val="bottom"/>
            <w:hideMark/>
          </w:tcPr>
          <w:p w14:paraId="426214BD" w14:textId="77777777" w:rsidR="002141C6" w:rsidRPr="00E84231" w:rsidRDefault="002141C6" w:rsidP="000047BF">
            <w:pPr>
              <w:spacing w:after="0" w:line="240" w:lineRule="auto"/>
              <w:rPr>
                <w:rFonts w:ascii="Times New Roman" w:hAnsi="Times New Roman"/>
                <w:bCs/>
                <w:sz w:val="24"/>
                <w:szCs w:val="24"/>
              </w:rPr>
            </w:pPr>
            <w:r w:rsidRPr="00E84231">
              <w:rPr>
                <w:rFonts w:ascii="Times New Roman" w:hAnsi="Times New Roman"/>
                <w:bCs/>
                <w:sz w:val="24"/>
                <w:szCs w:val="24"/>
              </w:rPr>
              <w:t>Ульяновская область</w:t>
            </w:r>
          </w:p>
        </w:tc>
        <w:tc>
          <w:tcPr>
            <w:tcW w:w="4629" w:type="dxa"/>
            <w:tcBorders>
              <w:top w:val="single" w:sz="2" w:space="0" w:color="auto"/>
              <w:left w:val="single" w:sz="2" w:space="0" w:color="auto"/>
              <w:bottom w:val="single" w:sz="2" w:space="0" w:color="auto"/>
              <w:right w:val="single" w:sz="12" w:space="0" w:color="auto"/>
            </w:tcBorders>
          </w:tcPr>
          <w:p w14:paraId="47C26BC7" w14:textId="77777777" w:rsidR="002141C6" w:rsidRPr="00E84231" w:rsidRDefault="002141C6" w:rsidP="000047BF">
            <w:pPr>
              <w:spacing w:after="0" w:line="240" w:lineRule="auto"/>
              <w:rPr>
                <w:rFonts w:ascii="Times New Roman" w:hAnsi="Times New Roman"/>
                <w:bCs/>
                <w:sz w:val="24"/>
                <w:szCs w:val="24"/>
              </w:rPr>
            </w:pPr>
            <w:r w:rsidRPr="00E84231">
              <w:rPr>
                <w:rFonts w:ascii="Times New Roman" w:hAnsi="Times New Roman"/>
                <w:bCs/>
                <w:sz w:val="24"/>
                <w:szCs w:val="24"/>
              </w:rPr>
              <w:t>Портовая ОЭЗ</w:t>
            </w:r>
          </w:p>
        </w:tc>
      </w:tr>
      <w:tr w:rsidR="002141C6" w:rsidRPr="00E84231" w14:paraId="3CD1A466" w14:textId="77777777" w:rsidTr="00883269">
        <w:trPr>
          <w:trHeight w:val="315"/>
          <w:jc w:val="center"/>
        </w:trPr>
        <w:tc>
          <w:tcPr>
            <w:tcW w:w="1291" w:type="dxa"/>
            <w:vMerge/>
            <w:tcBorders>
              <w:left w:val="single" w:sz="12" w:space="0" w:color="auto"/>
              <w:bottom w:val="single" w:sz="12" w:space="0" w:color="auto"/>
              <w:right w:val="single" w:sz="2" w:space="0" w:color="auto"/>
            </w:tcBorders>
            <w:shd w:val="clear" w:color="auto" w:fill="auto"/>
            <w:vAlign w:val="bottom"/>
            <w:hideMark/>
          </w:tcPr>
          <w:p w14:paraId="06B95244" w14:textId="77777777" w:rsidR="002141C6" w:rsidRPr="00E84231" w:rsidRDefault="002141C6" w:rsidP="000047BF">
            <w:pPr>
              <w:spacing w:after="0" w:line="240" w:lineRule="auto"/>
              <w:rPr>
                <w:rFonts w:ascii="Times New Roman" w:hAnsi="Times New Roman"/>
                <w:sz w:val="24"/>
                <w:szCs w:val="24"/>
              </w:rPr>
            </w:pPr>
          </w:p>
        </w:tc>
        <w:tc>
          <w:tcPr>
            <w:tcW w:w="2976" w:type="dxa"/>
            <w:tcBorders>
              <w:top w:val="single" w:sz="2" w:space="0" w:color="auto"/>
              <w:left w:val="single" w:sz="2" w:space="0" w:color="auto"/>
              <w:bottom w:val="single" w:sz="12" w:space="0" w:color="auto"/>
              <w:right w:val="single" w:sz="2" w:space="0" w:color="auto"/>
            </w:tcBorders>
            <w:shd w:val="clear" w:color="auto" w:fill="auto"/>
            <w:vAlign w:val="bottom"/>
            <w:hideMark/>
          </w:tcPr>
          <w:p w14:paraId="0E95B154" w14:textId="77777777" w:rsidR="002141C6" w:rsidRPr="00E84231" w:rsidRDefault="002141C6" w:rsidP="000047BF">
            <w:pPr>
              <w:spacing w:after="0" w:line="240" w:lineRule="auto"/>
              <w:rPr>
                <w:rFonts w:ascii="Times New Roman" w:hAnsi="Times New Roman"/>
                <w:sz w:val="24"/>
                <w:szCs w:val="24"/>
              </w:rPr>
            </w:pPr>
            <w:r w:rsidRPr="00E84231">
              <w:rPr>
                <w:rFonts w:ascii="Times New Roman" w:hAnsi="Times New Roman"/>
                <w:sz w:val="24"/>
                <w:szCs w:val="24"/>
              </w:rPr>
              <w:t>Республика Бурятия</w:t>
            </w:r>
          </w:p>
        </w:tc>
        <w:tc>
          <w:tcPr>
            <w:tcW w:w="4629" w:type="dxa"/>
            <w:tcBorders>
              <w:top w:val="single" w:sz="2" w:space="0" w:color="auto"/>
              <w:left w:val="single" w:sz="2" w:space="0" w:color="auto"/>
              <w:bottom w:val="single" w:sz="12" w:space="0" w:color="auto"/>
              <w:right w:val="single" w:sz="12" w:space="0" w:color="auto"/>
            </w:tcBorders>
          </w:tcPr>
          <w:p w14:paraId="1FC0A6F4" w14:textId="77777777" w:rsidR="002141C6" w:rsidRPr="00E84231" w:rsidRDefault="002141C6" w:rsidP="000047BF">
            <w:pPr>
              <w:spacing w:after="0" w:line="240" w:lineRule="auto"/>
              <w:rPr>
                <w:rFonts w:ascii="Times New Roman" w:hAnsi="Times New Roman"/>
                <w:bCs/>
                <w:sz w:val="24"/>
                <w:szCs w:val="24"/>
              </w:rPr>
            </w:pPr>
            <w:r w:rsidRPr="00E84231">
              <w:rPr>
                <w:rFonts w:ascii="Times New Roman" w:hAnsi="Times New Roman"/>
                <w:bCs/>
                <w:sz w:val="24"/>
                <w:szCs w:val="24"/>
              </w:rPr>
              <w:t>Туристско-рекреационная ОЭЗ</w:t>
            </w:r>
          </w:p>
        </w:tc>
      </w:tr>
    </w:tbl>
    <w:p w14:paraId="04BF59C1" w14:textId="773E4BE0" w:rsidR="002712B5" w:rsidRDefault="00022A88" w:rsidP="00022A88">
      <w:pPr>
        <w:spacing w:after="0" w:line="240" w:lineRule="auto"/>
        <w:jc w:val="both"/>
        <w:rPr>
          <w:rFonts w:ascii="Times New Roman" w:hAnsi="Times New Roman"/>
          <w:i/>
          <w:sz w:val="28"/>
          <w:szCs w:val="28"/>
        </w:rPr>
      </w:pPr>
      <w:r w:rsidRPr="0042101B">
        <w:rPr>
          <w:rFonts w:ascii="Times New Roman" w:hAnsi="Times New Roman"/>
          <w:i/>
          <w:sz w:val="28"/>
          <w:szCs w:val="28"/>
        </w:rPr>
        <w:t>*Источник: Данные Росстата, составлено авторами</w:t>
      </w:r>
    </w:p>
    <w:p w14:paraId="3F2634D9" w14:textId="3320A8BB" w:rsidR="004C38B6" w:rsidRPr="00E84231" w:rsidRDefault="002712B5" w:rsidP="004C38B6">
      <w:pPr>
        <w:spacing w:after="0" w:line="240" w:lineRule="auto"/>
        <w:ind w:firstLine="709"/>
        <w:jc w:val="both"/>
        <w:rPr>
          <w:rFonts w:ascii="Times New Roman" w:hAnsi="Times New Roman"/>
          <w:sz w:val="24"/>
          <w:szCs w:val="24"/>
        </w:rPr>
      </w:pPr>
      <w:r w:rsidRPr="00E84231">
        <w:rPr>
          <w:rFonts w:ascii="Times New Roman" w:hAnsi="Times New Roman"/>
          <w:sz w:val="24"/>
          <w:szCs w:val="24"/>
        </w:rPr>
        <w:t>В отношении показателя индекс физического объема инвестиции в основной капитал по ОЭЗ сложилась отличная от индекса промышленного производства ситуация.  Наименьшая доля прироста по инвестициям в основной капитал наблюдается в рамках технико-внедренческих, и промышленно-производственных ОЭЗ.</w:t>
      </w:r>
      <w:r w:rsidR="0020400D" w:rsidRPr="00E84231">
        <w:rPr>
          <w:rFonts w:ascii="Times New Roman" w:hAnsi="Times New Roman"/>
          <w:sz w:val="24"/>
          <w:szCs w:val="24"/>
        </w:rPr>
        <w:t xml:space="preserve">  Наибольшая динамика прироста по данному показателю выявлена в технико-внедренческих ОЭЗ.</w:t>
      </w:r>
      <w:r w:rsidR="009B7BFB" w:rsidRPr="009B7BFB">
        <w:rPr>
          <w:noProof/>
        </w:rPr>
        <w:t xml:space="preserve"> </w:t>
      </w:r>
      <w:r w:rsidR="009B7BFB">
        <w:rPr>
          <w:noProof/>
        </w:rPr>
        <w:drawing>
          <wp:inline distT="0" distB="0" distL="0" distR="0" wp14:anchorId="75D6C9A8" wp14:editId="788CA5D2">
            <wp:extent cx="6120130" cy="2727960"/>
            <wp:effectExtent l="0" t="0" r="0" b="0"/>
            <wp:docPr id="1" name="Диаграмма 1">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3EF859A1-A87B-4E8A-82B9-E7CAE5968BB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52DD46BA" w14:textId="1372383E" w:rsidR="009B7BFB" w:rsidRDefault="004C38B6" w:rsidP="00E84231">
      <w:pPr>
        <w:spacing w:after="0" w:line="240" w:lineRule="auto"/>
        <w:ind w:firstLine="709"/>
        <w:jc w:val="both"/>
        <w:rPr>
          <w:rFonts w:ascii="Times New Roman" w:hAnsi="Times New Roman"/>
          <w:color w:val="000000"/>
          <w:sz w:val="24"/>
          <w:szCs w:val="24"/>
        </w:rPr>
      </w:pPr>
      <w:r w:rsidRPr="004C38B6">
        <w:rPr>
          <w:rFonts w:ascii="Times New Roman" w:hAnsi="Times New Roman"/>
          <w:sz w:val="24"/>
          <w:szCs w:val="24"/>
        </w:rPr>
        <w:t xml:space="preserve">Рисунок 2. </w:t>
      </w:r>
      <w:r>
        <w:rPr>
          <w:rFonts w:ascii="Times New Roman" w:hAnsi="Times New Roman"/>
          <w:sz w:val="24"/>
          <w:szCs w:val="24"/>
        </w:rPr>
        <w:t xml:space="preserve">Динамика изменения показателя </w:t>
      </w:r>
      <w:r w:rsidR="009B7BFB">
        <w:rPr>
          <w:rFonts w:ascii="Times New Roman" w:hAnsi="Times New Roman"/>
          <w:color w:val="000000"/>
          <w:sz w:val="24"/>
          <w:szCs w:val="24"/>
        </w:rPr>
        <w:t>и</w:t>
      </w:r>
      <w:r w:rsidR="009B7BFB" w:rsidRPr="00E84231">
        <w:rPr>
          <w:rFonts w:ascii="Times New Roman" w:hAnsi="Times New Roman"/>
          <w:color w:val="000000"/>
          <w:sz w:val="24"/>
          <w:szCs w:val="24"/>
        </w:rPr>
        <w:t>ндекс физического объема инвестиций в основанной капитал</w:t>
      </w:r>
      <w:r w:rsidR="009B7BFB">
        <w:rPr>
          <w:rFonts w:ascii="Times New Roman" w:hAnsi="Times New Roman"/>
          <w:color w:val="000000"/>
          <w:sz w:val="24"/>
          <w:szCs w:val="24"/>
        </w:rPr>
        <w:t>.</w:t>
      </w:r>
    </w:p>
    <w:p w14:paraId="4B1585EC" w14:textId="744A07A9" w:rsidR="009B7BFB" w:rsidRDefault="009B7BFB" w:rsidP="00E84231">
      <w:pPr>
        <w:spacing w:after="0" w:line="240" w:lineRule="auto"/>
        <w:ind w:firstLine="709"/>
        <w:jc w:val="both"/>
        <w:rPr>
          <w:rFonts w:ascii="Times New Roman" w:hAnsi="Times New Roman"/>
          <w:color w:val="000000"/>
          <w:sz w:val="24"/>
          <w:szCs w:val="24"/>
        </w:rPr>
      </w:pPr>
      <w:r>
        <w:rPr>
          <w:rFonts w:ascii="Times New Roman" w:hAnsi="Times New Roman"/>
          <w:color w:val="000000"/>
          <w:sz w:val="24"/>
          <w:szCs w:val="24"/>
        </w:rPr>
        <w:t>Полученные результаты анализа показателя индекс физического объема инвестиций в основной капитал является более зависимой от экономических колебаний. Кризисы 2004, 2008 значительно сокращают поток финансовых вложений в экономику ОЭЗ.</w:t>
      </w:r>
    </w:p>
    <w:p w14:paraId="500FF8F3" w14:textId="7E277737" w:rsidR="00426BB3" w:rsidRPr="00E84231" w:rsidRDefault="000047BF" w:rsidP="00E84231">
      <w:pPr>
        <w:spacing w:after="0" w:line="240" w:lineRule="auto"/>
        <w:ind w:firstLine="709"/>
        <w:jc w:val="both"/>
        <w:rPr>
          <w:rFonts w:ascii="Times New Roman" w:hAnsi="Times New Roman"/>
          <w:sz w:val="24"/>
          <w:szCs w:val="24"/>
        </w:rPr>
      </w:pPr>
      <w:r w:rsidRPr="00092697">
        <w:rPr>
          <w:rFonts w:ascii="Times New Roman" w:hAnsi="Times New Roman"/>
          <w:b/>
          <w:bCs/>
          <w:sz w:val="24"/>
          <w:szCs w:val="24"/>
        </w:rPr>
        <w:t>Выводы</w:t>
      </w:r>
      <w:r w:rsidR="00E97877" w:rsidRPr="00092697">
        <w:rPr>
          <w:rFonts w:ascii="Times New Roman" w:hAnsi="Times New Roman"/>
          <w:b/>
          <w:bCs/>
          <w:sz w:val="24"/>
          <w:szCs w:val="24"/>
        </w:rPr>
        <w:t>.</w:t>
      </w:r>
      <w:r w:rsidR="00E97877" w:rsidRPr="00E84231">
        <w:rPr>
          <w:rFonts w:ascii="Times New Roman" w:hAnsi="Times New Roman"/>
          <w:sz w:val="24"/>
          <w:szCs w:val="24"/>
        </w:rPr>
        <w:t xml:space="preserve"> Проведенное исследование позволило сформулировать основные направления развития территорий ОЭЗ.  Введение </w:t>
      </w:r>
      <w:r w:rsidR="00092697">
        <w:rPr>
          <w:rFonts w:ascii="Times New Roman" w:hAnsi="Times New Roman"/>
          <w:sz w:val="24"/>
          <w:szCs w:val="24"/>
        </w:rPr>
        <w:t>налоговых преференций</w:t>
      </w:r>
      <w:r w:rsidR="00E97877" w:rsidRPr="00E84231">
        <w:rPr>
          <w:rFonts w:ascii="Times New Roman" w:hAnsi="Times New Roman"/>
          <w:sz w:val="24"/>
          <w:szCs w:val="24"/>
        </w:rPr>
        <w:t xml:space="preserve"> обеспечи</w:t>
      </w:r>
      <w:r w:rsidR="00092697">
        <w:rPr>
          <w:rFonts w:ascii="Times New Roman" w:hAnsi="Times New Roman"/>
          <w:sz w:val="24"/>
          <w:szCs w:val="24"/>
        </w:rPr>
        <w:t xml:space="preserve">ло </w:t>
      </w:r>
      <w:r w:rsidR="00E97877" w:rsidRPr="00E84231">
        <w:rPr>
          <w:rFonts w:ascii="Times New Roman" w:hAnsi="Times New Roman"/>
          <w:sz w:val="24"/>
          <w:szCs w:val="24"/>
        </w:rPr>
        <w:t>субъекты преимуществами в отдельных формах и процессах</w:t>
      </w:r>
      <w:r w:rsidR="00092697">
        <w:rPr>
          <w:rFonts w:ascii="Times New Roman" w:hAnsi="Times New Roman"/>
          <w:sz w:val="24"/>
          <w:szCs w:val="24"/>
        </w:rPr>
        <w:t>. Существующие преимущества не всегда использовались территориями для сохранения тенденций развития</w:t>
      </w:r>
      <w:r w:rsidR="00E97877" w:rsidRPr="00E84231">
        <w:rPr>
          <w:rFonts w:ascii="Times New Roman" w:hAnsi="Times New Roman"/>
          <w:sz w:val="24"/>
          <w:szCs w:val="24"/>
        </w:rPr>
        <w:t>. Рассмотрение важных для экономического роста показателей, таки</w:t>
      </w:r>
      <w:r w:rsidR="00CA52FA" w:rsidRPr="00E84231">
        <w:rPr>
          <w:rFonts w:ascii="Times New Roman" w:hAnsi="Times New Roman"/>
          <w:sz w:val="24"/>
          <w:szCs w:val="24"/>
        </w:rPr>
        <w:t>х</w:t>
      </w:r>
      <w:r w:rsidR="00E97877" w:rsidRPr="00E84231">
        <w:rPr>
          <w:rFonts w:ascii="Times New Roman" w:hAnsi="Times New Roman"/>
          <w:sz w:val="24"/>
          <w:szCs w:val="24"/>
        </w:rPr>
        <w:t xml:space="preserve"> как</w:t>
      </w:r>
      <w:r w:rsidR="00CA52FA" w:rsidRPr="00E84231">
        <w:rPr>
          <w:rFonts w:ascii="Times New Roman" w:hAnsi="Times New Roman"/>
          <w:sz w:val="24"/>
          <w:szCs w:val="24"/>
        </w:rPr>
        <w:t xml:space="preserve"> </w:t>
      </w:r>
      <w:r w:rsidR="00E97877" w:rsidRPr="00E84231">
        <w:rPr>
          <w:rFonts w:ascii="Times New Roman" w:hAnsi="Times New Roman"/>
          <w:sz w:val="24"/>
          <w:szCs w:val="24"/>
        </w:rPr>
        <w:t xml:space="preserve">промышленное производство и инвестиции в основной капитал, </w:t>
      </w:r>
      <w:r w:rsidR="00092697">
        <w:rPr>
          <w:rFonts w:ascii="Times New Roman" w:hAnsi="Times New Roman"/>
          <w:sz w:val="24"/>
          <w:szCs w:val="24"/>
        </w:rPr>
        <w:t xml:space="preserve">показали, что территории ОЭЗ повторяют общеэкономические тенденции. </w:t>
      </w:r>
      <w:r w:rsidR="00E97877" w:rsidRPr="00E84231">
        <w:rPr>
          <w:rFonts w:ascii="Times New Roman" w:hAnsi="Times New Roman"/>
          <w:sz w:val="24"/>
          <w:szCs w:val="24"/>
        </w:rPr>
        <w:t xml:space="preserve">  </w:t>
      </w:r>
      <w:r w:rsidR="00092697">
        <w:rPr>
          <w:rFonts w:ascii="Times New Roman" w:hAnsi="Times New Roman"/>
          <w:sz w:val="24"/>
          <w:szCs w:val="24"/>
        </w:rPr>
        <w:t>Территориальная специализация</w:t>
      </w:r>
      <w:r w:rsidR="00426BB3" w:rsidRPr="00E84231">
        <w:rPr>
          <w:rFonts w:ascii="Times New Roman" w:hAnsi="Times New Roman"/>
          <w:sz w:val="24"/>
          <w:szCs w:val="24"/>
        </w:rPr>
        <w:t xml:space="preserve"> ОЭЗ не значительно влияет на </w:t>
      </w:r>
      <w:r w:rsidR="00092697">
        <w:rPr>
          <w:rFonts w:ascii="Times New Roman" w:hAnsi="Times New Roman"/>
          <w:sz w:val="24"/>
          <w:szCs w:val="24"/>
        </w:rPr>
        <w:t xml:space="preserve">исследуемые </w:t>
      </w:r>
      <w:r w:rsidR="00426BB3" w:rsidRPr="00E84231">
        <w:rPr>
          <w:rFonts w:ascii="Times New Roman" w:hAnsi="Times New Roman"/>
          <w:sz w:val="24"/>
          <w:szCs w:val="24"/>
        </w:rPr>
        <w:t>показатели</w:t>
      </w:r>
      <w:r w:rsidR="00092697">
        <w:rPr>
          <w:rFonts w:ascii="Times New Roman" w:hAnsi="Times New Roman"/>
          <w:sz w:val="24"/>
          <w:szCs w:val="24"/>
        </w:rPr>
        <w:t xml:space="preserve"> экономического</w:t>
      </w:r>
      <w:r w:rsidR="00426BB3" w:rsidRPr="00E84231">
        <w:rPr>
          <w:rFonts w:ascii="Times New Roman" w:hAnsi="Times New Roman"/>
          <w:sz w:val="24"/>
          <w:szCs w:val="24"/>
        </w:rPr>
        <w:t xml:space="preserve"> развития. По исследуемым показателям в группе лидирующих, как и в группе отстающих встречаются ОЭЗ различных специализаций, в результате можно сделать вывод о влиянии других факторов. Одним из возможных факторов, оказывающих влияние на динамику экономического роста может оказаться активность и целенаправленность, проводимой на территории экономической политики</w:t>
      </w:r>
      <w:r w:rsidR="00CA52FA" w:rsidRPr="00E84231">
        <w:rPr>
          <w:rFonts w:ascii="Times New Roman" w:hAnsi="Times New Roman"/>
          <w:sz w:val="24"/>
          <w:szCs w:val="24"/>
        </w:rPr>
        <w:t>.</w:t>
      </w:r>
    </w:p>
    <w:p w14:paraId="7C996695" w14:textId="5F3F4B19" w:rsidR="00D87FA3" w:rsidRPr="00E84231" w:rsidRDefault="00D87FA3" w:rsidP="00E84231">
      <w:pPr>
        <w:spacing w:after="0" w:line="240" w:lineRule="auto"/>
        <w:ind w:firstLine="709"/>
        <w:jc w:val="both"/>
        <w:rPr>
          <w:rFonts w:ascii="Times New Roman" w:hAnsi="Times New Roman"/>
          <w:sz w:val="24"/>
          <w:szCs w:val="24"/>
        </w:rPr>
      </w:pPr>
      <w:r w:rsidRPr="00E84231">
        <w:rPr>
          <w:rFonts w:ascii="Times New Roman" w:hAnsi="Times New Roman"/>
          <w:sz w:val="24"/>
          <w:szCs w:val="24"/>
        </w:rPr>
        <w:t>В результате полученные выводы позволяют оценить ситуацию в территориях, имеющих статус ОЭЗ и скорректировать направления экономического развития.</w:t>
      </w:r>
    </w:p>
    <w:p w14:paraId="1A30F825" w14:textId="554CEAD2" w:rsidR="007002BC" w:rsidRDefault="007002BC" w:rsidP="00526F45">
      <w:pPr>
        <w:spacing w:after="0" w:line="240" w:lineRule="auto"/>
        <w:jc w:val="both"/>
        <w:rPr>
          <w:rFonts w:ascii="Times New Roman" w:hAnsi="Times New Roman"/>
          <w:bCs/>
          <w:sz w:val="28"/>
          <w:szCs w:val="28"/>
        </w:rPr>
      </w:pPr>
    </w:p>
    <w:p w14:paraId="65C82FCE" w14:textId="068007FA" w:rsidR="00551732" w:rsidRDefault="00551732" w:rsidP="00551732">
      <w:pPr>
        <w:jc w:val="center"/>
        <w:rPr>
          <w:rFonts w:ascii="Times New Roman" w:hAnsi="Times New Roman"/>
          <w:b/>
        </w:rPr>
      </w:pPr>
      <w:r>
        <w:rPr>
          <w:rFonts w:ascii="Times New Roman" w:hAnsi="Times New Roman"/>
          <w:b/>
        </w:rPr>
        <w:t>Библиографический список на русском языке</w:t>
      </w:r>
    </w:p>
    <w:p w14:paraId="48A825FC" w14:textId="77777777" w:rsidR="00551732" w:rsidRPr="00096AFA" w:rsidRDefault="003C1BAD" w:rsidP="00551732">
      <w:pPr>
        <w:pStyle w:val="a3"/>
        <w:numPr>
          <w:ilvl w:val="0"/>
          <w:numId w:val="4"/>
        </w:numPr>
        <w:spacing w:after="0" w:line="240" w:lineRule="auto"/>
        <w:jc w:val="both"/>
        <w:rPr>
          <w:rFonts w:ascii="Times New Roman" w:hAnsi="Times New Roman"/>
          <w:sz w:val="24"/>
          <w:szCs w:val="24"/>
          <w:lang w:val="en-US"/>
        </w:rPr>
      </w:pPr>
      <w:hyperlink r:id="rId11" w:tgtFrame="_blank" w:history="1">
        <w:r w:rsidR="00551732" w:rsidRPr="00096AFA">
          <w:rPr>
            <w:sz w:val="24"/>
            <w:szCs w:val="24"/>
            <w:lang w:val="en-US"/>
          </w:rPr>
          <w:t>Franczak, I. Special Economic Zones as a factor for activating regional economies, Research Papers of Wroclaw University of Economics,  2015, 392</w:t>
        </w:r>
      </w:hyperlink>
    </w:p>
    <w:p w14:paraId="75C61FC4" w14:textId="77777777" w:rsidR="00551732" w:rsidRPr="00551732" w:rsidRDefault="00551732" w:rsidP="00551732">
      <w:pPr>
        <w:pStyle w:val="a3"/>
        <w:numPr>
          <w:ilvl w:val="0"/>
          <w:numId w:val="4"/>
        </w:numPr>
        <w:spacing w:after="0" w:line="240" w:lineRule="auto"/>
        <w:jc w:val="both"/>
        <w:rPr>
          <w:rFonts w:ascii="Times New Roman" w:hAnsi="Times New Roman"/>
          <w:sz w:val="24"/>
          <w:szCs w:val="24"/>
        </w:rPr>
      </w:pPr>
      <w:r w:rsidRPr="00551732">
        <w:rPr>
          <w:rFonts w:ascii="Times New Roman" w:hAnsi="Times New Roman"/>
          <w:sz w:val="24"/>
          <w:szCs w:val="24"/>
        </w:rPr>
        <w:t>Гаврилова Н. Г. Анализ налогообложения особых экономических зон в России // Стратегия устойчивого развития регионов России. 2012. №11. URL: https://cyberleninka.ru/article/n/analiz-nalogooblozheniya-osobyh-ekonomicheskih-zon-v-rossii (дата обращения: 10.04.2020).</w:t>
      </w:r>
    </w:p>
    <w:p w14:paraId="4CBD9FA2" w14:textId="77777777" w:rsidR="00551732" w:rsidRPr="00551732" w:rsidRDefault="00551732" w:rsidP="00551732">
      <w:pPr>
        <w:pStyle w:val="a3"/>
        <w:numPr>
          <w:ilvl w:val="0"/>
          <w:numId w:val="4"/>
        </w:numPr>
        <w:spacing w:after="0" w:line="240" w:lineRule="auto"/>
        <w:jc w:val="both"/>
        <w:rPr>
          <w:rFonts w:ascii="Times New Roman" w:hAnsi="Times New Roman"/>
          <w:sz w:val="24"/>
          <w:szCs w:val="24"/>
        </w:rPr>
      </w:pPr>
      <w:r w:rsidRPr="00551732">
        <w:rPr>
          <w:rFonts w:ascii="Times New Roman" w:hAnsi="Times New Roman"/>
          <w:sz w:val="24"/>
          <w:szCs w:val="24"/>
        </w:rPr>
        <w:t>Вранович Е. В. Инвестиции в особые экономические зоны как механизм привлечения венчурного капитала // Вестник АГТУ. Серия: Экономика. 2015. №3. URL: https://cyberleninka.ru/article/n/investitsii-v-osobye-ekonomicheskie-zony-kak-mehanizm-privlecheniya-venchurnogo-kapitala (дата обращения: 10.04.2020).</w:t>
      </w:r>
    </w:p>
    <w:p w14:paraId="21A1E664" w14:textId="77777777" w:rsidR="00551732" w:rsidRPr="00551732" w:rsidRDefault="00551732" w:rsidP="00551732">
      <w:pPr>
        <w:pStyle w:val="a3"/>
        <w:numPr>
          <w:ilvl w:val="0"/>
          <w:numId w:val="4"/>
        </w:numPr>
        <w:spacing w:after="0" w:line="240" w:lineRule="auto"/>
        <w:jc w:val="both"/>
        <w:rPr>
          <w:rFonts w:ascii="Times New Roman" w:hAnsi="Times New Roman"/>
          <w:sz w:val="24"/>
          <w:szCs w:val="24"/>
        </w:rPr>
      </w:pPr>
      <w:r w:rsidRPr="00551732">
        <w:rPr>
          <w:rFonts w:ascii="Times New Roman" w:hAnsi="Times New Roman"/>
          <w:sz w:val="24"/>
          <w:szCs w:val="24"/>
        </w:rPr>
        <w:t xml:space="preserve">Лекаркина Н. К. Проблемы привлечения инвестиций и возможности их решений (Problems of attraction investments and ways of their solutions </w:t>
      </w:r>
      <w:hyperlink r:id="rId12" w:tooltip="Главная" w:history="1">
        <w:r w:rsidRPr="00551732">
          <w:rPr>
            <w:rFonts w:ascii="Times New Roman" w:hAnsi="Times New Roman"/>
            <w:sz w:val="24"/>
            <w:szCs w:val="24"/>
          </w:rPr>
          <w:t>Экономический научный журнал «Оценка инвестиций»</w:t>
        </w:r>
      </w:hyperlink>
      <w:r w:rsidRPr="00551732">
        <w:rPr>
          <w:rFonts w:ascii="Times New Roman" w:hAnsi="Times New Roman"/>
          <w:sz w:val="24"/>
          <w:szCs w:val="24"/>
        </w:rPr>
        <w:t xml:space="preserve"> Экономика. Оценка. Инвестиции. </w:t>
      </w:r>
      <w:hyperlink r:id="rId13" w:history="1">
        <w:r w:rsidRPr="00551732">
          <w:rPr>
            <w:rFonts w:ascii="Times New Roman" w:hAnsi="Times New Roman"/>
            <w:sz w:val="24"/>
            <w:szCs w:val="24"/>
          </w:rPr>
          <w:t>http://www.esm-invest.com/ru/problems-of-attraction-investments-and-ways-of-their-solutio</w:t>
        </w:r>
      </w:hyperlink>
    </w:p>
    <w:p w14:paraId="78BEBEBC" w14:textId="0D59B27D" w:rsidR="00551732" w:rsidRDefault="00551732" w:rsidP="00551732">
      <w:pPr>
        <w:jc w:val="center"/>
        <w:rPr>
          <w:rFonts w:ascii="Times New Roman" w:hAnsi="Times New Roman"/>
          <w:b/>
        </w:rPr>
      </w:pPr>
    </w:p>
    <w:p w14:paraId="23821A18" w14:textId="77777777" w:rsidR="00551732" w:rsidRDefault="00551732" w:rsidP="00551732">
      <w:pPr>
        <w:jc w:val="center"/>
        <w:rPr>
          <w:rFonts w:ascii="Times New Roman" w:eastAsia="Calibri" w:hAnsi="Times New Roman"/>
          <w:b/>
          <w:lang w:eastAsia="en-US"/>
        </w:rPr>
      </w:pPr>
      <w:r>
        <w:rPr>
          <w:rFonts w:ascii="Times New Roman" w:eastAsia="Calibri" w:hAnsi="Times New Roman"/>
          <w:b/>
          <w:lang w:eastAsia="en-US"/>
        </w:rPr>
        <w:t>Информация об авторе (-ах) на русском языке</w:t>
      </w:r>
    </w:p>
    <w:p w14:paraId="0D52CCAD" w14:textId="3463A39D" w:rsidR="006F2827" w:rsidRPr="00551732" w:rsidRDefault="006F2827" w:rsidP="00551732">
      <w:pPr>
        <w:spacing w:after="0" w:line="240" w:lineRule="auto"/>
        <w:jc w:val="both"/>
        <w:rPr>
          <w:rFonts w:ascii="Times New Roman" w:hAnsi="Times New Roman"/>
          <w:sz w:val="24"/>
          <w:szCs w:val="24"/>
        </w:rPr>
      </w:pPr>
      <w:r w:rsidRPr="00551732">
        <w:rPr>
          <w:rFonts w:ascii="Times New Roman" w:hAnsi="Times New Roman"/>
          <w:sz w:val="24"/>
          <w:szCs w:val="24"/>
        </w:rPr>
        <w:t xml:space="preserve">Морошкина Марина Валерьевна – кандидат экономических наук, научный сотрудник, Институт экономики – обособленное подразделение федерального государственного бюджетного учреждения науки Федерального исследовательского центра «Карельский научный центр Российской академии наук» (ИЭ КарНЦ РАН), 185030, Республика Карелия, пр. А. Невского ,50, г. Петрозаводск, Россия, </w:t>
      </w:r>
      <w:hyperlink r:id="rId14" w:history="1">
        <w:r w:rsidR="005D7CAF" w:rsidRPr="00551732">
          <w:rPr>
            <w:sz w:val="24"/>
            <w:szCs w:val="24"/>
          </w:rPr>
          <w:t>maribel74@mail.ru</w:t>
        </w:r>
      </w:hyperlink>
    </w:p>
    <w:p w14:paraId="3F01339A" w14:textId="3DD6880B" w:rsidR="005D7CAF" w:rsidRPr="00096AFA" w:rsidRDefault="005D7CAF" w:rsidP="00551732">
      <w:pPr>
        <w:spacing w:after="0" w:line="240" w:lineRule="auto"/>
        <w:jc w:val="both"/>
        <w:rPr>
          <w:rFonts w:ascii="Times New Roman" w:hAnsi="Times New Roman"/>
          <w:sz w:val="24"/>
          <w:szCs w:val="24"/>
        </w:rPr>
      </w:pPr>
      <w:r w:rsidRPr="00551732">
        <w:rPr>
          <w:rFonts w:ascii="Times New Roman" w:hAnsi="Times New Roman"/>
          <w:sz w:val="24"/>
          <w:szCs w:val="24"/>
        </w:rPr>
        <w:t>Мяки Светлана Александровна - Карельский филиал федерального государственного бюджетного образовательного учреждения высшего образования "Российская академия народного хозяйства и государственной службы при Президенте Российской Федерации", 185002, Республика Карелия, г. Петрозаводск,</w:t>
      </w:r>
      <w:r w:rsidR="00096AFA">
        <w:rPr>
          <w:rFonts w:ascii="Times New Roman" w:hAnsi="Times New Roman"/>
          <w:sz w:val="24"/>
          <w:szCs w:val="24"/>
        </w:rPr>
        <w:t xml:space="preserve"> </w:t>
      </w:r>
      <w:r w:rsidRPr="00551732">
        <w:rPr>
          <w:rFonts w:ascii="Times New Roman" w:hAnsi="Times New Roman"/>
          <w:sz w:val="24"/>
          <w:szCs w:val="24"/>
        </w:rPr>
        <w:t>ул. Чапаева</w:t>
      </w:r>
      <w:r w:rsidRPr="00096AFA">
        <w:rPr>
          <w:rFonts w:ascii="Times New Roman" w:hAnsi="Times New Roman"/>
          <w:sz w:val="24"/>
          <w:szCs w:val="24"/>
        </w:rPr>
        <w:t xml:space="preserve">, </w:t>
      </w:r>
      <w:r w:rsidRPr="00551732">
        <w:rPr>
          <w:rFonts w:ascii="Times New Roman" w:hAnsi="Times New Roman"/>
          <w:sz w:val="24"/>
          <w:szCs w:val="24"/>
        </w:rPr>
        <w:t>д</w:t>
      </w:r>
      <w:r w:rsidRPr="00096AFA">
        <w:rPr>
          <w:rFonts w:ascii="Times New Roman" w:hAnsi="Times New Roman"/>
          <w:sz w:val="24"/>
          <w:szCs w:val="24"/>
        </w:rPr>
        <w:t xml:space="preserve">. 6 </w:t>
      </w:r>
      <w:r w:rsidRPr="00551732">
        <w:rPr>
          <w:rFonts w:ascii="Times New Roman" w:hAnsi="Times New Roman"/>
          <w:sz w:val="24"/>
          <w:szCs w:val="24"/>
        </w:rPr>
        <w:t>А</w:t>
      </w:r>
      <w:r w:rsidRPr="00096AFA">
        <w:rPr>
          <w:rFonts w:ascii="Times New Roman" w:hAnsi="Times New Roman"/>
          <w:sz w:val="24"/>
          <w:szCs w:val="24"/>
        </w:rPr>
        <w:t xml:space="preserve">, </w:t>
      </w:r>
      <w:r w:rsidRPr="00551732">
        <w:rPr>
          <w:rFonts w:ascii="Times New Roman" w:hAnsi="Times New Roman"/>
          <w:sz w:val="24"/>
          <w:szCs w:val="24"/>
        </w:rPr>
        <w:t>Петрозаводск</w:t>
      </w:r>
      <w:r w:rsidRPr="00096AFA">
        <w:rPr>
          <w:rFonts w:ascii="Times New Roman" w:hAnsi="Times New Roman"/>
          <w:sz w:val="24"/>
          <w:szCs w:val="24"/>
        </w:rPr>
        <w:t xml:space="preserve">, </w:t>
      </w:r>
      <w:r w:rsidRPr="00551732">
        <w:rPr>
          <w:rFonts w:ascii="Times New Roman" w:hAnsi="Times New Roman"/>
          <w:sz w:val="24"/>
          <w:szCs w:val="24"/>
        </w:rPr>
        <w:t>Россия</w:t>
      </w:r>
      <w:r w:rsidRPr="00096AFA">
        <w:rPr>
          <w:rFonts w:ascii="Times New Roman" w:hAnsi="Times New Roman"/>
          <w:sz w:val="24"/>
          <w:szCs w:val="24"/>
        </w:rPr>
        <w:t xml:space="preserve">, </w:t>
      </w:r>
      <w:hyperlink r:id="rId15" w:history="1">
        <w:r w:rsidR="00551732" w:rsidRPr="00D22978">
          <w:rPr>
            <w:rStyle w:val="a4"/>
            <w:rFonts w:ascii="Times New Roman" w:hAnsi="Times New Roman"/>
            <w:sz w:val="24"/>
            <w:szCs w:val="24"/>
            <w:lang w:val="en-US"/>
          </w:rPr>
          <w:t>sveteart</w:t>
        </w:r>
        <w:r w:rsidR="00551732" w:rsidRPr="00096AFA">
          <w:rPr>
            <w:rStyle w:val="a4"/>
            <w:rFonts w:ascii="Times New Roman" w:hAnsi="Times New Roman"/>
            <w:sz w:val="24"/>
            <w:szCs w:val="24"/>
          </w:rPr>
          <w:t>@</w:t>
        </w:r>
        <w:r w:rsidR="00551732" w:rsidRPr="00D22978">
          <w:rPr>
            <w:rStyle w:val="a4"/>
            <w:rFonts w:ascii="Times New Roman" w:hAnsi="Times New Roman"/>
            <w:sz w:val="24"/>
            <w:szCs w:val="24"/>
            <w:lang w:val="en-US"/>
          </w:rPr>
          <w:t>ya</w:t>
        </w:r>
        <w:r w:rsidR="00551732" w:rsidRPr="00096AFA">
          <w:rPr>
            <w:rStyle w:val="a4"/>
            <w:rFonts w:ascii="Times New Roman" w:hAnsi="Times New Roman"/>
            <w:sz w:val="24"/>
            <w:szCs w:val="24"/>
          </w:rPr>
          <w:t>.</w:t>
        </w:r>
        <w:r w:rsidR="00551732" w:rsidRPr="00D22978">
          <w:rPr>
            <w:rStyle w:val="a4"/>
            <w:rFonts w:ascii="Times New Roman" w:hAnsi="Times New Roman"/>
            <w:sz w:val="24"/>
            <w:szCs w:val="24"/>
            <w:lang w:val="en-US"/>
          </w:rPr>
          <w:t>ru</w:t>
        </w:r>
      </w:hyperlink>
    </w:p>
    <w:p w14:paraId="3B2EA73B" w14:textId="26F08755" w:rsidR="00551732" w:rsidRPr="00096AFA" w:rsidRDefault="00551732" w:rsidP="00551732">
      <w:pPr>
        <w:spacing w:after="0" w:line="240" w:lineRule="auto"/>
        <w:jc w:val="both"/>
        <w:rPr>
          <w:rFonts w:ascii="Times New Roman" w:hAnsi="Times New Roman"/>
          <w:sz w:val="24"/>
          <w:szCs w:val="24"/>
        </w:rPr>
      </w:pPr>
    </w:p>
    <w:p w14:paraId="521AB30E" w14:textId="77777777" w:rsidR="004C38B6" w:rsidRPr="004C38B6" w:rsidRDefault="004C38B6" w:rsidP="004C38B6">
      <w:pPr>
        <w:spacing w:after="0" w:line="240" w:lineRule="auto"/>
        <w:jc w:val="right"/>
        <w:rPr>
          <w:rFonts w:ascii="Times New Roman" w:hAnsi="Times New Roman"/>
          <w:b/>
          <w:bCs/>
          <w:sz w:val="24"/>
          <w:szCs w:val="24"/>
          <w:lang w:val="en-US"/>
        </w:rPr>
      </w:pPr>
      <w:r w:rsidRPr="004C38B6">
        <w:rPr>
          <w:rFonts w:ascii="Times New Roman" w:hAnsi="Times New Roman"/>
          <w:b/>
          <w:bCs/>
          <w:sz w:val="24"/>
          <w:szCs w:val="24"/>
          <w:lang w:val="en-US"/>
        </w:rPr>
        <w:t>Moroshkina M.V.</w:t>
      </w:r>
    </w:p>
    <w:p w14:paraId="655400AB" w14:textId="77777777" w:rsidR="004C38B6" w:rsidRPr="004C38B6" w:rsidRDefault="004C38B6" w:rsidP="004C38B6">
      <w:pPr>
        <w:spacing w:after="0" w:line="240" w:lineRule="auto"/>
        <w:jc w:val="right"/>
        <w:rPr>
          <w:rFonts w:ascii="Times New Roman" w:hAnsi="Times New Roman"/>
          <w:b/>
          <w:bCs/>
          <w:sz w:val="24"/>
          <w:szCs w:val="24"/>
          <w:lang w:val="en-US"/>
        </w:rPr>
      </w:pPr>
      <w:r w:rsidRPr="004C38B6">
        <w:rPr>
          <w:rFonts w:ascii="Times New Roman" w:hAnsi="Times New Roman"/>
          <w:b/>
          <w:bCs/>
          <w:sz w:val="24"/>
          <w:szCs w:val="24"/>
          <w:lang w:val="en-US"/>
        </w:rPr>
        <w:t>Myaki S.A.</w:t>
      </w:r>
    </w:p>
    <w:p w14:paraId="62AA7F21" w14:textId="77777777" w:rsidR="004C38B6" w:rsidRPr="00F56F3D" w:rsidRDefault="004C38B6" w:rsidP="004C38B6">
      <w:pPr>
        <w:spacing w:after="0" w:line="240" w:lineRule="auto"/>
        <w:jc w:val="center"/>
        <w:rPr>
          <w:rFonts w:ascii="Times New Roman" w:hAnsi="Times New Roman"/>
          <w:b/>
          <w:bCs/>
          <w:caps/>
          <w:sz w:val="24"/>
          <w:szCs w:val="24"/>
          <w:lang w:val="en-US"/>
        </w:rPr>
      </w:pPr>
    </w:p>
    <w:p w14:paraId="4A505CA8" w14:textId="57A81FB1" w:rsidR="00096AFA" w:rsidRPr="00F56F3D" w:rsidRDefault="00F56F3D" w:rsidP="00096AFA">
      <w:pPr>
        <w:spacing w:after="0" w:line="240" w:lineRule="auto"/>
        <w:jc w:val="center"/>
        <w:rPr>
          <w:rFonts w:ascii="Times New Roman" w:hAnsi="Times New Roman"/>
          <w:b/>
          <w:bCs/>
          <w:caps/>
          <w:sz w:val="24"/>
          <w:szCs w:val="24"/>
          <w:lang w:val="en-US"/>
        </w:rPr>
      </w:pPr>
      <w:r w:rsidRPr="00F56F3D">
        <w:rPr>
          <w:rFonts w:ascii="Times New Roman" w:hAnsi="Times New Roman"/>
          <w:b/>
          <w:bCs/>
          <w:caps/>
          <w:sz w:val="24"/>
          <w:szCs w:val="24"/>
          <w:lang w:val="en-US"/>
        </w:rPr>
        <w:t xml:space="preserve">Trends in innovation infrastructure development on the example of SEZ </w:t>
      </w:r>
    </w:p>
    <w:p w14:paraId="67D4A4F0" w14:textId="77777777" w:rsidR="00F56F3D" w:rsidRPr="00F56F3D" w:rsidRDefault="00F56F3D" w:rsidP="00096AFA">
      <w:pPr>
        <w:spacing w:after="0" w:line="240" w:lineRule="auto"/>
        <w:jc w:val="center"/>
        <w:rPr>
          <w:rFonts w:ascii="Times New Roman" w:hAnsi="Times New Roman"/>
          <w:sz w:val="24"/>
          <w:szCs w:val="24"/>
          <w:lang w:val="en-US"/>
        </w:rPr>
      </w:pPr>
    </w:p>
    <w:p w14:paraId="641D6B65" w14:textId="77777777" w:rsidR="004C38B6" w:rsidRPr="004C38B6" w:rsidRDefault="004C38B6" w:rsidP="004C38B6">
      <w:pPr>
        <w:spacing w:after="0" w:line="240" w:lineRule="auto"/>
        <w:jc w:val="both"/>
        <w:rPr>
          <w:rFonts w:ascii="Times New Roman" w:hAnsi="Times New Roman"/>
          <w:sz w:val="24"/>
          <w:szCs w:val="24"/>
          <w:lang w:val="en-US"/>
        </w:rPr>
      </w:pPr>
      <w:r w:rsidRPr="004C38B6">
        <w:rPr>
          <w:rFonts w:ascii="Times New Roman" w:hAnsi="Times New Roman"/>
          <w:sz w:val="24"/>
          <w:szCs w:val="24"/>
          <w:lang w:val="en-US"/>
        </w:rPr>
        <w:t>Summary. Special economic zones are territories that have competitive advantages compared to other Russian regions. The assessment of the economic development of these territories will make it possible to assess the effectiveness of existing state incentives measures.</w:t>
      </w:r>
    </w:p>
    <w:p w14:paraId="748488D7" w14:textId="57ADE6FE" w:rsidR="00551732" w:rsidRPr="00551732" w:rsidRDefault="004C38B6" w:rsidP="004C38B6">
      <w:pPr>
        <w:spacing w:after="0" w:line="240" w:lineRule="auto"/>
        <w:jc w:val="both"/>
        <w:rPr>
          <w:rFonts w:ascii="Times New Roman" w:hAnsi="Times New Roman"/>
          <w:sz w:val="24"/>
          <w:szCs w:val="24"/>
          <w:lang w:val="en-US"/>
        </w:rPr>
      </w:pPr>
      <w:r w:rsidRPr="004C38B6">
        <w:rPr>
          <w:rFonts w:ascii="Times New Roman" w:hAnsi="Times New Roman"/>
          <w:sz w:val="24"/>
          <w:szCs w:val="24"/>
          <w:lang w:val="en-US"/>
        </w:rPr>
        <w:t>Keywords: regions, SEZ, index of volume of investments in fixed assets, index of industrial production</w:t>
      </w:r>
    </w:p>
    <w:p w14:paraId="2C257995" w14:textId="0E74C13E" w:rsidR="005D7CAF" w:rsidRDefault="005D7CAF" w:rsidP="005D7CAF">
      <w:pPr>
        <w:tabs>
          <w:tab w:val="left" w:pos="993"/>
        </w:tabs>
        <w:suppressAutoHyphens/>
        <w:spacing w:after="0" w:line="240" w:lineRule="auto"/>
        <w:jc w:val="both"/>
        <w:rPr>
          <w:rFonts w:ascii="Times New Roman" w:eastAsia="SimSun" w:hAnsi="Times New Roman"/>
          <w:kern w:val="2"/>
          <w:sz w:val="28"/>
          <w:szCs w:val="28"/>
          <w:lang w:val="en-US" w:eastAsia="hi-IN" w:bidi="hi-IN"/>
        </w:rPr>
      </w:pPr>
    </w:p>
    <w:p w14:paraId="15CFCAF2" w14:textId="77777777" w:rsidR="004C38B6" w:rsidRDefault="004C38B6" w:rsidP="004C38B6">
      <w:pPr>
        <w:spacing w:line="288" w:lineRule="auto"/>
        <w:ind w:firstLine="360"/>
        <w:jc w:val="center"/>
        <w:rPr>
          <w:rFonts w:ascii="Times New Roman" w:hAnsi="Times New Roman"/>
          <w:b/>
        </w:rPr>
      </w:pPr>
      <w:r>
        <w:rPr>
          <w:rFonts w:ascii="Times New Roman" w:hAnsi="Times New Roman"/>
          <w:b/>
        </w:rPr>
        <w:t>Информация об авторе (-ах) на английском языке</w:t>
      </w:r>
    </w:p>
    <w:p w14:paraId="24CA6913" w14:textId="77777777" w:rsidR="00775784" w:rsidRPr="00096AFA" w:rsidRDefault="00775784" w:rsidP="004C38B6">
      <w:pPr>
        <w:spacing w:after="0" w:line="240" w:lineRule="auto"/>
        <w:jc w:val="both"/>
        <w:rPr>
          <w:rFonts w:ascii="Times New Roman" w:hAnsi="Times New Roman"/>
          <w:b/>
          <w:bCs/>
          <w:sz w:val="24"/>
          <w:szCs w:val="24"/>
          <w:lang w:val="en-US"/>
        </w:rPr>
      </w:pPr>
      <w:r w:rsidRPr="00096AFA">
        <w:rPr>
          <w:rFonts w:ascii="Times New Roman" w:hAnsi="Times New Roman"/>
          <w:b/>
          <w:bCs/>
          <w:sz w:val="24"/>
          <w:szCs w:val="24"/>
          <w:lang w:val="en-US"/>
        </w:rPr>
        <w:t>Marina V. Moroshkina</w:t>
      </w:r>
    </w:p>
    <w:p w14:paraId="69989549" w14:textId="77777777" w:rsidR="00775784" w:rsidRPr="00096AFA" w:rsidRDefault="00775784" w:rsidP="004C38B6">
      <w:pPr>
        <w:spacing w:after="0" w:line="240" w:lineRule="auto"/>
        <w:jc w:val="both"/>
        <w:rPr>
          <w:rFonts w:ascii="Times New Roman" w:hAnsi="Times New Roman"/>
          <w:sz w:val="24"/>
          <w:szCs w:val="24"/>
          <w:lang w:val="en-US"/>
        </w:rPr>
      </w:pPr>
      <w:r w:rsidRPr="00096AFA">
        <w:rPr>
          <w:rFonts w:ascii="Times New Roman" w:hAnsi="Times New Roman"/>
          <w:sz w:val="24"/>
          <w:szCs w:val="24"/>
          <w:lang w:val="en-US"/>
        </w:rPr>
        <w:t>E-mail: maribel74@mail.ru</w:t>
      </w:r>
    </w:p>
    <w:p w14:paraId="1DA3FF4B" w14:textId="77777777" w:rsidR="00775784" w:rsidRPr="00096AFA" w:rsidRDefault="00775784" w:rsidP="004C38B6">
      <w:pPr>
        <w:spacing w:after="0" w:line="240" w:lineRule="auto"/>
        <w:jc w:val="both"/>
        <w:rPr>
          <w:rFonts w:ascii="Times New Roman" w:hAnsi="Times New Roman"/>
          <w:sz w:val="24"/>
          <w:szCs w:val="24"/>
          <w:lang w:val="en-US"/>
        </w:rPr>
      </w:pPr>
      <w:r w:rsidRPr="00096AFA">
        <w:rPr>
          <w:rFonts w:ascii="Times New Roman" w:hAnsi="Times New Roman"/>
          <w:sz w:val="24"/>
          <w:szCs w:val="24"/>
          <w:lang w:val="en-US"/>
        </w:rPr>
        <w:t>The Institute of Economics is a separate division of the Federal State Budgetary Institution of Science of the Federal Research Center "Karelian Scientific Center of the Russian Academy of Sciences" (IE CarNC RAS), 185030, Republic of Karelia, etc. A. Nevsky, 50, Petrozavodsk, Russia.</w:t>
      </w:r>
    </w:p>
    <w:p w14:paraId="1B194B07" w14:textId="77777777" w:rsidR="00775784" w:rsidRPr="00096AFA" w:rsidRDefault="00775784" w:rsidP="004C38B6">
      <w:pPr>
        <w:spacing w:after="0" w:line="240" w:lineRule="auto"/>
        <w:jc w:val="both"/>
        <w:rPr>
          <w:rFonts w:ascii="Times New Roman" w:hAnsi="Times New Roman"/>
          <w:b/>
          <w:bCs/>
          <w:sz w:val="24"/>
          <w:szCs w:val="24"/>
          <w:lang w:val="en-US"/>
        </w:rPr>
      </w:pPr>
      <w:r w:rsidRPr="00096AFA">
        <w:rPr>
          <w:rFonts w:ascii="Times New Roman" w:hAnsi="Times New Roman"/>
          <w:b/>
          <w:bCs/>
          <w:sz w:val="24"/>
          <w:szCs w:val="24"/>
          <w:lang w:val="en-US"/>
        </w:rPr>
        <w:t>Myaki Svetlana Aleksandrovna</w:t>
      </w:r>
    </w:p>
    <w:p w14:paraId="34600A55" w14:textId="77777777" w:rsidR="00775784" w:rsidRPr="00096AFA" w:rsidRDefault="00775784" w:rsidP="004C38B6">
      <w:pPr>
        <w:spacing w:after="0" w:line="240" w:lineRule="auto"/>
        <w:jc w:val="both"/>
        <w:rPr>
          <w:rFonts w:ascii="Times New Roman" w:hAnsi="Times New Roman"/>
          <w:sz w:val="24"/>
          <w:szCs w:val="24"/>
          <w:lang w:val="en-US"/>
        </w:rPr>
      </w:pPr>
      <w:r w:rsidRPr="00096AFA">
        <w:rPr>
          <w:rFonts w:ascii="Times New Roman" w:hAnsi="Times New Roman"/>
          <w:sz w:val="24"/>
          <w:szCs w:val="24"/>
          <w:lang w:val="en-US"/>
        </w:rPr>
        <w:t>E-mail: sveteart@ya.ru</w:t>
      </w:r>
    </w:p>
    <w:p w14:paraId="637940F5" w14:textId="77777777" w:rsidR="00775784" w:rsidRPr="00096AFA" w:rsidRDefault="00775784" w:rsidP="004C38B6">
      <w:pPr>
        <w:spacing w:after="0" w:line="240" w:lineRule="auto"/>
        <w:jc w:val="both"/>
        <w:rPr>
          <w:rFonts w:ascii="Times New Roman" w:hAnsi="Times New Roman"/>
          <w:sz w:val="24"/>
          <w:szCs w:val="24"/>
          <w:lang w:val="en-US"/>
        </w:rPr>
      </w:pPr>
      <w:r w:rsidRPr="00096AFA">
        <w:rPr>
          <w:rFonts w:ascii="Times New Roman" w:hAnsi="Times New Roman"/>
          <w:sz w:val="24"/>
          <w:szCs w:val="24"/>
          <w:lang w:val="en-US"/>
        </w:rPr>
        <w:t>Candidate of Economic Sciences, Researcher</w:t>
      </w:r>
    </w:p>
    <w:p w14:paraId="3DBDEE4A" w14:textId="30800B44" w:rsidR="00775784" w:rsidRPr="00096AFA" w:rsidRDefault="00775784" w:rsidP="004C38B6">
      <w:pPr>
        <w:spacing w:after="0" w:line="240" w:lineRule="auto"/>
        <w:jc w:val="both"/>
        <w:rPr>
          <w:rFonts w:ascii="Times New Roman" w:hAnsi="Times New Roman"/>
          <w:sz w:val="24"/>
          <w:szCs w:val="24"/>
          <w:lang w:val="en-US"/>
        </w:rPr>
      </w:pPr>
      <w:r w:rsidRPr="00096AFA">
        <w:rPr>
          <w:rFonts w:ascii="Times New Roman" w:hAnsi="Times New Roman"/>
          <w:sz w:val="24"/>
          <w:szCs w:val="24"/>
          <w:lang w:val="en-US"/>
        </w:rPr>
        <w:t>Karelian Branch of the Federal State Budgetary Educational Institution of Higher Education "Russian Academy of National Economy and Public Service under the President of the Russian Federation," 185002, Republic of Karelia, Petrozavodsk, Chapayeva Str., 6 A, Petrozavodsk, Russia.</w:t>
      </w:r>
    </w:p>
    <w:p w14:paraId="3B3CF204" w14:textId="2C1D53C7" w:rsidR="00775784" w:rsidRPr="00096AFA" w:rsidRDefault="00775784" w:rsidP="004C38B6">
      <w:pPr>
        <w:spacing w:after="0" w:line="240" w:lineRule="auto"/>
        <w:jc w:val="both"/>
        <w:rPr>
          <w:rFonts w:ascii="Times New Roman" w:hAnsi="Times New Roman"/>
          <w:sz w:val="24"/>
          <w:szCs w:val="24"/>
          <w:lang w:val="en-US"/>
        </w:rPr>
      </w:pPr>
    </w:p>
    <w:p w14:paraId="10BEF194" w14:textId="77777777" w:rsidR="004C38B6" w:rsidRPr="00096AFA" w:rsidRDefault="004C38B6" w:rsidP="004C38B6">
      <w:pPr>
        <w:spacing w:after="0" w:line="240" w:lineRule="auto"/>
        <w:jc w:val="center"/>
        <w:rPr>
          <w:rFonts w:ascii="Times New Roman" w:hAnsi="Times New Roman"/>
          <w:b/>
          <w:bCs/>
          <w:sz w:val="24"/>
          <w:szCs w:val="24"/>
          <w:lang w:val="en-US"/>
        </w:rPr>
      </w:pPr>
      <w:r w:rsidRPr="004C38B6">
        <w:rPr>
          <w:rFonts w:ascii="Times New Roman" w:hAnsi="Times New Roman"/>
          <w:b/>
          <w:bCs/>
          <w:sz w:val="24"/>
          <w:szCs w:val="24"/>
        </w:rPr>
        <w:t>Библиографический</w:t>
      </w:r>
      <w:r w:rsidRPr="00096AFA">
        <w:rPr>
          <w:rFonts w:ascii="Times New Roman" w:hAnsi="Times New Roman"/>
          <w:b/>
          <w:bCs/>
          <w:sz w:val="24"/>
          <w:szCs w:val="24"/>
          <w:lang w:val="en-US"/>
        </w:rPr>
        <w:t xml:space="preserve"> </w:t>
      </w:r>
      <w:r w:rsidRPr="004C38B6">
        <w:rPr>
          <w:rFonts w:ascii="Times New Roman" w:hAnsi="Times New Roman"/>
          <w:b/>
          <w:bCs/>
          <w:sz w:val="24"/>
          <w:szCs w:val="24"/>
        </w:rPr>
        <w:t>список</w:t>
      </w:r>
      <w:r w:rsidRPr="00096AFA">
        <w:rPr>
          <w:rFonts w:ascii="Times New Roman" w:hAnsi="Times New Roman"/>
          <w:b/>
          <w:bCs/>
          <w:sz w:val="24"/>
          <w:szCs w:val="24"/>
          <w:lang w:val="en-US"/>
        </w:rPr>
        <w:t xml:space="preserve"> </w:t>
      </w:r>
      <w:r w:rsidRPr="004C38B6">
        <w:rPr>
          <w:rFonts w:ascii="Times New Roman" w:hAnsi="Times New Roman"/>
          <w:b/>
          <w:bCs/>
          <w:sz w:val="24"/>
          <w:szCs w:val="24"/>
        </w:rPr>
        <w:t>на</w:t>
      </w:r>
      <w:r w:rsidRPr="00096AFA">
        <w:rPr>
          <w:rFonts w:ascii="Times New Roman" w:hAnsi="Times New Roman"/>
          <w:b/>
          <w:bCs/>
          <w:sz w:val="24"/>
          <w:szCs w:val="24"/>
          <w:lang w:val="en-US"/>
        </w:rPr>
        <w:t xml:space="preserve"> </w:t>
      </w:r>
      <w:r w:rsidRPr="004C38B6">
        <w:rPr>
          <w:rFonts w:ascii="Times New Roman" w:hAnsi="Times New Roman"/>
          <w:b/>
          <w:bCs/>
          <w:sz w:val="24"/>
          <w:szCs w:val="24"/>
        </w:rPr>
        <w:t>английском</w:t>
      </w:r>
      <w:r w:rsidRPr="00096AFA">
        <w:rPr>
          <w:rFonts w:ascii="Times New Roman" w:hAnsi="Times New Roman"/>
          <w:b/>
          <w:bCs/>
          <w:sz w:val="24"/>
          <w:szCs w:val="24"/>
          <w:lang w:val="en-US"/>
        </w:rPr>
        <w:t xml:space="preserve"> </w:t>
      </w:r>
      <w:r w:rsidRPr="004C38B6">
        <w:rPr>
          <w:rFonts w:ascii="Times New Roman" w:hAnsi="Times New Roman"/>
          <w:b/>
          <w:bCs/>
          <w:sz w:val="24"/>
          <w:szCs w:val="24"/>
        </w:rPr>
        <w:t>языке</w:t>
      </w:r>
    </w:p>
    <w:p w14:paraId="1EE18EAB" w14:textId="03935AB2" w:rsidR="00775784" w:rsidRPr="00096AFA" w:rsidRDefault="00775784" w:rsidP="00775784">
      <w:pPr>
        <w:spacing w:after="0" w:line="240" w:lineRule="auto"/>
        <w:jc w:val="both"/>
        <w:rPr>
          <w:rFonts w:ascii="Times New Roman" w:hAnsi="Times New Roman"/>
          <w:sz w:val="24"/>
          <w:szCs w:val="24"/>
          <w:lang w:val="en-US"/>
        </w:rPr>
      </w:pPr>
    </w:p>
    <w:p w14:paraId="6B576B5A" w14:textId="77777777" w:rsidR="004C38B6" w:rsidRPr="00096AFA" w:rsidRDefault="004C38B6" w:rsidP="004C38B6">
      <w:pPr>
        <w:spacing w:after="0" w:line="240" w:lineRule="auto"/>
        <w:jc w:val="both"/>
        <w:rPr>
          <w:rFonts w:ascii="Times New Roman" w:hAnsi="Times New Roman"/>
          <w:sz w:val="24"/>
          <w:szCs w:val="24"/>
          <w:lang w:val="en-US"/>
        </w:rPr>
      </w:pPr>
      <w:r w:rsidRPr="00096AFA">
        <w:rPr>
          <w:rFonts w:ascii="Times New Roman" w:hAnsi="Times New Roman"/>
          <w:sz w:val="24"/>
          <w:szCs w:val="24"/>
          <w:lang w:val="en-US"/>
        </w:rPr>
        <w:t>1. Franczak, I. Special Economic Zones as a factor for activating regional economies, Research Papers of Wroclaw University of Economics,  2015, 392</w:t>
      </w:r>
    </w:p>
    <w:p w14:paraId="13BE4C77" w14:textId="77777777" w:rsidR="004C38B6" w:rsidRPr="004C38B6" w:rsidRDefault="004C38B6" w:rsidP="004C38B6">
      <w:pPr>
        <w:spacing w:after="0" w:line="240" w:lineRule="auto"/>
        <w:jc w:val="both"/>
        <w:rPr>
          <w:rFonts w:ascii="Times New Roman" w:hAnsi="Times New Roman"/>
          <w:sz w:val="24"/>
          <w:szCs w:val="24"/>
        </w:rPr>
      </w:pPr>
      <w:r w:rsidRPr="00096AFA">
        <w:rPr>
          <w:rFonts w:ascii="Times New Roman" w:hAnsi="Times New Roman"/>
          <w:sz w:val="24"/>
          <w:szCs w:val="24"/>
          <w:lang w:val="en-US"/>
        </w:rPr>
        <w:t xml:space="preserve">2. Gavrilova N. G. Analysis of Taxation of Special Economic Zones in Russia//Strategy of Sustainable Development of Regions of Russia. </w:t>
      </w:r>
      <w:r w:rsidRPr="004C38B6">
        <w:rPr>
          <w:rFonts w:ascii="Times New Roman" w:hAnsi="Times New Roman"/>
          <w:sz w:val="24"/>
          <w:szCs w:val="24"/>
        </w:rPr>
        <w:t>2012. №11. URL: https://cyberleninka.ru/article/n/analiz-nalogooblozheniya-osobyh-ekonomicheskih-zon-v-rossii (дата обращения: 10.04.2020).</w:t>
      </w:r>
    </w:p>
    <w:p w14:paraId="068832F2" w14:textId="77777777" w:rsidR="004C38B6" w:rsidRPr="00096AFA" w:rsidRDefault="004C38B6" w:rsidP="004C38B6">
      <w:pPr>
        <w:spacing w:after="0" w:line="240" w:lineRule="auto"/>
        <w:jc w:val="both"/>
        <w:rPr>
          <w:rFonts w:ascii="Times New Roman" w:hAnsi="Times New Roman"/>
          <w:sz w:val="24"/>
          <w:szCs w:val="24"/>
          <w:lang w:val="en-US"/>
        </w:rPr>
      </w:pPr>
      <w:r w:rsidRPr="00096AFA">
        <w:rPr>
          <w:rFonts w:ascii="Times New Roman" w:hAnsi="Times New Roman"/>
          <w:sz w:val="24"/>
          <w:szCs w:val="24"/>
          <w:lang w:val="en-US"/>
        </w:rPr>
        <w:t>3. Vranovich E. V. Investments in special economic zones as a mechanism for attracting venture capital//AGTU Gazette. Series: Economy. 2015. №3. URL: https://cyberleninka.ru/article/n/investitsii-v-osobye-ekonomicheskie-zony-kak-mehanizm-privlecheniya-venchurnogo-kapitala (</w:t>
      </w:r>
      <w:r w:rsidRPr="004C38B6">
        <w:rPr>
          <w:rFonts w:ascii="Times New Roman" w:hAnsi="Times New Roman"/>
          <w:sz w:val="24"/>
          <w:szCs w:val="24"/>
        </w:rPr>
        <w:t>дата</w:t>
      </w:r>
      <w:r w:rsidRPr="00096AFA">
        <w:rPr>
          <w:rFonts w:ascii="Times New Roman" w:hAnsi="Times New Roman"/>
          <w:sz w:val="24"/>
          <w:szCs w:val="24"/>
          <w:lang w:val="en-US"/>
        </w:rPr>
        <w:t xml:space="preserve"> </w:t>
      </w:r>
      <w:r w:rsidRPr="004C38B6">
        <w:rPr>
          <w:rFonts w:ascii="Times New Roman" w:hAnsi="Times New Roman"/>
          <w:sz w:val="24"/>
          <w:szCs w:val="24"/>
        </w:rPr>
        <w:t>обращения</w:t>
      </w:r>
      <w:r w:rsidRPr="00096AFA">
        <w:rPr>
          <w:rFonts w:ascii="Times New Roman" w:hAnsi="Times New Roman"/>
          <w:sz w:val="24"/>
          <w:szCs w:val="24"/>
          <w:lang w:val="en-US"/>
        </w:rPr>
        <w:t>: 10.04.2020).</w:t>
      </w:r>
    </w:p>
    <w:p w14:paraId="470B0973" w14:textId="32172CDB" w:rsidR="004C38B6" w:rsidRPr="00096AFA" w:rsidRDefault="004C38B6" w:rsidP="004C38B6">
      <w:pPr>
        <w:spacing w:after="0" w:line="240" w:lineRule="auto"/>
        <w:jc w:val="both"/>
        <w:rPr>
          <w:rFonts w:ascii="Times New Roman" w:hAnsi="Times New Roman"/>
          <w:sz w:val="24"/>
          <w:szCs w:val="24"/>
          <w:lang w:val="en-US"/>
        </w:rPr>
      </w:pPr>
      <w:r w:rsidRPr="00096AFA">
        <w:rPr>
          <w:rFonts w:ascii="Times New Roman" w:hAnsi="Times New Roman"/>
          <w:sz w:val="24"/>
          <w:szCs w:val="24"/>
          <w:lang w:val="en-US"/>
        </w:rPr>
        <w:t>4. Problems of investment investments and ways of their solutions Economic scientific journal "Assessment of investments" Economics. Assessment. Investments. http://www.esm-invest.com/ru/problems-of-attraction-investments-and-ways-of-their-solutio</w:t>
      </w:r>
    </w:p>
    <w:sectPr w:rsidR="004C38B6" w:rsidRPr="00096AFA" w:rsidSect="00CB1758">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343E211" w14:textId="77777777" w:rsidR="00120FCC" w:rsidRDefault="00120FCC" w:rsidP="009430A8">
      <w:pPr>
        <w:spacing w:after="0" w:line="240" w:lineRule="auto"/>
      </w:pPr>
      <w:r>
        <w:separator/>
      </w:r>
    </w:p>
  </w:endnote>
  <w:endnote w:type="continuationSeparator" w:id="0">
    <w:p w14:paraId="7C86EBFD" w14:textId="77777777" w:rsidR="00120FCC" w:rsidRDefault="00120FCC" w:rsidP="009430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A784B8E" w14:textId="77777777" w:rsidR="00120FCC" w:rsidRDefault="00120FCC" w:rsidP="009430A8">
      <w:pPr>
        <w:spacing w:after="0" w:line="240" w:lineRule="auto"/>
      </w:pPr>
      <w:r>
        <w:separator/>
      </w:r>
    </w:p>
  </w:footnote>
  <w:footnote w:type="continuationSeparator" w:id="0">
    <w:p w14:paraId="432433D0" w14:textId="77777777" w:rsidR="00120FCC" w:rsidRDefault="00120FCC" w:rsidP="009430A8">
      <w:pPr>
        <w:spacing w:after="0" w:line="240" w:lineRule="auto"/>
      </w:pPr>
      <w:r>
        <w:continuationSeparator/>
      </w:r>
    </w:p>
  </w:footnote>
  <w:footnote w:id="1">
    <w:p w14:paraId="329CE81A" w14:textId="77777777" w:rsidR="00775784" w:rsidRPr="00AC7570" w:rsidRDefault="00775784" w:rsidP="009430A8">
      <w:pPr>
        <w:pStyle w:val="Section"/>
        <w:numPr>
          <w:ilvl w:val="0"/>
          <w:numId w:val="0"/>
        </w:numPr>
        <w:jc w:val="both"/>
        <w:rPr>
          <w:rFonts w:ascii="Times New Roman" w:hAnsi="Times New Roman"/>
          <w:b w:val="0"/>
          <w:lang w:val="ru-RU"/>
        </w:rPr>
      </w:pPr>
      <w:r>
        <w:rPr>
          <w:rStyle w:val="af2"/>
        </w:rPr>
        <w:footnoteRef/>
      </w:r>
      <w:r w:rsidRPr="009430A8">
        <w:rPr>
          <w:lang w:val="ru-RU"/>
        </w:rPr>
        <w:t xml:space="preserve"> </w:t>
      </w:r>
      <w:r w:rsidRPr="00AC7570">
        <w:rPr>
          <w:rFonts w:ascii="Times New Roman" w:hAnsi="Times New Roman"/>
          <w:b w:val="0"/>
          <w:lang w:val="ru-RU"/>
        </w:rPr>
        <w:t xml:space="preserve">Исследование выполнено в рамках бюджетной научно-исследовательской работы в Институте экономики Карельского научного центра РАН (№ АААА-А19-119010990087-1) </w:t>
      </w:r>
    </w:p>
    <w:p w14:paraId="135CC540" w14:textId="4880F06E" w:rsidR="00775784" w:rsidRDefault="00775784">
      <w:pPr>
        <w:pStyle w:val="af0"/>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491C6A"/>
    <w:multiLevelType w:val="multilevel"/>
    <w:tmpl w:val="673A7A1C"/>
    <w:lvl w:ilvl="0">
      <w:start w:val="1"/>
      <w:numFmt w:val="decimal"/>
      <w:pStyle w:val="Section"/>
      <w:suff w:val="nothing"/>
      <w:lvlText w:val="%1.  "/>
      <w:lvlJc w:val="left"/>
      <w:pPr>
        <w:ind w:left="0" w:firstLine="0"/>
      </w:pPr>
      <w:rPr>
        <w:rFonts w:hint="default"/>
      </w:rPr>
    </w:lvl>
    <w:lvl w:ilvl="1">
      <w:start w:val="1"/>
      <w:numFmt w:val="decimal"/>
      <w:pStyle w:val="Subsection"/>
      <w:suff w:val="nothing"/>
      <w:lvlText w:val="%1.%2.  "/>
      <w:lvlJc w:val="left"/>
      <w:pPr>
        <w:ind w:left="0" w:firstLine="0"/>
      </w:pPr>
      <w:rPr>
        <w:rFonts w:hint="default"/>
      </w:rPr>
    </w:lvl>
    <w:lvl w:ilvl="2">
      <w:start w:val="1"/>
      <w:numFmt w:val="decimal"/>
      <w:pStyle w:val="Subsubsection"/>
      <w:suff w:val="nothing"/>
      <w:lvlText w:val="%1.%2.%3.  "/>
      <w:lvlJc w:val="left"/>
      <w:pPr>
        <w:ind w:left="0" w:firstLine="142"/>
      </w:pPr>
      <w:rPr>
        <w:rFonts w:hint="default"/>
        <w:i/>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
    <w:nsid w:val="4FDA17B5"/>
    <w:multiLevelType w:val="hybridMultilevel"/>
    <w:tmpl w:val="5990483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5033780F"/>
    <w:multiLevelType w:val="hybridMultilevel"/>
    <w:tmpl w:val="FC9A602E"/>
    <w:lvl w:ilvl="0" w:tplc="FB5EEFB8">
      <w:numFmt w:val="bullet"/>
      <w:lvlText w:val=""/>
      <w:lvlJc w:val="left"/>
      <w:pPr>
        <w:ind w:left="1353" w:hanging="360"/>
      </w:pPr>
      <w:rPr>
        <w:rFonts w:ascii="Symbol" w:eastAsiaTheme="minorHAnsi" w:hAnsi="Symbol" w:cs="Times New Roman" w:hint="default"/>
      </w:rPr>
    </w:lvl>
    <w:lvl w:ilvl="1" w:tplc="04190003" w:tentative="1">
      <w:start w:val="1"/>
      <w:numFmt w:val="bullet"/>
      <w:lvlText w:val="o"/>
      <w:lvlJc w:val="left"/>
      <w:pPr>
        <w:ind w:left="2073" w:hanging="360"/>
      </w:pPr>
      <w:rPr>
        <w:rFonts w:ascii="Courier New" w:hAnsi="Courier New" w:cs="Courier New" w:hint="default"/>
      </w:rPr>
    </w:lvl>
    <w:lvl w:ilvl="2" w:tplc="04190005" w:tentative="1">
      <w:start w:val="1"/>
      <w:numFmt w:val="bullet"/>
      <w:lvlText w:val=""/>
      <w:lvlJc w:val="left"/>
      <w:pPr>
        <w:ind w:left="2793" w:hanging="360"/>
      </w:pPr>
      <w:rPr>
        <w:rFonts w:ascii="Wingdings" w:hAnsi="Wingdings" w:hint="default"/>
      </w:rPr>
    </w:lvl>
    <w:lvl w:ilvl="3" w:tplc="04190001" w:tentative="1">
      <w:start w:val="1"/>
      <w:numFmt w:val="bullet"/>
      <w:lvlText w:val=""/>
      <w:lvlJc w:val="left"/>
      <w:pPr>
        <w:ind w:left="3513" w:hanging="360"/>
      </w:pPr>
      <w:rPr>
        <w:rFonts w:ascii="Symbol" w:hAnsi="Symbol" w:hint="default"/>
      </w:rPr>
    </w:lvl>
    <w:lvl w:ilvl="4" w:tplc="04190003" w:tentative="1">
      <w:start w:val="1"/>
      <w:numFmt w:val="bullet"/>
      <w:lvlText w:val="o"/>
      <w:lvlJc w:val="left"/>
      <w:pPr>
        <w:ind w:left="4233" w:hanging="360"/>
      </w:pPr>
      <w:rPr>
        <w:rFonts w:ascii="Courier New" w:hAnsi="Courier New" w:cs="Courier New" w:hint="default"/>
      </w:rPr>
    </w:lvl>
    <w:lvl w:ilvl="5" w:tplc="04190005" w:tentative="1">
      <w:start w:val="1"/>
      <w:numFmt w:val="bullet"/>
      <w:lvlText w:val=""/>
      <w:lvlJc w:val="left"/>
      <w:pPr>
        <w:ind w:left="4953" w:hanging="360"/>
      </w:pPr>
      <w:rPr>
        <w:rFonts w:ascii="Wingdings" w:hAnsi="Wingdings" w:hint="default"/>
      </w:rPr>
    </w:lvl>
    <w:lvl w:ilvl="6" w:tplc="04190001" w:tentative="1">
      <w:start w:val="1"/>
      <w:numFmt w:val="bullet"/>
      <w:lvlText w:val=""/>
      <w:lvlJc w:val="left"/>
      <w:pPr>
        <w:ind w:left="5673" w:hanging="360"/>
      </w:pPr>
      <w:rPr>
        <w:rFonts w:ascii="Symbol" w:hAnsi="Symbol" w:hint="default"/>
      </w:rPr>
    </w:lvl>
    <w:lvl w:ilvl="7" w:tplc="04190003" w:tentative="1">
      <w:start w:val="1"/>
      <w:numFmt w:val="bullet"/>
      <w:lvlText w:val="o"/>
      <w:lvlJc w:val="left"/>
      <w:pPr>
        <w:ind w:left="6393" w:hanging="360"/>
      </w:pPr>
      <w:rPr>
        <w:rFonts w:ascii="Courier New" w:hAnsi="Courier New" w:cs="Courier New" w:hint="default"/>
      </w:rPr>
    </w:lvl>
    <w:lvl w:ilvl="8" w:tplc="04190005" w:tentative="1">
      <w:start w:val="1"/>
      <w:numFmt w:val="bullet"/>
      <w:lvlText w:val=""/>
      <w:lvlJc w:val="left"/>
      <w:pPr>
        <w:ind w:left="7113" w:hanging="360"/>
      </w:pPr>
      <w:rPr>
        <w:rFonts w:ascii="Wingdings" w:hAnsi="Wingdings" w:hint="default"/>
      </w:rPr>
    </w:lvl>
  </w:abstractNum>
  <w:abstractNum w:abstractNumId="3">
    <w:nsid w:val="5FA7441B"/>
    <w:multiLevelType w:val="hybridMultilevel"/>
    <w:tmpl w:val="366E709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
    <w:nsid w:val="6F6A0BEA"/>
    <w:multiLevelType w:val="hybridMultilevel"/>
    <w:tmpl w:val="7A34AA14"/>
    <w:lvl w:ilvl="0" w:tplc="8C204F66">
      <w:start w:val="1"/>
      <w:numFmt w:val="decimal"/>
      <w:lvlText w:val="%1."/>
      <w:lvlJc w:val="left"/>
      <w:pPr>
        <w:ind w:left="360" w:hanging="360"/>
      </w:pPr>
      <w:rPr>
        <w:rFonts w:ascii="Arial" w:hAnsi="Arial" w:cs="Arial" w:hint="default"/>
        <w:sz w:val="1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2"/>
  </w:num>
  <w:num w:numId="3">
    <w:abstractNumId w:val="0"/>
  </w:num>
  <w:num w:numId="4">
    <w:abstractNumId w:val="4"/>
  </w:num>
  <w:num w:numId="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3B38"/>
    <w:rsid w:val="00004595"/>
    <w:rsid w:val="000047BF"/>
    <w:rsid w:val="000065B6"/>
    <w:rsid w:val="00022A88"/>
    <w:rsid w:val="0004763B"/>
    <w:rsid w:val="00086971"/>
    <w:rsid w:val="000877A9"/>
    <w:rsid w:val="00092697"/>
    <w:rsid w:val="00096AFA"/>
    <w:rsid w:val="000F794B"/>
    <w:rsid w:val="00104F40"/>
    <w:rsid w:val="00114694"/>
    <w:rsid w:val="00120FCC"/>
    <w:rsid w:val="001224F2"/>
    <w:rsid w:val="0013685B"/>
    <w:rsid w:val="001424B1"/>
    <w:rsid w:val="001974B1"/>
    <w:rsid w:val="001A29F5"/>
    <w:rsid w:val="001A7A95"/>
    <w:rsid w:val="001B38C9"/>
    <w:rsid w:val="001C71F0"/>
    <w:rsid w:val="001C7604"/>
    <w:rsid w:val="001E12E8"/>
    <w:rsid w:val="001F4061"/>
    <w:rsid w:val="0020400D"/>
    <w:rsid w:val="002102B2"/>
    <w:rsid w:val="002141C6"/>
    <w:rsid w:val="00214DBA"/>
    <w:rsid w:val="002224B8"/>
    <w:rsid w:val="0024721C"/>
    <w:rsid w:val="00263452"/>
    <w:rsid w:val="0026554F"/>
    <w:rsid w:val="002712B5"/>
    <w:rsid w:val="0027372E"/>
    <w:rsid w:val="0028689C"/>
    <w:rsid w:val="00293A32"/>
    <w:rsid w:val="002A7C32"/>
    <w:rsid w:val="002B6B1B"/>
    <w:rsid w:val="002F0EA1"/>
    <w:rsid w:val="003573E7"/>
    <w:rsid w:val="00364B92"/>
    <w:rsid w:val="003A4BBF"/>
    <w:rsid w:val="003B01F9"/>
    <w:rsid w:val="003B40AF"/>
    <w:rsid w:val="003C1BAD"/>
    <w:rsid w:val="003D2EF0"/>
    <w:rsid w:val="003E56C0"/>
    <w:rsid w:val="003E69CE"/>
    <w:rsid w:val="003E740E"/>
    <w:rsid w:val="003F3B38"/>
    <w:rsid w:val="003F3C1D"/>
    <w:rsid w:val="003F5515"/>
    <w:rsid w:val="00411791"/>
    <w:rsid w:val="0042101B"/>
    <w:rsid w:val="00426BB3"/>
    <w:rsid w:val="00441BFF"/>
    <w:rsid w:val="00472AD9"/>
    <w:rsid w:val="00482A08"/>
    <w:rsid w:val="00491C46"/>
    <w:rsid w:val="00495264"/>
    <w:rsid w:val="004C38B6"/>
    <w:rsid w:val="004C459F"/>
    <w:rsid w:val="005261FC"/>
    <w:rsid w:val="00526F45"/>
    <w:rsid w:val="00551732"/>
    <w:rsid w:val="00564170"/>
    <w:rsid w:val="0057047D"/>
    <w:rsid w:val="00573A6F"/>
    <w:rsid w:val="005B2609"/>
    <w:rsid w:val="005D7CAF"/>
    <w:rsid w:val="0061187B"/>
    <w:rsid w:val="00616789"/>
    <w:rsid w:val="00627F48"/>
    <w:rsid w:val="00656F8D"/>
    <w:rsid w:val="00657C3D"/>
    <w:rsid w:val="006A10AE"/>
    <w:rsid w:val="006D1DB6"/>
    <w:rsid w:val="006F2827"/>
    <w:rsid w:val="007002BC"/>
    <w:rsid w:val="00703996"/>
    <w:rsid w:val="00703A9C"/>
    <w:rsid w:val="00727E67"/>
    <w:rsid w:val="00741D45"/>
    <w:rsid w:val="0074661E"/>
    <w:rsid w:val="00747F18"/>
    <w:rsid w:val="00751AC4"/>
    <w:rsid w:val="00754810"/>
    <w:rsid w:val="00775784"/>
    <w:rsid w:val="007C5EE2"/>
    <w:rsid w:val="007C71C9"/>
    <w:rsid w:val="007D79B6"/>
    <w:rsid w:val="007F7DAC"/>
    <w:rsid w:val="00802F82"/>
    <w:rsid w:val="00822369"/>
    <w:rsid w:val="00832AD8"/>
    <w:rsid w:val="0084526D"/>
    <w:rsid w:val="00883269"/>
    <w:rsid w:val="008A4E65"/>
    <w:rsid w:val="008B2E82"/>
    <w:rsid w:val="008E4F2C"/>
    <w:rsid w:val="0090324C"/>
    <w:rsid w:val="00926B2B"/>
    <w:rsid w:val="009430A8"/>
    <w:rsid w:val="009456DD"/>
    <w:rsid w:val="009476C0"/>
    <w:rsid w:val="0097010F"/>
    <w:rsid w:val="009763B6"/>
    <w:rsid w:val="00990946"/>
    <w:rsid w:val="009B5C41"/>
    <w:rsid w:val="009B7BFB"/>
    <w:rsid w:val="009B7FE6"/>
    <w:rsid w:val="009F6DFC"/>
    <w:rsid w:val="00A0249F"/>
    <w:rsid w:val="00A27D9A"/>
    <w:rsid w:val="00A87872"/>
    <w:rsid w:val="00A97AD5"/>
    <w:rsid w:val="00AA132F"/>
    <w:rsid w:val="00AB601C"/>
    <w:rsid w:val="00AD1522"/>
    <w:rsid w:val="00B11975"/>
    <w:rsid w:val="00B14712"/>
    <w:rsid w:val="00B16818"/>
    <w:rsid w:val="00B242E2"/>
    <w:rsid w:val="00B762C7"/>
    <w:rsid w:val="00B97953"/>
    <w:rsid w:val="00BA5348"/>
    <w:rsid w:val="00BC170E"/>
    <w:rsid w:val="00BD4286"/>
    <w:rsid w:val="00BE21BF"/>
    <w:rsid w:val="00BF7B84"/>
    <w:rsid w:val="00C1189A"/>
    <w:rsid w:val="00C63501"/>
    <w:rsid w:val="00C67F40"/>
    <w:rsid w:val="00C9479F"/>
    <w:rsid w:val="00CA52FA"/>
    <w:rsid w:val="00CB1758"/>
    <w:rsid w:val="00D00C66"/>
    <w:rsid w:val="00D10C9E"/>
    <w:rsid w:val="00D41413"/>
    <w:rsid w:val="00D87FA3"/>
    <w:rsid w:val="00DA7269"/>
    <w:rsid w:val="00DC2F72"/>
    <w:rsid w:val="00DF549F"/>
    <w:rsid w:val="00E070B2"/>
    <w:rsid w:val="00E137F1"/>
    <w:rsid w:val="00E353E3"/>
    <w:rsid w:val="00E5061A"/>
    <w:rsid w:val="00E76F67"/>
    <w:rsid w:val="00E84231"/>
    <w:rsid w:val="00E8723A"/>
    <w:rsid w:val="00E93A53"/>
    <w:rsid w:val="00E9661C"/>
    <w:rsid w:val="00E97877"/>
    <w:rsid w:val="00EB4E2C"/>
    <w:rsid w:val="00EB6411"/>
    <w:rsid w:val="00EB7867"/>
    <w:rsid w:val="00EC493A"/>
    <w:rsid w:val="00F077B8"/>
    <w:rsid w:val="00F1449C"/>
    <w:rsid w:val="00F473BE"/>
    <w:rsid w:val="00F56F3D"/>
    <w:rsid w:val="00F92ECA"/>
    <w:rsid w:val="00FA5434"/>
    <w:rsid w:val="00FE11B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A01C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1187B"/>
    <w:rPr>
      <w:rFonts w:ascii="Calibri" w:eastAsia="Times New Roman" w:hAnsi="Calibri" w:cs="Times New Roman"/>
      <w:lang w:eastAsia="ru-RU"/>
    </w:rPr>
  </w:style>
  <w:style w:type="paragraph" w:styleId="1">
    <w:name w:val="heading 1"/>
    <w:basedOn w:val="a"/>
    <w:link w:val="10"/>
    <w:uiPriority w:val="9"/>
    <w:qFormat/>
    <w:rsid w:val="003E69CE"/>
    <w:pPr>
      <w:spacing w:after="0" w:line="240" w:lineRule="auto"/>
      <w:outlineLvl w:val="0"/>
    </w:pPr>
    <w:rPr>
      <w:rFonts w:ascii="Times New Roman" w:hAnsi="Times New Roman"/>
      <w:b/>
      <w:bCs/>
      <w:kern w:val="36"/>
      <w:sz w:val="48"/>
      <w:szCs w:val="48"/>
    </w:rPr>
  </w:style>
  <w:style w:type="paragraph" w:styleId="4">
    <w:name w:val="heading 4"/>
    <w:basedOn w:val="a"/>
    <w:next w:val="a"/>
    <w:link w:val="40"/>
    <w:uiPriority w:val="9"/>
    <w:unhideWhenUsed/>
    <w:qFormat/>
    <w:rsid w:val="0090324C"/>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261FC"/>
    <w:pPr>
      <w:ind w:left="720"/>
      <w:contextualSpacing/>
    </w:pPr>
  </w:style>
  <w:style w:type="character" w:customStyle="1" w:styleId="40">
    <w:name w:val="Заголовок 4 Знак"/>
    <w:basedOn w:val="a0"/>
    <w:link w:val="4"/>
    <w:uiPriority w:val="9"/>
    <w:rsid w:val="0090324C"/>
    <w:rPr>
      <w:rFonts w:asciiTheme="majorHAnsi" w:eastAsiaTheme="majorEastAsia" w:hAnsiTheme="majorHAnsi" w:cstheme="majorBidi"/>
      <w:b/>
      <w:bCs/>
      <w:i/>
      <w:iCs/>
      <w:color w:val="4F81BD" w:themeColor="accent1"/>
    </w:rPr>
  </w:style>
  <w:style w:type="character" w:styleId="a4">
    <w:name w:val="Hyperlink"/>
    <w:basedOn w:val="a0"/>
    <w:uiPriority w:val="99"/>
    <w:unhideWhenUsed/>
    <w:rsid w:val="001F4061"/>
    <w:rPr>
      <w:color w:val="0000FF" w:themeColor="hyperlink"/>
      <w:u w:val="single"/>
    </w:rPr>
  </w:style>
  <w:style w:type="character" w:customStyle="1" w:styleId="apple-converted-space">
    <w:name w:val="apple-converted-space"/>
    <w:basedOn w:val="a0"/>
    <w:rsid w:val="00FE11B6"/>
  </w:style>
  <w:style w:type="paragraph" w:customStyle="1" w:styleId="Default">
    <w:name w:val="Default"/>
    <w:rsid w:val="0027372E"/>
    <w:pPr>
      <w:autoSpaceDE w:val="0"/>
      <w:autoSpaceDN w:val="0"/>
      <w:adjustRightInd w:val="0"/>
      <w:spacing w:after="0" w:line="240" w:lineRule="auto"/>
    </w:pPr>
    <w:rPr>
      <w:rFonts w:ascii="Times New Roman" w:hAnsi="Times New Roman" w:cs="Times New Roman"/>
      <w:color w:val="000000"/>
      <w:sz w:val="24"/>
      <w:szCs w:val="24"/>
    </w:rPr>
  </w:style>
  <w:style w:type="paragraph" w:styleId="a5">
    <w:name w:val="Normal (Web)"/>
    <w:basedOn w:val="a"/>
    <w:uiPriority w:val="99"/>
    <w:unhideWhenUsed/>
    <w:rsid w:val="003E69CE"/>
    <w:pPr>
      <w:spacing w:before="100" w:beforeAutospacing="1" w:after="100" w:afterAutospacing="1" w:line="240" w:lineRule="auto"/>
    </w:pPr>
    <w:rPr>
      <w:rFonts w:ascii="Times New Roman" w:hAnsi="Times New Roman"/>
      <w:sz w:val="24"/>
      <w:szCs w:val="24"/>
    </w:rPr>
  </w:style>
  <w:style w:type="character" w:customStyle="1" w:styleId="10">
    <w:name w:val="Заголовок 1 Знак"/>
    <w:basedOn w:val="a0"/>
    <w:link w:val="1"/>
    <w:uiPriority w:val="9"/>
    <w:rsid w:val="003E69CE"/>
    <w:rPr>
      <w:rFonts w:ascii="Times New Roman" w:eastAsia="Times New Roman" w:hAnsi="Times New Roman" w:cs="Times New Roman"/>
      <w:b/>
      <w:bCs/>
      <w:kern w:val="36"/>
      <w:sz w:val="48"/>
      <w:szCs w:val="48"/>
      <w:lang w:eastAsia="ru-RU"/>
    </w:rPr>
  </w:style>
  <w:style w:type="paragraph" w:customStyle="1" w:styleId="authors">
    <w:name w:val="authors"/>
    <w:basedOn w:val="a"/>
    <w:rsid w:val="003E69CE"/>
    <w:pPr>
      <w:spacing w:before="150" w:after="150" w:line="240" w:lineRule="auto"/>
      <w:jc w:val="center"/>
    </w:pPr>
    <w:rPr>
      <w:rFonts w:ascii="Times New Roman" w:hAnsi="Times New Roman"/>
      <w:color w:val="7A1115"/>
      <w:sz w:val="24"/>
      <w:szCs w:val="24"/>
    </w:rPr>
  </w:style>
  <w:style w:type="character" w:styleId="a6">
    <w:name w:val="FollowedHyperlink"/>
    <w:basedOn w:val="a0"/>
    <w:uiPriority w:val="99"/>
    <w:semiHidden/>
    <w:unhideWhenUsed/>
    <w:rsid w:val="003E69CE"/>
    <w:rPr>
      <w:color w:val="800080" w:themeColor="followedHyperlink"/>
      <w:u w:val="single"/>
    </w:rPr>
  </w:style>
  <w:style w:type="character" w:styleId="a7">
    <w:name w:val="annotation reference"/>
    <w:basedOn w:val="a0"/>
    <w:uiPriority w:val="99"/>
    <w:semiHidden/>
    <w:unhideWhenUsed/>
    <w:rsid w:val="003B01F9"/>
    <w:rPr>
      <w:sz w:val="16"/>
      <w:szCs w:val="16"/>
    </w:rPr>
  </w:style>
  <w:style w:type="paragraph" w:styleId="a8">
    <w:name w:val="annotation text"/>
    <w:basedOn w:val="a"/>
    <w:link w:val="a9"/>
    <w:uiPriority w:val="99"/>
    <w:semiHidden/>
    <w:unhideWhenUsed/>
    <w:rsid w:val="003B01F9"/>
    <w:pPr>
      <w:spacing w:line="240" w:lineRule="auto"/>
    </w:pPr>
    <w:rPr>
      <w:sz w:val="20"/>
      <w:szCs w:val="20"/>
    </w:rPr>
  </w:style>
  <w:style w:type="character" w:customStyle="1" w:styleId="a9">
    <w:name w:val="Текст примечания Знак"/>
    <w:basedOn w:val="a0"/>
    <w:link w:val="a8"/>
    <w:uiPriority w:val="99"/>
    <w:semiHidden/>
    <w:rsid w:val="003B01F9"/>
    <w:rPr>
      <w:sz w:val="20"/>
      <w:szCs w:val="20"/>
    </w:rPr>
  </w:style>
  <w:style w:type="paragraph" w:styleId="aa">
    <w:name w:val="annotation subject"/>
    <w:basedOn w:val="a8"/>
    <w:next w:val="a8"/>
    <w:link w:val="ab"/>
    <w:uiPriority w:val="99"/>
    <w:semiHidden/>
    <w:unhideWhenUsed/>
    <w:rsid w:val="003B01F9"/>
    <w:rPr>
      <w:b/>
      <w:bCs/>
    </w:rPr>
  </w:style>
  <w:style w:type="character" w:customStyle="1" w:styleId="ab">
    <w:name w:val="Тема примечания Знак"/>
    <w:basedOn w:val="a9"/>
    <w:link w:val="aa"/>
    <w:uiPriority w:val="99"/>
    <w:semiHidden/>
    <w:rsid w:val="003B01F9"/>
    <w:rPr>
      <w:b/>
      <w:bCs/>
      <w:sz w:val="20"/>
      <w:szCs w:val="20"/>
    </w:rPr>
  </w:style>
  <w:style w:type="paragraph" w:styleId="ac">
    <w:name w:val="Balloon Text"/>
    <w:basedOn w:val="a"/>
    <w:link w:val="ad"/>
    <w:uiPriority w:val="99"/>
    <w:semiHidden/>
    <w:unhideWhenUsed/>
    <w:rsid w:val="003B01F9"/>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3B01F9"/>
    <w:rPr>
      <w:rFonts w:ascii="Tahoma" w:hAnsi="Tahoma" w:cs="Tahoma"/>
      <w:sz w:val="16"/>
      <w:szCs w:val="16"/>
    </w:rPr>
  </w:style>
  <w:style w:type="paragraph" w:customStyle="1" w:styleId="rteright">
    <w:name w:val="rteright"/>
    <w:basedOn w:val="a"/>
    <w:rsid w:val="00B242E2"/>
    <w:pPr>
      <w:spacing w:before="100" w:beforeAutospacing="1" w:after="100" w:afterAutospacing="1" w:line="240" w:lineRule="auto"/>
    </w:pPr>
    <w:rPr>
      <w:rFonts w:ascii="Times New Roman" w:hAnsi="Times New Roman"/>
      <w:sz w:val="24"/>
      <w:szCs w:val="24"/>
    </w:rPr>
  </w:style>
  <w:style w:type="character" w:styleId="ae">
    <w:name w:val="Emphasis"/>
    <w:basedOn w:val="a0"/>
    <w:uiPriority w:val="20"/>
    <w:qFormat/>
    <w:rsid w:val="00B242E2"/>
    <w:rPr>
      <w:i/>
      <w:iCs/>
    </w:rPr>
  </w:style>
  <w:style w:type="paragraph" w:styleId="af">
    <w:name w:val="No Spacing"/>
    <w:uiPriority w:val="1"/>
    <w:qFormat/>
    <w:rsid w:val="00B242E2"/>
    <w:pPr>
      <w:spacing w:after="0" w:line="240" w:lineRule="auto"/>
    </w:pPr>
  </w:style>
  <w:style w:type="character" w:customStyle="1" w:styleId="name">
    <w:name w:val="name"/>
    <w:basedOn w:val="a0"/>
    <w:rsid w:val="00DF549F"/>
  </w:style>
  <w:style w:type="character" w:customStyle="1" w:styleId="surname">
    <w:name w:val="surname"/>
    <w:basedOn w:val="a0"/>
    <w:rsid w:val="00DF549F"/>
  </w:style>
  <w:style w:type="character" w:customStyle="1" w:styleId="given-names">
    <w:name w:val="given-names"/>
    <w:basedOn w:val="a0"/>
    <w:rsid w:val="00DF549F"/>
  </w:style>
  <w:style w:type="character" w:customStyle="1" w:styleId="string-name">
    <w:name w:val="string-name"/>
    <w:basedOn w:val="a0"/>
    <w:rsid w:val="00DF549F"/>
  </w:style>
  <w:style w:type="character" w:customStyle="1" w:styleId="year">
    <w:name w:val="year"/>
    <w:basedOn w:val="a0"/>
    <w:rsid w:val="00DF549F"/>
  </w:style>
  <w:style w:type="character" w:customStyle="1" w:styleId="article-title">
    <w:name w:val="article-title"/>
    <w:basedOn w:val="a0"/>
    <w:rsid w:val="00DF549F"/>
  </w:style>
  <w:style w:type="character" w:customStyle="1" w:styleId="source">
    <w:name w:val="source"/>
    <w:basedOn w:val="a0"/>
    <w:rsid w:val="00DF549F"/>
  </w:style>
  <w:style w:type="character" w:customStyle="1" w:styleId="volume">
    <w:name w:val="volume"/>
    <w:basedOn w:val="a0"/>
    <w:rsid w:val="00DF549F"/>
  </w:style>
  <w:style w:type="character" w:customStyle="1" w:styleId="issue">
    <w:name w:val="issue"/>
    <w:basedOn w:val="a0"/>
    <w:rsid w:val="00DF549F"/>
  </w:style>
  <w:style w:type="character" w:customStyle="1" w:styleId="fpage">
    <w:name w:val="fpage"/>
    <w:basedOn w:val="a0"/>
    <w:rsid w:val="00DF549F"/>
  </w:style>
  <w:style w:type="character" w:customStyle="1" w:styleId="lpage">
    <w:name w:val="lpage"/>
    <w:basedOn w:val="a0"/>
    <w:rsid w:val="00DF549F"/>
  </w:style>
  <w:style w:type="character" w:customStyle="1" w:styleId="fs2">
    <w:name w:val="fs2"/>
    <w:basedOn w:val="a0"/>
    <w:rsid w:val="00926B2B"/>
  </w:style>
  <w:style w:type="character" w:customStyle="1" w:styleId="ls2">
    <w:name w:val="ls2"/>
    <w:basedOn w:val="a0"/>
    <w:rsid w:val="00926B2B"/>
  </w:style>
  <w:style w:type="paragraph" w:styleId="af0">
    <w:name w:val="footnote text"/>
    <w:basedOn w:val="a"/>
    <w:link w:val="af1"/>
    <w:uiPriority w:val="99"/>
    <w:semiHidden/>
    <w:unhideWhenUsed/>
    <w:rsid w:val="009430A8"/>
    <w:pPr>
      <w:spacing w:after="0" w:line="240" w:lineRule="auto"/>
    </w:pPr>
    <w:rPr>
      <w:sz w:val="20"/>
      <w:szCs w:val="20"/>
    </w:rPr>
  </w:style>
  <w:style w:type="character" w:customStyle="1" w:styleId="af1">
    <w:name w:val="Текст сноски Знак"/>
    <w:basedOn w:val="a0"/>
    <w:link w:val="af0"/>
    <w:uiPriority w:val="99"/>
    <w:semiHidden/>
    <w:rsid w:val="009430A8"/>
    <w:rPr>
      <w:sz w:val="20"/>
      <w:szCs w:val="20"/>
    </w:rPr>
  </w:style>
  <w:style w:type="character" w:styleId="af2">
    <w:name w:val="footnote reference"/>
    <w:basedOn w:val="a0"/>
    <w:uiPriority w:val="99"/>
    <w:semiHidden/>
    <w:unhideWhenUsed/>
    <w:rsid w:val="009430A8"/>
    <w:rPr>
      <w:vertAlign w:val="superscript"/>
    </w:rPr>
  </w:style>
  <w:style w:type="paragraph" w:customStyle="1" w:styleId="Subsubsection">
    <w:name w:val="Subsubsection"/>
    <w:next w:val="a"/>
    <w:rsid w:val="009430A8"/>
    <w:pPr>
      <w:numPr>
        <w:ilvl w:val="2"/>
        <w:numId w:val="3"/>
      </w:numPr>
      <w:spacing w:before="240" w:after="0" w:line="240" w:lineRule="auto"/>
      <w:ind w:firstLine="0"/>
    </w:pPr>
    <w:rPr>
      <w:rFonts w:ascii="Times" w:eastAsia="Times New Roman" w:hAnsi="Times" w:cs="Times New Roman"/>
      <w:i/>
      <w:iCs/>
      <w:color w:val="000000"/>
      <w:lang w:val="en-GB"/>
    </w:rPr>
  </w:style>
  <w:style w:type="paragraph" w:customStyle="1" w:styleId="Section">
    <w:name w:val="Section"/>
    <w:next w:val="a"/>
    <w:rsid w:val="009430A8"/>
    <w:pPr>
      <w:numPr>
        <w:numId w:val="3"/>
      </w:numPr>
      <w:spacing w:before="240" w:after="0" w:line="240" w:lineRule="auto"/>
    </w:pPr>
    <w:rPr>
      <w:rFonts w:ascii="Times" w:eastAsia="Times New Roman" w:hAnsi="Times" w:cs="Times New Roman"/>
      <w:b/>
      <w:iCs/>
      <w:color w:val="000000"/>
      <w:lang w:val="en-GB"/>
    </w:rPr>
  </w:style>
  <w:style w:type="paragraph" w:customStyle="1" w:styleId="Subsection">
    <w:name w:val="Subsection"/>
    <w:next w:val="a"/>
    <w:rsid w:val="009430A8"/>
    <w:pPr>
      <w:numPr>
        <w:ilvl w:val="1"/>
        <w:numId w:val="3"/>
      </w:numPr>
      <w:spacing w:before="240" w:after="0" w:line="240" w:lineRule="auto"/>
    </w:pPr>
    <w:rPr>
      <w:rFonts w:ascii="Times" w:eastAsia="Times New Roman" w:hAnsi="Times" w:cs="Times New Roman"/>
      <w:iCs/>
      <w:color w:val="000000"/>
      <w:lang w:val="en-GB"/>
    </w:rPr>
  </w:style>
  <w:style w:type="paragraph" w:styleId="3">
    <w:name w:val="Body Text Indent 3"/>
    <w:basedOn w:val="a"/>
    <w:link w:val="30"/>
    <w:rsid w:val="009B7FE6"/>
    <w:pPr>
      <w:spacing w:after="0" w:line="420" w:lineRule="exact"/>
      <w:ind w:firstLine="539"/>
      <w:jc w:val="both"/>
    </w:pPr>
    <w:rPr>
      <w:rFonts w:ascii="Times New Roman" w:hAnsi="Times New Roman"/>
      <w:sz w:val="28"/>
      <w:szCs w:val="24"/>
    </w:rPr>
  </w:style>
  <w:style w:type="character" w:customStyle="1" w:styleId="30">
    <w:name w:val="Основной текст с отступом 3 Знак"/>
    <w:basedOn w:val="a0"/>
    <w:link w:val="3"/>
    <w:rsid w:val="009B7FE6"/>
    <w:rPr>
      <w:rFonts w:ascii="Times New Roman" w:eastAsia="Times New Roman" w:hAnsi="Times New Roman" w:cs="Times New Roman"/>
      <w:sz w:val="28"/>
      <w:szCs w:val="24"/>
      <w:lang w:eastAsia="ru-RU"/>
    </w:rPr>
  </w:style>
  <w:style w:type="character" w:customStyle="1" w:styleId="UnresolvedMention">
    <w:name w:val="Unresolved Mention"/>
    <w:basedOn w:val="a0"/>
    <w:uiPriority w:val="99"/>
    <w:semiHidden/>
    <w:unhideWhenUsed/>
    <w:rsid w:val="005D7CAF"/>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1187B"/>
    <w:rPr>
      <w:rFonts w:ascii="Calibri" w:eastAsia="Times New Roman" w:hAnsi="Calibri" w:cs="Times New Roman"/>
      <w:lang w:eastAsia="ru-RU"/>
    </w:rPr>
  </w:style>
  <w:style w:type="paragraph" w:styleId="1">
    <w:name w:val="heading 1"/>
    <w:basedOn w:val="a"/>
    <w:link w:val="10"/>
    <w:uiPriority w:val="9"/>
    <w:qFormat/>
    <w:rsid w:val="003E69CE"/>
    <w:pPr>
      <w:spacing w:after="0" w:line="240" w:lineRule="auto"/>
      <w:outlineLvl w:val="0"/>
    </w:pPr>
    <w:rPr>
      <w:rFonts w:ascii="Times New Roman" w:hAnsi="Times New Roman"/>
      <w:b/>
      <w:bCs/>
      <w:kern w:val="36"/>
      <w:sz w:val="48"/>
      <w:szCs w:val="48"/>
    </w:rPr>
  </w:style>
  <w:style w:type="paragraph" w:styleId="4">
    <w:name w:val="heading 4"/>
    <w:basedOn w:val="a"/>
    <w:next w:val="a"/>
    <w:link w:val="40"/>
    <w:uiPriority w:val="9"/>
    <w:unhideWhenUsed/>
    <w:qFormat/>
    <w:rsid w:val="0090324C"/>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261FC"/>
    <w:pPr>
      <w:ind w:left="720"/>
      <w:contextualSpacing/>
    </w:pPr>
  </w:style>
  <w:style w:type="character" w:customStyle="1" w:styleId="40">
    <w:name w:val="Заголовок 4 Знак"/>
    <w:basedOn w:val="a0"/>
    <w:link w:val="4"/>
    <w:uiPriority w:val="9"/>
    <w:rsid w:val="0090324C"/>
    <w:rPr>
      <w:rFonts w:asciiTheme="majorHAnsi" w:eastAsiaTheme="majorEastAsia" w:hAnsiTheme="majorHAnsi" w:cstheme="majorBidi"/>
      <w:b/>
      <w:bCs/>
      <w:i/>
      <w:iCs/>
      <w:color w:val="4F81BD" w:themeColor="accent1"/>
    </w:rPr>
  </w:style>
  <w:style w:type="character" w:styleId="a4">
    <w:name w:val="Hyperlink"/>
    <w:basedOn w:val="a0"/>
    <w:uiPriority w:val="99"/>
    <w:unhideWhenUsed/>
    <w:rsid w:val="001F4061"/>
    <w:rPr>
      <w:color w:val="0000FF" w:themeColor="hyperlink"/>
      <w:u w:val="single"/>
    </w:rPr>
  </w:style>
  <w:style w:type="character" w:customStyle="1" w:styleId="apple-converted-space">
    <w:name w:val="apple-converted-space"/>
    <w:basedOn w:val="a0"/>
    <w:rsid w:val="00FE11B6"/>
  </w:style>
  <w:style w:type="paragraph" w:customStyle="1" w:styleId="Default">
    <w:name w:val="Default"/>
    <w:rsid w:val="0027372E"/>
    <w:pPr>
      <w:autoSpaceDE w:val="0"/>
      <w:autoSpaceDN w:val="0"/>
      <w:adjustRightInd w:val="0"/>
      <w:spacing w:after="0" w:line="240" w:lineRule="auto"/>
    </w:pPr>
    <w:rPr>
      <w:rFonts w:ascii="Times New Roman" w:hAnsi="Times New Roman" w:cs="Times New Roman"/>
      <w:color w:val="000000"/>
      <w:sz w:val="24"/>
      <w:szCs w:val="24"/>
    </w:rPr>
  </w:style>
  <w:style w:type="paragraph" w:styleId="a5">
    <w:name w:val="Normal (Web)"/>
    <w:basedOn w:val="a"/>
    <w:uiPriority w:val="99"/>
    <w:unhideWhenUsed/>
    <w:rsid w:val="003E69CE"/>
    <w:pPr>
      <w:spacing w:before="100" w:beforeAutospacing="1" w:after="100" w:afterAutospacing="1" w:line="240" w:lineRule="auto"/>
    </w:pPr>
    <w:rPr>
      <w:rFonts w:ascii="Times New Roman" w:hAnsi="Times New Roman"/>
      <w:sz w:val="24"/>
      <w:szCs w:val="24"/>
    </w:rPr>
  </w:style>
  <w:style w:type="character" w:customStyle="1" w:styleId="10">
    <w:name w:val="Заголовок 1 Знак"/>
    <w:basedOn w:val="a0"/>
    <w:link w:val="1"/>
    <w:uiPriority w:val="9"/>
    <w:rsid w:val="003E69CE"/>
    <w:rPr>
      <w:rFonts w:ascii="Times New Roman" w:eastAsia="Times New Roman" w:hAnsi="Times New Roman" w:cs="Times New Roman"/>
      <w:b/>
      <w:bCs/>
      <w:kern w:val="36"/>
      <w:sz w:val="48"/>
      <w:szCs w:val="48"/>
      <w:lang w:eastAsia="ru-RU"/>
    </w:rPr>
  </w:style>
  <w:style w:type="paragraph" w:customStyle="1" w:styleId="authors">
    <w:name w:val="authors"/>
    <w:basedOn w:val="a"/>
    <w:rsid w:val="003E69CE"/>
    <w:pPr>
      <w:spacing w:before="150" w:after="150" w:line="240" w:lineRule="auto"/>
      <w:jc w:val="center"/>
    </w:pPr>
    <w:rPr>
      <w:rFonts w:ascii="Times New Roman" w:hAnsi="Times New Roman"/>
      <w:color w:val="7A1115"/>
      <w:sz w:val="24"/>
      <w:szCs w:val="24"/>
    </w:rPr>
  </w:style>
  <w:style w:type="character" w:styleId="a6">
    <w:name w:val="FollowedHyperlink"/>
    <w:basedOn w:val="a0"/>
    <w:uiPriority w:val="99"/>
    <w:semiHidden/>
    <w:unhideWhenUsed/>
    <w:rsid w:val="003E69CE"/>
    <w:rPr>
      <w:color w:val="800080" w:themeColor="followedHyperlink"/>
      <w:u w:val="single"/>
    </w:rPr>
  </w:style>
  <w:style w:type="character" w:styleId="a7">
    <w:name w:val="annotation reference"/>
    <w:basedOn w:val="a0"/>
    <w:uiPriority w:val="99"/>
    <w:semiHidden/>
    <w:unhideWhenUsed/>
    <w:rsid w:val="003B01F9"/>
    <w:rPr>
      <w:sz w:val="16"/>
      <w:szCs w:val="16"/>
    </w:rPr>
  </w:style>
  <w:style w:type="paragraph" w:styleId="a8">
    <w:name w:val="annotation text"/>
    <w:basedOn w:val="a"/>
    <w:link w:val="a9"/>
    <w:uiPriority w:val="99"/>
    <w:semiHidden/>
    <w:unhideWhenUsed/>
    <w:rsid w:val="003B01F9"/>
    <w:pPr>
      <w:spacing w:line="240" w:lineRule="auto"/>
    </w:pPr>
    <w:rPr>
      <w:sz w:val="20"/>
      <w:szCs w:val="20"/>
    </w:rPr>
  </w:style>
  <w:style w:type="character" w:customStyle="1" w:styleId="a9">
    <w:name w:val="Текст примечания Знак"/>
    <w:basedOn w:val="a0"/>
    <w:link w:val="a8"/>
    <w:uiPriority w:val="99"/>
    <w:semiHidden/>
    <w:rsid w:val="003B01F9"/>
    <w:rPr>
      <w:sz w:val="20"/>
      <w:szCs w:val="20"/>
    </w:rPr>
  </w:style>
  <w:style w:type="paragraph" w:styleId="aa">
    <w:name w:val="annotation subject"/>
    <w:basedOn w:val="a8"/>
    <w:next w:val="a8"/>
    <w:link w:val="ab"/>
    <w:uiPriority w:val="99"/>
    <w:semiHidden/>
    <w:unhideWhenUsed/>
    <w:rsid w:val="003B01F9"/>
    <w:rPr>
      <w:b/>
      <w:bCs/>
    </w:rPr>
  </w:style>
  <w:style w:type="character" w:customStyle="1" w:styleId="ab">
    <w:name w:val="Тема примечания Знак"/>
    <w:basedOn w:val="a9"/>
    <w:link w:val="aa"/>
    <w:uiPriority w:val="99"/>
    <w:semiHidden/>
    <w:rsid w:val="003B01F9"/>
    <w:rPr>
      <w:b/>
      <w:bCs/>
      <w:sz w:val="20"/>
      <w:szCs w:val="20"/>
    </w:rPr>
  </w:style>
  <w:style w:type="paragraph" w:styleId="ac">
    <w:name w:val="Balloon Text"/>
    <w:basedOn w:val="a"/>
    <w:link w:val="ad"/>
    <w:uiPriority w:val="99"/>
    <w:semiHidden/>
    <w:unhideWhenUsed/>
    <w:rsid w:val="003B01F9"/>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3B01F9"/>
    <w:rPr>
      <w:rFonts w:ascii="Tahoma" w:hAnsi="Tahoma" w:cs="Tahoma"/>
      <w:sz w:val="16"/>
      <w:szCs w:val="16"/>
    </w:rPr>
  </w:style>
  <w:style w:type="paragraph" w:customStyle="1" w:styleId="rteright">
    <w:name w:val="rteright"/>
    <w:basedOn w:val="a"/>
    <w:rsid w:val="00B242E2"/>
    <w:pPr>
      <w:spacing w:before="100" w:beforeAutospacing="1" w:after="100" w:afterAutospacing="1" w:line="240" w:lineRule="auto"/>
    </w:pPr>
    <w:rPr>
      <w:rFonts w:ascii="Times New Roman" w:hAnsi="Times New Roman"/>
      <w:sz w:val="24"/>
      <w:szCs w:val="24"/>
    </w:rPr>
  </w:style>
  <w:style w:type="character" w:styleId="ae">
    <w:name w:val="Emphasis"/>
    <w:basedOn w:val="a0"/>
    <w:uiPriority w:val="20"/>
    <w:qFormat/>
    <w:rsid w:val="00B242E2"/>
    <w:rPr>
      <w:i/>
      <w:iCs/>
    </w:rPr>
  </w:style>
  <w:style w:type="paragraph" w:styleId="af">
    <w:name w:val="No Spacing"/>
    <w:uiPriority w:val="1"/>
    <w:qFormat/>
    <w:rsid w:val="00B242E2"/>
    <w:pPr>
      <w:spacing w:after="0" w:line="240" w:lineRule="auto"/>
    </w:pPr>
  </w:style>
  <w:style w:type="character" w:customStyle="1" w:styleId="name">
    <w:name w:val="name"/>
    <w:basedOn w:val="a0"/>
    <w:rsid w:val="00DF549F"/>
  </w:style>
  <w:style w:type="character" w:customStyle="1" w:styleId="surname">
    <w:name w:val="surname"/>
    <w:basedOn w:val="a0"/>
    <w:rsid w:val="00DF549F"/>
  </w:style>
  <w:style w:type="character" w:customStyle="1" w:styleId="given-names">
    <w:name w:val="given-names"/>
    <w:basedOn w:val="a0"/>
    <w:rsid w:val="00DF549F"/>
  </w:style>
  <w:style w:type="character" w:customStyle="1" w:styleId="string-name">
    <w:name w:val="string-name"/>
    <w:basedOn w:val="a0"/>
    <w:rsid w:val="00DF549F"/>
  </w:style>
  <w:style w:type="character" w:customStyle="1" w:styleId="year">
    <w:name w:val="year"/>
    <w:basedOn w:val="a0"/>
    <w:rsid w:val="00DF549F"/>
  </w:style>
  <w:style w:type="character" w:customStyle="1" w:styleId="article-title">
    <w:name w:val="article-title"/>
    <w:basedOn w:val="a0"/>
    <w:rsid w:val="00DF549F"/>
  </w:style>
  <w:style w:type="character" w:customStyle="1" w:styleId="source">
    <w:name w:val="source"/>
    <w:basedOn w:val="a0"/>
    <w:rsid w:val="00DF549F"/>
  </w:style>
  <w:style w:type="character" w:customStyle="1" w:styleId="volume">
    <w:name w:val="volume"/>
    <w:basedOn w:val="a0"/>
    <w:rsid w:val="00DF549F"/>
  </w:style>
  <w:style w:type="character" w:customStyle="1" w:styleId="issue">
    <w:name w:val="issue"/>
    <w:basedOn w:val="a0"/>
    <w:rsid w:val="00DF549F"/>
  </w:style>
  <w:style w:type="character" w:customStyle="1" w:styleId="fpage">
    <w:name w:val="fpage"/>
    <w:basedOn w:val="a0"/>
    <w:rsid w:val="00DF549F"/>
  </w:style>
  <w:style w:type="character" w:customStyle="1" w:styleId="lpage">
    <w:name w:val="lpage"/>
    <w:basedOn w:val="a0"/>
    <w:rsid w:val="00DF549F"/>
  </w:style>
  <w:style w:type="character" w:customStyle="1" w:styleId="fs2">
    <w:name w:val="fs2"/>
    <w:basedOn w:val="a0"/>
    <w:rsid w:val="00926B2B"/>
  </w:style>
  <w:style w:type="character" w:customStyle="1" w:styleId="ls2">
    <w:name w:val="ls2"/>
    <w:basedOn w:val="a0"/>
    <w:rsid w:val="00926B2B"/>
  </w:style>
  <w:style w:type="paragraph" w:styleId="af0">
    <w:name w:val="footnote text"/>
    <w:basedOn w:val="a"/>
    <w:link w:val="af1"/>
    <w:uiPriority w:val="99"/>
    <w:semiHidden/>
    <w:unhideWhenUsed/>
    <w:rsid w:val="009430A8"/>
    <w:pPr>
      <w:spacing w:after="0" w:line="240" w:lineRule="auto"/>
    </w:pPr>
    <w:rPr>
      <w:sz w:val="20"/>
      <w:szCs w:val="20"/>
    </w:rPr>
  </w:style>
  <w:style w:type="character" w:customStyle="1" w:styleId="af1">
    <w:name w:val="Текст сноски Знак"/>
    <w:basedOn w:val="a0"/>
    <w:link w:val="af0"/>
    <w:uiPriority w:val="99"/>
    <w:semiHidden/>
    <w:rsid w:val="009430A8"/>
    <w:rPr>
      <w:sz w:val="20"/>
      <w:szCs w:val="20"/>
    </w:rPr>
  </w:style>
  <w:style w:type="character" w:styleId="af2">
    <w:name w:val="footnote reference"/>
    <w:basedOn w:val="a0"/>
    <w:uiPriority w:val="99"/>
    <w:semiHidden/>
    <w:unhideWhenUsed/>
    <w:rsid w:val="009430A8"/>
    <w:rPr>
      <w:vertAlign w:val="superscript"/>
    </w:rPr>
  </w:style>
  <w:style w:type="paragraph" w:customStyle="1" w:styleId="Subsubsection">
    <w:name w:val="Subsubsection"/>
    <w:next w:val="a"/>
    <w:rsid w:val="009430A8"/>
    <w:pPr>
      <w:numPr>
        <w:ilvl w:val="2"/>
        <w:numId w:val="3"/>
      </w:numPr>
      <w:spacing w:before="240" w:after="0" w:line="240" w:lineRule="auto"/>
      <w:ind w:firstLine="0"/>
    </w:pPr>
    <w:rPr>
      <w:rFonts w:ascii="Times" w:eastAsia="Times New Roman" w:hAnsi="Times" w:cs="Times New Roman"/>
      <w:i/>
      <w:iCs/>
      <w:color w:val="000000"/>
      <w:lang w:val="en-GB"/>
    </w:rPr>
  </w:style>
  <w:style w:type="paragraph" w:customStyle="1" w:styleId="Section">
    <w:name w:val="Section"/>
    <w:next w:val="a"/>
    <w:rsid w:val="009430A8"/>
    <w:pPr>
      <w:numPr>
        <w:numId w:val="3"/>
      </w:numPr>
      <w:spacing w:before="240" w:after="0" w:line="240" w:lineRule="auto"/>
    </w:pPr>
    <w:rPr>
      <w:rFonts w:ascii="Times" w:eastAsia="Times New Roman" w:hAnsi="Times" w:cs="Times New Roman"/>
      <w:b/>
      <w:iCs/>
      <w:color w:val="000000"/>
      <w:lang w:val="en-GB"/>
    </w:rPr>
  </w:style>
  <w:style w:type="paragraph" w:customStyle="1" w:styleId="Subsection">
    <w:name w:val="Subsection"/>
    <w:next w:val="a"/>
    <w:rsid w:val="009430A8"/>
    <w:pPr>
      <w:numPr>
        <w:ilvl w:val="1"/>
        <w:numId w:val="3"/>
      </w:numPr>
      <w:spacing w:before="240" w:after="0" w:line="240" w:lineRule="auto"/>
    </w:pPr>
    <w:rPr>
      <w:rFonts w:ascii="Times" w:eastAsia="Times New Roman" w:hAnsi="Times" w:cs="Times New Roman"/>
      <w:iCs/>
      <w:color w:val="000000"/>
      <w:lang w:val="en-GB"/>
    </w:rPr>
  </w:style>
  <w:style w:type="paragraph" w:styleId="3">
    <w:name w:val="Body Text Indent 3"/>
    <w:basedOn w:val="a"/>
    <w:link w:val="30"/>
    <w:rsid w:val="009B7FE6"/>
    <w:pPr>
      <w:spacing w:after="0" w:line="420" w:lineRule="exact"/>
      <w:ind w:firstLine="539"/>
      <w:jc w:val="both"/>
    </w:pPr>
    <w:rPr>
      <w:rFonts w:ascii="Times New Roman" w:hAnsi="Times New Roman"/>
      <w:sz w:val="28"/>
      <w:szCs w:val="24"/>
    </w:rPr>
  </w:style>
  <w:style w:type="character" w:customStyle="1" w:styleId="30">
    <w:name w:val="Основной текст с отступом 3 Знак"/>
    <w:basedOn w:val="a0"/>
    <w:link w:val="3"/>
    <w:rsid w:val="009B7FE6"/>
    <w:rPr>
      <w:rFonts w:ascii="Times New Roman" w:eastAsia="Times New Roman" w:hAnsi="Times New Roman" w:cs="Times New Roman"/>
      <w:sz w:val="28"/>
      <w:szCs w:val="24"/>
      <w:lang w:eastAsia="ru-RU"/>
    </w:rPr>
  </w:style>
  <w:style w:type="character" w:customStyle="1" w:styleId="UnresolvedMention">
    <w:name w:val="Unresolved Mention"/>
    <w:basedOn w:val="a0"/>
    <w:uiPriority w:val="99"/>
    <w:semiHidden/>
    <w:unhideWhenUsed/>
    <w:rsid w:val="005D7CA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542952">
      <w:bodyDiv w:val="1"/>
      <w:marLeft w:val="0"/>
      <w:marRight w:val="0"/>
      <w:marTop w:val="0"/>
      <w:marBottom w:val="0"/>
      <w:divBdr>
        <w:top w:val="none" w:sz="0" w:space="0" w:color="auto"/>
        <w:left w:val="none" w:sz="0" w:space="0" w:color="auto"/>
        <w:bottom w:val="none" w:sz="0" w:space="0" w:color="auto"/>
        <w:right w:val="none" w:sz="0" w:space="0" w:color="auto"/>
      </w:divBdr>
    </w:div>
    <w:div w:id="107773292">
      <w:bodyDiv w:val="1"/>
      <w:marLeft w:val="0"/>
      <w:marRight w:val="0"/>
      <w:marTop w:val="0"/>
      <w:marBottom w:val="0"/>
      <w:divBdr>
        <w:top w:val="none" w:sz="0" w:space="0" w:color="auto"/>
        <w:left w:val="none" w:sz="0" w:space="0" w:color="auto"/>
        <w:bottom w:val="none" w:sz="0" w:space="0" w:color="auto"/>
        <w:right w:val="none" w:sz="0" w:space="0" w:color="auto"/>
      </w:divBdr>
    </w:div>
    <w:div w:id="187181220">
      <w:bodyDiv w:val="1"/>
      <w:marLeft w:val="0"/>
      <w:marRight w:val="0"/>
      <w:marTop w:val="0"/>
      <w:marBottom w:val="0"/>
      <w:divBdr>
        <w:top w:val="none" w:sz="0" w:space="0" w:color="auto"/>
        <w:left w:val="none" w:sz="0" w:space="0" w:color="auto"/>
        <w:bottom w:val="none" w:sz="0" w:space="0" w:color="auto"/>
        <w:right w:val="none" w:sz="0" w:space="0" w:color="auto"/>
      </w:divBdr>
    </w:div>
    <w:div w:id="284772473">
      <w:bodyDiv w:val="1"/>
      <w:marLeft w:val="0"/>
      <w:marRight w:val="0"/>
      <w:marTop w:val="0"/>
      <w:marBottom w:val="0"/>
      <w:divBdr>
        <w:top w:val="none" w:sz="0" w:space="0" w:color="auto"/>
        <w:left w:val="none" w:sz="0" w:space="0" w:color="auto"/>
        <w:bottom w:val="none" w:sz="0" w:space="0" w:color="auto"/>
        <w:right w:val="none" w:sz="0" w:space="0" w:color="auto"/>
      </w:divBdr>
    </w:div>
    <w:div w:id="324548706">
      <w:bodyDiv w:val="1"/>
      <w:marLeft w:val="0"/>
      <w:marRight w:val="0"/>
      <w:marTop w:val="0"/>
      <w:marBottom w:val="0"/>
      <w:divBdr>
        <w:top w:val="none" w:sz="0" w:space="0" w:color="auto"/>
        <w:left w:val="none" w:sz="0" w:space="0" w:color="auto"/>
        <w:bottom w:val="none" w:sz="0" w:space="0" w:color="auto"/>
        <w:right w:val="none" w:sz="0" w:space="0" w:color="auto"/>
      </w:divBdr>
    </w:div>
    <w:div w:id="513805274">
      <w:bodyDiv w:val="1"/>
      <w:marLeft w:val="0"/>
      <w:marRight w:val="0"/>
      <w:marTop w:val="0"/>
      <w:marBottom w:val="0"/>
      <w:divBdr>
        <w:top w:val="none" w:sz="0" w:space="0" w:color="auto"/>
        <w:left w:val="none" w:sz="0" w:space="0" w:color="auto"/>
        <w:bottom w:val="none" w:sz="0" w:space="0" w:color="auto"/>
        <w:right w:val="none" w:sz="0" w:space="0" w:color="auto"/>
      </w:divBdr>
      <w:divsChild>
        <w:div w:id="1930387420">
          <w:marLeft w:val="0"/>
          <w:marRight w:val="0"/>
          <w:marTop w:val="0"/>
          <w:marBottom w:val="0"/>
          <w:divBdr>
            <w:top w:val="none" w:sz="0" w:space="0" w:color="auto"/>
            <w:left w:val="none" w:sz="0" w:space="0" w:color="auto"/>
            <w:bottom w:val="none" w:sz="0" w:space="0" w:color="auto"/>
            <w:right w:val="none" w:sz="0" w:space="0" w:color="auto"/>
          </w:divBdr>
        </w:div>
      </w:divsChild>
    </w:div>
    <w:div w:id="556094015">
      <w:bodyDiv w:val="1"/>
      <w:marLeft w:val="0"/>
      <w:marRight w:val="0"/>
      <w:marTop w:val="0"/>
      <w:marBottom w:val="0"/>
      <w:divBdr>
        <w:top w:val="none" w:sz="0" w:space="0" w:color="auto"/>
        <w:left w:val="none" w:sz="0" w:space="0" w:color="auto"/>
        <w:bottom w:val="none" w:sz="0" w:space="0" w:color="auto"/>
        <w:right w:val="none" w:sz="0" w:space="0" w:color="auto"/>
      </w:divBdr>
    </w:div>
    <w:div w:id="774405186">
      <w:bodyDiv w:val="1"/>
      <w:marLeft w:val="0"/>
      <w:marRight w:val="0"/>
      <w:marTop w:val="0"/>
      <w:marBottom w:val="0"/>
      <w:divBdr>
        <w:top w:val="none" w:sz="0" w:space="0" w:color="auto"/>
        <w:left w:val="none" w:sz="0" w:space="0" w:color="auto"/>
        <w:bottom w:val="none" w:sz="0" w:space="0" w:color="auto"/>
        <w:right w:val="none" w:sz="0" w:space="0" w:color="auto"/>
      </w:divBdr>
    </w:div>
    <w:div w:id="911084717">
      <w:bodyDiv w:val="1"/>
      <w:marLeft w:val="0"/>
      <w:marRight w:val="0"/>
      <w:marTop w:val="0"/>
      <w:marBottom w:val="0"/>
      <w:divBdr>
        <w:top w:val="none" w:sz="0" w:space="0" w:color="auto"/>
        <w:left w:val="none" w:sz="0" w:space="0" w:color="auto"/>
        <w:bottom w:val="none" w:sz="0" w:space="0" w:color="auto"/>
        <w:right w:val="none" w:sz="0" w:space="0" w:color="auto"/>
      </w:divBdr>
    </w:div>
    <w:div w:id="931430001">
      <w:bodyDiv w:val="1"/>
      <w:marLeft w:val="0"/>
      <w:marRight w:val="0"/>
      <w:marTop w:val="0"/>
      <w:marBottom w:val="0"/>
      <w:divBdr>
        <w:top w:val="none" w:sz="0" w:space="0" w:color="auto"/>
        <w:left w:val="none" w:sz="0" w:space="0" w:color="auto"/>
        <w:bottom w:val="none" w:sz="0" w:space="0" w:color="auto"/>
        <w:right w:val="none" w:sz="0" w:space="0" w:color="auto"/>
      </w:divBdr>
    </w:div>
    <w:div w:id="1004285420">
      <w:bodyDiv w:val="1"/>
      <w:marLeft w:val="0"/>
      <w:marRight w:val="0"/>
      <w:marTop w:val="0"/>
      <w:marBottom w:val="0"/>
      <w:divBdr>
        <w:top w:val="none" w:sz="0" w:space="0" w:color="auto"/>
        <w:left w:val="none" w:sz="0" w:space="0" w:color="auto"/>
        <w:bottom w:val="none" w:sz="0" w:space="0" w:color="auto"/>
        <w:right w:val="none" w:sz="0" w:space="0" w:color="auto"/>
      </w:divBdr>
    </w:div>
    <w:div w:id="1064646363">
      <w:bodyDiv w:val="1"/>
      <w:marLeft w:val="0"/>
      <w:marRight w:val="0"/>
      <w:marTop w:val="0"/>
      <w:marBottom w:val="0"/>
      <w:divBdr>
        <w:top w:val="none" w:sz="0" w:space="0" w:color="auto"/>
        <w:left w:val="none" w:sz="0" w:space="0" w:color="auto"/>
        <w:bottom w:val="none" w:sz="0" w:space="0" w:color="auto"/>
        <w:right w:val="none" w:sz="0" w:space="0" w:color="auto"/>
      </w:divBdr>
    </w:div>
    <w:div w:id="1346052061">
      <w:bodyDiv w:val="1"/>
      <w:marLeft w:val="0"/>
      <w:marRight w:val="0"/>
      <w:marTop w:val="0"/>
      <w:marBottom w:val="0"/>
      <w:divBdr>
        <w:top w:val="none" w:sz="0" w:space="0" w:color="auto"/>
        <w:left w:val="none" w:sz="0" w:space="0" w:color="auto"/>
        <w:bottom w:val="none" w:sz="0" w:space="0" w:color="auto"/>
        <w:right w:val="none" w:sz="0" w:space="0" w:color="auto"/>
      </w:divBdr>
    </w:div>
    <w:div w:id="1369572121">
      <w:bodyDiv w:val="1"/>
      <w:marLeft w:val="0"/>
      <w:marRight w:val="0"/>
      <w:marTop w:val="0"/>
      <w:marBottom w:val="0"/>
      <w:divBdr>
        <w:top w:val="none" w:sz="0" w:space="0" w:color="auto"/>
        <w:left w:val="none" w:sz="0" w:space="0" w:color="auto"/>
        <w:bottom w:val="none" w:sz="0" w:space="0" w:color="auto"/>
        <w:right w:val="none" w:sz="0" w:space="0" w:color="auto"/>
      </w:divBdr>
    </w:div>
    <w:div w:id="1372145258">
      <w:bodyDiv w:val="1"/>
      <w:marLeft w:val="0"/>
      <w:marRight w:val="0"/>
      <w:marTop w:val="0"/>
      <w:marBottom w:val="0"/>
      <w:divBdr>
        <w:top w:val="none" w:sz="0" w:space="0" w:color="auto"/>
        <w:left w:val="none" w:sz="0" w:space="0" w:color="auto"/>
        <w:bottom w:val="none" w:sz="0" w:space="0" w:color="auto"/>
        <w:right w:val="none" w:sz="0" w:space="0" w:color="auto"/>
      </w:divBdr>
    </w:div>
    <w:div w:id="1414429324">
      <w:bodyDiv w:val="1"/>
      <w:marLeft w:val="0"/>
      <w:marRight w:val="0"/>
      <w:marTop w:val="0"/>
      <w:marBottom w:val="0"/>
      <w:divBdr>
        <w:top w:val="none" w:sz="0" w:space="0" w:color="auto"/>
        <w:left w:val="none" w:sz="0" w:space="0" w:color="auto"/>
        <w:bottom w:val="none" w:sz="0" w:space="0" w:color="auto"/>
        <w:right w:val="none" w:sz="0" w:space="0" w:color="auto"/>
      </w:divBdr>
    </w:div>
    <w:div w:id="1416704471">
      <w:bodyDiv w:val="1"/>
      <w:marLeft w:val="0"/>
      <w:marRight w:val="0"/>
      <w:marTop w:val="0"/>
      <w:marBottom w:val="0"/>
      <w:divBdr>
        <w:top w:val="none" w:sz="0" w:space="0" w:color="auto"/>
        <w:left w:val="none" w:sz="0" w:space="0" w:color="auto"/>
        <w:bottom w:val="none" w:sz="0" w:space="0" w:color="auto"/>
        <w:right w:val="none" w:sz="0" w:space="0" w:color="auto"/>
      </w:divBdr>
    </w:div>
    <w:div w:id="1456213646">
      <w:bodyDiv w:val="1"/>
      <w:marLeft w:val="0"/>
      <w:marRight w:val="0"/>
      <w:marTop w:val="0"/>
      <w:marBottom w:val="0"/>
      <w:divBdr>
        <w:top w:val="none" w:sz="0" w:space="0" w:color="auto"/>
        <w:left w:val="none" w:sz="0" w:space="0" w:color="auto"/>
        <w:bottom w:val="none" w:sz="0" w:space="0" w:color="auto"/>
        <w:right w:val="none" w:sz="0" w:space="0" w:color="auto"/>
      </w:divBdr>
    </w:div>
    <w:div w:id="1480725232">
      <w:bodyDiv w:val="1"/>
      <w:marLeft w:val="0"/>
      <w:marRight w:val="0"/>
      <w:marTop w:val="0"/>
      <w:marBottom w:val="0"/>
      <w:divBdr>
        <w:top w:val="none" w:sz="0" w:space="0" w:color="auto"/>
        <w:left w:val="none" w:sz="0" w:space="0" w:color="auto"/>
        <w:bottom w:val="none" w:sz="0" w:space="0" w:color="auto"/>
        <w:right w:val="none" w:sz="0" w:space="0" w:color="auto"/>
      </w:divBdr>
    </w:div>
    <w:div w:id="1568879486">
      <w:bodyDiv w:val="1"/>
      <w:marLeft w:val="0"/>
      <w:marRight w:val="0"/>
      <w:marTop w:val="0"/>
      <w:marBottom w:val="0"/>
      <w:divBdr>
        <w:top w:val="none" w:sz="0" w:space="0" w:color="auto"/>
        <w:left w:val="none" w:sz="0" w:space="0" w:color="auto"/>
        <w:bottom w:val="none" w:sz="0" w:space="0" w:color="auto"/>
        <w:right w:val="none" w:sz="0" w:space="0" w:color="auto"/>
      </w:divBdr>
      <w:divsChild>
        <w:div w:id="1632401856">
          <w:marLeft w:val="0"/>
          <w:marRight w:val="0"/>
          <w:marTop w:val="0"/>
          <w:marBottom w:val="0"/>
          <w:divBdr>
            <w:top w:val="none" w:sz="0" w:space="0" w:color="auto"/>
            <w:left w:val="none" w:sz="0" w:space="0" w:color="auto"/>
            <w:bottom w:val="none" w:sz="0" w:space="0" w:color="auto"/>
            <w:right w:val="none" w:sz="0" w:space="0" w:color="auto"/>
          </w:divBdr>
        </w:div>
      </w:divsChild>
    </w:div>
    <w:div w:id="1586381440">
      <w:bodyDiv w:val="1"/>
      <w:marLeft w:val="0"/>
      <w:marRight w:val="0"/>
      <w:marTop w:val="0"/>
      <w:marBottom w:val="0"/>
      <w:divBdr>
        <w:top w:val="none" w:sz="0" w:space="0" w:color="auto"/>
        <w:left w:val="none" w:sz="0" w:space="0" w:color="auto"/>
        <w:bottom w:val="none" w:sz="0" w:space="0" w:color="auto"/>
        <w:right w:val="none" w:sz="0" w:space="0" w:color="auto"/>
      </w:divBdr>
      <w:divsChild>
        <w:div w:id="945967609">
          <w:marLeft w:val="0"/>
          <w:marRight w:val="0"/>
          <w:marTop w:val="0"/>
          <w:marBottom w:val="1"/>
          <w:divBdr>
            <w:top w:val="none" w:sz="0" w:space="0" w:color="auto"/>
            <w:left w:val="none" w:sz="0" w:space="0" w:color="auto"/>
            <w:bottom w:val="none" w:sz="0" w:space="0" w:color="auto"/>
            <w:right w:val="none" w:sz="0" w:space="0" w:color="auto"/>
          </w:divBdr>
          <w:divsChild>
            <w:div w:id="339628803">
              <w:marLeft w:val="0"/>
              <w:marRight w:val="0"/>
              <w:marTop w:val="0"/>
              <w:marBottom w:val="0"/>
              <w:divBdr>
                <w:top w:val="none" w:sz="0" w:space="0" w:color="auto"/>
                <w:left w:val="none" w:sz="0" w:space="0" w:color="auto"/>
                <w:bottom w:val="none" w:sz="0" w:space="0" w:color="auto"/>
                <w:right w:val="none" w:sz="0" w:space="0" w:color="auto"/>
              </w:divBdr>
              <w:divsChild>
                <w:div w:id="2041004370">
                  <w:marLeft w:val="0"/>
                  <w:marRight w:val="0"/>
                  <w:marTop w:val="0"/>
                  <w:marBottom w:val="0"/>
                  <w:divBdr>
                    <w:top w:val="none" w:sz="0" w:space="0" w:color="auto"/>
                    <w:left w:val="none" w:sz="0" w:space="0" w:color="auto"/>
                    <w:bottom w:val="none" w:sz="0" w:space="0" w:color="auto"/>
                    <w:right w:val="none" w:sz="0" w:space="0" w:color="auto"/>
                  </w:divBdr>
                  <w:divsChild>
                    <w:div w:id="702905172">
                      <w:marLeft w:val="0"/>
                      <w:marRight w:val="0"/>
                      <w:marTop w:val="0"/>
                      <w:marBottom w:val="0"/>
                      <w:divBdr>
                        <w:top w:val="none" w:sz="0" w:space="0" w:color="auto"/>
                        <w:left w:val="none" w:sz="0" w:space="0" w:color="auto"/>
                        <w:bottom w:val="none" w:sz="0" w:space="0" w:color="auto"/>
                        <w:right w:val="none" w:sz="0" w:space="0" w:color="auto"/>
                      </w:divBdr>
                      <w:divsChild>
                        <w:div w:id="1474830706">
                          <w:marLeft w:val="0"/>
                          <w:marRight w:val="0"/>
                          <w:marTop w:val="0"/>
                          <w:marBottom w:val="0"/>
                          <w:divBdr>
                            <w:top w:val="none" w:sz="0" w:space="0" w:color="auto"/>
                            <w:left w:val="none" w:sz="0" w:space="0" w:color="auto"/>
                            <w:bottom w:val="none" w:sz="0" w:space="0" w:color="auto"/>
                            <w:right w:val="none" w:sz="0" w:space="0" w:color="auto"/>
                          </w:divBdr>
                          <w:divsChild>
                            <w:div w:id="946733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5324300">
      <w:bodyDiv w:val="1"/>
      <w:marLeft w:val="0"/>
      <w:marRight w:val="0"/>
      <w:marTop w:val="0"/>
      <w:marBottom w:val="0"/>
      <w:divBdr>
        <w:top w:val="none" w:sz="0" w:space="0" w:color="auto"/>
        <w:left w:val="none" w:sz="0" w:space="0" w:color="auto"/>
        <w:bottom w:val="none" w:sz="0" w:space="0" w:color="auto"/>
        <w:right w:val="none" w:sz="0" w:space="0" w:color="auto"/>
      </w:divBdr>
    </w:div>
    <w:div w:id="1847671200">
      <w:bodyDiv w:val="1"/>
      <w:marLeft w:val="0"/>
      <w:marRight w:val="0"/>
      <w:marTop w:val="0"/>
      <w:marBottom w:val="0"/>
      <w:divBdr>
        <w:top w:val="none" w:sz="0" w:space="0" w:color="auto"/>
        <w:left w:val="none" w:sz="0" w:space="0" w:color="auto"/>
        <w:bottom w:val="none" w:sz="0" w:space="0" w:color="auto"/>
        <w:right w:val="none" w:sz="0" w:space="0" w:color="auto"/>
      </w:divBdr>
    </w:div>
    <w:div w:id="1856267488">
      <w:bodyDiv w:val="1"/>
      <w:marLeft w:val="0"/>
      <w:marRight w:val="0"/>
      <w:marTop w:val="0"/>
      <w:marBottom w:val="0"/>
      <w:divBdr>
        <w:top w:val="none" w:sz="0" w:space="0" w:color="auto"/>
        <w:left w:val="none" w:sz="0" w:space="0" w:color="auto"/>
        <w:bottom w:val="none" w:sz="0" w:space="0" w:color="auto"/>
        <w:right w:val="none" w:sz="0" w:space="0" w:color="auto"/>
      </w:divBdr>
      <w:divsChild>
        <w:div w:id="119157176">
          <w:marLeft w:val="0"/>
          <w:marRight w:val="0"/>
          <w:marTop w:val="0"/>
          <w:marBottom w:val="120"/>
          <w:divBdr>
            <w:top w:val="none" w:sz="0" w:space="0" w:color="auto"/>
            <w:left w:val="none" w:sz="0" w:space="0" w:color="auto"/>
            <w:bottom w:val="none" w:sz="0" w:space="0" w:color="auto"/>
            <w:right w:val="none" w:sz="0" w:space="0" w:color="auto"/>
          </w:divBdr>
        </w:div>
      </w:divsChild>
    </w:div>
    <w:div w:id="1897668194">
      <w:bodyDiv w:val="1"/>
      <w:marLeft w:val="0"/>
      <w:marRight w:val="0"/>
      <w:marTop w:val="0"/>
      <w:marBottom w:val="0"/>
      <w:divBdr>
        <w:top w:val="none" w:sz="0" w:space="0" w:color="auto"/>
        <w:left w:val="none" w:sz="0" w:space="0" w:color="auto"/>
        <w:bottom w:val="none" w:sz="0" w:space="0" w:color="auto"/>
        <w:right w:val="none" w:sz="0" w:space="0" w:color="auto"/>
      </w:divBdr>
    </w:div>
    <w:div w:id="2018731769">
      <w:bodyDiv w:val="1"/>
      <w:marLeft w:val="0"/>
      <w:marRight w:val="0"/>
      <w:marTop w:val="0"/>
      <w:marBottom w:val="0"/>
      <w:divBdr>
        <w:top w:val="none" w:sz="0" w:space="0" w:color="auto"/>
        <w:left w:val="none" w:sz="0" w:space="0" w:color="auto"/>
        <w:bottom w:val="none" w:sz="0" w:space="0" w:color="auto"/>
        <w:right w:val="none" w:sz="0" w:space="0" w:color="auto"/>
      </w:divBdr>
      <w:divsChild>
        <w:div w:id="1771270265">
          <w:marLeft w:val="0"/>
          <w:marRight w:val="0"/>
          <w:marTop w:val="0"/>
          <w:marBottom w:val="1"/>
          <w:divBdr>
            <w:top w:val="none" w:sz="0" w:space="0" w:color="auto"/>
            <w:left w:val="none" w:sz="0" w:space="0" w:color="auto"/>
            <w:bottom w:val="none" w:sz="0" w:space="0" w:color="auto"/>
            <w:right w:val="none" w:sz="0" w:space="0" w:color="auto"/>
          </w:divBdr>
          <w:divsChild>
            <w:div w:id="962855475">
              <w:marLeft w:val="0"/>
              <w:marRight w:val="0"/>
              <w:marTop w:val="0"/>
              <w:marBottom w:val="0"/>
              <w:divBdr>
                <w:top w:val="none" w:sz="0" w:space="0" w:color="auto"/>
                <w:left w:val="none" w:sz="0" w:space="0" w:color="auto"/>
                <w:bottom w:val="none" w:sz="0" w:space="0" w:color="auto"/>
                <w:right w:val="none" w:sz="0" w:space="0" w:color="auto"/>
              </w:divBdr>
              <w:divsChild>
                <w:div w:id="411513868">
                  <w:marLeft w:val="0"/>
                  <w:marRight w:val="0"/>
                  <w:marTop w:val="0"/>
                  <w:marBottom w:val="0"/>
                  <w:divBdr>
                    <w:top w:val="none" w:sz="0" w:space="0" w:color="auto"/>
                    <w:left w:val="none" w:sz="0" w:space="0" w:color="auto"/>
                    <w:bottom w:val="none" w:sz="0" w:space="0" w:color="auto"/>
                    <w:right w:val="none" w:sz="0" w:space="0" w:color="auto"/>
                  </w:divBdr>
                  <w:divsChild>
                    <w:div w:id="1571115391">
                      <w:marLeft w:val="0"/>
                      <w:marRight w:val="0"/>
                      <w:marTop w:val="0"/>
                      <w:marBottom w:val="0"/>
                      <w:divBdr>
                        <w:top w:val="none" w:sz="0" w:space="0" w:color="auto"/>
                        <w:left w:val="none" w:sz="0" w:space="0" w:color="auto"/>
                        <w:bottom w:val="none" w:sz="0" w:space="0" w:color="auto"/>
                        <w:right w:val="none" w:sz="0" w:space="0" w:color="auto"/>
                      </w:divBdr>
                      <w:divsChild>
                        <w:div w:id="1742175840">
                          <w:marLeft w:val="0"/>
                          <w:marRight w:val="0"/>
                          <w:marTop w:val="0"/>
                          <w:marBottom w:val="0"/>
                          <w:divBdr>
                            <w:top w:val="none" w:sz="0" w:space="0" w:color="auto"/>
                            <w:left w:val="none" w:sz="0" w:space="0" w:color="auto"/>
                            <w:bottom w:val="none" w:sz="0" w:space="0" w:color="auto"/>
                            <w:right w:val="none" w:sz="0" w:space="0" w:color="auto"/>
                          </w:divBdr>
                          <w:divsChild>
                            <w:div w:id="687607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esm-invest.com/ru/problems-of-attraction-investments-and-ways-of-their-solutio"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esm-invest.com/ru"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dbc.wroc.pl/Content/29858/Franczak_Specjalne_Strefy_Ekonomiczne_Jako_Czynnik_Aktywizacji_2015.pdf" TargetMode="External"/><Relationship Id="rId5" Type="http://schemas.openxmlformats.org/officeDocument/2006/relationships/settings" Target="settings.xml"/><Relationship Id="rId15" Type="http://schemas.openxmlformats.org/officeDocument/2006/relationships/hyperlink" Target="mailto:sveteart@ya.ru" TargetMode="External"/><Relationship Id="rId10" Type="http://schemas.openxmlformats.org/officeDocument/2006/relationships/chart" Target="charts/chart2.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hyperlink" Target="mailto:maribel74@mail.ru" TargetMode="External"/></Relationships>
</file>

<file path=word/charts/_rels/chart1.xml.rels><?xml version="1.0" encoding="UTF-8" standalone="yes"?>
<Relationships xmlns="http://schemas.openxmlformats.org/package/2006/relationships"><Relationship Id="rId3" Type="http://schemas.microsoft.com/office/2011/relationships/chartStyle" Target="style1.xml"/><Relationship Id="rId2" Type="http://schemas.microsoft.com/office/2011/relationships/chartColorStyle" Target="colors1.xml"/><Relationship Id="rId1" Type="http://schemas.openxmlformats.org/officeDocument/2006/relationships/oleObject" Target="file:///D:\&#1052;&#1072;&#1088;&#1080;&#1085;&#1072;\&#1090;&#1077;&#1082;&#1091;&#1097;&#1077;&#1077;\&#1074;&#1086;&#1083;&#1086;&#1075;&#1076;&#1072;\15%20&#1080;&#1102;&#1085;&#1103;\&#1080;&#1085;&#1076;&#1077;&#1082;&#1089;%20&#1087;&#1088;&#1086;&#1084;&#1099;&#1096;&#1083;&#1077;&#1085;&#1085;&#1086;&#1089;&#1090;&#1080;.xlsx" TargetMode="External"/></Relationships>
</file>

<file path=word/charts/_rels/chart2.xml.rels><?xml version="1.0" encoding="UTF-8" standalone="yes"?>
<Relationships xmlns="http://schemas.openxmlformats.org/package/2006/relationships"><Relationship Id="rId3" Type="http://schemas.microsoft.com/office/2011/relationships/chartStyle" Target="style2.xml"/><Relationship Id="rId2" Type="http://schemas.microsoft.com/office/2011/relationships/chartColorStyle" Target="colors2.xml"/><Relationship Id="rId1" Type="http://schemas.openxmlformats.org/officeDocument/2006/relationships/oleObject" Target="file:///D:\&#1052;&#1072;&#1088;&#1080;&#1085;&#1072;\&#1090;&#1077;&#1082;&#1091;&#1097;&#1077;&#1077;\&#1074;&#1086;&#1083;&#1086;&#1075;&#1076;&#1072;\15%20&#1080;&#1102;&#1085;&#1103;\&#1080;&#1085;&#1076;&#1077;&#1082;&#1089;%20&#1080;&#1085;&#1074;&#1077;&#1089;&#1090;&#1080;&#1094;&#1080;&#108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6534307206237293E-2"/>
          <c:y val="3.9643211100099107E-2"/>
          <c:w val="0.94112431656498696"/>
          <c:h val="0.6491617437810363"/>
        </c:manualLayout>
      </c:layout>
      <c:lineChart>
        <c:grouping val="standard"/>
        <c:varyColors val="0"/>
        <c:ser>
          <c:idx val="0"/>
          <c:order val="0"/>
          <c:tx>
            <c:strRef>
              <c:f>'1900-2017 (ОЭЗ)'!$B$8</c:f>
              <c:strCache>
                <c:ptCount val="1"/>
                <c:pt idx="0">
                  <c:v>Калужская область</c:v>
                </c:pt>
              </c:strCache>
            </c:strRef>
          </c:tx>
          <c:spPr>
            <a:ln w="28575" cap="rnd">
              <a:solidFill>
                <a:schemeClr val="tx1"/>
              </a:solidFill>
              <a:round/>
            </a:ln>
            <a:effectLst/>
          </c:spPr>
          <c:marker>
            <c:symbol val="none"/>
          </c:marker>
          <c:cat>
            <c:numRef>
              <c:f>'1900-2017 (ОЭЗ)'!$C$7:$T$7</c:f>
              <c:numCache>
                <c:formatCode>General</c:formatCode>
                <c:ptCount val="18"/>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numCache>
            </c:numRef>
          </c:cat>
          <c:val>
            <c:numRef>
              <c:f>'1900-2017 (ОЭЗ)'!$C$8:$T$8</c:f>
              <c:numCache>
                <c:formatCode>General</c:formatCode>
                <c:ptCount val="18"/>
                <c:pt idx="0">
                  <c:v>117</c:v>
                </c:pt>
                <c:pt idx="1">
                  <c:v>115</c:v>
                </c:pt>
                <c:pt idx="2">
                  <c:v>102</c:v>
                </c:pt>
                <c:pt idx="3">
                  <c:v>107.3</c:v>
                </c:pt>
                <c:pt idx="4">
                  <c:v>106.5</c:v>
                </c:pt>
                <c:pt idx="5">
                  <c:v>105.8</c:v>
                </c:pt>
                <c:pt idx="6">
                  <c:v>107.8</c:v>
                </c:pt>
                <c:pt idx="7">
                  <c:v>117.9</c:v>
                </c:pt>
                <c:pt idx="8">
                  <c:v>138.30000000000001</c:v>
                </c:pt>
                <c:pt idx="9">
                  <c:v>89.4</c:v>
                </c:pt>
                <c:pt idx="10" formatCode="0.0">
                  <c:v>136.80000000000001</c:v>
                </c:pt>
                <c:pt idx="11" formatCode="0.0">
                  <c:v>127.4</c:v>
                </c:pt>
                <c:pt idx="12" formatCode="0.0">
                  <c:v>111.7</c:v>
                </c:pt>
                <c:pt idx="13" formatCode="0.0">
                  <c:v>103.9</c:v>
                </c:pt>
                <c:pt idx="14" formatCode="0.0">
                  <c:v>103.9</c:v>
                </c:pt>
                <c:pt idx="15" formatCode="0.0">
                  <c:v>94.6</c:v>
                </c:pt>
                <c:pt idx="16">
                  <c:v>108.4</c:v>
                </c:pt>
                <c:pt idx="17">
                  <c:v>115.1</c:v>
                </c:pt>
              </c:numCache>
            </c:numRef>
          </c:val>
          <c:smooth val="0"/>
          <c:extLst xmlns:c16r2="http://schemas.microsoft.com/office/drawing/2015/06/chart">
            <c:ext xmlns:c16="http://schemas.microsoft.com/office/drawing/2014/chart" uri="{C3380CC4-5D6E-409C-BE32-E72D297353CC}">
              <c16:uniqueId val="{00000000-264E-419E-8D5A-6F74AF169344}"/>
            </c:ext>
          </c:extLst>
        </c:ser>
        <c:ser>
          <c:idx val="1"/>
          <c:order val="1"/>
          <c:tx>
            <c:strRef>
              <c:f>'1900-2017 (ОЭЗ)'!$B$9</c:f>
              <c:strCache>
                <c:ptCount val="1"/>
                <c:pt idx="0">
                  <c:v>Липецкая область</c:v>
                </c:pt>
              </c:strCache>
            </c:strRef>
          </c:tx>
          <c:spPr>
            <a:ln w="28575" cap="rnd" cmpd="tri">
              <a:solidFill>
                <a:schemeClr val="bg1">
                  <a:lumMod val="85000"/>
                </a:schemeClr>
              </a:solidFill>
              <a:round/>
            </a:ln>
            <a:effectLst/>
          </c:spPr>
          <c:marker>
            <c:symbol val="none"/>
          </c:marker>
          <c:cat>
            <c:numRef>
              <c:f>'1900-2017 (ОЭЗ)'!$C$7:$T$7</c:f>
              <c:numCache>
                <c:formatCode>General</c:formatCode>
                <c:ptCount val="18"/>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numCache>
            </c:numRef>
          </c:cat>
          <c:val>
            <c:numRef>
              <c:f>'1900-2017 (ОЭЗ)'!$C$9:$T$9</c:f>
              <c:numCache>
                <c:formatCode>General</c:formatCode>
                <c:ptCount val="18"/>
                <c:pt idx="0">
                  <c:v>109</c:v>
                </c:pt>
                <c:pt idx="1">
                  <c:v>103</c:v>
                </c:pt>
                <c:pt idx="2">
                  <c:v>113</c:v>
                </c:pt>
                <c:pt idx="3">
                  <c:v>105.7</c:v>
                </c:pt>
                <c:pt idx="4">
                  <c:v>104.6</c:v>
                </c:pt>
                <c:pt idx="5">
                  <c:v>102.3</c:v>
                </c:pt>
                <c:pt idx="6">
                  <c:v>111.6</c:v>
                </c:pt>
                <c:pt idx="7">
                  <c:v>106.5</c:v>
                </c:pt>
                <c:pt idx="8">
                  <c:v>99.2</c:v>
                </c:pt>
                <c:pt idx="9">
                  <c:v>86</c:v>
                </c:pt>
                <c:pt idx="10" formatCode="0.0">
                  <c:v>112.2</c:v>
                </c:pt>
                <c:pt idx="11" formatCode="0.0">
                  <c:v>113.5</c:v>
                </c:pt>
                <c:pt idx="12" formatCode="0.0">
                  <c:v>108.5</c:v>
                </c:pt>
                <c:pt idx="13" formatCode="0.0">
                  <c:v>100.9</c:v>
                </c:pt>
                <c:pt idx="14" formatCode="0.0">
                  <c:v>102.9</c:v>
                </c:pt>
                <c:pt idx="15" formatCode="0.0">
                  <c:v>100.8</c:v>
                </c:pt>
                <c:pt idx="16">
                  <c:v>103.4</c:v>
                </c:pt>
                <c:pt idx="17">
                  <c:v>103</c:v>
                </c:pt>
              </c:numCache>
            </c:numRef>
          </c:val>
          <c:smooth val="0"/>
          <c:extLst xmlns:c16r2="http://schemas.microsoft.com/office/drawing/2015/06/chart">
            <c:ext xmlns:c16="http://schemas.microsoft.com/office/drawing/2014/chart" uri="{C3380CC4-5D6E-409C-BE32-E72D297353CC}">
              <c16:uniqueId val="{00000001-264E-419E-8D5A-6F74AF169344}"/>
            </c:ext>
          </c:extLst>
        </c:ser>
        <c:ser>
          <c:idx val="2"/>
          <c:order val="2"/>
          <c:tx>
            <c:strRef>
              <c:f>'1900-2017 (ОЭЗ)'!$B$10</c:f>
              <c:strCache>
                <c:ptCount val="1"/>
                <c:pt idx="0">
                  <c:v>Московская область</c:v>
                </c:pt>
              </c:strCache>
            </c:strRef>
          </c:tx>
          <c:spPr>
            <a:ln w="28575" cap="rnd">
              <a:solidFill>
                <a:schemeClr val="bg1">
                  <a:lumMod val="85000"/>
                </a:schemeClr>
              </a:solidFill>
              <a:prstDash val="dashDot"/>
              <a:round/>
            </a:ln>
            <a:effectLst/>
          </c:spPr>
          <c:marker>
            <c:symbol val="none"/>
          </c:marker>
          <c:cat>
            <c:numRef>
              <c:f>'1900-2017 (ОЭЗ)'!$C$7:$T$7</c:f>
              <c:numCache>
                <c:formatCode>General</c:formatCode>
                <c:ptCount val="18"/>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numCache>
            </c:numRef>
          </c:cat>
          <c:val>
            <c:numRef>
              <c:f>'1900-2017 (ОЭЗ)'!$C$10:$T$10</c:f>
              <c:numCache>
                <c:formatCode>General</c:formatCode>
                <c:ptCount val="18"/>
                <c:pt idx="0">
                  <c:v>115</c:v>
                </c:pt>
                <c:pt idx="1">
                  <c:v>114</c:v>
                </c:pt>
                <c:pt idx="2">
                  <c:v>106</c:v>
                </c:pt>
                <c:pt idx="3">
                  <c:v>119.1</c:v>
                </c:pt>
                <c:pt idx="4">
                  <c:v>115.8</c:v>
                </c:pt>
                <c:pt idx="5">
                  <c:v>114.1</c:v>
                </c:pt>
                <c:pt idx="6">
                  <c:v>113</c:v>
                </c:pt>
                <c:pt idx="7">
                  <c:v>114</c:v>
                </c:pt>
                <c:pt idx="8">
                  <c:v>103.8</c:v>
                </c:pt>
                <c:pt idx="9">
                  <c:v>83</c:v>
                </c:pt>
                <c:pt idx="10" formatCode="0.0">
                  <c:v>106.7</c:v>
                </c:pt>
                <c:pt idx="11" formatCode="0.0">
                  <c:v>110.7</c:v>
                </c:pt>
                <c:pt idx="12" formatCode="0.0">
                  <c:v>109.1</c:v>
                </c:pt>
                <c:pt idx="13" formatCode="0.0">
                  <c:v>105.8</c:v>
                </c:pt>
                <c:pt idx="14" formatCode="0.0">
                  <c:v>104.1</c:v>
                </c:pt>
                <c:pt idx="15" formatCode="0.0">
                  <c:v>101.1</c:v>
                </c:pt>
                <c:pt idx="16">
                  <c:v>110.7</c:v>
                </c:pt>
                <c:pt idx="17">
                  <c:v>111.3</c:v>
                </c:pt>
              </c:numCache>
            </c:numRef>
          </c:val>
          <c:smooth val="0"/>
          <c:extLst xmlns:c16r2="http://schemas.microsoft.com/office/drawing/2015/06/chart">
            <c:ext xmlns:c16="http://schemas.microsoft.com/office/drawing/2014/chart" uri="{C3380CC4-5D6E-409C-BE32-E72D297353CC}">
              <c16:uniqueId val="{00000002-264E-419E-8D5A-6F74AF169344}"/>
            </c:ext>
          </c:extLst>
        </c:ser>
        <c:ser>
          <c:idx val="3"/>
          <c:order val="3"/>
          <c:tx>
            <c:strRef>
              <c:f>'1900-2017 (ОЭЗ)'!$B$11</c:f>
              <c:strCache>
                <c:ptCount val="1"/>
                <c:pt idx="0">
                  <c:v>Тверская область</c:v>
                </c:pt>
              </c:strCache>
            </c:strRef>
          </c:tx>
          <c:spPr>
            <a:ln w="28575" cap="rnd">
              <a:solidFill>
                <a:schemeClr val="accent4"/>
              </a:solidFill>
              <a:round/>
            </a:ln>
            <a:effectLst/>
          </c:spPr>
          <c:marker>
            <c:symbol val="none"/>
          </c:marker>
          <c:cat>
            <c:numRef>
              <c:f>'1900-2017 (ОЭЗ)'!$C$7:$T$7</c:f>
              <c:numCache>
                <c:formatCode>General</c:formatCode>
                <c:ptCount val="18"/>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numCache>
            </c:numRef>
          </c:cat>
          <c:val>
            <c:numRef>
              <c:f>'1900-2017 (ОЭЗ)'!$C$11:$T$11</c:f>
              <c:numCache>
                <c:formatCode>General</c:formatCode>
                <c:ptCount val="18"/>
                <c:pt idx="0">
                  <c:v>111</c:v>
                </c:pt>
                <c:pt idx="1">
                  <c:v>104</c:v>
                </c:pt>
                <c:pt idx="2">
                  <c:v>106</c:v>
                </c:pt>
                <c:pt idx="3">
                  <c:v>108.3</c:v>
                </c:pt>
                <c:pt idx="4">
                  <c:v>104.8</c:v>
                </c:pt>
                <c:pt idx="5">
                  <c:v>108.9</c:v>
                </c:pt>
                <c:pt idx="6">
                  <c:v>113.7</c:v>
                </c:pt>
                <c:pt idx="7">
                  <c:v>108.1</c:v>
                </c:pt>
                <c:pt idx="8">
                  <c:v>103.3</c:v>
                </c:pt>
                <c:pt idx="9">
                  <c:v>81</c:v>
                </c:pt>
                <c:pt idx="10" formatCode="0.0">
                  <c:v>107.5</c:v>
                </c:pt>
                <c:pt idx="11" formatCode="0.0">
                  <c:v>107.6</c:v>
                </c:pt>
                <c:pt idx="12" formatCode="0.0">
                  <c:v>110.7</c:v>
                </c:pt>
                <c:pt idx="13" formatCode="0.0">
                  <c:v>101.4</c:v>
                </c:pt>
                <c:pt idx="14" formatCode="0.0">
                  <c:v>96.7</c:v>
                </c:pt>
                <c:pt idx="15" formatCode="0.0">
                  <c:v>97.7</c:v>
                </c:pt>
                <c:pt idx="16">
                  <c:v>105.5</c:v>
                </c:pt>
                <c:pt idx="17">
                  <c:v>101.8</c:v>
                </c:pt>
              </c:numCache>
            </c:numRef>
          </c:val>
          <c:smooth val="0"/>
          <c:extLst xmlns:c16r2="http://schemas.microsoft.com/office/drawing/2015/06/chart">
            <c:ext xmlns:c16="http://schemas.microsoft.com/office/drawing/2014/chart" uri="{C3380CC4-5D6E-409C-BE32-E72D297353CC}">
              <c16:uniqueId val="{00000003-264E-419E-8D5A-6F74AF169344}"/>
            </c:ext>
          </c:extLst>
        </c:ser>
        <c:ser>
          <c:idx val="4"/>
          <c:order val="4"/>
          <c:tx>
            <c:strRef>
              <c:f>'1900-2017 (ОЭЗ)'!$B$12</c:f>
              <c:strCache>
                <c:ptCount val="1"/>
                <c:pt idx="0">
                  <c:v>Тульская область</c:v>
                </c:pt>
              </c:strCache>
            </c:strRef>
          </c:tx>
          <c:spPr>
            <a:ln w="28575" cap="rnd">
              <a:solidFill>
                <a:schemeClr val="tx1"/>
              </a:solidFill>
              <a:prstDash val="sysDash"/>
              <a:round/>
            </a:ln>
            <a:effectLst/>
          </c:spPr>
          <c:marker>
            <c:symbol val="none"/>
          </c:marker>
          <c:cat>
            <c:numRef>
              <c:f>'1900-2017 (ОЭЗ)'!$C$7:$T$7</c:f>
              <c:numCache>
                <c:formatCode>General</c:formatCode>
                <c:ptCount val="18"/>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numCache>
            </c:numRef>
          </c:cat>
          <c:val>
            <c:numRef>
              <c:f>'1900-2017 (ОЭЗ)'!$C$12:$T$12</c:f>
              <c:numCache>
                <c:formatCode>General</c:formatCode>
                <c:ptCount val="18"/>
                <c:pt idx="0">
                  <c:v>116</c:v>
                </c:pt>
                <c:pt idx="1">
                  <c:v>110</c:v>
                </c:pt>
                <c:pt idx="2">
                  <c:v>102</c:v>
                </c:pt>
                <c:pt idx="3">
                  <c:v>102.1</c:v>
                </c:pt>
                <c:pt idx="4">
                  <c:v>112.2</c:v>
                </c:pt>
                <c:pt idx="5">
                  <c:v>104.9</c:v>
                </c:pt>
                <c:pt idx="6">
                  <c:v>109.1</c:v>
                </c:pt>
                <c:pt idx="7">
                  <c:v>113.6</c:v>
                </c:pt>
                <c:pt idx="8">
                  <c:v>105.4</c:v>
                </c:pt>
                <c:pt idx="9">
                  <c:v>84.8</c:v>
                </c:pt>
                <c:pt idx="10" formatCode="0.0">
                  <c:v>111.4</c:v>
                </c:pt>
                <c:pt idx="11" formatCode="0.0">
                  <c:v>124</c:v>
                </c:pt>
                <c:pt idx="12" formatCode="0.0">
                  <c:v>109.5</c:v>
                </c:pt>
                <c:pt idx="13" formatCode="0.0">
                  <c:v>112</c:v>
                </c:pt>
                <c:pt idx="14" formatCode="0.0">
                  <c:v>104.5</c:v>
                </c:pt>
                <c:pt idx="15" formatCode="0.0">
                  <c:v>111.9</c:v>
                </c:pt>
                <c:pt idx="16">
                  <c:v>114.3</c:v>
                </c:pt>
                <c:pt idx="17">
                  <c:v>106.2</c:v>
                </c:pt>
              </c:numCache>
            </c:numRef>
          </c:val>
          <c:smooth val="0"/>
          <c:extLst xmlns:c16r2="http://schemas.microsoft.com/office/drawing/2015/06/chart">
            <c:ext xmlns:c16="http://schemas.microsoft.com/office/drawing/2014/chart" uri="{C3380CC4-5D6E-409C-BE32-E72D297353CC}">
              <c16:uniqueId val="{00000004-264E-419E-8D5A-6F74AF169344}"/>
            </c:ext>
          </c:extLst>
        </c:ser>
        <c:ser>
          <c:idx val="5"/>
          <c:order val="5"/>
          <c:tx>
            <c:strRef>
              <c:f>'1900-2017 (ОЭЗ)'!$B$13</c:f>
              <c:strCache>
                <c:ptCount val="1"/>
                <c:pt idx="0">
                  <c:v>г. Москва</c:v>
                </c:pt>
              </c:strCache>
            </c:strRef>
          </c:tx>
          <c:spPr>
            <a:ln w="28575" cap="rnd" cmpd="dbl">
              <a:solidFill>
                <a:schemeClr val="tx1">
                  <a:lumMod val="75000"/>
                  <a:lumOff val="25000"/>
                </a:schemeClr>
              </a:solidFill>
              <a:round/>
            </a:ln>
            <a:effectLst/>
          </c:spPr>
          <c:marker>
            <c:symbol val="none"/>
          </c:marker>
          <c:cat>
            <c:numRef>
              <c:f>'1900-2017 (ОЭЗ)'!$C$7:$T$7</c:f>
              <c:numCache>
                <c:formatCode>General</c:formatCode>
                <c:ptCount val="18"/>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numCache>
            </c:numRef>
          </c:cat>
          <c:val>
            <c:numRef>
              <c:f>'1900-2017 (ОЭЗ)'!$C$13:$T$13</c:f>
              <c:numCache>
                <c:formatCode>General</c:formatCode>
                <c:ptCount val="18"/>
                <c:pt idx="0">
                  <c:v>115</c:v>
                </c:pt>
                <c:pt idx="1">
                  <c:v>109</c:v>
                </c:pt>
                <c:pt idx="2">
                  <c:v>120</c:v>
                </c:pt>
                <c:pt idx="3">
                  <c:v>111.6</c:v>
                </c:pt>
                <c:pt idx="4">
                  <c:v>107.7</c:v>
                </c:pt>
                <c:pt idx="5">
                  <c:v>123.5</c:v>
                </c:pt>
                <c:pt idx="6">
                  <c:v>119.6</c:v>
                </c:pt>
                <c:pt idx="7">
                  <c:v>121.6</c:v>
                </c:pt>
                <c:pt idx="8">
                  <c:v>103</c:v>
                </c:pt>
                <c:pt idx="9">
                  <c:v>82.8</c:v>
                </c:pt>
                <c:pt idx="10" formatCode="0.0">
                  <c:v>96.1</c:v>
                </c:pt>
                <c:pt idx="11" formatCode="0.0">
                  <c:v>100.7</c:v>
                </c:pt>
                <c:pt idx="12" formatCode="0.0">
                  <c:v>100.8</c:v>
                </c:pt>
                <c:pt idx="13" formatCode="0.0">
                  <c:v>95.8</c:v>
                </c:pt>
                <c:pt idx="14" formatCode="0.0">
                  <c:v>98.9</c:v>
                </c:pt>
                <c:pt idx="15" formatCode="0.0">
                  <c:v>97.2</c:v>
                </c:pt>
                <c:pt idx="16">
                  <c:v>100.2</c:v>
                </c:pt>
                <c:pt idx="17">
                  <c:v>101</c:v>
                </c:pt>
              </c:numCache>
            </c:numRef>
          </c:val>
          <c:smooth val="0"/>
          <c:extLst xmlns:c16r2="http://schemas.microsoft.com/office/drawing/2015/06/chart">
            <c:ext xmlns:c16="http://schemas.microsoft.com/office/drawing/2014/chart" uri="{C3380CC4-5D6E-409C-BE32-E72D297353CC}">
              <c16:uniqueId val="{00000005-264E-419E-8D5A-6F74AF169344}"/>
            </c:ext>
          </c:extLst>
        </c:ser>
        <c:ser>
          <c:idx val="6"/>
          <c:order val="6"/>
          <c:tx>
            <c:strRef>
              <c:f>'1900-2017 (ОЭЗ)'!$B$14</c:f>
              <c:strCache>
                <c:ptCount val="1"/>
                <c:pt idx="0">
                  <c:v>Псковская область</c:v>
                </c:pt>
              </c:strCache>
            </c:strRef>
          </c:tx>
          <c:spPr>
            <a:ln w="28575" cap="rnd">
              <a:solidFill>
                <a:schemeClr val="accent1">
                  <a:lumMod val="60000"/>
                </a:schemeClr>
              </a:solidFill>
              <a:round/>
            </a:ln>
            <a:effectLst/>
          </c:spPr>
          <c:marker>
            <c:symbol val="none"/>
          </c:marker>
          <c:cat>
            <c:numRef>
              <c:f>'1900-2017 (ОЭЗ)'!$C$7:$T$7</c:f>
              <c:numCache>
                <c:formatCode>General</c:formatCode>
                <c:ptCount val="18"/>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numCache>
            </c:numRef>
          </c:cat>
          <c:val>
            <c:numRef>
              <c:f>'1900-2017 (ОЭЗ)'!$C$14:$T$14</c:f>
              <c:numCache>
                <c:formatCode>General</c:formatCode>
                <c:ptCount val="18"/>
                <c:pt idx="0">
                  <c:v>111</c:v>
                </c:pt>
                <c:pt idx="1">
                  <c:v>108</c:v>
                </c:pt>
                <c:pt idx="2">
                  <c:v>107</c:v>
                </c:pt>
                <c:pt idx="3">
                  <c:v>104.9</c:v>
                </c:pt>
                <c:pt idx="4">
                  <c:v>103.6</c:v>
                </c:pt>
                <c:pt idx="5">
                  <c:v>98.7</c:v>
                </c:pt>
                <c:pt idx="6">
                  <c:v>108.2</c:v>
                </c:pt>
                <c:pt idx="7">
                  <c:v>108</c:v>
                </c:pt>
                <c:pt idx="8">
                  <c:v>105.1</c:v>
                </c:pt>
                <c:pt idx="9">
                  <c:v>89.6</c:v>
                </c:pt>
                <c:pt idx="10" formatCode="0.0">
                  <c:v>118.2</c:v>
                </c:pt>
                <c:pt idx="11" formatCode="0.0">
                  <c:v>120.8</c:v>
                </c:pt>
                <c:pt idx="12" formatCode="0.0">
                  <c:v>99.3</c:v>
                </c:pt>
                <c:pt idx="13" formatCode="0.0">
                  <c:v>100.9</c:v>
                </c:pt>
                <c:pt idx="14" formatCode="0.0">
                  <c:v>94.4</c:v>
                </c:pt>
                <c:pt idx="15" formatCode="0.0">
                  <c:v>102.8</c:v>
                </c:pt>
                <c:pt idx="16">
                  <c:v>104.2</c:v>
                </c:pt>
                <c:pt idx="17">
                  <c:v>106.5</c:v>
                </c:pt>
              </c:numCache>
            </c:numRef>
          </c:val>
          <c:smooth val="0"/>
          <c:extLst xmlns:c16r2="http://schemas.microsoft.com/office/drawing/2015/06/chart">
            <c:ext xmlns:c16="http://schemas.microsoft.com/office/drawing/2014/chart" uri="{C3380CC4-5D6E-409C-BE32-E72D297353CC}">
              <c16:uniqueId val="{00000006-264E-419E-8D5A-6F74AF169344}"/>
            </c:ext>
          </c:extLst>
        </c:ser>
        <c:ser>
          <c:idx val="7"/>
          <c:order val="7"/>
          <c:tx>
            <c:strRef>
              <c:f>'1900-2017 (ОЭЗ)'!$B$15</c:f>
              <c:strCache>
                <c:ptCount val="1"/>
                <c:pt idx="0">
                  <c:v>г. Санкт-Петербург</c:v>
                </c:pt>
              </c:strCache>
            </c:strRef>
          </c:tx>
          <c:spPr>
            <a:ln w="28575" cap="rnd">
              <a:solidFill>
                <a:schemeClr val="accent2">
                  <a:lumMod val="60000"/>
                </a:schemeClr>
              </a:solidFill>
              <a:round/>
            </a:ln>
            <a:effectLst/>
          </c:spPr>
          <c:marker>
            <c:symbol val="none"/>
          </c:marker>
          <c:cat>
            <c:numRef>
              <c:f>'1900-2017 (ОЭЗ)'!$C$7:$T$7</c:f>
              <c:numCache>
                <c:formatCode>General</c:formatCode>
                <c:ptCount val="18"/>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numCache>
            </c:numRef>
          </c:cat>
          <c:val>
            <c:numRef>
              <c:f>'1900-2017 (ОЭЗ)'!$C$15:$T$15</c:f>
              <c:numCache>
                <c:formatCode>General</c:formatCode>
                <c:ptCount val="18"/>
                <c:pt idx="0">
                  <c:v>127</c:v>
                </c:pt>
                <c:pt idx="1">
                  <c:v>100.8</c:v>
                </c:pt>
                <c:pt idx="2">
                  <c:v>131</c:v>
                </c:pt>
                <c:pt idx="3">
                  <c:v>107</c:v>
                </c:pt>
                <c:pt idx="4">
                  <c:v>113.7</c:v>
                </c:pt>
                <c:pt idx="5">
                  <c:v>105.7</c:v>
                </c:pt>
                <c:pt idx="6">
                  <c:v>98</c:v>
                </c:pt>
                <c:pt idx="7">
                  <c:v>110.3</c:v>
                </c:pt>
                <c:pt idx="8">
                  <c:v>103.9</c:v>
                </c:pt>
                <c:pt idx="9">
                  <c:v>80.3</c:v>
                </c:pt>
                <c:pt idx="10" formatCode="0.0">
                  <c:v>109</c:v>
                </c:pt>
                <c:pt idx="11" formatCode="0.0">
                  <c:v>115.4</c:v>
                </c:pt>
                <c:pt idx="12" formatCode="0.0">
                  <c:v>105.3</c:v>
                </c:pt>
                <c:pt idx="13" formatCode="0.0">
                  <c:v>99</c:v>
                </c:pt>
                <c:pt idx="14" formatCode="0.0">
                  <c:v>93.6</c:v>
                </c:pt>
                <c:pt idx="15" formatCode="0.0">
                  <c:v>93</c:v>
                </c:pt>
                <c:pt idx="16">
                  <c:v>103.9</c:v>
                </c:pt>
                <c:pt idx="17">
                  <c:v>105.7</c:v>
                </c:pt>
              </c:numCache>
            </c:numRef>
          </c:val>
          <c:smooth val="0"/>
          <c:extLst xmlns:c16r2="http://schemas.microsoft.com/office/drawing/2015/06/chart">
            <c:ext xmlns:c16="http://schemas.microsoft.com/office/drawing/2014/chart" uri="{C3380CC4-5D6E-409C-BE32-E72D297353CC}">
              <c16:uniqueId val="{00000007-264E-419E-8D5A-6F74AF169344}"/>
            </c:ext>
          </c:extLst>
        </c:ser>
        <c:ser>
          <c:idx val="8"/>
          <c:order val="8"/>
          <c:tx>
            <c:strRef>
              <c:f>'1900-2017 (ОЭЗ)'!$B$16</c:f>
              <c:strCache>
                <c:ptCount val="1"/>
                <c:pt idx="0">
                  <c:v>Республика Татарстан</c:v>
                </c:pt>
              </c:strCache>
            </c:strRef>
          </c:tx>
          <c:spPr>
            <a:ln w="28575" cap="rnd">
              <a:solidFill>
                <a:schemeClr val="accent3">
                  <a:lumMod val="60000"/>
                </a:schemeClr>
              </a:solidFill>
              <a:round/>
            </a:ln>
            <a:effectLst/>
          </c:spPr>
          <c:marker>
            <c:symbol val="none"/>
          </c:marker>
          <c:cat>
            <c:numRef>
              <c:f>'1900-2017 (ОЭЗ)'!$C$7:$T$7</c:f>
              <c:numCache>
                <c:formatCode>General</c:formatCode>
                <c:ptCount val="18"/>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numCache>
            </c:numRef>
          </c:cat>
          <c:val>
            <c:numRef>
              <c:f>'1900-2017 (ОЭЗ)'!$C$16:$T$16</c:f>
              <c:numCache>
                <c:formatCode>General</c:formatCode>
                <c:ptCount val="18"/>
                <c:pt idx="0">
                  <c:v>110</c:v>
                </c:pt>
                <c:pt idx="1">
                  <c:v>107</c:v>
                </c:pt>
                <c:pt idx="2">
                  <c:v>100.9</c:v>
                </c:pt>
                <c:pt idx="3">
                  <c:v>106.2</c:v>
                </c:pt>
                <c:pt idx="4">
                  <c:v>106.1</c:v>
                </c:pt>
                <c:pt idx="5">
                  <c:v>104.8</c:v>
                </c:pt>
                <c:pt idx="6">
                  <c:v>108.1</c:v>
                </c:pt>
                <c:pt idx="7">
                  <c:v>108.9</c:v>
                </c:pt>
                <c:pt idx="8">
                  <c:v>105.8</c:v>
                </c:pt>
                <c:pt idx="9">
                  <c:v>92.4</c:v>
                </c:pt>
                <c:pt idx="10" formatCode="0.0">
                  <c:v>105.1</c:v>
                </c:pt>
                <c:pt idx="11" formatCode="0.0">
                  <c:v>106.3</c:v>
                </c:pt>
                <c:pt idx="12" formatCode="0.0">
                  <c:v>106.9</c:v>
                </c:pt>
                <c:pt idx="13" formatCode="0.0">
                  <c:v>101.7</c:v>
                </c:pt>
                <c:pt idx="14" formatCode="0.0">
                  <c:v>101.3</c:v>
                </c:pt>
                <c:pt idx="15" formatCode="0.0">
                  <c:v>101.5</c:v>
                </c:pt>
                <c:pt idx="16">
                  <c:v>103.6</c:v>
                </c:pt>
                <c:pt idx="17">
                  <c:v>101.8</c:v>
                </c:pt>
              </c:numCache>
            </c:numRef>
          </c:val>
          <c:smooth val="0"/>
          <c:extLst xmlns:c16r2="http://schemas.microsoft.com/office/drawing/2015/06/chart">
            <c:ext xmlns:c16="http://schemas.microsoft.com/office/drawing/2014/chart" uri="{C3380CC4-5D6E-409C-BE32-E72D297353CC}">
              <c16:uniqueId val="{00000008-264E-419E-8D5A-6F74AF169344}"/>
            </c:ext>
          </c:extLst>
        </c:ser>
        <c:ser>
          <c:idx val="9"/>
          <c:order val="9"/>
          <c:tx>
            <c:strRef>
              <c:f>'1900-2017 (ОЭЗ)'!$B$17</c:f>
              <c:strCache>
                <c:ptCount val="1"/>
                <c:pt idx="0">
                  <c:v>Самарская область</c:v>
                </c:pt>
              </c:strCache>
            </c:strRef>
          </c:tx>
          <c:spPr>
            <a:ln w="28575" cap="rnd">
              <a:solidFill>
                <a:schemeClr val="bg1">
                  <a:lumMod val="75000"/>
                </a:schemeClr>
              </a:solidFill>
              <a:round/>
            </a:ln>
            <a:effectLst/>
          </c:spPr>
          <c:marker>
            <c:symbol val="none"/>
          </c:marker>
          <c:cat>
            <c:numRef>
              <c:f>'1900-2017 (ОЭЗ)'!$C$7:$T$7</c:f>
              <c:numCache>
                <c:formatCode>General</c:formatCode>
                <c:ptCount val="18"/>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numCache>
            </c:numRef>
          </c:cat>
          <c:val>
            <c:numRef>
              <c:f>'1900-2017 (ОЭЗ)'!$C$17:$T$17</c:f>
              <c:numCache>
                <c:formatCode>General</c:formatCode>
                <c:ptCount val="18"/>
                <c:pt idx="0">
                  <c:v>111</c:v>
                </c:pt>
                <c:pt idx="1">
                  <c:v>110</c:v>
                </c:pt>
                <c:pt idx="2">
                  <c:v>98</c:v>
                </c:pt>
                <c:pt idx="3">
                  <c:v>105.7</c:v>
                </c:pt>
                <c:pt idx="4">
                  <c:v>108.9</c:v>
                </c:pt>
                <c:pt idx="5">
                  <c:v>97.3</c:v>
                </c:pt>
                <c:pt idx="6">
                  <c:v>105</c:v>
                </c:pt>
                <c:pt idx="7">
                  <c:v>105.2</c:v>
                </c:pt>
                <c:pt idx="8">
                  <c:v>103.7</c:v>
                </c:pt>
                <c:pt idx="9">
                  <c:v>73</c:v>
                </c:pt>
                <c:pt idx="10" formatCode="0.0">
                  <c:v>114.4</c:v>
                </c:pt>
                <c:pt idx="11" formatCode="0.0">
                  <c:v>105.8</c:v>
                </c:pt>
                <c:pt idx="12" formatCode="0.0">
                  <c:v>102.2</c:v>
                </c:pt>
                <c:pt idx="13" formatCode="0.0">
                  <c:v>101</c:v>
                </c:pt>
                <c:pt idx="14" formatCode="0.0">
                  <c:v>99.4</c:v>
                </c:pt>
                <c:pt idx="15" formatCode="0.0">
                  <c:v>99.4</c:v>
                </c:pt>
                <c:pt idx="16">
                  <c:v>98.8</c:v>
                </c:pt>
                <c:pt idx="17">
                  <c:v>102.5</c:v>
                </c:pt>
              </c:numCache>
            </c:numRef>
          </c:val>
          <c:smooth val="0"/>
          <c:extLst xmlns:c16r2="http://schemas.microsoft.com/office/drawing/2015/06/chart">
            <c:ext xmlns:c16="http://schemas.microsoft.com/office/drawing/2014/chart" uri="{C3380CC4-5D6E-409C-BE32-E72D297353CC}">
              <c16:uniqueId val="{00000009-264E-419E-8D5A-6F74AF169344}"/>
            </c:ext>
          </c:extLst>
        </c:ser>
        <c:ser>
          <c:idx val="10"/>
          <c:order val="10"/>
          <c:tx>
            <c:strRef>
              <c:f>'1900-2017 (ОЭЗ)'!$B$18</c:f>
              <c:strCache>
                <c:ptCount val="1"/>
                <c:pt idx="0">
                  <c:v>Ульяновская область</c:v>
                </c:pt>
              </c:strCache>
            </c:strRef>
          </c:tx>
          <c:spPr>
            <a:ln w="28575" cap="rnd">
              <a:solidFill>
                <a:schemeClr val="accent5">
                  <a:lumMod val="60000"/>
                </a:schemeClr>
              </a:solidFill>
              <a:round/>
            </a:ln>
            <a:effectLst/>
          </c:spPr>
          <c:marker>
            <c:symbol val="none"/>
          </c:marker>
          <c:cat>
            <c:numRef>
              <c:f>'1900-2017 (ОЭЗ)'!$C$7:$T$7</c:f>
              <c:numCache>
                <c:formatCode>General</c:formatCode>
                <c:ptCount val="18"/>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numCache>
            </c:numRef>
          </c:cat>
          <c:val>
            <c:numRef>
              <c:f>'1900-2017 (ОЭЗ)'!$C$18:$T$18</c:f>
              <c:numCache>
                <c:formatCode>General</c:formatCode>
                <c:ptCount val="18"/>
                <c:pt idx="0">
                  <c:v>112</c:v>
                </c:pt>
                <c:pt idx="1">
                  <c:v>97</c:v>
                </c:pt>
                <c:pt idx="2">
                  <c:v>109</c:v>
                </c:pt>
                <c:pt idx="3">
                  <c:v>106.2</c:v>
                </c:pt>
                <c:pt idx="4">
                  <c:v>99.8</c:v>
                </c:pt>
                <c:pt idx="5">
                  <c:v>109.8</c:v>
                </c:pt>
                <c:pt idx="6">
                  <c:v>104.5</c:v>
                </c:pt>
                <c:pt idx="7">
                  <c:v>110.9</c:v>
                </c:pt>
                <c:pt idx="8">
                  <c:v>101.2</c:v>
                </c:pt>
                <c:pt idx="9">
                  <c:v>81.3</c:v>
                </c:pt>
                <c:pt idx="10" formatCode="0.0">
                  <c:v>114.4</c:v>
                </c:pt>
                <c:pt idx="11" formatCode="0.0">
                  <c:v>112.1</c:v>
                </c:pt>
                <c:pt idx="12" formatCode="0.0">
                  <c:v>102.5</c:v>
                </c:pt>
                <c:pt idx="13" formatCode="0.0">
                  <c:v>99.4</c:v>
                </c:pt>
                <c:pt idx="14" formatCode="0.0">
                  <c:v>102.9</c:v>
                </c:pt>
                <c:pt idx="15" formatCode="0.0">
                  <c:v>102.4</c:v>
                </c:pt>
                <c:pt idx="16">
                  <c:v>101.9</c:v>
                </c:pt>
                <c:pt idx="17">
                  <c:v>107</c:v>
                </c:pt>
              </c:numCache>
            </c:numRef>
          </c:val>
          <c:smooth val="0"/>
          <c:extLst xmlns:c16r2="http://schemas.microsoft.com/office/drawing/2015/06/chart">
            <c:ext xmlns:c16="http://schemas.microsoft.com/office/drawing/2014/chart" uri="{C3380CC4-5D6E-409C-BE32-E72D297353CC}">
              <c16:uniqueId val="{0000000A-264E-419E-8D5A-6F74AF169344}"/>
            </c:ext>
          </c:extLst>
        </c:ser>
        <c:ser>
          <c:idx val="11"/>
          <c:order val="11"/>
          <c:tx>
            <c:strRef>
              <c:f>'1900-2017 (ОЭЗ)'!$B$19</c:f>
              <c:strCache>
                <c:ptCount val="1"/>
                <c:pt idx="0">
                  <c:v>Свердловская область</c:v>
                </c:pt>
              </c:strCache>
            </c:strRef>
          </c:tx>
          <c:spPr>
            <a:ln w="28575" cap="rnd">
              <a:solidFill>
                <a:schemeClr val="bg2">
                  <a:lumMod val="90000"/>
                </a:schemeClr>
              </a:solidFill>
              <a:round/>
            </a:ln>
            <a:effectLst/>
          </c:spPr>
          <c:marker>
            <c:symbol val="none"/>
          </c:marker>
          <c:cat>
            <c:numRef>
              <c:f>'1900-2017 (ОЭЗ)'!$C$7:$T$7</c:f>
              <c:numCache>
                <c:formatCode>General</c:formatCode>
                <c:ptCount val="18"/>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numCache>
            </c:numRef>
          </c:cat>
          <c:val>
            <c:numRef>
              <c:f>'1900-2017 (ОЭЗ)'!$C$19:$T$19</c:f>
              <c:numCache>
                <c:formatCode>General</c:formatCode>
                <c:ptCount val="18"/>
                <c:pt idx="0">
                  <c:v>116</c:v>
                </c:pt>
                <c:pt idx="1">
                  <c:v>111</c:v>
                </c:pt>
                <c:pt idx="2">
                  <c:v>104</c:v>
                </c:pt>
                <c:pt idx="3">
                  <c:v>109.1</c:v>
                </c:pt>
                <c:pt idx="4">
                  <c:v>109.3</c:v>
                </c:pt>
                <c:pt idx="5">
                  <c:v>104.8</c:v>
                </c:pt>
                <c:pt idx="6">
                  <c:v>108.2</c:v>
                </c:pt>
                <c:pt idx="7">
                  <c:v>111.7</c:v>
                </c:pt>
                <c:pt idx="8">
                  <c:v>98</c:v>
                </c:pt>
                <c:pt idx="9">
                  <c:v>82.3</c:v>
                </c:pt>
                <c:pt idx="10" formatCode="0.0">
                  <c:v>117.3</c:v>
                </c:pt>
                <c:pt idx="11" formatCode="0.0">
                  <c:v>106.2</c:v>
                </c:pt>
                <c:pt idx="12" formatCode="0.0">
                  <c:v>109.6</c:v>
                </c:pt>
                <c:pt idx="13" formatCode="0.0">
                  <c:v>102.7</c:v>
                </c:pt>
                <c:pt idx="14" formatCode="0.0">
                  <c:v>102.1</c:v>
                </c:pt>
                <c:pt idx="15" formatCode="0.0">
                  <c:v>96.9</c:v>
                </c:pt>
                <c:pt idx="16">
                  <c:v>102.6</c:v>
                </c:pt>
                <c:pt idx="17">
                  <c:v>101.4</c:v>
                </c:pt>
              </c:numCache>
            </c:numRef>
          </c:val>
          <c:smooth val="0"/>
          <c:extLst xmlns:c16r2="http://schemas.microsoft.com/office/drawing/2015/06/chart">
            <c:ext xmlns:c16="http://schemas.microsoft.com/office/drawing/2014/chart" uri="{C3380CC4-5D6E-409C-BE32-E72D297353CC}">
              <c16:uniqueId val="{0000000B-264E-419E-8D5A-6F74AF169344}"/>
            </c:ext>
          </c:extLst>
        </c:ser>
        <c:ser>
          <c:idx val="12"/>
          <c:order val="12"/>
          <c:tx>
            <c:strRef>
              <c:f>'1900-2017 (ОЭЗ)'!$B$20</c:f>
              <c:strCache>
                <c:ptCount val="1"/>
                <c:pt idx="0">
                  <c:v>Республика Бурятия </c:v>
                </c:pt>
              </c:strCache>
            </c:strRef>
          </c:tx>
          <c:spPr>
            <a:ln w="28575" cap="rnd">
              <a:solidFill>
                <a:schemeClr val="tx1"/>
              </a:solidFill>
              <a:prstDash val="dashDot"/>
              <a:round/>
            </a:ln>
            <a:effectLst/>
          </c:spPr>
          <c:marker>
            <c:symbol val="none"/>
          </c:marker>
          <c:cat>
            <c:numRef>
              <c:f>'1900-2017 (ОЭЗ)'!$C$7:$T$7</c:f>
              <c:numCache>
                <c:formatCode>General</c:formatCode>
                <c:ptCount val="18"/>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numCache>
            </c:numRef>
          </c:cat>
          <c:val>
            <c:numRef>
              <c:f>'1900-2017 (ОЭЗ)'!$C$20:$T$20</c:f>
              <c:numCache>
                <c:formatCode>General</c:formatCode>
                <c:ptCount val="18"/>
                <c:pt idx="0">
                  <c:v>108</c:v>
                </c:pt>
                <c:pt idx="1">
                  <c:v>113</c:v>
                </c:pt>
                <c:pt idx="2">
                  <c:v>116</c:v>
                </c:pt>
                <c:pt idx="3">
                  <c:v>110.1</c:v>
                </c:pt>
                <c:pt idx="4">
                  <c:v>102.1</c:v>
                </c:pt>
                <c:pt idx="5">
                  <c:v>107.9</c:v>
                </c:pt>
                <c:pt idx="6">
                  <c:v>108.4</c:v>
                </c:pt>
                <c:pt idx="7">
                  <c:v>108.7</c:v>
                </c:pt>
                <c:pt idx="8">
                  <c:v>108.6</c:v>
                </c:pt>
                <c:pt idx="9">
                  <c:v>98.3</c:v>
                </c:pt>
                <c:pt idx="10" formatCode="0.0">
                  <c:v>120.2</c:v>
                </c:pt>
                <c:pt idx="11" formatCode="0.0">
                  <c:v>114.2</c:v>
                </c:pt>
                <c:pt idx="12" formatCode="0.0">
                  <c:v>103.2</c:v>
                </c:pt>
                <c:pt idx="13" formatCode="0.0">
                  <c:v>114.9</c:v>
                </c:pt>
                <c:pt idx="14" formatCode="0.0">
                  <c:v>102.9</c:v>
                </c:pt>
                <c:pt idx="15" formatCode="0.0">
                  <c:v>101.6</c:v>
                </c:pt>
                <c:pt idx="16">
                  <c:v>86.3</c:v>
                </c:pt>
                <c:pt idx="17">
                  <c:v>94.1</c:v>
                </c:pt>
              </c:numCache>
            </c:numRef>
          </c:val>
          <c:smooth val="0"/>
          <c:extLst xmlns:c16r2="http://schemas.microsoft.com/office/drawing/2015/06/chart">
            <c:ext xmlns:c16="http://schemas.microsoft.com/office/drawing/2014/chart" uri="{C3380CC4-5D6E-409C-BE32-E72D297353CC}">
              <c16:uniqueId val="{0000000C-264E-419E-8D5A-6F74AF169344}"/>
            </c:ext>
          </c:extLst>
        </c:ser>
        <c:ser>
          <c:idx val="13"/>
          <c:order val="13"/>
          <c:tx>
            <c:strRef>
              <c:f>'1900-2017 (ОЭЗ)'!$B$21</c:f>
              <c:strCache>
                <c:ptCount val="1"/>
                <c:pt idx="0">
                  <c:v>Алтайский край </c:v>
                </c:pt>
              </c:strCache>
            </c:strRef>
          </c:tx>
          <c:spPr>
            <a:ln w="28575" cap="rnd">
              <a:solidFill>
                <a:schemeClr val="tx1">
                  <a:lumMod val="65000"/>
                  <a:lumOff val="35000"/>
                </a:schemeClr>
              </a:solidFill>
              <a:prstDash val="sysDot"/>
              <a:round/>
            </a:ln>
            <a:effectLst/>
          </c:spPr>
          <c:marker>
            <c:symbol val="none"/>
          </c:marker>
          <c:cat>
            <c:numRef>
              <c:f>'1900-2017 (ОЭЗ)'!$C$7:$T$7</c:f>
              <c:numCache>
                <c:formatCode>General</c:formatCode>
                <c:ptCount val="18"/>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numCache>
            </c:numRef>
          </c:cat>
          <c:val>
            <c:numRef>
              <c:f>'1900-2017 (ОЭЗ)'!$C$21:$T$21</c:f>
              <c:numCache>
                <c:formatCode>General</c:formatCode>
                <c:ptCount val="18"/>
                <c:pt idx="0">
                  <c:v>109</c:v>
                </c:pt>
                <c:pt idx="1">
                  <c:v>111</c:v>
                </c:pt>
                <c:pt idx="2">
                  <c:v>100.2</c:v>
                </c:pt>
                <c:pt idx="3">
                  <c:v>108.6</c:v>
                </c:pt>
                <c:pt idx="4">
                  <c:v>102.6</c:v>
                </c:pt>
                <c:pt idx="5">
                  <c:v>96.8</c:v>
                </c:pt>
                <c:pt idx="6">
                  <c:v>110.3</c:v>
                </c:pt>
                <c:pt idx="7">
                  <c:v>110.4</c:v>
                </c:pt>
                <c:pt idx="8">
                  <c:v>103.1</c:v>
                </c:pt>
                <c:pt idx="9">
                  <c:v>94.3</c:v>
                </c:pt>
                <c:pt idx="10" formatCode="0.0">
                  <c:v>122</c:v>
                </c:pt>
                <c:pt idx="11" formatCode="0.0">
                  <c:v>104.5</c:v>
                </c:pt>
                <c:pt idx="12" formatCode="0.0">
                  <c:v>104.4</c:v>
                </c:pt>
                <c:pt idx="13" formatCode="0.0">
                  <c:v>101.3</c:v>
                </c:pt>
                <c:pt idx="14" formatCode="0.0">
                  <c:v>98.9</c:v>
                </c:pt>
                <c:pt idx="15" formatCode="0.0">
                  <c:v>100.1</c:v>
                </c:pt>
                <c:pt idx="16">
                  <c:v>102.8</c:v>
                </c:pt>
                <c:pt idx="17">
                  <c:v>104</c:v>
                </c:pt>
              </c:numCache>
            </c:numRef>
          </c:val>
          <c:smooth val="0"/>
          <c:extLst xmlns:c16r2="http://schemas.microsoft.com/office/drawing/2015/06/chart">
            <c:ext xmlns:c16="http://schemas.microsoft.com/office/drawing/2014/chart" uri="{C3380CC4-5D6E-409C-BE32-E72D297353CC}">
              <c16:uniqueId val="{0000000D-264E-419E-8D5A-6F74AF169344}"/>
            </c:ext>
          </c:extLst>
        </c:ser>
        <c:ser>
          <c:idx val="14"/>
          <c:order val="14"/>
          <c:tx>
            <c:strRef>
              <c:f>'1900-2017 (ОЭЗ)'!$B$22</c:f>
              <c:strCache>
                <c:ptCount val="1"/>
                <c:pt idx="0">
                  <c:v>Иркутская область </c:v>
                </c:pt>
              </c:strCache>
            </c:strRef>
          </c:tx>
          <c:spPr>
            <a:ln w="28575" cap="rnd">
              <a:solidFill>
                <a:schemeClr val="bg1">
                  <a:lumMod val="65000"/>
                </a:schemeClr>
              </a:solidFill>
              <a:prstDash val="sysDot"/>
              <a:round/>
            </a:ln>
            <a:effectLst/>
          </c:spPr>
          <c:marker>
            <c:symbol val="none"/>
          </c:marker>
          <c:cat>
            <c:numRef>
              <c:f>'1900-2017 (ОЭЗ)'!$C$7:$T$7</c:f>
              <c:numCache>
                <c:formatCode>General</c:formatCode>
                <c:ptCount val="18"/>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numCache>
            </c:numRef>
          </c:cat>
          <c:val>
            <c:numRef>
              <c:f>'1900-2017 (ОЭЗ)'!$C$22:$T$22</c:f>
              <c:numCache>
                <c:formatCode>General</c:formatCode>
                <c:ptCount val="18"/>
                <c:pt idx="0">
                  <c:v>111</c:v>
                </c:pt>
                <c:pt idx="1">
                  <c:v>104</c:v>
                </c:pt>
                <c:pt idx="2">
                  <c:v>107</c:v>
                </c:pt>
                <c:pt idx="3">
                  <c:v>103.3</c:v>
                </c:pt>
                <c:pt idx="4">
                  <c:v>100.3</c:v>
                </c:pt>
                <c:pt idx="5">
                  <c:v>108.6</c:v>
                </c:pt>
                <c:pt idx="6">
                  <c:v>108</c:v>
                </c:pt>
                <c:pt idx="7">
                  <c:v>105.2</c:v>
                </c:pt>
                <c:pt idx="8">
                  <c:v>105.4</c:v>
                </c:pt>
                <c:pt idx="9">
                  <c:v>96.3</c:v>
                </c:pt>
                <c:pt idx="10" formatCode="0.0">
                  <c:v>113.3</c:v>
                </c:pt>
                <c:pt idx="11" formatCode="0.0">
                  <c:v>111.4</c:v>
                </c:pt>
                <c:pt idx="12" formatCode="0.0">
                  <c:v>112.9</c:v>
                </c:pt>
                <c:pt idx="13" formatCode="0.0">
                  <c:v>102.5</c:v>
                </c:pt>
                <c:pt idx="14" formatCode="0.0">
                  <c:v>104.4</c:v>
                </c:pt>
                <c:pt idx="15" formatCode="0.0">
                  <c:v>105.8</c:v>
                </c:pt>
                <c:pt idx="16">
                  <c:v>106</c:v>
                </c:pt>
                <c:pt idx="17">
                  <c:v>104.2</c:v>
                </c:pt>
              </c:numCache>
            </c:numRef>
          </c:val>
          <c:smooth val="0"/>
          <c:extLst xmlns:c16r2="http://schemas.microsoft.com/office/drawing/2015/06/chart">
            <c:ext xmlns:c16="http://schemas.microsoft.com/office/drawing/2014/chart" uri="{C3380CC4-5D6E-409C-BE32-E72D297353CC}">
              <c16:uniqueId val="{0000000E-264E-419E-8D5A-6F74AF169344}"/>
            </c:ext>
          </c:extLst>
        </c:ser>
        <c:ser>
          <c:idx val="15"/>
          <c:order val="15"/>
          <c:tx>
            <c:strRef>
              <c:f>'1900-2017 (ОЭЗ)'!$B$23</c:f>
              <c:strCache>
                <c:ptCount val="1"/>
                <c:pt idx="0">
                  <c:v>Томская область </c:v>
                </c:pt>
              </c:strCache>
            </c:strRef>
          </c:tx>
          <c:spPr>
            <a:ln w="28575" cap="rnd">
              <a:solidFill>
                <a:schemeClr val="accent4">
                  <a:lumMod val="80000"/>
                  <a:lumOff val="20000"/>
                </a:schemeClr>
              </a:solidFill>
              <a:round/>
            </a:ln>
            <a:effectLst/>
          </c:spPr>
          <c:marker>
            <c:symbol val="none"/>
          </c:marker>
          <c:dPt>
            <c:idx val="5"/>
            <c:bubble3D val="0"/>
            <c:spPr>
              <a:ln w="28575" cap="rnd">
                <a:solidFill>
                  <a:schemeClr val="bg1">
                    <a:lumMod val="65000"/>
                  </a:schemeClr>
                </a:solidFill>
                <a:prstDash val="lgDashDotDot"/>
                <a:round/>
              </a:ln>
              <a:effectLst/>
            </c:spPr>
            <c:extLst xmlns:c16r2="http://schemas.microsoft.com/office/drawing/2015/06/chart">
              <c:ext xmlns:c16="http://schemas.microsoft.com/office/drawing/2014/chart" uri="{C3380CC4-5D6E-409C-BE32-E72D297353CC}">
                <c16:uniqueId val="{00000010-264E-419E-8D5A-6F74AF169344}"/>
              </c:ext>
            </c:extLst>
          </c:dPt>
          <c:cat>
            <c:numRef>
              <c:f>'1900-2017 (ОЭЗ)'!$C$7:$T$7</c:f>
              <c:numCache>
                <c:formatCode>General</c:formatCode>
                <c:ptCount val="18"/>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numCache>
            </c:numRef>
          </c:cat>
          <c:val>
            <c:numRef>
              <c:f>'1900-2017 (ОЭЗ)'!$C$23:$T$23</c:f>
              <c:numCache>
                <c:formatCode>General</c:formatCode>
                <c:ptCount val="18"/>
                <c:pt idx="0">
                  <c:v>111</c:v>
                </c:pt>
                <c:pt idx="1">
                  <c:v>109</c:v>
                </c:pt>
                <c:pt idx="2">
                  <c:v>113</c:v>
                </c:pt>
                <c:pt idx="3">
                  <c:v>115.2</c:v>
                </c:pt>
                <c:pt idx="4">
                  <c:v>108.4</c:v>
                </c:pt>
                <c:pt idx="5">
                  <c:v>89.3</c:v>
                </c:pt>
                <c:pt idx="6">
                  <c:v>99.2</c:v>
                </c:pt>
                <c:pt idx="7">
                  <c:v>99.9</c:v>
                </c:pt>
                <c:pt idx="8">
                  <c:v>101.4</c:v>
                </c:pt>
                <c:pt idx="9">
                  <c:v>100</c:v>
                </c:pt>
                <c:pt idx="10" formatCode="0.0">
                  <c:v>105.3</c:v>
                </c:pt>
                <c:pt idx="11" formatCode="0.0">
                  <c:v>107</c:v>
                </c:pt>
                <c:pt idx="12" formatCode="0.0">
                  <c:v>103.9</c:v>
                </c:pt>
                <c:pt idx="13" formatCode="0.0">
                  <c:v>100.7</c:v>
                </c:pt>
                <c:pt idx="14" formatCode="0.0">
                  <c:v>100.5</c:v>
                </c:pt>
                <c:pt idx="15" formatCode="0.0">
                  <c:v>108</c:v>
                </c:pt>
                <c:pt idx="16">
                  <c:v>101.1</c:v>
                </c:pt>
                <c:pt idx="17">
                  <c:v>99.6</c:v>
                </c:pt>
              </c:numCache>
            </c:numRef>
          </c:val>
          <c:smooth val="0"/>
          <c:extLst xmlns:c16r2="http://schemas.microsoft.com/office/drawing/2015/06/chart">
            <c:ext xmlns:c16="http://schemas.microsoft.com/office/drawing/2014/chart" uri="{C3380CC4-5D6E-409C-BE32-E72D297353CC}">
              <c16:uniqueId val="{00000011-264E-419E-8D5A-6F74AF169344}"/>
            </c:ext>
          </c:extLst>
        </c:ser>
        <c:dLbls>
          <c:showLegendKey val="0"/>
          <c:showVal val="0"/>
          <c:showCatName val="0"/>
          <c:showSerName val="0"/>
          <c:showPercent val="0"/>
          <c:showBubbleSize val="0"/>
        </c:dLbls>
        <c:marker val="1"/>
        <c:smooth val="0"/>
        <c:axId val="146599296"/>
        <c:axId val="161477760"/>
      </c:lineChart>
      <c:catAx>
        <c:axId val="1465992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61477760"/>
        <c:crosses val="autoZero"/>
        <c:auto val="1"/>
        <c:lblAlgn val="ctr"/>
        <c:lblOffset val="100"/>
        <c:noMultiLvlLbl val="0"/>
      </c:catAx>
      <c:valAx>
        <c:axId val="161477760"/>
        <c:scaling>
          <c:orientation val="minMax"/>
          <c:min val="6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6599296"/>
        <c:crosses val="autoZero"/>
        <c:crossBetween val="between"/>
      </c:valAx>
      <c:spPr>
        <a:noFill/>
        <a:ln>
          <a:solidFill>
            <a:schemeClr val="bg1">
              <a:lumMod val="85000"/>
            </a:schemeClr>
          </a:solidFill>
        </a:ln>
        <a:effectLst/>
      </c:spPr>
    </c:plotArea>
    <c:legend>
      <c:legendPos val="b"/>
      <c:layout>
        <c:manualLayout>
          <c:xMode val="edge"/>
          <c:yMode val="edge"/>
          <c:x val="2.1560489728159375E-2"/>
          <c:y val="0.78649093806840731"/>
          <c:w val="0.96102925918240301"/>
          <c:h val="0.1909356985004414"/>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2.8472189479309098E-2"/>
          <c:y val="4.8019207683073231E-2"/>
          <c:w val="0.96054976660851521"/>
          <c:h val="0.62163558116687934"/>
        </c:manualLayout>
      </c:layout>
      <c:lineChart>
        <c:grouping val="standard"/>
        <c:varyColors val="0"/>
        <c:ser>
          <c:idx val="0"/>
          <c:order val="0"/>
          <c:tx>
            <c:strRef>
              <c:f>'90-2015'!$A$4</c:f>
              <c:strCache>
                <c:ptCount val="1"/>
                <c:pt idx="0">
                  <c:v>Калужская область</c:v>
                </c:pt>
              </c:strCache>
            </c:strRef>
          </c:tx>
          <c:spPr>
            <a:ln w="28575" cap="rnd">
              <a:solidFill>
                <a:schemeClr val="dk1">
                  <a:tint val="88500"/>
                </a:schemeClr>
              </a:solidFill>
              <a:round/>
            </a:ln>
            <a:effectLst/>
          </c:spPr>
          <c:marker>
            <c:symbol val="circle"/>
            <c:size val="5"/>
            <c:spPr>
              <a:solidFill>
                <a:schemeClr val="dk1">
                  <a:tint val="88500"/>
                </a:schemeClr>
              </a:solidFill>
              <a:ln w="9525">
                <a:solidFill>
                  <a:schemeClr val="dk1">
                    <a:tint val="88500"/>
                  </a:schemeClr>
                </a:solidFill>
              </a:ln>
              <a:effectLst/>
            </c:spPr>
          </c:marker>
          <c:cat>
            <c:numRef>
              <c:f>'90-2015'!$B$3:$R$3</c:f>
              <c:numCache>
                <c:formatCode>General</c:formatCode>
                <c:ptCount val="17"/>
                <c:pt idx="0">
                  <c:v>2000</c:v>
                </c:pt>
                <c:pt idx="1">
                  <c:v>2001</c:v>
                </c:pt>
                <c:pt idx="2">
                  <c:v>2002</c:v>
                </c:pt>
                <c:pt idx="3">
                  <c:v>2003</c:v>
                </c:pt>
                <c:pt idx="4">
                  <c:v>2004</c:v>
                </c:pt>
                <c:pt idx="5">
                  <c:v>2005</c:v>
                </c:pt>
                <c:pt idx="6">
                  <c:v>2005</c:v>
                </c:pt>
                <c:pt idx="7">
                  <c:v>2006</c:v>
                </c:pt>
                <c:pt idx="8">
                  <c:v>2007</c:v>
                </c:pt>
                <c:pt idx="9">
                  <c:v>2008</c:v>
                </c:pt>
                <c:pt idx="10">
                  <c:v>2009</c:v>
                </c:pt>
                <c:pt idx="11">
                  <c:v>2010</c:v>
                </c:pt>
                <c:pt idx="12">
                  <c:v>2011</c:v>
                </c:pt>
                <c:pt idx="13">
                  <c:v>2012</c:v>
                </c:pt>
                <c:pt idx="14">
                  <c:v>2013</c:v>
                </c:pt>
                <c:pt idx="15">
                  <c:v>2014</c:v>
                </c:pt>
                <c:pt idx="16">
                  <c:v>2015</c:v>
                </c:pt>
              </c:numCache>
            </c:numRef>
          </c:cat>
          <c:val>
            <c:numRef>
              <c:f>'90-2015'!$B$4:$R$4</c:f>
              <c:numCache>
                <c:formatCode>General</c:formatCode>
                <c:ptCount val="17"/>
                <c:pt idx="0">
                  <c:v>127.4</c:v>
                </c:pt>
                <c:pt idx="1">
                  <c:v>111.7</c:v>
                </c:pt>
                <c:pt idx="2">
                  <c:v>101.5</c:v>
                </c:pt>
                <c:pt idx="3">
                  <c:v>106.6</c:v>
                </c:pt>
                <c:pt idx="4">
                  <c:v>94.1</c:v>
                </c:pt>
                <c:pt idx="5">
                  <c:v>103.6</c:v>
                </c:pt>
                <c:pt idx="6">
                  <c:v>113.3</c:v>
                </c:pt>
                <c:pt idx="7">
                  <c:v>121.2</c:v>
                </c:pt>
                <c:pt idx="8">
                  <c:v>163.5</c:v>
                </c:pt>
                <c:pt idx="9">
                  <c:v>159.9</c:v>
                </c:pt>
                <c:pt idx="10">
                  <c:v>83.6</c:v>
                </c:pt>
                <c:pt idx="11">
                  <c:v>116.4</c:v>
                </c:pt>
                <c:pt idx="12">
                  <c:v>95.8</c:v>
                </c:pt>
                <c:pt idx="13">
                  <c:v>117.3</c:v>
                </c:pt>
                <c:pt idx="14">
                  <c:v>98</c:v>
                </c:pt>
                <c:pt idx="15">
                  <c:v>99.6</c:v>
                </c:pt>
                <c:pt idx="16">
                  <c:v>80.5</c:v>
                </c:pt>
              </c:numCache>
            </c:numRef>
          </c:val>
          <c:smooth val="0"/>
          <c:extLst xmlns:c16r2="http://schemas.microsoft.com/office/drawing/2015/06/chart">
            <c:ext xmlns:c16="http://schemas.microsoft.com/office/drawing/2014/chart" uri="{C3380CC4-5D6E-409C-BE32-E72D297353CC}">
              <c16:uniqueId val="{00000000-0565-40A2-A716-20B88149837C}"/>
            </c:ext>
          </c:extLst>
        </c:ser>
        <c:ser>
          <c:idx val="1"/>
          <c:order val="1"/>
          <c:tx>
            <c:strRef>
              <c:f>'90-2015'!$A$5</c:f>
              <c:strCache>
                <c:ptCount val="1"/>
                <c:pt idx="0">
                  <c:v>Липецкая область</c:v>
                </c:pt>
              </c:strCache>
            </c:strRef>
          </c:tx>
          <c:spPr>
            <a:ln w="28575" cap="rnd">
              <a:solidFill>
                <a:schemeClr val="dk1">
                  <a:tint val="55000"/>
                </a:schemeClr>
              </a:solidFill>
              <a:round/>
            </a:ln>
            <a:effectLst/>
          </c:spPr>
          <c:marker>
            <c:symbol val="circle"/>
            <c:size val="5"/>
            <c:spPr>
              <a:solidFill>
                <a:schemeClr val="dk1">
                  <a:tint val="55000"/>
                </a:schemeClr>
              </a:solidFill>
              <a:ln w="9525">
                <a:solidFill>
                  <a:schemeClr val="dk1">
                    <a:tint val="55000"/>
                  </a:schemeClr>
                </a:solidFill>
              </a:ln>
              <a:effectLst/>
            </c:spPr>
          </c:marker>
          <c:cat>
            <c:numRef>
              <c:f>'90-2015'!$B$3:$R$3</c:f>
              <c:numCache>
                <c:formatCode>General</c:formatCode>
                <c:ptCount val="17"/>
                <c:pt idx="0">
                  <c:v>2000</c:v>
                </c:pt>
                <c:pt idx="1">
                  <c:v>2001</c:v>
                </c:pt>
                <c:pt idx="2">
                  <c:v>2002</c:v>
                </c:pt>
                <c:pt idx="3">
                  <c:v>2003</c:v>
                </c:pt>
                <c:pt idx="4">
                  <c:v>2004</c:v>
                </c:pt>
                <c:pt idx="5">
                  <c:v>2005</c:v>
                </c:pt>
                <c:pt idx="6">
                  <c:v>2005</c:v>
                </c:pt>
                <c:pt idx="7">
                  <c:v>2006</c:v>
                </c:pt>
                <c:pt idx="8">
                  <c:v>2007</c:v>
                </c:pt>
                <c:pt idx="9">
                  <c:v>2008</c:v>
                </c:pt>
                <c:pt idx="10">
                  <c:v>2009</c:v>
                </c:pt>
                <c:pt idx="11">
                  <c:v>2010</c:v>
                </c:pt>
                <c:pt idx="12">
                  <c:v>2011</c:v>
                </c:pt>
                <c:pt idx="13">
                  <c:v>2012</c:v>
                </c:pt>
                <c:pt idx="14">
                  <c:v>2013</c:v>
                </c:pt>
                <c:pt idx="15">
                  <c:v>2014</c:v>
                </c:pt>
                <c:pt idx="16">
                  <c:v>2015</c:v>
                </c:pt>
              </c:numCache>
            </c:numRef>
          </c:cat>
          <c:val>
            <c:numRef>
              <c:f>'90-2015'!$B$5:$R$5</c:f>
              <c:numCache>
                <c:formatCode>General</c:formatCode>
                <c:ptCount val="17"/>
                <c:pt idx="0">
                  <c:v>126</c:v>
                </c:pt>
                <c:pt idx="1">
                  <c:v>122.7</c:v>
                </c:pt>
                <c:pt idx="2">
                  <c:v>117.5</c:v>
                </c:pt>
                <c:pt idx="3">
                  <c:v>140.19999999999999</c:v>
                </c:pt>
                <c:pt idx="4">
                  <c:v>137.5</c:v>
                </c:pt>
                <c:pt idx="5">
                  <c:v>100.2</c:v>
                </c:pt>
                <c:pt idx="6">
                  <c:v>100.6</c:v>
                </c:pt>
                <c:pt idx="7">
                  <c:v>134.6</c:v>
                </c:pt>
                <c:pt idx="8">
                  <c:v>129.80000000000001</c:v>
                </c:pt>
                <c:pt idx="9">
                  <c:v>118.4</c:v>
                </c:pt>
                <c:pt idx="10">
                  <c:v>93.7</c:v>
                </c:pt>
                <c:pt idx="11">
                  <c:v>116.5</c:v>
                </c:pt>
                <c:pt idx="12">
                  <c:v>102.8</c:v>
                </c:pt>
                <c:pt idx="13">
                  <c:v>78</c:v>
                </c:pt>
                <c:pt idx="14">
                  <c:v>103.5</c:v>
                </c:pt>
                <c:pt idx="15">
                  <c:v>100.7</c:v>
                </c:pt>
                <c:pt idx="16">
                  <c:v>100.7</c:v>
                </c:pt>
              </c:numCache>
            </c:numRef>
          </c:val>
          <c:smooth val="0"/>
          <c:extLst xmlns:c16r2="http://schemas.microsoft.com/office/drawing/2015/06/chart">
            <c:ext xmlns:c16="http://schemas.microsoft.com/office/drawing/2014/chart" uri="{C3380CC4-5D6E-409C-BE32-E72D297353CC}">
              <c16:uniqueId val="{00000001-0565-40A2-A716-20B88149837C}"/>
            </c:ext>
          </c:extLst>
        </c:ser>
        <c:ser>
          <c:idx val="2"/>
          <c:order val="2"/>
          <c:tx>
            <c:strRef>
              <c:f>'90-2015'!$A$6</c:f>
              <c:strCache>
                <c:ptCount val="1"/>
                <c:pt idx="0">
                  <c:v>Московская область</c:v>
                </c:pt>
              </c:strCache>
            </c:strRef>
          </c:tx>
          <c:spPr>
            <a:ln w="28575" cap="rnd">
              <a:solidFill>
                <a:schemeClr val="dk1">
                  <a:tint val="75000"/>
                </a:schemeClr>
              </a:solidFill>
              <a:round/>
            </a:ln>
            <a:effectLst/>
          </c:spPr>
          <c:marker>
            <c:symbol val="circle"/>
            <c:size val="5"/>
            <c:spPr>
              <a:solidFill>
                <a:schemeClr val="dk1">
                  <a:tint val="75000"/>
                </a:schemeClr>
              </a:solidFill>
              <a:ln w="9525">
                <a:solidFill>
                  <a:schemeClr val="dk1">
                    <a:tint val="75000"/>
                  </a:schemeClr>
                </a:solidFill>
              </a:ln>
              <a:effectLst/>
            </c:spPr>
          </c:marker>
          <c:cat>
            <c:numRef>
              <c:f>'90-2015'!$B$3:$R$3</c:f>
              <c:numCache>
                <c:formatCode>General</c:formatCode>
                <c:ptCount val="17"/>
                <c:pt idx="0">
                  <c:v>2000</c:v>
                </c:pt>
                <c:pt idx="1">
                  <c:v>2001</c:v>
                </c:pt>
                <c:pt idx="2">
                  <c:v>2002</c:v>
                </c:pt>
                <c:pt idx="3">
                  <c:v>2003</c:v>
                </c:pt>
                <c:pt idx="4">
                  <c:v>2004</c:v>
                </c:pt>
                <c:pt idx="5">
                  <c:v>2005</c:v>
                </c:pt>
                <c:pt idx="6">
                  <c:v>2005</c:v>
                </c:pt>
                <c:pt idx="7">
                  <c:v>2006</c:v>
                </c:pt>
                <c:pt idx="8">
                  <c:v>2007</c:v>
                </c:pt>
                <c:pt idx="9">
                  <c:v>2008</c:v>
                </c:pt>
                <c:pt idx="10">
                  <c:v>2009</c:v>
                </c:pt>
                <c:pt idx="11">
                  <c:v>2010</c:v>
                </c:pt>
                <c:pt idx="12">
                  <c:v>2011</c:v>
                </c:pt>
                <c:pt idx="13">
                  <c:v>2012</c:v>
                </c:pt>
                <c:pt idx="14">
                  <c:v>2013</c:v>
                </c:pt>
                <c:pt idx="15">
                  <c:v>2014</c:v>
                </c:pt>
                <c:pt idx="16">
                  <c:v>2015</c:v>
                </c:pt>
              </c:numCache>
            </c:numRef>
          </c:cat>
          <c:val>
            <c:numRef>
              <c:f>'90-2015'!$B$6:$R$6</c:f>
              <c:numCache>
                <c:formatCode>General</c:formatCode>
                <c:ptCount val="17"/>
                <c:pt idx="0">
                  <c:v>111.5</c:v>
                </c:pt>
                <c:pt idx="1">
                  <c:v>82.7</c:v>
                </c:pt>
                <c:pt idx="2">
                  <c:v>118.8</c:v>
                </c:pt>
                <c:pt idx="3">
                  <c:v>126.8</c:v>
                </c:pt>
                <c:pt idx="4">
                  <c:v>123.3</c:v>
                </c:pt>
                <c:pt idx="5">
                  <c:v>90.5</c:v>
                </c:pt>
                <c:pt idx="6">
                  <c:v>98.5</c:v>
                </c:pt>
                <c:pt idx="7">
                  <c:v>112.2</c:v>
                </c:pt>
                <c:pt idx="8">
                  <c:v>145.80000000000001</c:v>
                </c:pt>
                <c:pt idx="9">
                  <c:v>100.8</c:v>
                </c:pt>
                <c:pt idx="10">
                  <c:v>73.3</c:v>
                </c:pt>
                <c:pt idx="11">
                  <c:v>98.9</c:v>
                </c:pt>
                <c:pt idx="12">
                  <c:v>104.5</c:v>
                </c:pt>
                <c:pt idx="13">
                  <c:v>107</c:v>
                </c:pt>
                <c:pt idx="14">
                  <c:v>105.9</c:v>
                </c:pt>
                <c:pt idx="15">
                  <c:v>104.1</c:v>
                </c:pt>
                <c:pt idx="16">
                  <c:v>91.6</c:v>
                </c:pt>
              </c:numCache>
            </c:numRef>
          </c:val>
          <c:smooth val="0"/>
          <c:extLst xmlns:c16r2="http://schemas.microsoft.com/office/drawing/2015/06/chart">
            <c:ext xmlns:c16="http://schemas.microsoft.com/office/drawing/2014/chart" uri="{C3380CC4-5D6E-409C-BE32-E72D297353CC}">
              <c16:uniqueId val="{00000002-0565-40A2-A716-20B88149837C}"/>
            </c:ext>
          </c:extLst>
        </c:ser>
        <c:ser>
          <c:idx val="3"/>
          <c:order val="3"/>
          <c:tx>
            <c:strRef>
              <c:f>'90-2015'!$A$7</c:f>
              <c:strCache>
                <c:ptCount val="1"/>
                <c:pt idx="0">
                  <c:v>Тверская область</c:v>
                </c:pt>
              </c:strCache>
            </c:strRef>
          </c:tx>
          <c:spPr>
            <a:ln w="28575" cap="rnd">
              <a:solidFill>
                <a:schemeClr val="dk1">
                  <a:tint val="98500"/>
                </a:schemeClr>
              </a:solidFill>
              <a:round/>
            </a:ln>
            <a:effectLst/>
          </c:spPr>
          <c:marker>
            <c:symbol val="circle"/>
            <c:size val="5"/>
            <c:spPr>
              <a:solidFill>
                <a:schemeClr val="dk1">
                  <a:tint val="98500"/>
                </a:schemeClr>
              </a:solidFill>
              <a:ln w="9525">
                <a:solidFill>
                  <a:schemeClr val="dk1">
                    <a:tint val="98500"/>
                  </a:schemeClr>
                </a:solidFill>
              </a:ln>
              <a:effectLst/>
            </c:spPr>
          </c:marker>
          <c:cat>
            <c:numRef>
              <c:f>'90-2015'!$B$3:$R$3</c:f>
              <c:numCache>
                <c:formatCode>General</c:formatCode>
                <c:ptCount val="17"/>
                <c:pt idx="0">
                  <c:v>2000</c:v>
                </c:pt>
                <c:pt idx="1">
                  <c:v>2001</c:v>
                </c:pt>
                <c:pt idx="2">
                  <c:v>2002</c:v>
                </c:pt>
                <c:pt idx="3">
                  <c:v>2003</c:v>
                </c:pt>
                <c:pt idx="4">
                  <c:v>2004</c:v>
                </c:pt>
                <c:pt idx="5">
                  <c:v>2005</c:v>
                </c:pt>
                <c:pt idx="6">
                  <c:v>2005</c:v>
                </c:pt>
                <c:pt idx="7">
                  <c:v>2006</c:v>
                </c:pt>
                <c:pt idx="8">
                  <c:v>2007</c:v>
                </c:pt>
                <c:pt idx="9">
                  <c:v>2008</c:v>
                </c:pt>
                <c:pt idx="10">
                  <c:v>2009</c:v>
                </c:pt>
                <c:pt idx="11">
                  <c:v>2010</c:v>
                </c:pt>
                <c:pt idx="12">
                  <c:v>2011</c:v>
                </c:pt>
                <c:pt idx="13">
                  <c:v>2012</c:v>
                </c:pt>
                <c:pt idx="14">
                  <c:v>2013</c:v>
                </c:pt>
                <c:pt idx="15">
                  <c:v>2014</c:v>
                </c:pt>
                <c:pt idx="16">
                  <c:v>2015</c:v>
                </c:pt>
              </c:numCache>
            </c:numRef>
          </c:cat>
          <c:val>
            <c:numRef>
              <c:f>'90-2015'!$B$7:$R$7</c:f>
              <c:numCache>
                <c:formatCode>General</c:formatCode>
                <c:ptCount val="17"/>
                <c:pt idx="0">
                  <c:v>112.5</c:v>
                </c:pt>
                <c:pt idx="1">
                  <c:v>88.8</c:v>
                </c:pt>
                <c:pt idx="2">
                  <c:v>112.6</c:v>
                </c:pt>
                <c:pt idx="3">
                  <c:v>133.6</c:v>
                </c:pt>
                <c:pt idx="4">
                  <c:v>117.3</c:v>
                </c:pt>
                <c:pt idx="5">
                  <c:v>66.3</c:v>
                </c:pt>
                <c:pt idx="6">
                  <c:v>71.099999999999994</c:v>
                </c:pt>
                <c:pt idx="7">
                  <c:v>92.2</c:v>
                </c:pt>
                <c:pt idx="8">
                  <c:v>132.80000000000001</c:v>
                </c:pt>
                <c:pt idx="9">
                  <c:v>112</c:v>
                </c:pt>
                <c:pt idx="10">
                  <c:v>131.30000000000001</c:v>
                </c:pt>
                <c:pt idx="11">
                  <c:v>112.5</c:v>
                </c:pt>
                <c:pt idx="12">
                  <c:v>105.6</c:v>
                </c:pt>
                <c:pt idx="13">
                  <c:v>81.099999999999994</c:v>
                </c:pt>
                <c:pt idx="14">
                  <c:v>94</c:v>
                </c:pt>
                <c:pt idx="15">
                  <c:v>102</c:v>
                </c:pt>
                <c:pt idx="16">
                  <c:v>82</c:v>
                </c:pt>
              </c:numCache>
            </c:numRef>
          </c:val>
          <c:smooth val="0"/>
          <c:extLst xmlns:c16r2="http://schemas.microsoft.com/office/drawing/2015/06/chart">
            <c:ext xmlns:c16="http://schemas.microsoft.com/office/drawing/2014/chart" uri="{C3380CC4-5D6E-409C-BE32-E72D297353CC}">
              <c16:uniqueId val="{00000003-0565-40A2-A716-20B88149837C}"/>
            </c:ext>
          </c:extLst>
        </c:ser>
        <c:ser>
          <c:idx val="4"/>
          <c:order val="4"/>
          <c:tx>
            <c:strRef>
              <c:f>'90-2015'!$A$8</c:f>
              <c:strCache>
                <c:ptCount val="1"/>
                <c:pt idx="0">
                  <c:v>Тульская область</c:v>
                </c:pt>
              </c:strCache>
            </c:strRef>
          </c:tx>
          <c:spPr>
            <a:ln w="28575" cap="rnd">
              <a:solidFill>
                <a:schemeClr val="dk1">
                  <a:tint val="30000"/>
                </a:schemeClr>
              </a:solidFill>
              <a:round/>
            </a:ln>
            <a:effectLst/>
          </c:spPr>
          <c:marker>
            <c:symbol val="circle"/>
            <c:size val="5"/>
            <c:spPr>
              <a:solidFill>
                <a:schemeClr val="dk1">
                  <a:tint val="30000"/>
                </a:schemeClr>
              </a:solidFill>
              <a:ln w="9525">
                <a:solidFill>
                  <a:schemeClr val="dk1">
                    <a:tint val="30000"/>
                  </a:schemeClr>
                </a:solidFill>
              </a:ln>
              <a:effectLst/>
            </c:spPr>
          </c:marker>
          <c:cat>
            <c:numRef>
              <c:f>'90-2015'!$B$3:$R$3</c:f>
              <c:numCache>
                <c:formatCode>General</c:formatCode>
                <c:ptCount val="17"/>
                <c:pt idx="0">
                  <c:v>2000</c:v>
                </c:pt>
                <c:pt idx="1">
                  <c:v>2001</c:v>
                </c:pt>
                <c:pt idx="2">
                  <c:v>2002</c:v>
                </c:pt>
                <c:pt idx="3">
                  <c:v>2003</c:v>
                </c:pt>
                <c:pt idx="4">
                  <c:v>2004</c:v>
                </c:pt>
                <c:pt idx="5">
                  <c:v>2005</c:v>
                </c:pt>
                <c:pt idx="6">
                  <c:v>2005</c:v>
                </c:pt>
                <c:pt idx="7">
                  <c:v>2006</c:v>
                </c:pt>
                <c:pt idx="8">
                  <c:v>2007</c:v>
                </c:pt>
                <c:pt idx="9">
                  <c:v>2008</c:v>
                </c:pt>
                <c:pt idx="10">
                  <c:v>2009</c:v>
                </c:pt>
                <c:pt idx="11">
                  <c:v>2010</c:v>
                </c:pt>
                <c:pt idx="12">
                  <c:v>2011</c:v>
                </c:pt>
                <c:pt idx="13">
                  <c:v>2012</c:v>
                </c:pt>
                <c:pt idx="14">
                  <c:v>2013</c:v>
                </c:pt>
                <c:pt idx="15">
                  <c:v>2014</c:v>
                </c:pt>
                <c:pt idx="16">
                  <c:v>2015</c:v>
                </c:pt>
              </c:numCache>
            </c:numRef>
          </c:cat>
          <c:val>
            <c:numRef>
              <c:f>'90-2015'!$B$8:$R$8</c:f>
              <c:numCache>
                <c:formatCode>General</c:formatCode>
                <c:ptCount val="17"/>
                <c:pt idx="0">
                  <c:v>161.80000000000001</c:v>
                </c:pt>
                <c:pt idx="1">
                  <c:v>72.900000000000006</c:v>
                </c:pt>
                <c:pt idx="2">
                  <c:v>101.8</c:v>
                </c:pt>
                <c:pt idx="3">
                  <c:v>120.5</c:v>
                </c:pt>
                <c:pt idx="4">
                  <c:v>89.8</c:v>
                </c:pt>
                <c:pt idx="5">
                  <c:v>101.9</c:v>
                </c:pt>
                <c:pt idx="6">
                  <c:v>131.9</c:v>
                </c:pt>
                <c:pt idx="7">
                  <c:v>105.6</c:v>
                </c:pt>
                <c:pt idx="8">
                  <c:v>132.80000000000001</c:v>
                </c:pt>
                <c:pt idx="9">
                  <c:v>130.1</c:v>
                </c:pt>
                <c:pt idx="10">
                  <c:v>104.4</c:v>
                </c:pt>
                <c:pt idx="11">
                  <c:v>112.8</c:v>
                </c:pt>
                <c:pt idx="12">
                  <c:v>103.3</c:v>
                </c:pt>
                <c:pt idx="13">
                  <c:v>100.7</c:v>
                </c:pt>
                <c:pt idx="14">
                  <c:v>100.7</c:v>
                </c:pt>
                <c:pt idx="15">
                  <c:v>100.4</c:v>
                </c:pt>
                <c:pt idx="16">
                  <c:v>100.1</c:v>
                </c:pt>
              </c:numCache>
            </c:numRef>
          </c:val>
          <c:smooth val="0"/>
          <c:extLst xmlns:c16r2="http://schemas.microsoft.com/office/drawing/2015/06/chart">
            <c:ext xmlns:c16="http://schemas.microsoft.com/office/drawing/2014/chart" uri="{C3380CC4-5D6E-409C-BE32-E72D297353CC}">
              <c16:uniqueId val="{00000004-0565-40A2-A716-20B88149837C}"/>
            </c:ext>
          </c:extLst>
        </c:ser>
        <c:ser>
          <c:idx val="5"/>
          <c:order val="5"/>
          <c:tx>
            <c:strRef>
              <c:f>'90-2015'!$A$9</c:f>
              <c:strCache>
                <c:ptCount val="1"/>
                <c:pt idx="0">
                  <c:v>г. Москва</c:v>
                </c:pt>
              </c:strCache>
            </c:strRef>
          </c:tx>
          <c:spPr>
            <a:ln w="28575" cap="rnd">
              <a:solidFill>
                <a:schemeClr val="dk1">
                  <a:tint val="60000"/>
                </a:schemeClr>
              </a:solidFill>
              <a:round/>
            </a:ln>
            <a:effectLst/>
          </c:spPr>
          <c:marker>
            <c:symbol val="circle"/>
            <c:size val="5"/>
            <c:spPr>
              <a:solidFill>
                <a:schemeClr val="dk1">
                  <a:tint val="60000"/>
                </a:schemeClr>
              </a:solidFill>
              <a:ln w="9525">
                <a:solidFill>
                  <a:schemeClr val="dk1">
                    <a:tint val="60000"/>
                  </a:schemeClr>
                </a:solidFill>
              </a:ln>
              <a:effectLst/>
            </c:spPr>
          </c:marker>
          <c:cat>
            <c:numRef>
              <c:f>'90-2015'!$B$3:$R$3</c:f>
              <c:numCache>
                <c:formatCode>General</c:formatCode>
                <c:ptCount val="17"/>
                <c:pt idx="0">
                  <c:v>2000</c:v>
                </c:pt>
                <c:pt idx="1">
                  <c:v>2001</c:v>
                </c:pt>
                <c:pt idx="2">
                  <c:v>2002</c:v>
                </c:pt>
                <c:pt idx="3">
                  <c:v>2003</c:v>
                </c:pt>
                <c:pt idx="4">
                  <c:v>2004</c:v>
                </c:pt>
                <c:pt idx="5">
                  <c:v>2005</c:v>
                </c:pt>
                <c:pt idx="6">
                  <c:v>2005</c:v>
                </c:pt>
                <c:pt idx="7">
                  <c:v>2006</c:v>
                </c:pt>
                <c:pt idx="8">
                  <c:v>2007</c:v>
                </c:pt>
                <c:pt idx="9">
                  <c:v>2008</c:v>
                </c:pt>
                <c:pt idx="10">
                  <c:v>2009</c:v>
                </c:pt>
                <c:pt idx="11">
                  <c:v>2010</c:v>
                </c:pt>
                <c:pt idx="12">
                  <c:v>2011</c:v>
                </c:pt>
                <c:pt idx="13">
                  <c:v>2012</c:v>
                </c:pt>
                <c:pt idx="14">
                  <c:v>2013</c:v>
                </c:pt>
                <c:pt idx="15">
                  <c:v>2014</c:v>
                </c:pt>
                <c:pt idx="16">
                  <c:v>2015</c:v>
                </c:pt>
              </c:numCache>
            </c:numRef>
          </c:cat>
          <c:val>
            <c:numRef>
              <c:f>'90-2015'!$B$9:$R$9</c:f>
              <c:numCache>
                <c:formatCode>General</c:formatCode>
                <c:ptCount val="17"/>
                <c:pt idx="0">
                  <c:v>114.5</c:v>
                </c:pt>
                <c:pt idx="1">
                  <c:v>92.9</c:v>
                </c:pt>
                <c:pt idx="2">
                  <c:v>108.1</c:v>
                </c:pt>
                <c:pt idx="3">
                  <c:v>107.6</c:v>
                </c:pt>
                <c:pt idx="4">
                  <c:v>110.6</c:v>
                </c:pt>
                <c:pt idx="5">
                  <c:v>106.3</c:v>
                </c:pt>
                <c:pt idx="6">
                  <c:v>110.3</c:v>
                </c:pt>
                <c:pt idx="7">
                  <c:v>115.2</c:v>
                </c:pt>
                <c:pt idx="8">
                  <c:v>110.9</c:v>
                </c:pt>
                <c:pt idx="9">
                  <c:v>102.5</c:v>
                </c:pt>
                <c:pt idx="10">
                  <c:v>76.400000000000006</c:v>
                </c:pt>
                <c:pt idx="11">
                  <c:v>95.8</c:v>
                </c:pt>
                <c:pt idx="12">
                  <c:v>106.6</c:v>
                </c:pt>
                <c:pt idx="13">
                  <c:v>133.1</c:v>
                </c:pt>
                <c:pt idx="14">
                  <c:v>107.1</c:v>
                </c:pt>
                <c:pt idx="15">
                  <c:v>104.4</c:v>
                </c:pt>
                <c:pt idx="16">
                  <c:v>101.6</c:v>
                </c:pt>
              </c:numCache>
            </c:numRef>
          </c:val>
          <c:smooth val="0"/>
          <c:extLst xmlns:c16r2="http://schemas.microsoft.com/office/drawing/2015/06/chart">
            <c:ext xmlns:c16="http://schemas.microsoft.com/office/drawing/2014/chart" uri="{C3380CC4-5D6E-409C-BE32-E72D297353CC}">
              <c16:uniqueId val="{00000005-0565-40A2-A716-20B88149837C}"/>
            </c:ext>
          </c:extLst>
        </c:ser>
        <c:ser>
          <c:idx val="6"/>
          <c:order val="6"/>
          <c:tx>
            <c:strRef>
              <c:f>'90-2015'!$A$10</c:f>
              <c:strCache>
                <c:ptCount val="1"/>
                <c:pt idx="0">
                  <c:v>Псковская область</c:v>
                </c:pt>
              </c:strCache>
            </c:strRef>
          </c:tx>
          <c:spPr>
            <a:ln w="28575" cap="rnd">
              <a:solidFill>
                <a:schemeClr val="dk1">
                  <a:tint val="80000"/>
                </a:schemeClr>
              </a:solidFill>
              <a:round/>
            </a:ln>
            <a:effectLst/>
          </c:spPr>
          <c:marker>
            <c:symbol val="circle"/>
            <c:size val="5"/>
            <c:spPr>
              <a:solidFill>
                <a:schemeClr val="dk1">
                  <a:tint val="80000"/>
                </a:schemeClr>
              </a:solidFill>
              <a:ln w="9525">
                <a:solidFill>
                  <a:schemeClr val="dk1">
                    <a:tint val="80000"/>
                  </a:schemeClr>
                </a:solidFill>
              </a:ln>
              <a:effectLst/>
            </c:spPr>
          </c:marker>
          <c:cat>
            <c:numRef>
              <c:f>'90-2015'!$B$3:$R$3</c:f>
              <c:numCache>
                <c:formatCode>General</c:formatCode>
                <c:ptCount val="17"/>
                <c:pt idx="0">
                  <c:v>2000</c:v>
                </c:pt>
                <c:pt idx="1">
                  <c:v>2001</c:v>
                </c:pt>
                <c:pt idx="2">
                  <c:v>2002</c:v>
                </c:pt>
                <c:pt idx="3">
                  <c:v>2003</c:v>
                </c:pt>
                <c:pt idx="4">
                  <c:v>2004</c:v>
                </c:pt>
                <c:pt idx="5">
                  <c:v>2005</c:v>
                </c:pt>
                <c:pt idx="6">
                  <c:v>2005</c:v>
                </c:pt>
                <c:pt idx="7">
                  <c:v>2006</c:v>
                </c:pt>
                <c:pt idx="8">
                  <c:v>2007</c:v>
                </c:pt>
                <c:pt idx="9">
                  <c:v>2008</c:v>
                </c:pt>
                <c:pt idx="10">
                  <c:v>2009</c:v>
                </c:pt>
                <c:pt idx="11">
                  <c:v>2010</c:v>
                </c:pt>
                <c:pt idx="12">
                  <c:v>2011</c:v>
                </c:pt>
                <c:pt idx="13">
                  <c:v>2012</c:v>
                </c:pt>
                <c:pt idx="14">
                  <c:v>2013</c:v>
                </c:pt>
                <c:pt idx="15">
                  <c:v>2014</c:v>
                </c:pt>
                <c:pt idx="16">
                  <c:v>2015</c:v>
                </c:pt>
              </c:numCache>
            </c:numRef>
          </c:cat>
          <c:val>
            <c:numRef>
              <c:f>'90-2015'!$B$10:$R$10</c:f>
              <c:numCache>
                <c:formatCode>General</c:formatCode>
                <c:ptCount val="17"/>
                <c:pt idx="0">
                  <c:v>117.7</c:v>
                </c:pt>
                <c:pt idx="1">
                  <c:v>110.8</c:v>
                </c:pt>
                <c:pt idx="2">
                  <c:v>96.3</c:v>
                </c:pt>
                <c:pt idx="3">
                  <c:v>154.1</c:v>
                </c:pt>
                <c:pt idx="4">
                  <c:v>93.3</c:v>
                </c:pt>
                <c:pt idx="5">
                  <c:v>84.6</c:v>
                </c:pt>
                <c:pt idx="6">
                  <c:v>83.4</c:v>
                </c:pt>
                <c:pt idx="7">
                  <c:v>125.8</c:v>
                </c:pt>
                <c:pt idx="8">
                  <c:v>155.6</c:v>
                </c:pt>
                <c:pt idx="9">
                  <c:v>102.6</c:v>
                </c:pt>
                <c:pt idx="10">
                  <c:v>74</c:v>
                </c:pt>
                <c:pt idx="11">
                  <c:v>102.6</c:v>
                </c:pt>
                <c:pt idx="12">
                  <c:v>127.4</c:v>
                </c:pt>
                <c:pt idx="13">
                  <c:v>128.4</c:v>
                </c:pt>
                <c:pt idx="14">
                  <c:v>84.5</c:v>
                </c:pt>
                <c:pt idx="15">
                  <c:v>96.9</c:v>
                </c:pt>
                <c:pt idx="16">
                  <c:v>80.3</c:v>
                </c:pt>
              </c:numCache>
            </c:numRef>
          </c:val>
          <c:smooth val="0"/>
          <c:extLst xmlns:c16r2="http://schemas.microsoft.com/office/drawing/2015/06/chart">
            <c:ext xmlns:c16="http://schemas.microsoft.com/office/drawing/2014/chart" uri="{C3380CC4-5D6E-409C-BE32-E72D297353CC}">
              <c16:uniqueId val="{00000006-0565-40A2-A716-20B88149837C}"/>
            </c:ext>
          </c:extLst>
        </c:ser>
        <c:ser>
          <c:idx val="7"/>
          <c:order val="7"/>
          <c:tx>
            <c:strRef>
              <c:f>'90-2015'!$A$11</c:f>
              <c:strCache>
                <c:ptCount val="1"/>
                <c:pt idx="0">
                  <c:v>г. Санкт-Петербург</c:v>
                </c:pt>
              </c:strCache>
            </c:strRef>
          </c:tx>
          <c:spPr>
            <a:ln w="28575" cap="rnd">
              <a:solidFill>
                <a:schemeClr val="dk1">
                  <a:tint val="88500"/>
                </a:schemeClr>
              </a:solidFill>
              <a:round/>
            </a:ln>
            <a:effectLst/>
          </c:spPr>
          <c:marker>
            <c:symbol val="circle"/>
            <c:size val="5"/>
            <c:spPr>
              <a:solidFill>
                <a:schemeClr val="dk1">
                  <a:tint val="88500"/>
                </a:schemeClr>
              </a:solidFill>
              <a:ln w="9525">
                <a:solidFill>
                  <a:schemeClr val="dk1">
                    <a:tint val="88500"/>
                  </a:schemeClr>
                </a:solidFill>
              </a:ln>
              <a:effectLst/>
            </c:spPr>
          </c:marker>
          <c:cat>
            <c:numRef>
              <c:f>'90-2015'!$B$3:$R$3</c:f>
              <c:numCache>
                <c:formatCode>General</c:formatCode>
                <c:ptCount val="17"/>
                <c:pt idx="0">
                  <c:v>2000</c:v>
                </c:pt>
                <c:pt idx="1">
                  <c:v>2001</c:v>
                </c:pt>
                <c:pt idx="2">
                  <c:v>2002</c:v>
                </c:pt>
                <c:pt idx="3">
                  <c:v>2003</c:v>
                </c:pt>
                <c:pt idx="4">
                  <c:v>2004</c:v>
                </c:pt>
                <c:pt idx="5">
                  <c:v>2005</c:v>
                </c:pt>
                <c:pt idx="6">
                  <c:v>2005</c:v>
                </c:pt>
                <c:pt idx="7">
                  <c:v>2006</c:v>
                </c:pt>
                <c:pt idx="8">
                  <c:v>2007</c:v>
                </c:pt>
                <c:pt idx="9">
                  <c:v>2008</c:v>
                </c:pt>
                <c:pt idx="10">
                  <c:v>2009</c:v>
                </c:pt>
                <c:pt idx="11">
                  <c:v>2010</c:v>
                </c:pt>
                <c:pt idx="12">
                  <c:v>2011</c:v>
                </c:pt>
                <c:pt idx="13">
                  <c:v>2012</c:v>
                </c:pt>
                <c:pt idx="14">
                  <c:v>2013</c:v>
                </c:pt>
                <c:pt idx="15">
                  <c:v>2014</c:v>
                </c:pt>
                <c:pt idx="16">
                  <c:v>2015</c:v>
                </c:pt>
              </c:numCache>
            </c:numRef>
          </c:cat>
          <c:val>
            <c:numRef>
              <c:f>'90-2015'!$B$11:$R$11</c:f>
              <c:numCache>
                <c:formatCode>General</c:formatCode>
                <c:ptCount val="17"/>
                <c:pt idx="0">
                  <c:v>80.2</c:v>
                </c:pt>
                <c:pt idx="1">
                  <c:v>143.19999999999999</c:v>
                </c:pt>
                <c:pt idx="2">
                  <c:v>125.8</c:v>
                </c:pt>
                <c:pt idx="3">
                  <c:v>135.5</c:v>
                </c:pt>
                <c:pt idx="4">
                  <c:v>89.8</c:v>
                </c:pt>
                <c:pt idx="5">
                  <c:v>109.7</c:v>
                </c:pt>
                <c:pt idx="6">
                  <c:v>107.1</c:v>
                </c:pt>
                <c:pt idx="7">
                  <c:v>113.7</c:v>
                </c:pt>
                <c:pt idx="8">
                  <c:v>141.9</c:v>
                </c:pt>
                <c:pt idx="9">
                  <c:v>101.5</c:v>
                </c:pt>
                <c:pt idx="10">
                  <c:v>83.3</c:v>
                </c:pt>
                <c:pt idx="11">
                  <c:v>113.9</c:v>
                </c:pt>
                <c:pt idx="12">
                  <c:v>87.1</c:v>
                </c:pt>
                <c:pt idx="13">
                  <c:v>92.6</c:v>
                </c:pt>
                <c:pt idx="14">
                  <c:v>127.4</c:v>
                </c:pt>
                <c:pt idx="15">
                  <c:v>106</c:v>
                </c:pt>
                <c:pt idx="16">
                  <c:v>89</c:v>
                </c:pt>
              </c:numCache>
            </c:numRef>
          </c:val>
          <c:smooth val="0"/>
          <c:extLst xmlns:c16r2="http://schemas.microsoft.com/office/drawing/2015/06/chart">
            <c:ext xmlns:c16="http://schemas.microsoft.com/office/drawing/2014/chart" uri="{C3380CC4-5D6E-409C-BE32-E72D297353CC}">
              <c16:uniqueId val="{00000007-0565-40A2-A716-20B88149837C}"/>
            </c:ext>
          </c:extLst>
        </c:ser>
        <c:ser>
          <c:idx val="8"/>
          <c:order val="8"/>
          <c:tx>
            <c:strRef>
              <c:f>'90-2015'!$A$12</c:f>
              <c:strCache>
                <c:ptCount val="1"/>
                <c:pt idx="0">
                  <c:v>Республика Татарстан</c:v>
                </c:pt>
              </c:strCache>
            </c:strRef>
          </c:tx>
          <c:spPr>
            <a:ln w="28575" cap="rnd">
              <a:solidFill>
                <a:schemeClr val="dk1">
                  <a:tint val="55000"/>
                </a:schemeClr>
              </a:solidFill>
              <a:round/>
            </a:ln>
            <a:effectLst/>
          </c:spPr>
          <c:marker>
            <c:symbol val="circle"/>
            <c:size val="5"/>
            <c:spPr>
              <a:solidFill>
                <a:schemeClr val="dk1">
                  <a:tint val="55000"/>
                </a:schemeClr>
              </a:solidFill>
              <a:ln w="9525">
                <a:solidFill>
                  <a:schemeClr val="dk1">
                    <a:tint val="55000"/>
                  </a:schemeClr>
                </a:solidFill>
              </a:ln>
              <a:effectLst/>
            </c:spPr>
          </c:marker>
          <c:cat>
            <c:numRef>
              <c:f>'90-2015'!$B$3:$R$3</c:f>
              <c:numCache>
                <c:formatCode>General</c:formatCode>
                <c:ptCount val="17"/>
                <c:pt idx="0">
                  <c:v>2000</c:v>
                </c:pt>
                <c:pt idx="1">
                  <c:v>2001</c:v>
                </c:pt>
                <c:pt idx="2">
                  <c:v>2002</c:v>
                </c:pt>
                <c:pt idx="3">
                  <c:v>2003</c:v>
                </c:pt>
                <c:pt idx="4">
                  <c:v>2004</c:v>
                </c:pt>
                <c:pt idx="5">
                  <c:v>2005</c:v>
                </c:pt>
                <c:pt idx="6">
                  <c:v>2005</c:v>
                </c:pt>
                <c:pt idx="7">
                  <c:v>2006</c:v>
                </c:pt>
                <c:pt idx="8">
                  <c:v>2007</c:v>
                </c:pt>
                <c:pt idx="9">
                  <c:v>2008</c:v>
                </c:pt>
                <c:pt idx="10">
                  <c:v>2009</c:v>
                </c:pt>
                <c:pt idx="11">
                  <c:v>2010</c:v>
                </c:pt>
                <c:pt idx="12">
                  <c:v>2011</c:v>
                </c:pt>
                <c:pt idx="13">
                  <c:v>2012</c:v>
                </c:pt>
                <c:pt idx="14">
                  <c:v>2013</c:v>
                </c:pt>
                <c:pt idx="15">
                  <c:v>2014</c:v>
                </c:pt>
                <c:pt idx="16">
                  <c:v>2015</c:v>
                </c:pt>
              </c:numCache>
            </c:numRef>
          </c:cat>
          <c:val>
            <c:numRef>
              <c:f>'90-2015'!$B$12:$R$12</c:f>
              <c:numCache>
                <c:formatCode>General</c:formatCode>
                <c:ptCount val="17"/>
                <c:pt idx="0">
                  <c:v>134.19999999999999</c:v>
                </c:pt>
                <c:pt idx="1">
                  <c:v>112.8</c:v>
                </c:pt>
                <c:pt idx="2">
                  <c:v>90</c:v>
                </c:pt>
                <c:pt idx="3">
                  <c:v>108.3</c:v>
                </c:pt>
                <c:pt idx="4">
                  <c:v>116.6</c:v>
                </c:pt>
                <c:pt idx="5">
                  <c:v>121.4</c:v>
                </c:pt>
                <c:pt idx="6">
                  <c:v>121.1</c:v>
                </c:pt>
                <c:pt idx="7">
                  <c:v>100.2</c:v>
                </c:pt>
                <c:pt idx="8">
                  <c:v>114.7</c:v>
                </c:pt>
                <c:pt idx="9">
                  <c:v>105.7</c:v>
                </c:pt>
                <c:pt idx="10">
                  <c:v>96.7</c:v>
                </c:pt>
                <c:pt idx="11">
                  <c:v>113.6</c:v>
                </c:pt>
                <c:pt idx="12">
                  <c:v>109.9</c:v>
                </c:pt>
                <c:pt idx="13">
                  <c:v>110.1</c:v>
                </c:pt>
                <c:pt idx="14">
                  <c:v>106.2</c:v>
                </c:pt>
                <c:pt idx="15">
                  <c:v>100</c:v>
                </c:pt>
                <c:pt idx="16">
                  <c:v>100</c:v>
                </c:pt>
              </c:numCache>
            </c:numRef>
          </c:val>
          <c:smooth val="0"/>
          <c:extLst xmlns:c16r2="http://schemas.microsoft.com/office/drawing/2015/06/chart">
            <c:ext xmlns:c16="http://schemas.microsoft.com/office/drawing/2014/chart" uri="{C3380CC4-5D6E-409C-BE32-E72D297353CC}">
              <c16:uniqueId val="{00000008-0565-40A2-A716-20B88149837C}"/>
            </c:ext>
          </c:extLst>
        </c:ser>
        <c:ser>
          <c:idx val="9"/>
          <c:order val="9"/>
          <c:tx>
            <c:strRef>
              <c:f>'90-2015'!$A$13</c:f>
              <c:strCache>
                <c:ptCount val="1"/>
                <c:pt idx="0">
                  <c:v>Самарская область</c:v>
                </c:pt>
              </c:strCache>
            </c:strRef>
          </c:tx>
          <c:spPr>
            <a:ln w="28575" cap="rnd">
              <a:solidFill>
                <a:schemeClr val="dk1">
                  <a:tint val="75000"/>
                </a:schemeClr>
              </a:solidFill>
              <a:round/>
            </a:ln>
            <a:effectLst/>
          </c:spPr>
          <c:marker>
            <c:symbol val="circle"/>
            <c:size val="5"/>
            <c:spPr>
              <a:solidFill>
                <a:schemeClr val="dk1">
                  <a:tint val="75000"/>
                </a:schemeClr>
              </a:solidFill>
              <a:ln w="9525">
                <a:solidFill>
                  <a:schemeClr val="dk1">
                    <a:tint val="75000"/>
                  </a:schemeClr>
                </a:solidFill>
              </a:ln>
              <a:effectLst/>
            </c:spPr>
          </c:marker>
          <c:cat>
            <c:numRef>
              <c:f>'90-2015'!$B$3:$R$3</c:f>
              <c:numCache>
                <c:formatCode>General</c:formatCode>
                <c:ptCount val="17"/>
                <c:pt idx="0">
                  <c:v>2000</c:v>
                </c:pt>
                <c:pt idx="1">
                  <c:v>2001</c:v>
                </c:pt>
                <c:pt idx="2">
                  <c:v>2002</c:v>
                </c:pt>
                <c:pt idx="3">
                  <c:v>2003</c:v>
                </c:pt>
                <c:pt idx="4">
                  <c:v>2004</c:v>
                </c:pt>
                <c:pt idx="5">
                  <c:v>2005</c:v>
                </c:pt>
                <c:pt idx="6">
                  <c:v>2005</c:v>
                </c:pt>
                <c:pt idx="7">
                  <c:v>2006</c:v>
                </c:pt>
                <c:pt idx="8">
                  <c:v>2007</c:v>
                </c:pt>
                <c:pt idx="9">
                  <c:v>2008</c:v>
                </c:pt>
                <c:pt idx="10">
                  <c:v>2009</c:v>
                </c:pt>
                <c:pt idx="11">
                  <c:v>2010</c:v>
                </c:pt>
                <c:pt idx="12">
                  <c:v>2011</c:v>
                </c:pt>
                <c:pt idx="13">
                  <c:v>2012</c:v>
                </c:pt>
                <c:pt idx="14">
                  <c:v>2013</c:v>
                </c:pt>
                <c:pt idx="15">
                  <c:v>2014</c:v>
                </c:pt>
                <c:pt idx="16">
                  <c:v>2015</c:v>
                </c:pt>
              </c:numCache>
            </c:numRef>
          </c:cat>
          <c:val>
            <c:numRef>
              <c:f>'90-2015'!$B$13:$R$13</c:f>
              <c:numCache>
                <c:formatCode>General</c:formatCode>
                <c:ptCount val="17"/>
                <c:pt idx="0">
                  <c:v>127.8</c:v>
                </c:pt>
                <c:pt idx="1">
                  <c:v>112.5</c:v>
                </c:pt>
                <c:pt idx="2">
                  <c:v>109.1</c:v>
                </c:pt>
                <c:pt idx="3">
                  <c:v>105.2</c:v>
                </c:pt>
                <c:pt idx="4">
                  <c:v>112.2</c:v>
                </c:pt>
                <c:pt idx="5">
                  <c:v>100.5</c:v>
                </c:pt>
                <c:pt idx="6">
                  <c:v>100.5</c:v>
                </c:pt>
                <c:pt idx="7">
                  <c:v>123.8</c:v>
                </c:pt>
                <c:pt idx="8">
                  <c:v>139.69999999999999</c:v>
                </c:pt>
                <c:pt idx="9">
                  <c:v>93.6</c:v>
                </c:pt>
                <c:pt idx="10">
                  <c:v>72</c:v>
                </c:pt>
                <c:pt idx="11">
                  <c:v>135.5</c:v>
                </c:pt>
                <c:pt idx="12">
                  <c:v>111.5</c:v>
                </c:pt>
                <c:pt idx="13">
                  <c:v>109.1</c:v>
                </c:pt>
                <c:pt idx="14">
                  <c:v>114.8</c:v>
                </c:pt>
                <c:pt idx="15">
                  <c:v>114.5</c:v>
                </c:pt>
                <c:pt idx="16">
                  <c:v>87.1</c:v>
                </c:pt>
              </c:numCache>
            </c:numRef>
          </c:val>
          <c:smooth val="0"/>
          <c:extLst xmlns:c16r2="http://schemas.microsoft.com/office/drawing/2015/06/chart">
            <c:ext xmlns:c16="http://schemas.microsoft.com/office/drawing/2014/chart" uri="{C3380CC4-5D6E-409C-BE32-E72D297353CC}">
              <c16:uniqueId val="{00000009-0565-40A2-A716-20B88149837C}"/>
            </c:ext>
          </c:extLst>
        </c:ser>
        <c:ser>
          <c:idx val="10"/>
          <c:order val="10"/>
          <c:tx>
            <c:strRef>
              <c:f>'90-2015'!$A$14</c:f>
              <c:strCache>
                <c:ptCount val="1"/>
                <c:pt idx="0">
                  <c:v>Ульяновская область</c:v>
                </c:pt>
              </c:strCache>
            </c:strRef>
          </c:tx>
          <c:spPr>
            <a:ln w="28575" cap="rnd">
              <a:solidFill>
                <a:schemeClr val="dk1">
                  <a:tint val="98500"/>
                </a:schemeClr>
              </a:solidFill>
              <a:round/>
            </a:ln>
            <a:effectLst/>
          </c:spPr>
          <c:marker>
            <c:symbol val="circle"/>
            <c:size val="5"/>
            <c:spPr>
              <a:solidFill>
                <a:schemeClr val="dk1">
                  <a:tint val="98500"/>
                </a:schemeClr>
              </a:solidFill>
              <a:ln w="9525">
                <a:solidFill>
                  <a:schemeClr val="dk1">
                    <a:tint val="98500"/>
                  </a:schemeClr>
                </a:solidFill>
              </a:ln>
              <a:effectLst/>
            </c:spPr>
          </c:marker>
          <c:cat>
            <c:numRef>
              <c:f>'90-2015'!$B$3:$R$3</c:f>
              <c:numCache>
                <c:formatCode>General</c:formatCode>
                <c:ptCount val="17"/>
                <c:pt idx="0">
                  <c:v>2000</c:v>
                </c:pt>
                <c:pt idx="1">
                  <c:v>2001</c:v>
                </c:pt>
                <c:pt idx="2">
                  <c:v>2002</c:v>
                </c:pt>
                <c:pt idx="3">
                  <c:v>2003</c:v>
                </c:pt>
                <c:pt idx="4">
                  <c:v>2004</c:v>
                </c:pt>
                <c:pt idx="5">
                  <c:v>2005</c:v>
                </c:pt>
                <c:pt idx="6">
                  <c:v>2005</c:v>
                </c:pt>
                <c:pt idx="7">
                  <c:v>2006</c:v>
                </c:pt>
                <c:pt idx="8">
                  <c:v>2007</c:v>
                </c:pt>
                <c:pt idx="9">
                  <c:v>2008</c:v>
                </c:pt>
                <c:pt idx="10">
                  <c:v>2009</c:v>
                </c:pt>
                <c:pt idx="11">
                  <c:v>2010</c:v>
                </c:pt>
                <c:pt idx="12">
                  <c:v>2011</c:v>
                </c:pt>
                <c:pt idx="13">
                  <c:v>2012</c:v>
                </c:pt>
                <c:pt idx="14">
                  <c:v>2013</c:v>
                </c:pt>
                <c:pt idx="15">
                  <c:v>2014</c:v>
                </c:pt>
                <c:pt idx="16">
                  <c:v>2015</c:v>
                </c:pt>
              </c:numCache>
            </c:numRef>
          </c:cat>
          <c:val>
            <c:numRef>
              <c:f>'90-2015'!$B$14:$R$14</c:f>
              <c:numCache>
                <c:formatCode>General</c:formatCode>
                <c:ptCount val="17"/>
                <c:pt idx="0">
                  <c:v>111</c:v>
                </c:pt>
                <c:pt idx="1">
                  <c:v>96.7</c:v>
                </c:pt>
                <c:pt idx="2">
                  <c:v>114.4</c:v>
                </c:pt>
                <c:pt idx="3">
                  <c:v>105.6</c:v>
                </c:pt>
                <c:pt idx="4">
                  <c:v>146.80000000000001</c:v>
                </c:pt>
                <c:pt idx="5">
                  <c:v>102.2</c:v>
                </c:pt>
                <c:pt idx="6">
                  <c:v>116</c:v>
                </c:pt>
                <c:pt idx="7">
                  <c:v>134.4</c:v>
                </c:pt>
                <c:pt idx="8">
                  <c:v>138.5</c:v>
                </c:pt>
                <c:pt idx="9">
                  <c:v>111.8</c:v>
                </c:pt>
                <c:pt idx="10">
                  <c:v>96.5</c:v>
                </c:pt>
                <c:pt idx="11">
                  <c:v>92.8</c:v>
                </c:pt>
                <c:pt idx="12">
                  <c:v>116</c:v>
                </c:pt>
                <c:pt idx="13">
                  <c:v>117.5</c:v>
                </c:pt>
                <c:pt idx="14">
                  <c:v>99.1</c:v>
                </c:pt>
                <c:pt idx="15">
                  <c:v>97</c:v>
                </c:pt>
                <c:pt idx="16">
                  <c:v>104.9</c:v>
                </c:pt>
              </c:numCache>
            </c:numRef>
          </c:val>
          <c:smooth val="0"/>
          <c:extLst xmlns:c16r2="http://schemas.microsoft.com/office/drawing/2015/06/chart">
            <c:ext xmlns:c16="http://schemas.microsoft.com/office/drawing/2014/chart" uri="{C3380CC4-5D6E-409C-BE32-E72D297353CC}">
              <c16:uniqueId val="{0000000A-0565-40A2-A716-20B88149837C}"/>
            </c:ext>
          </c:extLst>
        </c:ser>
        <c:ser>
          <c:idx val="11"/>
          <c:order val="11"/>
          <c:tx>
            <c:strRef>
              <c:f>'90-2015'!$A$15</c:f>
              <c:strCache>
                <c:ptCount val="1"/>
                <c:pt idx="0">
                  <c:v>Свердловская область</c:v>
                </c:pt>
              </c:strCache>
            </c:strRef>
          </c:tx>
          <c:spPr>
            <a:ln w="28575" cap="rnd">
              <a:solidFill>
                <a:schemeClr val="dk1">
                  <a:tint val="30000"/>
                </a:schemeClr>
              </a:solidFill>
              <a:round/>
            </a:ln>
            <a:effectLst/>
          </c:spPr>
          <c:marker>
            <c:symbol val="circle"/>
            <c:size val="5"/>
            <c:spPr>
              <a:solidFill>
                <a:schemeClr val="dk1">
                  <a:tint val="30000"/>
                </a:schemeClr>
              </a:solidFill>
              <a:ln w="9525">
                <a:solidFill>
                  <a:schemeClr val="dk1">
                    <a:tint val="30000"/>
                  </a:schemeClr>
                </a:solidFill>
              </a:ln>
              <a:effectLst/>
            </c:spPr>
          </c:marker>
          <c:cat>
            <c:numRef>
              <c:f>'90-2015'!$B$3:$R$3</c:f>
              <c:numCache>
                <c:formatCode>General</c:formatCode>
                <c:ptCount val="17"/>
                <c:pt idx="0">
                  <c:v>2000</c:v>
                </c:pt>
                <c:pt idx="1">
                  <c:v>2001</c:v>
                </c:pt>
                <c:pt idx="2">
                  <c:v>2002</c:v>
                </c:pt>
                <c:pt idx="3">
                  <c:v>2003</c:v>
                </c:pt>
                <c:pt idx="4">
                  <c:v>2004</c:v>
                </c:pt>
                <c:pt idx="5">
                  <c:v>2005</c:v>
                </c:pt>
                <c:pt idx="6">
                  <c:v>2005</c:v>
                </c:pt>
                <c:pt idx="7">
                  <c:v>2006</c:v>
                </c:pt>
                <c:pt idx="8">
                  <c:v>2007</c:v>
                </c:pt>
                <c:pt idx="9">
                  <c:v>2008</c:v>
                </c:pt>
                <c:pt idx="10">
                  <c:v>2009</c:v>
                </c:pt>
                <c:pt idx="11">
                  <c:v>2010</c:v>
                </c:pt>
                <c:pt idx="12">
                  <c:v>2011</c:v>
                </c:pt>
                <c:pt idx="13">
                  <c:v>2012</c:v>
                </c:pt>
                <c:pt idx="14">
                  <c:v>2013</c:v>
                </c:pt>
                <c:pt idx="15">
                  <c:v>2014</c:v>
                </c:pt>
                <c:pt idx="16">
                  <c:v>2015</c:v>
                </c:pt>
              </c:numCache>
            </c:numRef>
          </c:cat>
          <c:val>
            <c:numRef>
              <c:f>'90-2015'!$B$15:$R$15</c:f>
              <c:numCache>
                <c:formatCode>General</c:formatCode>
                <c:ptCount val="17"/>
                <c:pt idx="0">
                  <c:v>107.9</c:v>
                </c:pt>
                <c:pt idx="1">
                  <c:v>105.1</c:v>
                </c:pt>
                <c:pt idx="2">
                  <c:v>121.7</c:v>
                </c:pt>
                <c:pt idx="3">
                  <c:v>116.7</c:v>
                </c:pt>
                <c:pt idx="4">
                  <c:v>123.3</c:v>
                </c:pt>
                <c:pt idx="5">
                  <c:v>110.2</c:v>
                </c:pt>
                <c:pt idx="6">
                  <c:v>104</c:v>
                </c:pt>
                <c:pt idx="7">
                  <c:v>131.6</c:v>
                </c:pt>
                <c:pt idx="8">
                  <c:v>119.6</c:v>
                </c:pt>
                <c:pt idx="9">
                  <c:v>106.7</c:v>
                </c:pt>
                <c:pt idx="10">
                  <c:v>81.2</c:v>
                </c:pt>
                <c:pt idx="11">
                  <c:v>130.4</c:v>
                </c:pt>
                <c:pt idx="12">
                  <c:v>115.9</c:v>
                </c:pt>
                <c:pt idx="13">
                  <c:v>98</c:v>
                </c:pt>
                <c:pt idx="14">
                  <c:v>96.4</c:v>
                </c:pt>
                <c:pt idx="15">
                  <c:v>103.2</c:v>
                </c:pt>
                <c:pt idx="16">
                  <c:v>85.3</c:v>
                </c:pt>
              </c:numCache>
            </c:numRef>
          </c:val>
          <c:smooth val="0"/>
          <c:extLst xmlns:c16r2="http://schemas.microsoft.com/office/drawing/2015/06/chart">
            <c:ext xmlns:c16="http://schemas.microsoft.com/office/drawing/2014/chart" uri="{C3380CC4-5D6E-409C-BE32-E72D297353CC}">
              <c16:uniqueId val="{0000000B-0565-40A2-A716-20B88149837C}"/>
            </c:ext>
          </c:extLst>
        </c:ser>
        <c:ser>
          <c:idx val="12"/>
          <c:order val="12"/>
          <c:tx>
            <c:strRef>
              <c:f>'90-2015'!$A$16</c:f>
              <c:strCache>
                <c:ptCount val="1"/>
                <c:pt idx="0">
                  <c:v>Республика Бурятия</c:v>
                </c:pt>
              </c:strCache>
            </c:strRef>
          </c:tx>
          <c:spPr>
            <a:ln w="28575" cap="rnd">
              <a:solidFill>
                <a:schemeClr val="dk1">
                  <a:tint val="60000"/>
                </a:schemeClr>
              </a:solidFill>
              <a:round/>
            </a:ln>
            <a:effectLst/>
          </c:spPr>
          <c:marker>
            <c:symbol val="circle"/>
            <c:size val="5"/>
            <c:spPr>
              <a:solidFill>
                <a:schemeClr val="dk1">
                  <a:tint val="60000"/>
                </a:schemeClr>
              </a:solidFill>
              <a:ln w="9525">
                <a:solidFill>
                  <a:schemeClr val="dk1">
                    <a:tint val="60000"/>
                  </a:schemeClr>
                </a:solidFill>
              </a:ln>
              <a:effectLst/>
            </c:spPr>
          </c:marker>
          <c:cat>
            <c:numRef>
              <c:f>'90-2015'!$B$3:$R$3</c:f>
              <c:numCache>
                <c:formatCode>General</c:formatCode>
                <c:ptCount val="17"/>
                <c:pt idx="0">
                  <c:v>2000</c:v>
                </c:pt>
                <c:pt idx="1">
                  <c:v>2001</c:v>
                </c:pt>
                <c:pt idx="2">
                  <c:v>2002</c:v>
                </c:pt>
                <c:pt idx="3">
                  <c:v>2003</c:v>
                </c:pt>
                <c:pt idx="4">
                  <c:v>2004</c:v>
                </c:pt>
                <c:pt idx="5">
                  <c:v>2005</c:v>
                </c:pt>
                <c:pt idx="6">
                  <c:v>2005</c:v>
                </c:pt>
                <c:pt idx="7">
                  <c:v>2006</c:v>
                </c:pt>
                <c:pt idx="8">
                  <c:v>2007</c:v>
                </c:pt>
                <c:pt idx="9">
                  <c:v>2008</c:v>
                </c:pt>
                <c:pt idx="10">
                  <c:v>2009</c:v>
                </c:pt>
                <c:pt idx="11">
                  <c:v>2010</c:v>
                </c:pt>
                <c:pt idx="12">
                  <c:v>2011</c:v>
                </c:pt>
                <c:pt idx="13">
                  <c:v>2012</c:v>
                </c:pt>
                <c:pt idx="14">
                  <c:v>2013</c:v>
                </c:pt>
                <c:pt idx="15">
                  <c:v>2014</c:v>
                </c:pt>
                <c:pt idx="16">
                  <c:v>2015</c:v>
                </c:pt>
              </c:numCache>
            </c:numRef>
          </c:cat>
          <c:val>
            <c:numRef>
              <c:f>'90-2015'!$B$16:$R$16</c:f>
              <c:numCache>
                <c:formatCode>General</c:formatCode>
                <c:ptCount val="17"/>
                <c:pt idx="0">
                  <c:v>99</c:v>
                </c:pt>
                <c:pt idx="1">
                  <c:v>137.19999999999999</c:v>
                </c:pt>
                <c:pt idx="2">
                  <c:v>101</c:v>
                </c:pt>
                <c:pt idx="3">
                  <c:v>140.5</c:v>
                </c:pt>
                <c:pt idx="4">
                  <c:v>74.2</c:v>
                </c:pt>
                <c:pt idx="5">
                  <c:v>92</c:v>
                </c:pt>
                <c:pt idx="6">
                  <c:v>105.1</c:v>
                </c:pt>
                <c:pt idx="7">
                  <c:v>154</c:v>
                </c:pt>
                <c:pt idx="8">
                  <c:v>115.4</c:v>
                </c:pt>
                <c:pt idx="9">
                  <c:v>108.2</c:v>
                </c:pt>
                <c:pt idx="10">
                  <c:v>93</c:v>
                </c:pt>
                <c:pt idx="11">
                  <c:v>136.19999999999999</c:v>
                </c:pt>
                <c:pt idx="12">
                  <c:v>108.1</c:v>
                </c:pt>
                <c:pt idx="13">
                  <c:v>91.7</c:v>
                </c:pt>
                <c:pt idx="14">
                  <c:v>96</c:v>
                </c:pt>
                <c:pt idx="15">
                  <c:v>84.8</c:v>
                </c:pt>
                <c:pt idx="16">
                  <c:v>90.5</c:v>
                </c:pt>
              </c:numCache>
            </c:numRef>
          </c:val>
          <c:smooth val="0"/>
          <c:extLst xmlns:c16r2="http://schemas.microsoft.com/office/drawing/2015/06/chart">
            <c:ext xmlns:c16="http://schemas.microsoft.com/office/drawing/2014/chart" uri="{C3380CC4-5D6E-409C-BE32-E72D297353CC}">
              <c16:uniqueId val="{0000000C-0565-40A2-A716-20B88149837C}"/>
            </c:ext>
          </c:extLst>
        </c:ser>
        <c:ser>
          <c:idx val="13"/>
          <c:order val="13"/>
          <c:tx>
            <c:strRef>
              <c:f>'90-2015'!$A$17</c:f>
              <c:strCache>
                <c:ptCount val="1"/>
                <c:pt idx="0">
                  <c:v>Алтайский край</c:v>
                </c:pt>
              </c:strCache>
            </c:strRef>
          </c:tx>
          <c:spPr>
            <a:ln w="28575" cap="rnd">
              <a:solidFill>
                <a:schemeClr val="dk1">
                  <a:tint val="80000"/>
                </a:schemeClr>
              </a:solidFill>
              <a:round/>
            </a:ln>
            <a:effectLst/>
          </c:spPr>
          <c:marker>
            <c:symbol val="circle"/>
            <c:size val="5"/>
            <c:spPr>
              <a:solidFill>
                <a:schemeClr val="dk1">
                  <a:tint val="80000"/>
                </a:schemeClr>
              </a:solidFill>
              <a:ln w="9525">
                <a:solidFill>
                  <a:schemeClr val="dk1">
                    <a:tint val="80000"/>
                  </a:schemeClr>
                </a:solidFill>
              </a:ln>
              <a:effectLst/>
            </c:spPr>
          </c:marker>
          <c:cat>
            <c:numRef>
              <c:f>'90-2015'!$B$3:$R$3</c:f>
              <c:numCache>
                <c:formatCode>General</c:formatCode>
                <c:ptCount val="17"/>
                <c:pt idx="0">
                  <c:v>2000</c:v>
                </c:pt>
                <c:pt idx="1">
                  <c:v>2001</c:v>
                </c:pt>
                <c:pt idx="2">
                  <c:v>2002</c:v>
                </c:pt>
                <c:pt idx="3">
                  <c:v>2003</c:v>
                </c:pt>
                <c:pt idx="4">
                  <c:v>2004</c:v>
                </c:pt>
                <c:pt idx="5">
                  <c:v>2005</c:v>
                </c:pt>
                <c:pt idx="6">
                  <c:v>2005</c:v>
                </c:pt>
                <c:pt idx="7">
                  <c:v>2006</c:v>
                </c:pt>
                <c:pt idx="8">
                  <c:v>2007</c:v>
                </c:pt>
                <c:pt idx="9">
                  <c:v>2008</c:v>
                </c:pt>
                <c:pt idx="10">
                  <c:v>2009</c:v>
                </c:pt>
                <c:pt idx="11">
                  <c:v>2010</c:v>
                </c:pt>
                <c:pt idx="12">
                  <c:v>2011</c:v>
                </c:pt>
                <c:pt idx="13">
                  <c:v>2012</c:v>
                </c:pt>
                <c:pt idx="14">
                  <c:v>2013</c:v>
                </c:pt>
                <c:pt idx="15">
                  <c:v>2014</c:v>
                </c:pt>
                <c:pt idx="16">
                  <c:v>2015</c:v>
                </c:pt>
              </c:numCache>
            </c:numRef>
          </c:cat>
          <c:val>
            <c:numRef>
              <c:f>'90-2015'!$B$17:$R$17</c:f>
              <c:numCache>
                <c:formatCode>General</c:formatCode>
                <c:ptCount val="17"/>
                <c:pt idx="0">
                  <c:v>108.7</c:v>
                </c:pt>
                <c:pt idx="1">
                  <c:v>112.2</c:v>
                </c:pt>
                <c:pt idx="2">
                  <c:v>110.3</c:v>
                </c:pt>
                <c:pt idx="3">
                  <c:v>118.7</c:v>
                </c:pt>
                <c:pt idx="4">
                  <c:v>99.6</c:v>
                </c:pt>
                <c:pt idx="5">
                  <c:v>113.6</c:v>
                </c:pt>
                <c:pt idx="6">
                  <c:v>120</c:v>
                </c:pt>
                <c:pt idx="7">
                  <c:v>122.6</c:v>
                </c:pt>
                <c:pt idx="8">
                  <c:v>126.1</c:v>
                </c:pt>
                <c:pt idx="9">
                  <c:v>106.8</c:v>
                </c:pt>
                <c:pt idx="10">
                  <c:v>80.900000000000006</c:v>
                </c:pt>
                <c:pt idx="11">
                  <c:v>115.3</c:v>
                </c:pt>
                <c:pt idx="12">
                  <c:v>114.5</c:v>
                </c:pt>
                <c:pt idx="13">
                  <c:v>112.1</c:v>
                </c:pt>
                <c:pt idx="14">
                  <c:v>105.2</c:v>
                </c:pt>
                <c:pt idx="15">
                  <c:v>101.1</c:v>
                </c:pt>
                <c:pt idx="16">
                  <c:v>83.2</c:v>
                </c:pt>
              </c:numCache>
            </c:numRef>
          </c:val>
          <c:smooth val="0"/>
          <c:extLst xmlns:c16r2="http://schemas.microsoft.com/office/drawing/2015/06/chart">
            <c:ext xmlns:c16="http://schemas.microsoft.com/office/drawing/2014/chart" uri="{C3380CC4-5D6E-409C-BE32-E72D297353CC}">
              <c16:uniqueId val="{0000000D-0565-40A2-A716-20B88149837C}"/>
            </c:ext>
          </c:extLst>
        </c:ser>
        <c:ser>
          <c:idx val="14"/>
          <c:order val="14"/>
          <c:tx>
            <c:strRef>
              <c:f>'90-2015'!$A$18</c:f>
              <c:strCache>
                <c:ptCount val="1"/>
                <c:pt idx="0">
                  <c:v>Иркутская область</c:v>
                </c:pt>
              </c:strCache>
            </c:strRef>
          </c:tx>
          <c:spPr>
            <a:ln w="28575" cap="rnd">
              <a:solidFill>
                <a:schemeClr val="dk1">
                  <a:tint val="88500"/>
                </a:schemeClr>
              </a:solidFill>
              <a:round/>
            </a:ln>
            <a:effectLst/>
          </c:spPr>
          <c:marker>
            <c:symbol val="circle"/>
            <c:size val="5"/>
            <c:spPr>
              <a:solidFill>
                <a:schemeClr val="dk1">
                  <a:tint val="88500"/>
                </a:schemeClr>
              </a:solidFill>
              <a:ln w="9525">
                <a:solidFill>
                  <a:schemeClr val="dk1">
                    <a:tint val="88500"/>
                  </a:schemeClr>
                </a:solidFill>
              </a:ln>
              <a:effectLst/>
            </c:spPr>
          </c:marker>
          <c:cat>
            <c:numRef>
              <c:f>'90-2015'!$B$3:$R$3</c:f>
              <c:numCache>
                <c:formatCode>General</c:formatCode>
                <c:ptCount val="17"/>
                <c:pt idx="0">
                  <c:v>2000</c:v>
                </c:pt>
                <c:pt idx="1">
                  <c:v>2001</c:v>
                </c:pt>
                <c:pt idx="2">
                  <c:v>2002</c:v>
                </c:pt>
                <c:pt idx="3">
                  <c:v>2003</c:v>
                </c:pt>
                <c:pt idx="4">
                  <c:v>2004</c:v>
                </c:pt>
                <c:pt idx="5">
                  <c:v>2005</c:v>
                </c:pt>
                <c:pt idx="6">
                  <c:v>2005</c:v>
                </c:pt>
                <c:pt idx="7">
                  <c:v>2006</c:v>
                </c:pt>
                <c:pt idx="8">
                  <c:v>2007</c:v>
                </c:pt>
                <c:pt idx="9">
                  <c:v>2008</c:v>
                </c:pt>
                <c:pt idx="10">
                  <c:v>2009</c:v>
                </c:pt>
                <c:pt idx="11">
                  <c:v>2010</c:v>
                </c:pt>
                <c:pt idx="12">
                  <c:v>2011</c:v>
                </c:pt>
                <c:pt idx="13">
                  <c:v>2012</c:v>
                </c:pt>
                <c:pt idx="14">
                  <c:v>2013</c:v>
                </c:pt>
                <c:pt idx="15">
                  <c:v>2014</c:v>
                </c:pt>
                <c:pt idx="16">
                  <c:v>2015</c:v>
                </c:pt>
              </c:numCache>
            </c:numRef>
          </c:cat>
          <c:val>
            <c:numRef>
              <c:f>'90-2015'!$B$18:$R$18</c:f>
              <c:numCache>
                <c:formatCode>General</c:formatCode>
                <c:ptCount val="17"/>
                <c:pt idx="0">
                  <c:v>95.1</c:v>
                </c:pt>
                <c:pt idx="1">
                  <c:v>121.4</c:v>
                </c:pt>
                <c:pt idx="2">
                  <c:v>97.5</c:v>
                </c:pt>
                <c:pt idx="3">
                  <c:v>108.3</c:v>
                </c:pt>
                <c:pt idx="4">
                  <c:v>100.2</c:v>
                </c:pt>
                <c:pt idx="5">
                  <c:v>103.4</c:v>
                </c:pt>
                <c:pt idx="6">
                  <c:v>123.2</c:v>
                </c:pt>
                <c:pt idx="7">
                  <c:v>174</c:v>
                </c:pt>
                <c:pt idx="8">
                  <c:v>147.1</c:v>
                </c:pt>
                <c:pt idx="9">
                  <c:v>85.6</c:v>
                </c:pt>
                <c:pt idx="10">
                  <c:v>78.7</c:v>
                </c:pt>
                <c:pt idx="11">
                  <c:v>106.3</c:v>
                </c:pt>
                <c:pt idx="12">
                  <c:v>112.2</c:v>
                </c:pt>
                <c:pt idx="13">
                  <c:v>114.3</c:v>
                </c:pt>
                <c:pt idx="14">
                  <c:v>107.2</c:v>
                </c:pt>
                <c:pt idx="15">
                  <c:v>103.5</c:v>
                </c:pt>
                <c:pt idx="16">
                  <c:v>87.6</c:v>
                </c:pt>
              </c:numCache>
            </c:numRef>
          </c:val>
          <c:smooth val="0"/>
          <c:extLst xmlns:c16r2="http://schemas.microsoft.com/office/drawing/2015/06/chart">
            <c:ext xmlns:c16="http://schemas.microsoft.com/office/drawing/2014/chart" uri="{C3380CC4-5D6E-409C-BE32-E72D297353CC}">
              <c16:uniqueId val="{0000000E-0565-40A2-A716-20B88149837C}"/>
            </c:ext>
          </c:extLst>
        </c:ser>
        <c:ser>
          <c:idx val="15"/>
          <c:order val="15"/>
          <c:tx>
            <c:strRef>
              <c:f>'90-2015'!$A$19</c:f>
              <c:strCache>
                <c:ptCount val="1"/>
                <c:pt idx="0">
                  <c:v>Томская область</c:v>
                </c:pt>
              </c:strCache>
            </c:strRef>
          </c:tx>
          <c:spPr>
            <a:ln w="28575" cap="rnd">
              <a:solidFill>
                <a:schemeClr val="dk1">
                  <a:tint val="55000"/>
                </a:schemeClr>
              </a:solidFill>
              <a:round/>
            </a:ln>
            <a:effectLst/>
          </c:spPr>
          <c:marker>
            <c:symbol val="circle"/>
            <c:size val="5"/>
            <c:spPr>
              <a:solidFill>
                <a:schemeClr val="dk1">
                  <a:tint val="55000"/>
                </a:schemeClr>
              </a:solidFill>
              <a:ln w="9525">
                <a:solidFill>
                  <a:schemeClr val="dk1">
                    <a:tint val="55000"/>
                  </a:schemeClr>
                </a:solidFill>
              </a:ln>
              <a:effectLst/>
            </c:spPr>
          </c:marker>
          <c:cat>
            <c:numRef>
              <c:f>'90-2015'!$B$3:$R$3</c:f>
              <c:numCache>
                <c:formatCode>General</c:formatCode>
                <c:ptCount val="17"/>
                <c:pt idx="0">
                  <c:v>2000</c:v>
                </c:pt>
                <c:pt idx="1">
                  <c:v>2001</c:v>
                </c:pt>
                <c:pt idx="2">
                  <c:v>2002</c:v>
                </c:pt>
                <c:pt idx="3">
                  <c:v>2003</c:v>
                </c:pt>
                <c:pt idx="4">
                  <c:v>2004</c:v>
                </c:pt>
                <c:pt idx="5">
                  <c:v>2005</c:v>
                </c:pt>
                <c:pt idx="6">
                  <c:v>2005</c:v>
                </c:pt>
                <c:pt idx="7">
                  <c:v>2006</c:v>
                </c:pt>
                <c:pt idx="8">
                  <c:v>2007</c:v>
                </c:pt>
                <c:pt idx="9">
                  <c:v>2008</c:v>
                </c:pt>
                <c:pt idx="10">
                  <c:v>2009</c:v>
                </c:pt>
                <c:pt idx="11">
                  <c:v>2010</c:v>
                </c:pt>
                <c:pt idx="12">
                  <c:v>2011</c:v>
                </c:pt>
                <c:pt idx="13">
                  <c:v>2012</c:v>
                </c:pt>
                <c:pt idx="14">
                  <c:v>2013</c:v>
                </c:pt>
                <c:pt idx="15">
                  <c:v>2014</c:v>
                </c:pt>
                <c:pt idx="16">
                  <c:v>2015</c:v>
                </c:pt>
              </c:numCache>
            </c:numRef>
          </c:cat>
          <c:val>
            <c:numRef>
              <c:f>'90-2015'!$B$19:$R$19</c:f>
              <c:numCache>
                <c:formatCode>General</c:formatCode>
                <c:ptCount val="17"/>
                <c:pt idx="0">
                  <c:v>112.5</c:v>
                </c:pt>
                <c:pt idx="1">
                  <c:v>152.9</c:v>
                </c:pt>
                <c:pt idx="2">
                  <c:v>105.4</c:v>
                </c:pt>
                <c:pt idx="3">
                  <c:v>114.8</c:v>
                </c:pt>
                <c:pt idx="4">
                  <c:v>80.8</c:v>
                </c:pt>
                <c:pt idx="5">
                  <c:v>64.8</c:v>
                </c:pt>
                <c:pt idx="6">
                  <c:v>69.7</c:v>
                </c:pt>
                <c:pt idx="7">
                  <c:v>162.19999999999999</c:v>
                </c:pt>
                <c:pt idx="8">
                  <c:v>157.30000000000001</c:v>
                </c:pt>
                <c:pt idx="9">
                  <c:v>99.3</c:v>
                </c:pt>
                <c:pt idx="10">
                  <c:v>84.4</c:v>
                </c:pt>
                <c:pt idx="11">
                  <c:v>95.8</c:v>
                </c:pt>
                <c:pt idx="12">
                  <c:v>123</c:v>
                </c:pt>
                <c:pt idx="13">
                  <c:v>100.7</c:v>
                </c:pt>
                <c:pt idx="14">
                  <c:v>85.4</c:v>
                </c:pt>
                <c:pt idx="15">
                  <c:v>95.8</c:v>
                </c:pt>
                <c:pt idx="16">
                  <c:v>88.6</c:v>
                </c:pt>
              </c:numCache>
            </c:numRef>
          </c:val>
          <c:smooth val="0"/>
          <c:extLst xmlns:c16r2="http://schemas.microsoft.com/office/drawing/2015/06/chart">
            <c:ext xmlns:c16="http://schemas.microsoft.com/office/drawing/2014/chart" uri="{C3380CC4-5D6E-409C-BE32-E72D297353CC}">
              <c16:uniqueId val="{0000000F-0565-40A2-A716-20B88149837C}"/>
            </c:ext>
          </c:extLst>
        </c:ser>
        <c:dLbls>
          <c:showLegendKey val="0"/>
          <c:showVal val="0"/>
          <c:showCatName val="0"/>
          <c:showSerName val="0"/>
          <c:showPercent val="0"/>
          <c:showBubbleSize val="0"/>
        </c:dLbls>
        <c:marker val="1"/>
        <c:smooth val="0"/>
        <c:axId val="161746304"/>
        <c:axId val="161760768"/>
      </c:lineChart>
      <c:catAx>
        <c:axId val="1617463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61760768"/>
        <c:crosses val="autoZero"/>
        <c:auto val="1"/>
        <c:lblAlgn val="ctr"/>
        <c:lblOffset val="100"/>
        <c:noMultiLvlLbl val="0"/>
      </c:catAx>
      <c:valAx>
        <c:axId val="161760768"/>
        <c:scaling>
          <c:orientation val="minMax"/>
          <c:min val="4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61746304"/>
        <c:crosses val="autoZero"/>
        <c:crossBetween val="between"/>
      </c:valAx>
      <c:spPr>
        <a:noFill/>
        <a:ln>
          <a:noFill/>
        </a:ln>
        <a:effectLst/>
      </c:spPr>
    </c:plotArea>
    <c:legend>
      <c:legendPos val="b"/>
      <c:layout>
        <c:manualLayout>
          <c:xMode val="edge"/>
          <c:yMode val="edge"/>
          <c:x val="1.3280763643909539E-3"/>
          <c:y val="0.781583307673133"/>
          <c:w val="0.98696825067441374"/>
          <c:h val="0.187552603410607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6129FF4-A467-4582-AB6C-584E4ED4A6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2365</Words>
  <Characters>13484</Characters>
  <Application>Microsoft Office Word</Application>
  <DocSecurity>0</DocSecurity>
  <Lines>112</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15818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Moroshkina</dc:creator>
  <cp:lastModifiedBy>Ольга П. Молодцова</cp:lastModifiedBy>
  <cp:revision>2</cp:revision>
  <cp:lastPrinted>2020-01-21T14:05:00Z</cp:lastPrinted>
  <dcterms:created xsi:type="dcterms:W3CDTF">2020-06-15T12:00:00Z</dcterms:created>
  <dcterms:modified xsi:type="dcterms:W3CDTF">2020-06-15T12:00:00Z</dcterms:modified>
</cp:coreProperties>
</file>