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42D" w:rsidRDefault="0048542D" w:rsidP="00EC764E">
      <w:pPr>
        <w:rPr>
          <w:rFonts w:ascii="Times New Roman" w:hAnsi="Times New Roman" w:cs="Times New Roman"/>
          <w:b/>
          <w:sz w:val="28"/>
        </w:rPr>
      </w:pPr>
      <w:r>
        <w:rPr>
          <w:rFonts w:ascii="Times New Roman" w:hAnsi="Times New Roman" w:cs="Times New Roman"/>
          <w:b/>
          <w:sz w:val="28"/>
        </w:rPr>
        <w:t>УДК 336.71</w:t>
      </w:r>
      <w:r w:rsidR="00EC764E">
        <w:rPr>
          <w:rFonts w:ascii="Times New Roman" w:hAnsi="Times New Roman" w:cs="Times New Roman"/>
          <w:b/>
          <w:sz w:val="28"/>
        </w:rPr>
        <w:t xml:space="preserve"> / </w:t>
      </w:r>
      <w:r>
        <w:rPr>
          <w:rFonts w:ascii="Times New Roman" w:hAnsi="Times New Roman" w:cs="Times New Roman"/>
          <w:b/>
          <w:sz w:val="28"/>
        </w:rPr>
        <w:t>ББК 65.</w:t>
      </w:r>
    </w:p>
    <w:p w:rsidR="0048542D" w:rsidRPr="00EC764E" w:rsidRDefault="0048542D" w:rsidP="00EC764E">
      <w:pPr>
        <w:jc w:val="right"/>
        <w:rPr>
          <w:rFonts w:ascii="Times New Roman" w:hAnsi="Times New Roman" w:cs="Times New Roman"/>
          <w:sz w:val="28"/>
        </w:rPr>
      </w:pPr>
      <w:r w:rsidRPr="00D805F2">
        <w:rPr>
          <w:rFonts w:ascii="Times New Roman" w:hAnsi="Times New Roman" w:cs="Times New Roman"/>
          <w:b/>
          <w:bCs/>
          <w:sz w:val="28"/>
        </w:rPr>
        <w:t xml:space="preserve"> Волков А.А.</w:t>
      </w:r>
    </w:p>
    <w:p w:rsidR="0048542D" w:rsidRDefault="00EC764E" w:rsidP="0048542D">
      <w:pPr>
        <w:jc w:val="center"/>
        <w:rPr>
          <w:rFonts w:ascii="Times New Roman" w:hAnsi="Times New Roman" w:cs="Times New Roman"/>
          <w:b/>
          <w:sz w:val="28"/>
        </w:rPr>
      </w:pPr>
      <w:r>
        <w:rPr>
          <w:rFonts w:ascii="Times New Roman" w:hAnsi="Times New Roman" w:cs="Times New Roman"/>
          <w:b/>
          <w:sz w:val="28"/>
        </w:rPr>
        <w:t>ФУНКЦИОНИРОВАНИЕ БАНКОВСКОГО СЕКТОРА В РЕГИОНЕ (НА ПРИМЕРЕ ВОЛОГОДСКОЙ ОБЛАСТИ)</w:t>
      </w:r>
      <w:r w:rsidR="0048542D">
        <w:rPr>
          <w:rStyle w:val="ab"/>
          <w:rFonts w:ascii="Times New Roman" w:hAnsi="Times New Roman" w:cs="Times New Roman"/>
          <w:b/>
          <w:sz w:val="28"/>
        </w:rPr>
        <w:footnoteReference w:id="1"/>
      </w:r>
    </w:p>
    <w:p w:rsidR="00CD69DC" w:rsidRPr="00CD69DC" w:rsidRDefault="00CD69DC" w:rsidP="00CD69DC">
      <w:pPr>
        <w:spacing w:after="0" w:line="360" w:lineRule="auto"/>
        <w:ind w:firstLine="709"/>
        <w:jc w:val="both"/>
        <w:rPr>
          <w:rFonts w:ascii="Times New Roman" w:hAnsi="Times New Roman" w:cs="Times New Roman"/>
          <w:b/>
          <w:sz w:val="28"/>
        </w:rPr>
      </w:pPr>
      <w:r w:rsidRPr="00CD69DC">
        <w:rPr>
          <w:rFonts w:ascii="Times New Roman" w:hAnsi="Times New Roman" w:cs="Times New Roman"/>
          <w:b/>
          <w:bCs/>
          <w:iCs/>
          <w:kern w:val="1"/>
          <w:sz w:val="28"/>
          <w:szCs w:val="28"/>
          <w:lang w:eastAsia="ar-SA"/>
        </w:rPr>
        <w:t xml:space="preserve">Аннотация: </w:t>
      </w:r>
      <w:r w:rsidR="00092FC1" w:rsidRPr="00EC764E">
        <w:rPr>
          <w:rFonts w:ascii="Times New Roman" w:hAnsi="Times New Roman" w:cs="Times New Roman"/>
          <w:bCs/>
          <w:i/>
          <w:iCs/>
          <w:kern w:val="1"/>
          <w:sz w:val="28"/>
          <w:szCs w:val="28"/>
          <w:lang w:eastAsia="ar-SA"/>
        </w:rPr>
        <w:t>Данн</w:t>
      </w:r>
      <w:r w:rsidR="008F44CB" w:rsidRPr="00EC764E">
        <w:rPr>
          <w:rFonts w:ascii="Times New Roman" w:hAnsi="Times New Roman" w:cs="Times New Roman"/>
          <w:bCs/>
          <w:i/>
          <w:iCs/>
          <w:kern w:val="1"/>
          <w:sz w:val="28"/>
          <w:szCs w:val="28"/>
          <w:lang w:eastAsia="ar-SA"/>
        </w:rPr>
        <w:t>ая статья посвящена</w:t>
      </w:r>
      <w:r w:rsidR="00092FC1" w:rsidRPr="00EC764E">
        <w:rPr>
          <w:rFonts w:ascii="Times New Roman" w:hAnsi="Times New Roman" w:cs="Times New Roman"/>
          <w:bCs/>
          <w:i/>
          <w:iCs/>
          <w:kern w:val="1"/>
          <w:sz w:val="28"/>
          <w:szCs w:val="28"/>
          <w:lang w:eastAsia="ar-SA"/>
        </w:rPr>
        <w:t xml:space="preserve"> анализу функционирования банковского сектора на территории Вологодской области</w:t>
      </w:r>
      <w:r w:rsidR="008F44CB" w:rsidRPr="00EC764E">
        <w:rPr>
          <w:rFonts w:ascii="Times New Roman" w:hAnsi="Times New Roman" w:cs="Times New Roman"/>
          <w:bCs/>
          <w:i/>
          <w:iCs/>
          <w:kern w:val="1"/>
          <w:sz w:val="28"/>
          <w:szCs w:val="28"/>
          <w:lang w:eastAsia="ar-SA"/>
        </w:rPr>
        <w:t xml:space="preserve">. Автором </w:t>
      </w:r>
      <w:r w:rsidR="00260E11" w:rsidRPr="00EC764E">
        <w:rPr>
          <w:rFonts w:ascii="Times New Roman" w:hAnsi="Times New Roman" w:cs="Times New Roman"/>
          <w:bCs/>
          <w:i/>
          <w:iCs/>
          <w:kern w:val="1"/>
          <w:sz w:val="28"/>
          <w:szCs w:val="28"/>
          <w:lang w:eastAsia="ar-SA"/>
        </w:rPr>
        <w:t xml:space="preserve"> рассмотрены основные показатели</w:t>
      </w:r>
      <w:r w:rsidR="008F44CB" w:rsidRPr="00EC764E">
        <w:rPr>
          <w:rFonts w:ascii="Times New Roman" w:hAnsi="Times New Roman" w:cs="Times New Roman"/>
          <w:bCs/>
          <w:i/>
          <w:iCs/>
          <w:kern w:val="1"/>
          <w:sz w:val="28"/>
          <w:szCs w:val="28"/>
          <w:lang w:eastAsia="ar-SA"/>
        </w:rPr>
        <w:t xml:space="preserve"> банковского сектора</w:t>
      </w:r>
      <w:r w:rsidR="00092FC1" w:rsidRPr="00EC764E">
        <w:rPr>
          <w:rFonts w:ascii="Times New Roman" w:hAnsi="Times New Roman" w:cs="Times New Roman"/>
          <w:bCs/>
          <w:i/>
          <w:iCs/>
          <w:kern w:val="1"/>
          <w:sz w:val="28"/>
          <w:szCs w:val="28"/>
          <w:lang w:eastAsia="ar-SA"/>
        </w:rPr>
        <w:t xml:space="preserve">. </w:t>
      </w:r>
      <w:r w:rsidR="00260E11" w:rsidRPr="00EC764E">
        <w:rPr>
          <w:rFonts w:ascii="Times New Roman" w:hAnsi="Times New Roman" w:cs="Times New Roman"/>
          <w:bCs/>
          <w:i/>
          <w:iCs/>
          <w:kern w:val="1"/>
          <w:sz w:val="28"/>
          <w:szCs w:val="28"/>
          <w:lang w:eastAsia="ar-SA"/>
        </w:rPr>
        <w:t>По результатам исследования были выявлены основные тенденции, оказывающие влияние на развитие банковского сектора.</w:t>
      </w:r>
    </w:p>
    <w:p w:rsidR="0048542D" w:rsidRPr="00D805F2" w:rsidRDefault="0048542D" w:rsidP="0048542D">
      <w:pPr>
        <w:spacing w:after="0" w:line="360" w:lineRule="auto"/>
        <w:ind w:firstLine="709"/>
        <w:jc w:val="both"/>
        <w:rPr>
          <w:rFonts w:ascii="Times New Roman" w:hAnsi="Times New Roman" w:cs="Times New Roman"/>
          <w:b/>
          <w:i/>
          <w:sz w:val="28"/>
        </w:rPr>
      </w:pPr>
      <w:r w:rsidRPr="00D805F2">
        <w:rPr>
          <w:rFonts w:ascii="Times New Roman" w:hAnsi="Times New Roman" w:cs="Times New Roman"/>
          <w:b/>
          <w:i/>
          <w:sz w:val="28"/>
        </w:rPr>
        <w:t xml:space="preserve">Ключевые слова: </w:t>
      </w:r>
      <w:r w:rsidRPr="00D805F2">
        <w:rPr>
          <w:rFonts w:ascii="Times New Roman" w:hAnsi="Times New Roman" w:cs="Times New Roman"/>
          <w:i/>
          <w:sz w:val="28"/>
        </w:rPr>
        <w:t>банковский сектор,</w:t>
      </w:r>
      <w:r w:rsidR="00F85DE8">
        <w:rPr>
          <w:rFonts w:ascii="Times New Roman" w:hAnsi="Times New Roman" w:cs="Times New Roman"/>
          <w:i/>
          <w:sz w:val="28"/>
        </w:rPr>
        <w:t xml:space="preserve"> развитие  региональные</w:t>
      </w:r>
      <w:r w:rsidRPr="00D805F2">
        <w:rPr>
          <w:rFonts w:ascii="Times New Roman" w:hAnsi="Times New Roman" w:cs="Times New Roman"/>
          <w:i/>
          <w:sz w:val="28"/>
        </w:rPr>
        <w:t xml:space="preserve"> банки, кредитование</w:t>
      </w:r>
      <w:r w:rsidR="00F85DE8">
        <w:rPr>
          <w:rFonts w:ascii="Times New Roman" w:hAnsi="Times New Roman" w:cs="Times New Roman"/>
          <w:i/>
          <w:sz w:val="28"/>
        </w:rPr>
        <w:t>, ипотека.</w:t>
      </w:r>
    </w:p>
    <w:p w:rsidR="0048542D" w:rsidRDefault="0048542D" w:rsidP="0048542D">
      <w:pPr>
        <w:spacing w:after="0" w:line="360" w:lineRule="auto"/>
        <w:ind w:firstLine="709"/>
        <w:jc w:val="both"/>
        <w:rPr>
          <w:rFonts w:ascii="Times New Roman" w:hAnsi="Times New Roman" w:cs="Times New Roman"/>
          <w:sz w:val="28"/>
        </w:rPr>
      </w:pPr>
    </w:p>
    <w:p w:rsidR="0048542D" w:rsidRPr="00DE4E8F" w:rsidRDefault="008A5C6D" w:rsidP="004854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территорий, </w:t>
      </w:r>
      <w:r w:rsidR="0048542D" w:rsidRPr="00426C59">
        <w:rPr>
          <w:rFonts w:ascii="Times New Roman" w:hAnsi="Times New Roman" w:cs="Times New Roman"/>
          <w:sz w:val="28"/>
          <w:szCs w:val="28"/>
          <w:shd w:val="clear" w:color="auto" w:fill="FFFFFF"/>
        </w:rPr>
        <w:t>органично связано с развитостью</w:t>
      </w:r>
      <w:r w:rsidR="0048542D">
        <w:rPr>
          <w:rFonts w:ascii="Times New Roman" w:hAnsi="Times New Roman" w:cs="Times New Roman"/>
          <w:sz w:val="28"/>
          <w:szCs w:val="28"/>
          <w:shd w:val="clear" w:color="auto" w:fill="FFFFFF"/>
        </w:rPr>
        <w:t xml:space="preserve"> банковского сектора. Так, </w:t>
      </w:r>
      <w:r w:rsidR="0048542D">
        <w:rPr>
          <w:rFonts w:ascii="Times New Roman" w:hAnsi="Times New Roman" w:cs="Times New Roman"/>
          <w:sz w:val="28"/>
        </w:rPr>
        <w:t>аккумуляция и перераспределение крупных объемов финансовых ресурсов, осуществление расчетов в хозяйстве, ведение счетов хозяйствующих субъектов, а также многие иные аспекты деятельности банковского сектора свидетельствуют о его влиянии на  социально-экономическое развитие территорий и важной роли в формировании финансовой базы региона и страны в целом. В связи с этим вопрос о развитии банковского сектора является актуальным.</w:t>
      </w:r>
    </w:p>
    <w:p w:rsidR="0048542D" w:rsidRPr="000C74F4" w:rsidRDefault="0048542D" w:rsidP="0048542D">
      <w:pPr>
        <w:tabs>
          <w:tab w:val="left" w:pos="1875"/>
        </w:tabs>
        <w:spacing w:after="0" w:line="360" w:lineRule="auto"/>
        <w:ind w:firstLine="709"/>
        <w:jc w:val="both"/>
        <w:rPr>
          <w:rFonts w:ascii="Times New Roman" w:hAnsi="Times New Roman" w:cs="Times New Roman"/>
          <w:sz w:val="28"/>
        </w:rPr>
      </w:pPr>
      <w:r w:rsidRPr="004A1F90">
        <w:rPr>
          <w:rFonts w:ascii="Times New Roman" w:hAnsi="Times New Roman" w:cs="Times New Roman"/>
          <w:sz w:val="28"/>
        </w:rPr>
        <w:t xml:space="preserve">По </w:t>
      </w:r>
      <w:r>
        <w:rPr>
          <w:rFonts w:ascii="Times New Roman" w:hAnsi="Times New Roman" w:cs="Times New Roman"/>
          <w:sz w:val="28"/>
        </w:rPr>
        <w:t xml:space="preserve">статистическим </w:t>
      </w:r>
      <w:r w:rsidRPr="004A1F90">
        <w:rPr>
          <w:rFonts w:ascii="Times New Roman" w:hAnsi="Times New Roman" w:cs="Times New Roman"/>
          <w:sz w:val="28"/>
        </w:rPr>
        <w:t xml:space="preserve">данным Банка России </w:t>
      </w:r>
      <w:r>
        <w:rPr>
          <w:rFonts w:ascii="Times New Roman" w:hAnsi="Times New Roman" w:cs="Times New Roman"/>
          <w:sz w:val="28"/>
        </w:rPr>
        <w:t>на 01.01.2015 на территории Вологодской области было зарегистрировано девять кредит</w:t>
      </w:r>
      <w:r w:rsidRPr="00D0232D">
        <w:rPr>
          <w:rFonts w:ascii="Times New Roman" w:hAnsi="Times New Roman" w:cs="Times New Roman"/>
          <w:sz w:val="28"/>
          <w:szCs w:val="28"/>
        </w:rPr>
        <w:t xml:space="preserve">ных организаций. В настоящее время в регионе функционируют три </w:t>
      </w:r>
      <w:r w:rsidR="008A5C6D">
        <w:rPr>
          <w:rFonts w:ascii="Times New Roman" w:hAnsi="Times New Roman" w:cs="Times New Roman"/>
          <w:sz w:val="28"/>
          <w:szCs w:val="28"/>
        </w:rPr>
        <w:t xml:space="preserve">региональных </w:t>
      </w:r>
      <w:r w:rsidRPr="00D0232D">
        <w:rPr>
          <w:rFonts w:ascii="Times New Roman" w:hAnsi="Times New Roman" w:cs="Times New Roman"/>
          <w:sz w:val="28"/>
          <w:szCs w:val="28"/>
        </w:rPr>
        <w:t xml:space="preserve">банка –  </w:t>
      </w:r>
      <w:r w:rsidRPr="00D0232D">
        <w:rPr>
          <w:rFonts w:ascii="Times New Roman" w:hAnsi="Times New Roman" w:cs="Times New Roman"/>
          <w:color w:val="222222"/>
          <w:sz w:val="28"/>
          <w:szCs w:val="28"/>
          <w:shd w:val="clear" w:color="auto" w:fill="FFFFFF"/>
        </w:rPr>
        <w:t>АО «Банк СГБ»</w:t>
      </w:r>
      <w:r w:rsidRPr="00D0232D">
        <w:rPr>
          <w:rFonts w:ascii="Times New Roman" w:hAnsi="Times New Roman" w:cs="Times New Roman"/>
          <w:sz w:val="28"/>
          <w:szCs w:val="28"/>
        </w:rPr>
        <w:t xml:space="preserve">, </w:t>
      </w:r>
      <w:r w:rsidRPr="00D0232D">
        <w:rPr>
          <w:rFonts w:ascii="Times New Roman" w:hAnsi="Times New Roman" w:cs="Times New Roman"/>
          <w:color w:val="222222"/>
          <w:sz w:val="28"/>
          <w:szCs w:val="28"/>
          <w:shd w:val="clear" w:color="auto" w:fill="FFFFFF"/>
        </w:rPr>
        <w:t>АО "Банк "</w:t>
      </w:r>
      <w:r w:rsidRPr="00D0232D">
        <w:rPr>
          <w:rFonts w:ascii="Times New Roman" w:hAnsi="Times New Roman" w:cs="Times New Roman"/>
          <w:bCs/>
          <w:color w:val="222222"/>
          <w:sz w:val="28"/>
          <w:szCs w:val="28"/>
          <w:shd w:val="clear" w:color="auto" w:fill="FFFFFF"/>
        </w:rPr>
        <w:t>Вологжанин</w:t>
      </w:r>
      <w:r w:rsidRPr="00D0232D">
        <w:rPr>
          <w:rFonts w:ascii="Times New Roman" w:hAnsi="Times New Roman" w:cs="Times New Roman"/>
          <w:color w:val="222222"/>
          <w:sz w:val="28"/>
          <w:szCs w:val="28"/>
          <w:shd w:val="clear" w:color="auto" w:fill="FFFFFF"/>
        </w:rPr>
        <w:t>"</w:t>
      </w:r>
      <w:r w:rsidRPr="00D0232D">
        <w:rPr>
          <w:rFonts w:ascii="Times New Roman" w:hAnsi="Times New Roman" w:cs="Times New Roman"/>
          <w:sz w:val="28"/>
          <w:szCs w:val="28"/>
        </w:rPr>
        <w:t xml:space="preserve"> и </w:t>
      </w:r>
      <w:r w:rsidRPr="00D0232D">
        <w:rPr>
          <w:rFonts w:ascii="Times New Roman" w:hAnsi="Times New Roman" w:cs="Times New Roman"/>
          <w:color w:val="242629"/>
          <w:sz w:val="28"/>
          <w:szCs w:val="28"/>
          <w:shd w:val="clear" w:color="auto" w:fill="FFFFFF"/>
        </w:rPr>
        <w:t>"</w:t>
      </w:r>
      <w:proofErr w:type="spellStart"/>
      <w:r w:rsidRPr="00D0232D">
        <w:rPr>
          <w:rFonts w:ascii="Times New Roman" w:hAnsi="Times New Roman" w:cs="Times New Roman"/>
          <w:color w:val="242629"/>
          <w:sz w:val="28"/>
          <w:szCs w:val="28"/>
          <w:shd w:val="clear" w:color="auto" w:fill="FFFFFF"/>
        </w:rPr>
        <w:t>СеверСтройБанк</w:t>
      </w:r>
      <w:proofErr w:type="spellEnd"/>
      <w:r w:rsidRPr="00D0232D">
        <w:rPr>
          <w:rFonts w:ascii="Times New Roman" w:hAnsi="Times New Roman" w:cs="Times New Roman"/>
          <w:color w:val="242629"/>
          <w:sz w:val="28"/>
          <w:szCs w:val="28"/>
          <w:shd w:val="clear" w:color="auto" w:fill="FFFFFF"/>
        </w:rPr>
        <w:t>" АО</w:t>
      </w:r>
      <w:r w:rsidRPr="00D0232D">
        <w:rPr>
          <w:rFonts w:ascii="Times New Roman" w:hAnsi="Times New Roman" w:cs="Times New Roman"/>
          <w:sz w:val="28"/>
          <w:szCs w:val="28"/>
        </w:rPr>
        <w:t>.</w:t>
      </w:r>
      <w:r>
        <w:rPr>
          <w:rFonts w:ascii="Times New Roman" w:hAnsi="Times New Roman" w:cs="Times New Roman"/>
          <w:sz w:val="28"/>
          <w:szCs w:val="28"/>
        </w:rPr>
        <w:t xml:space="preserve"> При этом ни один из банков не входит в топ-100 крупнейших банковских организации страны </w:t>
      </w:r>
      <w:r w:rsidR="008A5C6D">
        <w:rPr>
          <w:rFonts w:ascii="Times New Roman" w:hAnsi="Times New Roman" w:cs="Times New Roman"/>
          <w:sz w:val="28"/>
          <w:szCs w:val="28"/>
        </w:rPr>
        <w:t>[1</w:t>
      </w:r>
      <w:r w:rsidRPr="00D0232D">
        <w:rPr>
          <w:rFonts w:ascii="Times New Roman" w:hAnsi="Times New Roman" w:cs="Times New Roman"/>
          <w:sz w:val="28"/>
          <w:szCs w:val="28"/>
        </w:rPr>
        <w:t>]</w:t>
      </w:r>
      <w:r>
        <w:rPr>
          <w:rFonts w:ascii="Times New Roman" w:hAnsi="Times New Roman" w:cs="Times New Roman"/>
          <w:sz w:val="28"/>
          <w:szCs w:val="28"/>
        </w:rPr>
        <w:t>.</w:t>
      </w:r>
    </w:p>
    <w:p w:rsidR="0048542D" w:rsidRPr="00B83245" w:rsidRDefault="0048542D" w:rsidP="008A5C6D">
      <w:pPr>
        <w:tabs>
          <w:tab w:val="left" w:pos="1875"/>
        </w:tabs>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Б</w:t>
      </w:r>
      <w:r w:rsidRPr="000A6E85">
        <w:rPr>
          <w:rFonts w:ascii="Times New Roman" w:hAnsi="Times New Roman" w:cs="Times New Roman"/>
          <w:sz w:val="28"/>
        </w:rPr>
        <w:t>анк</w:t>
      </w:r>
      <w:r>
        <w:rPr>
          <w:rFonts w:ascii="Times New Roman" w:hAnsi="Times New Roman" w:cs="Times New Roman"/>
          <w:sz w:val="28"/>
        </w:rPr>
        <w:t>овское кредитование, являющееся в мировой экономике сильным фактором подъема народного благосостояния,</w:t>
      </w:r>
      <w:r w:rsidRPr="000A6E85">
        <w:rPr>
          <w:rFonts w:ascii="Times New Roman" w:hAnsi="Times New Roman" w:cs="Times New Roman"/>
          <w:sz w:val="28"/>
        </w:rPr>
        <w:t xml:space="preserve"> </w:t>
      </w:r>
      <w:r>
        <w:rPr>
          <w:rFonts w:ascii="Times New Roman" w:hAnsi="Times New Roman" w:cs="Times New Roman"/>
          <w:sz w:val="28"/>
        </w:rPr>
        <w:t>способствует повышению покупательской платежеспособности [2</w:t>
      </w:r>
      <w:r w:rsidRPr="001F72EC">
        <w:rPr>
          <w:rFonts w:ascii="Times New Roman" w:hAnsi="Times New Roman" w:cs="Times New Roman"/>
          <w:sz w:val="28"/>
        </w:rPr>
        <w:t>]</w:t>
      </w:r>
      <w:r>
        <w:rPr>
          <w:rFonts w:ascii="Times New Roman" w:hAnsi="Times New Roman" w:cs="Times New Roman"/>
          <w:sz w:val="28"/>
        </w:rPr>
        <w:t>.</w:t>
      </w:r>
      <w:r w:rsidR="008A5C6D">
        <w:rPr>
          <w:rFonts w:ascii="Times New Roman" w:hAnsi="Times New Roman" w:cs="Times New Roman"/>
          <w:sz w:val="28"/>
        </w:rPr>
        <w:t xml:space="preserve"> Так, </w:t>
      </w:r>
      <w:r>
        <w:rPr>
          <w:rFonts w:ascii="Times New Roman" w:hAnsi="Times New Roman" w:cs="Times New Roman"/>
          <w:sz w:val="28"/>
        </w:rPr>
        <w:t xml:space="preserve">динамика </w:t>
      </w:r>
      <w:r w:rsidRPr="00B83245">
        <w:rPr>
          <w:rFonts w:ascii="Times New Roman" w:hAnsi="Times New Roman" w:cs="Times New Roman"/>
          <w:sz w:val="28"/>
        </w:rPr>
        <w:t>объем</w:t>
      </w:r>
      <w:r>
        <w:rPr>
          <w:rFonts w:ascii="Times New Roman" w:hAnsi="Times New Roman" w:cs="Times New Roman"/>
          <w:sz w:val="28"/>
        </w:rPr>
        <w:t>а</w:t>
      </w:r>
      <w:r w:rsidRPr="00B83245">
        <w:rPr>
          <w:rFonts w:ascii="Times New Roman" w:hAnsi="Times New Roman" w:cs="Times New Roman"/>
          <w:sz w:val="28"/>
        </w:rPr>
        <w:t xml:space="preserve"> предоставленных кредитов физическим лицам за рассматриваемый период на территории Вологодской области </w:t>
      </w:r>
      <w:r>
        <w:rPr>
          <w:rFonts w:ascii="Times New Roman" w:hAnsi="Times New Roman" w:cs="Times New Roman"/>
          <w:sz w:val="28"/>
        </w:rPr>
        <w:t>является положительной</w:t>
      </w:r>
      <w:r w:rsidRPr="00B83245">
        <w:rPr>
          <w:rFonts w:ascii="Times New Roman" w:hAnsi="Times New Roman" w:cs="Times New Roman"/>
          <w:sz w:val="28"/>
        </w:rPr>
        <w:t xml:space="preserve"> (табл. 1).</w:t>
      </w:r>
    </w:p>
    <w:p w:rsidR="0048542D" w:rsidRPr="00C750A5" w:rsidRDefault="0048542D" w:rsidP="0048542D">
      <w:pPr>
        <w:tabs>
          <w:tab w:val="left" w:pos="1875"/>
        </w:tabs>
        <w:spacing w:after="0" w:line="240" w:lineRule="auto"/>
        <w:jc w:val="center"/>
        <w:rPr>
          <w:rFonts w:ascii="Times New Roman" w:hAnsi="Times New Roman" w:cs="Times New Roman"/>
          <w:sz w:val="24"/>
          <w:szCs w:val="24"/>
        </w:rPr>
      </w:pPr>
      <w:r w:rsidRPr="00C750A5">
        <w:rPr>
          <w:rFonts w:ascii="Times New Roman" w:hAnsi="Times New Roman" w:cs="Times New Roman"/>
          <w:sz w:val="24"/>
          <w:szCs w:val="24"/>
        </w:rPr>
        <w:t>Таблица 1. Динамика предоставленных кредитов физическим лицам банковского сектора Вологодской области за 2014-2019 гг. (на конец года), млрд. руб., в ценах 2019 года</w:t>
      </w:r>
    </w:p>
    <w:tbl>
      <w:tblPr>
        <w:tblStyle w:val="a7"/>
        <w:tblW w:w="9639" w:type="dxa"/>
        <w:tblInd w:w="108" w:type="dxa"/>
        <w:tblLook w:val="04A0" w:firstRow="1" w:lastRow="0" w:firstColumn="1" w:lastColumn="0" w:noHBand="0" w:noVBand="1"/>
      </w:tblPr>
      <w:tblGrid>
        <w:gridCol w:w="1977"/>
        <w:gridCol w:w="1063"/>
        <w:gridCol w:w="766"/>
        <w:gridCol w:w="799"/>
        <w:gridCol w:w="802"/>
        <w:gridCol w:w="827"/>
        <w:gridCol w:w="827"/>
        <w:gridCol w:w="1216"/>
        <w:gridCol w:w="1362"/>
      </w:tblGrid>
      <w:tr w:rsidR="0048542D" w:rsidRPr="00C750A5" w:rsidTr="000E4A98">
        <w:trPr>
          <w:trHeight w:val="216"/>
        </w:trPr>
        <w:tc>
          <w:tcPr>
            <w:tcW w:w="1977" w:type="dxa"/>
            <w:vMerge w:val="restart"/>
          </w:tcPr>
          <w:p w:rsidR="0048542D" w:rsidRPr="00C750A5" w:rsidRDefault="0048542D" w:rsidP="00C750A5">
            <w:pPr>
              <w:tabs>
                <w:tab w:val="left" w:pos="1875"/>
              </w:tabs>
              <w:jc w:val="center"/>
              <w:rPr>
                <w:rFonts w:ascii="Arial Narrow" w:hAnsi="Arial Narrow" w:cs="Times New Roman"/>
                <w:sz w:val="18"/>
                <w:szCs w:val="18"/>
              </w:rPr>
            </w:pPr>
            <w:r w:rsidRPr="00C750A5">
              <w:rPr>
                <w:rFonts w:ascii="Arial Narrow" w:hAnsi="Arial Narrow" w:cs="Times New Roman"/>
                <w:sz w:val="18"/>
                <w:szCs w:val="18"/>
              </w:rPr>
              <w:t>Наименование показателя</w:t>
            </w:r>
          </w:p>
        </w:tc>
        <w:tc>
          <w:tcPr>
            <w:tcW w:w="5084" w:type="dxa"/>
            <w:gridSpan w:val="6"/>
            <w:vAlign w:val="center"/>
          </w:tcPr>
          <w:p w:rsidR="0048542D" w:rsidRPr="00C750A5" w:rsidRDefault="0048542D" w:rsidP="00C750A5">
            <w:pPr>
              <w:tabs>
                <w:tab w:val="left" w:pos="1875"/>
              </w:tabs>
              <w:jc w:val="center"/>
              <w:rPr>
                <w:rFonts w:ascii="Arial Narrow" w:hAnsi="Arial Narrow" w:cs="Times New Roman"/>
                <w:sz w:val="18"/>
                <w:szCs w:val="18"/>
              </w:rPr>
            </w:pPr>
            <w:r w:rsidRPr="00C750A5">
              <w:rPr>
                <w:rFonts w:ascii="Arial Narrow" w:hAnsi="Arial Narrow" w:cs="Times New Roman"/>
                <w:sz w:val="18"/>
                <w:szCs w:val="18"/>
              </w:rPr>
              <w:t>Год</w:t>
            </w:r>
          </w:p>
        </w:tc>
        <w:tc>
          <w:tcPr>
            <w:tcW w:w="1216" w:type="dxa"/>
            <w:vMerge w:val="restart"/>
          </w:tcPr>
          <w:p w:rsidR="0048542D" w:rsidRPr="00C750A5" w:rsidRDefault="0048542D" w:rsidP="00C750A5">
            <w:pPr>
              <w:tabs>
                <w:tab w:val="left" w:pos="1875"/>
              </w:tabs>
              <w:jc w:val="center"/>
              <w:rPr>
                <w:rFonts w:ascii="Arial Narrow" w:hAnsi="Arial Narrow" w:cs="Times New Roman"/>
                <w:sz w:val="18"/>
                <w:szCs w:val="18"/>
              </w:rPr>
            </w:pPr>
            <w:proofErr w:type="spellStart"/>
            <w:r w:rsidRPr="00C750A5">
              <w:rPr>
                <w:rFonts w:ascii="Arial Narrow" w:hAnsi="Arial Narrow" w:cs="Times New Roman"/>
                <w:color w:val="000000"/>
                <w:sz w:val="18"/>
                <w:szCs w:val="18"/>
              </w:rPr>
              <w:t>Абс</w:t>
            </w:r>
            <w:proofErr w:type="spellEnd"/>
            <w:r w:rsidRPr="00C750A5">
              <w:rPr>
                <w:rFonts w:ascii="Arial Narrow" w:hAnsi="Arial Narrow" w:cs="Times New Roman"/>
                <w:color w:val="000000"/>
                <w:sz w:val="18"/>
                <w:szCs w:val="18"/>
              </w:rPr>
              <w:t>. Значение 2019г. к 2014г.,</w:t>
            </w:r>
          </w:p>
        </w:tc>
        <w:tc>
          <w:tcPr>
            <w:tcW w:w="1362" w:type="dxa"/>
            <w:vMerge w:val="restart"/>
          </w:tcPr>
          <w:p w:rsidR="0048542D" w:rsidRPr="00C750A5" w:rsidRDefault="0048542D" w:rsidP="00C750A5">
            <w:pPr>
              <w:tabs>
                <w:tab w:val="left" w:pos="1875"/>
              </w:tabs>
              <w:jc w:val="center"/>
              <w:rPr>
                <w:rFonts w:ascii="Arial Narrow" w:hAnsi="Arial Narrow" w:cs="Times New Roman"/>
                <w:sz w:val="18"/>
                <w:szCs w:val="18"/>
              </w:rPr>
            </w:pPr>
            <w:r w:rsidRPr="00C750A5">
              <w:rPr>
                <w:rFonts w:ascii="Arial Narrow" w:hAnsi="Arial Narrow" w:cs="Times New Roman"/>
                <w:sz w:val="18"/>
                <w:szCs w:val="18"/>
              </w:rPr>
              <w:t xml:space="preserve">Относ. Значение </w:t>
            </w:r>
            <w:r w:rsidRPr="00C750A5">
              <w:rPr>
                <w:rFonts w:ascii="Arial Narrow" w:hAnsi="Arial Narrow" w:cs="Times New Roman"/>
                <w:color w:val="000000"/>
                <w:sz w:val="18"/>
                <w:szCs w:val="18"/>
              </w:rPr>
              <w:t>2019г. к 2014 г., в %</w:t>
            </w:r>
          </w:p>
        </w:tc>
      </w:tr>
      <w:tr w:rsidR="0048542D" w:rsidRPr="00C750A5" w:rsidTr="000E4A98">
        <w:trPr>
          <w:trHeight w:val="435"/>
        </w:trPr>
        <w:tc>
          <w:tcPr>
            <w:tcW w:w="1977" w:type="dxa"/>
            <w:vMerge/>
          </w:tcPr>
          <w:p w:rsidR="0048542D" w:rsidRPr="00C750A5" w:rsidRDefault="0048542D" w:rsidP="00C750A5">
            <w:pPr>
              <w:tabs>
                <w:tab w:val="left" w:pos="1875"/>
              </w:tabs>
              <w:jc w:val="center"/>
              <w:rPr>
                <w:rFonts w:ascii="Arial Narrow" w:hAnsi="Arial Narrow" w:cs="Times New Roman"/>
                <w:sz w:val="18"/>
                <w:szCs w:val="18"/>
              </w:rPr>
            </w:pPr>
          </w:p>
        </w:tc>
        <w:tc>
          <w:tcPr>
            <w:tcW w:w="1063" w:type="dxa"/>
            <w:vAlign w:val="center"/>
          </w:tcPr>
          <w:p w:rsidR="0048542D" w:rsidRPr="00C750A5" w:rsidRDefault="0048542D" w:rsidP="00C750A5">
            <w:pPr>
              <w:tabs>
                <w:tab w:val="left" w:pos="1875"/>
              </w:tabs>
              <w:jc w:val="center"/>
              <w:rPr>
                <w:rFonts w:ascii="Arial Narrow" w:hAnsi="Arial Narrow" w:cs="Times New Roman"/>
                <w:sz w:val="18"/>
                <w:szCs w:val="18"/>
              </w:rPr>
            </w:pPr>
            <w:r w:rsidRPr="00C750A5">
              <w:rPr>
                <w:rFonts w:ascii="Arial Narrow" w:hAnsi="Arial Narrow" w:cs="Times New Roman"/>
                <w:sz w:val="18"/>
                <w:szCs w:val="18"/>
              </w:rPr>
              <w:t>2014</w:t>
            </w:r>
          </w:p>
        </w:tc>
        <w:tc>
          <w:tcPr>
            <w:tcW w:w="766" w:type="dxa"/>
            <w:vAlign w:val="center"/>
          </w:tcPr>
          <w:p w:rsidR="0048542D" w:rsidRPr="00C750A5" w:rsidRDefault="0048542D" w:rsidP="00C750A5">
            <w:pPr>
              <w:tabs>
                <w:tab w:val="left" w:pos="1875"/>
              </w:tabs>
              <w:jc w:val="center"/>
              <w:rPr>
                <w:rFonts w:ascii="Arial Narrow" w:hAnsi="Arial Narrow" w:cs="Times New Roman"/>
                <w:sz w:val="18"/>
                <w:szCs w:val="18"/>
              </w:rPr>
            </w:pPr>
            <w:r w:rsidRPr="00C750A5">
              <w:rPr>
                <w:rFonts w:ascii="Arial Narrow" w:hAnsi="Arial Narrow" w:cs="Times New Roman"/>
                <w:sz w:val="18"/>
                <w:szCs w:val="18"/>
              </w:rPr>
              <w:t>2015</w:t>
            </w:r>
          </w:p>
        </w:tc>
        <w:tc>
          <w:tcPr>
            <w:tcW w:w="799" w:type="dxa"/>
            <w:vAlign w:val="center"/>
          </w:tcPr>
          <w:p w:rsidR="0048542D" w:rsidRPr="00C750A5" w:rsidRDefault="0048542D" w:rsidP="00C750A5">
            <w:pPr>
              <w:tabs>
                <w:tab w:val="left" w:pos="1875"/>
              </w:tabs>
              <w:jc w:val="center"/>
              <w:rPr>
                <w:rFonts w:ascii="Arial Narrow" w:hAnsi="Arial Narrow" w:cs="Times New Roman"/>
                <w:sz w:val="18"/>
                <w:szCs w:val="18"/>
              </w:rPr>
            </w:pPr>
            <w:r w:rsidRPr="00C750A5">
              <w:rPr>
                <w:rFonts w:ascii="Arial Narrow" w:hAnsi="Arial Narrow" w:cs="Times New Roman"/>
                <w:sz w:val="18"/>
                <w:szCs w:val="18"/>
              </w:rPr>
              <w:t>2016</w:t>
            </w:r>
          </w:p>
        </w:tc>
        <w:tc>
          <w:tcPr>
            <w:tcW w:w="802" w:type="dxa"/>
            <w:vAlign w:val="center"/>
          </w:tcPr>
          <w:p w:rsidR="0048542D" w:rsidRPr="00C750A5" w:rsidRDefault="0048542D" w:rsidP="00C750A5">
            <w:pPr>
              <w:tabs>
                <w:tab w:val="left" w:pos="1875"/>
              </w:tabs>
              <w:jc w:val="center"/>
              <w:rPr>
                <w:rFonts w:ascii="Arial Narrow" w:hAnsi="Arial Narrow" w:cs="Times New Roman"/>
                <w:sz w:val="18"/>
                <w:szCs w:val="18"/>
              </w:rPr>
            </w:pPr>
            <w:r w:rsidRPr="00C750A5">
              <w:rPr>
                <w:rFonts w:ascii="Arial Narrow" w:hAnsi="Arial Narrow" w:cs="Times New Roman"/>
                <w:sz w:val="18"/>
                <w:szCs w:val="18"/>
              </w:rPr>
              <w:t>2017</w:t>
            </w:r>
          </w:p>
        </w:tc>
        <w:tc>
          <w:tcPr>
            <w:tcW w:w="827" w:type="dxa"/>
            <w:vAlign w:val="center"/>
          </w:tcPr>
          <w:p w:rsidR="0048542D" w:rsidRPr="00C750A5" w:rsidRDefault="0048542D" w:rsidP="00C750A5">
            <w:pPr>
              <w:tabs>
                <w:tab w:val="left" w:pos="1875"/>
              </w:tabs>
              <w:jc w:val="center"/>
              <w:rPr>
                <w:rFonts w:ascii="Arial Narrow" w:hAnsi="Arial Narrow" w:cs="Times New Roman"/>
                <w:sz w:val="18"/>
                <w:szCs w:val="18"/>
              </w:rPr>
            </w:pPr>
            <w:r w:rsidRPr="00C750A5">
              <w:rPr>
                <w:rFonts w:ascii="Arial Narrow" w:hAnsi="Arial Narrow" w:cs="Times New Roman"/>
                <w:sz w:val="18"/>
                <w:szCs w:val="18"/>
              </w:rPr>
              <w:t>2018</w:t>
            </w:r>
          </w:p>
        </w:tc>
        <w:tc>
          <w:tcPr>
            <w:tcW w:w="827" w:type="dxa"/>
            <w:vAlign w:val="center"/>
          </w:tcPr>
          <w:p w:rsidR="0048542D" w:rsidRPr="00C750A5" w:rsidRDefault="0048542D" w:rsidP="00C750A5">
            <w:pPr>
              <w:tabs>
                <w:tab w:val="left" w:pos="1875"/>
              </w:tabs>
              <w:jc w:val="center"/>
              <w:rPr>
                <w:rFonts w:ascii="Arial Narrow" w:hAnsi="Arial Narrow" w:cs="Times New Roman"/>
                <w:sz w:val="18"/>
                <w:szCs w:val="18"/>
              </w:rPr>
            </w:pPr>
            <w:r w:rsidRPr="00C750A5">
              <w:rPr>
                <w:rFonts w:ascii="Arial Narrow" w:hAnsi="Arial Narrow" w:cs="Times New Roman"/>
                <w:sz w:val="18"/>
                <w:szCs w:val="18"/>
              </w:rPr>
              <w:t>2019</w:t>
            </w:r>
          </w:p>
        </w:tc>
        <w:tc>
          <w:tcPr>
            <w:tcW w:w="1216" w:type="dxa"/>
            <w:vMerge/>
            <w:vAlign w:val="center"/>
          </w:tcPr>
          <w:p w:rsidR="0048542D" w:rsidRPr="00C750A5" w:rsidRDefault="0048542D" w:rsidP="00C750A5">
            <w:pPr>
              <w:tabs>
                <w:tab w:val="left" w:pos="1875"/>
              </w:tabs>
              <w:jc w:val="center"/>
              <w:rPr>
                <w:rFonts w:ascii="Arial Narrow" w:hAnsi="Arial Narrow" w:cs="Times New Roman"/>
                <w:sz w:val="18"/>
                <w:szCs w:val="18"/>
              </w:rPr>
            </w:pPr>
          </w:p>
        </w:tc>
        <w:tc>
          <w:tcPr>
            <w:tcW w:w="1362" w:type="dxa"/>
            <w:vMerge/>
            <w:vAlign w:val="center"/>
          </w:tcPr>
          <w:p w:rsidR="0048542D" w:rsidRPr="00C750A5" w:rsidRDefault="0048542D" w:rsidP="00C750A5">
            <w:pPr>
              <w:tabs>
                <w:tab w:val="left" w:pos="1875"/>
              </w:tabs>
              <w:jc w:val="center"/>
              <w:rPr>
                <w:rFonts w:ascii="Arial Narrow" w:hAnsi="Arial Narrow" w:cs="Times New Roman"/>
                <w:sz w:val="18"/>
                <w:szCs w:val="18"/>
              </w:rPr>
            </w:pPr>
          </w:p>
        </w:tc>
      </w:tr>
      <w:tr w:rsidR="0048542D" w:rsidRPr="00C750A5" w:rsidTr="000E4A98">
        <w:trPr>
          <w:trHeight w:val="821"/>
        </w:trPr>
        <w:tc>
          <w:tcPr>
            <w:tcW w:w="1977" w:type="dxa"/>
            <w:vAlign w:val="center"/>
          </w:tcPr>
          <w:p w:rsidR="0048542D" w:rsidRPr="00C750A5" w:rsidRDefault="0048542D" w:rsidP="00C750A5">
            <w:pPr>
              <w:tabs>
                <w:tab w:val="left" w:pos="1875"/>
              </w:tabs>
              <w:rPr>
                <w:rFonts w:ascii="Arial Narrow" w:hAnsi="Arial Narrow" w:cs="Times New Roman"/>
                <w:sz w:val="18"/>
                <w:szCs w:val="18"/>
              </w:rPr>
            </w:pPr>
            <w:r w:rsidRPr="00C750A5">
              <w:rPr>
                <w:rFonts w:ascii="Arial Narrow" w:hAnsi="Arial Narrow" w:cs="Times New Roman"/>
                <w:sz w:val="18"/>
                <w:szCs w:val="18"/>
              </w:rPr>
              <w:t>Кредиты, предоставленные физическим лицам - всего</w:t>
            </w:r>
          </w:p>
        </w:tc>
        <w:tc>
          <w:tcPr>
            <w:tcW w:w="1063" w:type="dxa"/>
            <w:vAlign w:val="center"/>
          </w:tcPr>
          <w:p w:rsidR="0048542D" w:rsidRPr="00C750A5" w:rsidRDefault="0048542D" w:rsidP="00C750A5">
            <w:pPr>
              <w:jc w:val="center"/>
              <w:rPr>
                <w:rFonts w:ascii="Arial Narrow" w:hAnsi="Arial Narrow" w:cs="Times New Roman"/>
                <w:color w:val="000000"/>
                <w:sz w:val="18"/>
                <w:szCs w:val="18"/>
              </w:rPr>
            </w:pPr>
            <w:r w:rsidRPr="00C750A5">
              <w:rPr>
                <w:rFonts w:ascii="Arial Narrow" w:hAnsi="Arial Narrow" w:cs="Times New Roman"/>
                <w:color w:val="000000"/>
                <w:sz w:val="18"/>
                <w:szCs w:val="18"/>
              </w:rPr>
              <w:t>79,95</w:t>
            </w:r>
          </w:p>
        </w:tc>
        <w:tc>
          <w:tcPr>
            <w:tcW w:w="766" w:type="dxa"/>
            <w:vAlign w:val="center"/>
          </w:tcPr>
          <w:p w:rsidR="0048542D" w:rsidRPr="00C750A5" w:rsidRDefault="0048542D" w:rsidP="00C750A5">
            <w:pPr>
              <w:jc w:val="center"/>
              <w:rPr>
                <w:rFonts w:ascii="Arial Narrow" w:hAnsi="Arial Narrow" w:cs="Times New Roman"/>
                <w:color w:val="000000"/>
                <w:sz w:val="18"/>
                <w:szCs w:val="18"/>
              </w:rPr>
            </w:pPr>
            <w:r w:rsidRPr="00C750A5">
              <w:rPr>
                <w:rFonts w:ascii="Arial Narrow" w:hAnsi="Arial Narrow" w:cs="Times New Roman"/>
                <w:color w:val="000000"/>
                <w:sz w:val="18"/>
                <w:szCs w:val="18"/>
              </w:rPr>
              <w:t>51,09</w:t>
            </w:r>
          </w:p>
        </w:tc>
        <w:tc>
          <w:tcPr>
            <w:tcW w:w="799" w:type="dxa"/>
            <w:vAlign w:val="center"/>
          </w:tcPr>
          <w:p w:rsidR="0048542D" w:rsidRPr="00C750A5" w:rsidRDefault="0048542D" w:rsidP="00C750A5">
            <w:pPr>
              <w:jc w:val="center"/>
              <w:rPr>
                <w:rFonts w:ascii="Arial Narrow" w:hAnsi="Arial Narrow" w:cs="Times New Roman"/>
                <w:color w:val="000000"/>
                <w:sz w:val="18"/>
                <w:szCs w:val="18"/>
              </w:rPr>
            </w:pPr>
            <w:r w:rsidRPr="00C750A5">
              <w:rPr>
                <w:rFonts w:ascii="Arial Narrow" w:hAnsi="Arial Narrow" w:cs="Times New Roman"/>
                <w:color w:val="000000"/>
                <w:sz w:val="18"/>
                <w:szCs w:val="18"/>
              </w:rPr>
              <w:t>60,14</w:t>
            </w:r>
          </w:p>
        </w:tc>
        <w:tc>
          <w:tcPr>
            <w:tcW w:w="802" w:type="dxa"/>
            <w:vAlign w:val="center"/>
          </w:tcPr>
          <w:p w:rsidR="0048542D" w:rsidRPr="00C750A5" w:rsidRDefault="0048542D" w:rsidP="00C750A5">
            <w:pPr>
              <w:jc w:val="center"/>
              <w:rPr>
                <w:rFonts w:ascii="Arial Narrow" w:hAnsi="Arial Narrow" w:cs="Times New Roman"/>
                <w:color w:val="000000"/>
                <w:sz w:val="18"/>
                <w:szCs w:val="18"/>
              </w:rPr>
            </w:pPr>
            <w:r w:rsidRPr="00C750A5">
              <w:rPr>
                <w:rFonts w:ascii="Arial Narrow" w:hAnsi="Arial Narrow" w:cs="Times New Roman"/>
                <w:color w:val="000000"/>
                <w:sz w:val="18"/>
                <w:szCs w:val="18"/>
              </w:rPr>
              <w:t>70,36</w:t>
            </w:r>
          </w:p>
        </w:tc>
        <w:tc>
          <w:tcPr>
            <w:tcW w:w="827" w:type="dxa"/>
            <w:vAlign w:val="center"/>
          </w:tcPr>
          <w:p w:rsidR="0048542D" w:rsidRPr="00C750A5" w:rsidRDefault="0048542D" w:rsidP="00C750A5">
            <w:pPr>
              <w:jc w:val="center"/>
              <w:rPr>
                <w:rFonts w:ascii="Arial Narrow" w:hAnsi="Arial Narrow" w:cs="Times New Roman"/>
                <w:color w:val="000000"/>
                <w:sz w:val="18"/>
                <w:szCs w:val="18"/>
              </w:rPr>
            </w:pPr>
            <w:r w:rsidRPr="00C750A5">
              <w:rPr>
                <w:rFonts w:ascii="Arial Narrow" w:hAnsi="Arial Narrow" w:cs="Times New Roman"/>
                <w:color w:val="000000"/>
                <w:sz w:val="18"/>
                <w:szCs w:val="18"/>
              </w:rPr>
              <w:t>93,40</w:t>
            </w:r>
          </w:p>
        </w:tc>
        <w:tc>
          <w:tcPr>
            <w:tcW w:w="827" w:type="dxa"/>
            <w:vAlign w:val="center"/>
          </w:tcPr>
          <w:p w:rsidR="0048542D" w:rsidRPr="00C750A5" w:rsidRDefault="0048542D" w:rsidP="00C750A5">
            <w:pPr>
              <w:jc w:val="center"/>
              <w:rPr>
                <w:rFonts w:ascii="Arial Narrow" w:hAnsi="Arial Narrow" w:cs="Times New Roman"/>
                <w:color w:val="000000"/>
                <w:sz w:val="18"/>
                <w:szCs w:val="18"/>
              </w:rPr>
            </w:pPr>
            <w:r w:rsidRPr="00C750A5">
              <w:rPr>
                <w:rFonts w:ascii="Arial Narrow" w:hAnsi="Arial Narrow" w:cs="Times New Roman"/>
                <w:color w:val="000000"/>
                <w:sz w:val="18"/>
                <w:szCs w:val="18"/>
              </w:rPr>
              <w:t>100,30</w:t>
            </w:r>
          </w:p>
        </w:tc>
        <w:tc>
          <w:tcPr>
            <w:tcW w:w="1216" w:type="dxa"/>
            <w:vAlign w:val="center"/>
          </w:tcPr>
          <w:p w:rsidR="0048542D" w:rsidRPr="00C750A5" w:rsidRDefault="0048542D" w:rsidP="00C750A5">
            <w:pPr>
              <w:jc w:val="center"/>
              <w:rPr>
                <w:rFonts w:ascii="Arial Narrow" w:hAnsi="Arial Narrow" w:cs="Times New Roman"/>
                <w:color w:val="000000"/>
                <w:sz w:val="18"/>
                <w:szCs w:val="18"/>
              </w:rPr>
            </w:pPr>
            <w:r w:rsidRPr="00C750A5">
              <w:rPr>
                <w:rFonts w:ascii="Arial Narrow" w:hAnsi="Arial Narrow" w:cs="Times New Roman"/>
                <w:color w:val="000000"/>
                <w:sz w:val="18"/>
                <w:szCs w:val="18"/>
              </w:rPr>
              <w:t>21,35</w:t>
            </w:r>
          </w:p>
        </w:tc>
        <w:tc>
          <w:tcPr>
            <w:tcW w:w="1362" w:type="dxa"/>
            <w:vAlign w:val="center"/>
          </w:tcPr>
          <w:p w:rsidR="0048542D" w:rsidRPr="00C750A5" w:rsidRDefault="0048542D" w:rsidP="00C750A5">
            <w:pPr>
              <w:jc w:val="center"/>
              <w:rPr>
                <w:rFonts w:ascii="Arial Narrow" w:hAnsi="Arial Narrow" w:cs="Times New Roman"/>
                <w:color w:val="000000"/>
                <w:sz w:val="18"/>
                <w:szCs w:val="18"/>
              </w:rPr>
            </w:pPr>
            <w:r w:rsidRPr="00C750A5">
              <w:rPr>
                <w:rFonts w:ascii="Arial Narrow" w:hAnsi="Arial Narrow" w:cs="Times New Roman"/>
                <w:color w:val="000000"/>
                <w:sz w:val="18"/>
                <w:szCs w:val="18"/>
              </w:rPr>
              <w:t>126,7</w:t>
            </w:r>
          </w:p>
        </w:tc>
      </w:tr>
      <w:tr w:rsidR="0048542D" w:rsidRPr="00C750A5" w:rsidTr="000E4A98">
        <w:trPr>
          <w:trHeight w:val="100"/>
        </w:trPr>
        <w:tc>
          <w:tcPr>
            <w:tcW w:w="1977" w:type="dxa"/>
            <w:vAlign w:val="center"/>
          </w:tcPr>
          <w:p w:rsidR="0048542D" w:rsidRPr="00C750A5" w:rsidRDefault="0048542D" w:rsidP="00C750A5">
            <w:pPr>
              <w:tabs>
                <w:tab w:val="left" w:pos="1875"/>
              </w:tabs>
              <w:rPr>
                <w:rFonts w:ascii="Arial Narrow" w:hAnsi="Arial Narrow" w:cs="Times New Roman"/>
                <w:sz w:val="18"/>
                <w:szCs w:val="18"/>
              </w:rPr>
            </w:pPr>
            <w:r w:rsidRPr="00C750A5">
              <w:rPr>
                <w:rFonts w:ascii="Arial Narrow" w:hAnsi="Arial Narrow" w:cs="Times New Roman"/>
                <w:sz w:val="18"/>
                <w:szCs w:val="18"/>
              </w:rPr>
              <w:t xml:space="preserve">в </w:t>
            </w:r>
            <w:proofErr w:type="spellStart"/>
            <w:r w:rsidRPr="00C750A5">
              <w:rPr>
                <w:rFonts w:ascii="Arial Narrow" w:hAnsi="Arial Narrow" w:cs="Times New Roman"/>
                <w:sz w:val="18"/>
                <w:szCs w:val="18"/>
              </w:rPr>
              <w:t>т.ч</w:t>
            </w:r>
            <w:proofErr w:type="spellEnd"/>
            <w:r w:rsidRPr="00C750A5">
              <w:rPr>
                <w:rFonts w:ascii="Arial Narrow" w:hAnsi="Arial Narrow" w:cs="Times New Roman"/>
                <w:sz w:val="18"/>
                <w:szCs w:val="18"/>
              </w:rPr>
              <w:t>.</w:t>
            </w:r>
          </w:p>
        </w:tc>
        <w:tc>
          <w:tcPr>
            <w:tcW w:w="7662" w:type="dxa"/>
            <w:gridSpan w:val="8"/>
            <w:vAlign w:val="center"/>
          </w:tcPr>
          <w:p w:rsidR="0048542D" w:rsidRPr="00C750A5" w:rsidRDefault="0048542D" w:rsidP="00C750A5">
            <w:pPr>
              <w:jc w:val="center"/>
              <w:rPr>
                <w:rFonts w:ascii="Arial Narrow" w:hAnsi="Arial Narrow" w:cs="Times New Roman"/>
                <w:color w:val="000000"/>
                <w:sz w:val="18"/>
                <w:szCs w:val="18"/>
              </w:rPr>
            </w:pPr>
          </w:p>
        </w:tc>
      </w:tr>
      <w:tr w:rsidR="0048542D" w:rsidRPr="00C750A5" w:rsidTr="000E4A98">
        <w:trPr>
          <w:trHeight w:val="113"/>
        </w:trPr>
        <w:tc>
          <w:tcPr>
            <w:tcW w:w="1977" w:type="dxa"/>
            <w:vAlign w:val="center"/>
          </w:tcPr>
          <w:p w:rsidR="0048542D" w:rsidRPr="00C750A5" w:rsidRDefault="0048542D" w:rsidP="00C750A5">
            <w:pPr>
              <w:tabs>
                <w:tab w:val="left" w:pos="1875"/>
              </w:tabs>
              <w:rPr>
                <w:rFonts w:ascii="Arial Narrow" w:hAnsi="Arial Narrow" w:cs="Times New Roman"/>
                <w:sz w:val="18"/>
                <w:szCs w:val="18"/>
              </w:rPr>
            </w:pPr>
            <w:r w:rsidRPr="00C750A5">
              <w:rPr>
                <w:rFonts w:ascii="Arial Narrow" w:hAnsi="Arial Narrow" w:cs="Times New Roman"/>
                <w:sz w:val="18"/>
                <w:szCs w:val="18"/>
              </w:rPr>
              <w:t>Жилищные кредиты</w:t>
            </w:r>
          </w:p>
        </w:tc>
        <w:tc>
          <w:tcPr>
            <w:tcW w:w="1063" w:type="dxa"/>
            <w:vAlign w:val="center"/>
          </w:tcPr>
          <w:p w:rsidR="0048542D" w:rsidRPr="00C750A5" w:rsidRDefault="0048542D" w:rsidP="00C750A5">
            <w:pPr>
              <w:jc w:val="center"/>
              <w:rPr>
                <w:rFonts w:ascii="Arial Narrow" w:hAnsi="Arial Narrow" w:cs="Times New Roman"/>
                <w:color w:val="000000"/>
                <w:sz w:val="18"/>
                <w:szCs w:val="18"/>
              </w:rPr>
            </w:pPr>
            <w:r w:rsidRPr="00C750A5">
              <w:rPr>
                <w:rFonts w:ascii="Arial Narrow" w:hAnsi="Arial Narrow" w:cs="Times New Roman"/>
                <w:color w:val="000000"/>
                <w:sz w:val="18"/>
                <w:szCs w:val="18"/>
              </w:rPr>
              <w:t>18,25</w:t>
            </w:r>
          </w:p>
        </w:tc>
        <w:tc>
          <w:tcPr>
            <w:tcW w:w="766" w:type="dxa"/>
            <w:vAlign w:val="center"/>
          </w:tcPr>
          <w:p w:rsidR="0048542D" w:rsidRPr="00C750A5" w:rsidRDefault="0048542D" w:rsidP="00C750A5">
            <w:pPr>
              <w:jc w:val="center"/>
              <w:rPr>
                <w:rFonts w:ascii="Arial Narrow" w:hAnsi="Arial Narrow" w:cs="Times New Roman"/>
                <w:color w:val="000000"/>
                <w:sz w:val="18"/>
                <w:szCs w:val="18"/>
              </w:rPr>
            </w:pPr>
            <w:r w:rsidRPr="00C750A5">
              <w:rPr>
                <w:rFonts w:ascii="Arial Narrow" w:hAnsi="Arial Narrow" w:cs="Times New Roman"/>
                <w:color w:val="000000"/>
                <w:sz w:val="18"/>
                <w:szCs w:val="18"/>
              </w:rPr>
              <w:t>11,62</w:t>
            </w:r>
          </w:p>
        </w:tc>
        <w:tc>
          <w:tcPr>
            <w:tcW w:w="799" w:type="dxa"/>
            <w:vAlign w:val="center"/>
          </w:tcPr>
          <w:p w:rsidR="0048542D" w:rsidRPr="00C750A5" w:rsidRDefault="0048542D" w:rsidP="00C750A5">
            <w:pPr>
              <w:jc w:val="center"/>
              <w:rPr>
                <w:rFonts w:ascii="Arial Narrow" w:hAnsi="Arial Narrow" w:cs="Times New Roman"/>
                <w:color w:val="000000"/>
                <w:sz w:val="18"/>
                <w:szCs w:val="18"/>
              </w:rPr>
            </w:pPr>
            <w:r w:rsidRPr="00C750A5">
              <w:rPr>
                <w:rFonts w:ascii="Arial Narrow" w:hAnsi="Arial Narrow" w:cs="Times New Roman"/>
                <w:color w:val="000000"/>
                <w:sz w:val="18"/>
                <w:szCs w:val="18"/>
              </w:rPr>
              <w:t>13,88</w:t>
            </w:r>
          </w:p>
        </w:tc>
        <w:tc>
          <w:tcPr>
            <w:tcW w:w="802" w:type="dxa"/>
            <w:vAlign w:val="center"/>
          </w:tcPr>
          <w:p w:rsidR="0048542D" w:rsidRPr="00C750A5" w:rsidRDefault="0048542D" w:rsidP="00C750A5">
            <w:pPr>
              <w:jc w:val="center"/>
              <w:rPr>
                <w:rFonts w:ascii="Arial Narrow" w:hAnsi="Arial Narrow" w:cs="Times New Roman"/>
                <w:color w:val="000000"/>
                <w:sz w:val="18"/>
                <w:szCs w:val="18"/>
              </w:rPr>
            </w:pPr>
            <w:r w:rsidRPr="00C750A5">
              <w:rPr>
                <w:rFonts w:ascii="Arial Narrow" w:hAnsi="Arial Narrow" w:cs="Times New Roman"/>
                <w:color w:val="000000"/>
                <w:sz w:val="18"/>
                <w:szCs w:val="18"/>
              </w:rPr>
              <w:t>16,95</w:t>
            </w:r>
          </w:p>
        </w:tc>
        <w:tc>
          <w:tcPr>
            <w:tcW w:w="827" w:type="dxa"/>
            <w:vAlign w:val="center"/>
          </w:tcPr>
          <w:p w:rsidR="0048542D" w:rsidRPr="00C750A5" w:rsidRDefault="0048542D" w:rsidP="00C750A5">
            <w:pPr>
              <w:jc w:val="center"/>
              <w:rPr>
                <w:rFonts w:ascii="Arial Narrow" w:hAnsi="Arial Narrow" w:cs="Times New Roman"/>
                <w:color w:val="000000"/>
                <w:sz w:val="18"/>
                <w:szCs w:val="18"/>
              </w:rPr>
            </w:pPr>
            <w:r w:rsidRPr="00C750A5">
              <w:rPr>
                <w:rFonts w:ascii="Arial Narrow" w:hAnsi="Arial Narrow" w:cs="Times New Roman"/>
                <w:color w:val="000000"/>
                <w:sz w:val="18"/>
                <w:szCs w:val="18"/>
              </w:rPr>
              <w:t>22,22</w:t>
            </w:r>
          </w:p>
        </w:tc>
        <w:tc>
          <w:tcPr>
            <w:tcW w:w="827" w:type="dxa"/>
            <w:vAlign w:val="center"/>
          </w:tcPr>
          <w:p w:rsidR="0048542D" w:rsidRPr="00C750A5" w:rsidRDefault="0048542D" w:rsidP="00C750A5">
            <w:pPr>
              <w:jc w:val="center"/>
              <w:rPr>
                <w:rFonts w:ascii="Arial Narrow" w:hAnsi="Arial Narrow" w:cs="Times New Roman"/>
                <w:color w:val="000000"/>
                <w:sz w:val="18"/>
                <w:szCs w:val="18"/>
              </w:rPr>
            </w:pPr>
            <w:r w:rsidRPr="00C750A5">
              <w:rPr>
                <w:rFonts w:ascii="Arial Narrow" w:hAnsi="Arial Narrow" w:cs="Times New Roman"/>
                <w:color w:val="000000"/>
                <w:sz w:val="18"/>
                <w:szCs w:val="18"/>
              </w:rPr>
              <w:t>19,70</w:t>
            </w:r>
          </w:p>
        </w:tc>
        <w:tc>
          <w:tcPr>
            <w:tcW w:w="1216" w:type="dxa"/>
            <w:vAlign w:val="center"/>
          </w:tcPr>
          <w:p w:rsidR="0048542D" w:rsidRPr="00C750A5" w:rsidRDefault="0048542D" w:rsidP="00C750A5">
            <w:pPr>
              <w:jc w:val="center"/>
              <w:rPr>
                <w:rFonts w:ascii="Arial Narrow" w:hAnsi="Arial Narrow" w:cs="Times New Roman"/>
                <w:color w:val="000000"/>
                <w:sz w:val="18"/>
                <w:szCs w:val="18"/>
              </w:rPr>
            </w:pPr>
            <w:r w:rsidRPr="00C750A5">
              <w:rPr>
                <w:rFonts w:ascii="Arial Narrow" w:hAnsi="Arial Narrow" w:cs="Times New Roman"/>
                <w:color w:val="000000"/>
                <w:sz w:val="18"/>
                <w:szCs w:val="18"/>
              </w:rPr>
              <w:t>1,45</w:t>
            </w:r>
          </w:p>
        </w:tc>
        <w:tc>
          <w:tcPr>
            <w:tcW w:w="1362" w:type="dxa"/>
            <w:vAlign w:val="center"/>
          </w:tcPr>
          <w:p w:rsidR="0048542D" w:rsidRPr="00C750A5" w:rsidRDefault="0048542D" w:rsidP="00C750A5">
            <w:pPr>
              <w:jc w:val="center"/>
              <w:rPr>
                <w:rFonts w:ascii="Arial Narrow" w:hAnsi="Arial Narrow" w:cs="Times New Roman"/>
                <w:color w:val="000000"/>
                <w:sz w:val="18"/>
                <w:szCs w:val="18"/>
              </w:rPr>
            </w:pPr>
            <w:r w:rsidRPr="00C750A5">
              <w:rPr>
                <w:rFonts w:ascii="Arial Narrow" w:hAnsi="Arial Narrow" w:cs="Times New Roman"/>
                <w:color w:val="000000"/>
                <w:sz w:val="18"/>
                <w:szCs w:val="18"/>
              </w:rPr>
              <w:t>107,94</w:t>
            </w:r>
          </w:p>
        </w:tc>
      </w:tr>
      <w:tr w:rsidR="0048542D" w:rsidRPr="00C750A5" w:rsidTr="000E4A98">
        <w:trPr>
          <w:trHeight w:val="117"/>
        </w:trPr>
        <w:tc>
          <w:tcPr>
            <w:tcW w:w="1977" w:type="dxa"/>
            <w:vAlign w:val="center"/>
          </w:tcPr>
          <w:p w:rsidR="0048542D" w:rsidRPr="00C750A5" w:rsidRDefault="0048542D" w:rsidP="00C750A5">
            <w:pPr>
              <w:tabs>
                <w:tab w:val="left" w:pos="1875"/>
              </w:tabs>
              <w:rPr>
                <w:rFonts w:ascii="Arial Narrow" w:hAnsi="Arial Narrow" w:cs="Times New Roman"/>
                <w:sz w:val="18"/>
                <w:szCs w:val="18"/>
              </w:rPr>
            </w:pPr>
            <w:r w:rsidRPr="00C750A5">
              <w:rPr>
                <w:rFonts w:ascii="Arial Narrow" w:hAnsi="Arial Narrow" w:cs="Times New Roman"/>
                <w:sz w:val="18"/>
                <w:szCs w:val="18"/>
              </w:rPr>
              <w:t>Ипотечные жилищные кредиты</w:t>
            </w:r>
          </w:p>
        </w:tc>
        <w:tc>
          <w:tcPr>
            <w:tcW w:w="1063" w:type="dxa"/>
            <w:vAlign w:val="center"/>
          </w:tcPr>
          <w:p w:rsidR="0048542D" w:rsidRPr="00C750A5" w:rsidRDefault="0048542D" w:rsidP="00C750A5">
            <w:pPr>
              <w:jc w:val="center"/>
              <w:rPr>
                <w:rFonts w:ascii="Arial Narrow" w:hAnsi="Arial Narrow" w:cs="Times New Roman"/>
                <w:color w:val="000000"/>
                <w:sz w:val="18"/>
                <w:szCs w:val="18"/>
              </w:rPr>
            </w:pPr>
            <w:r w:rsidRPr="00C750A5">
              <w:rPr>
                <w:rFonts w:ascii="Arial Narrow" w:hAnsi="Arial Narrow" w:cs="Times New Roman"/>
                <w:color w:val="000000"/>
                <w:sz w:val="18"/>
                <w:szCs w:val="18"/>
              </w:rPr>
              <w:t>18,02</w:t>
            </w:r>
          </w:p>
        </w:tc>
        <w:tc>
          <w:tcPr>
            <w:tcW w:w="766" w:type="dxa"/>
            <w:vAlign w:val="center"/>
          </w:tcPr>
          <w:p w:rsidR="0048542D" w:rsidRPr="00C750A5" w:rsidRDefault="0048542D" w:rsidP="00C750A5">
            <w:pPr>
              <w:jc w:val="center"/>
              <w:rPr>
                <w:rFonts w:ascii="Arial Narrow" w:hAnsi="Arial Narrow" w:cs="Times New Roman"/>
                <w:color w:val="000000"/>
                <w:sz w:val="18"/>
                <w:szCs w:val="18"/>
              </w:rPr>
            </w:pPr>
            <w:r w:rsidRPr="00C750A5">
              <w:rPr>
                <w:rFonts w:ascii="Arial Narrow" w:hAnsi="Arial Narrow" w:cs="Times New Roman"/>
                <w:color w:val="000000"/>
                <w:sz w:val="18"/>
                <w:szCs w:val="18"/>
              </w:rPr>
              <w:t>11,48</w:t>
            </w:r>
          </w:p>
        </w:tc>
        <w:tc>
          <w:tcPr>
            <w:tcW w:w="799" w:type="dxa"/>
            <w:vAlign w:val="center"/>
          </w:tcPr>
          <w:p w:rsidR="0048542D" w:rsidRPr="00C750A5" w:rsidRDefault="0048542D" w:rsidP="00C750A5">
            <w:pPr>
              <w:jc w:val="center"/>
              <w:rPr>
                <w:rFonts w:ascii="Arial Narrow" w:hAnsi="Arial Narrow" w:cs="Times New Roman"/>
                <w:color w:val="000000"/>
                <w:sz w:val="18"/>
                <w:szCs w:val="18"/>
              </w:rPr>
            </w:pPr>
            <w:r w:rsidRPr="00C750A5">
              <w:rPr>
                <w:rFonts w:ascii="Arial Narrow" w:hAnsi="Arial Narrow" w:cs="Times New Roman"/>
                <w:color w:val="000000"/>
                <w:sz w:val="18"/>
                <w:szCs w:val="18"/>
              </w:rPr>
              <w:t>13,81</w:t>
            </w:r>
          </w:p>
        </w:tc>
        <w:tc>
          <w:tcPr>
            <w:tcW w:w="802" w:type="dxa"/>
            <w:vAlign w:val="center"/>
          </w:tcPr>
          <w:p w:rsidR="0048542D" w:rsidRPr="00C750A5" w:rsidRDefault="0048542D" w:rsidP="00C750A5">
            <w:pPr>
              <w:jc w:val="center"/>
              <w:rPr>
                <w:rFonts w:ascii="Arial Narrow" w:hAnsi="Arial Narrow" w:cs="Times New Roman"/>
                <w:color w:val="000000"/>
                <w:sz w:val="18"/>
                <w:szCs w:val="18"/>
              </w:rPr>
            </w:pPr>
            <w:r w:rsidRPr="00C750A5">
              <w:rPr>
                <w:rFonts w:ascii="Arial Narrow" w:hAnsi="Arial Narrow" w:cs="Times New Roman"/>
                <w:color w:val="000000"/>
                <w:sz w:val="18"/>
                <w:szCs w:val="18"/>
              </w:rPr>
              <w:t>16,91</w:t>
            </w:r>
          </w:p>
        </w:tc>
        <w:tc>
          <w:tcPr>
            <w:tcW w:w="827" w:type="dxa"/>
            <w:vAlign w:val="center"/>
          </w:tcPr>
          <w:p w:rsidR="0048542D" w:rsidRPr="00C750A5" w:rsidRDefault="0048542D" w:rsidP="00C750A5">
            <w:pPr>
              <w:jc w:val="center"/>
              <w:rPr>
                <w:rFonts w:ascii="Arial Narrow" w:hAnsi="Arial Narrow" w:cs="Times New Roman"/>
                <w:color w:val="000000"/>
                <w:sz w:val="18"/>
                <w:szCs w:val="18"/>
              </w:rPr>
            </w:pPr>
            <w:r w:rsidRPr="00C750A5">
              <w:rPr>
                <w:rFonts w:ascii="Arial Narrow" w:hAnsi="Arial Narrow" w:cs="Times New Roman"/>
                <w:color w:val="000000"/>
                <w:sz w:val="18"/>
                <w:szCs w:val="18"/>
              </w:rPr>
              <w:t>22,18</w:t>
            </w:r>
          </w:p>
        </w:tc>
        <w:tc>
          <w:tcPr>
            <w:tcW w:w="827" w:type="dxa"/>
            <w:vAlign w:val="center"/>
          </w:tcPr>
          <w:p w:rsidR="0048542D" w:rsidRPr="00C750A5" w:rsidRDefault="0048542D" w:rsidP="00C750A5">
            <w:pPr>
              <w:jc w:val="center"/>
              <w:rPr>
                <w:rFonts w:ascii="Arial Narrow" w:hAnsi="Arial Narrow" w:cs="Times New Roman"/>
                <w:color w:val="000000"/>
                <w:sz w:val="18"/>
                <w:szCs w:val="18"/>
              </w:rPr>
            </w:pPr>
            <w:r w:rsidRPr="00C750A5">
              <w:rPr>
                <w:rFonts w:ascii="Arial Narrow" w:hAnsi="Arial Narrow" w:cs="Times New Roman"/>
                <w:color w:val="000000"/>
                <w:sz w:val="18"/>
                <w:szCs w:val="18"/>
              </w:rPr>
              <w:t>19,63</w:t>
            </w:r>
          </w:p>
        </w:tc>
        <w:tc>
          <w:tcPr>
            <w:tcW w:w="1216" w:type="dxa"/>
            <w:vAlign w:val="center"/>
          </w:tcPr>
          <w:p w:rsidR="0048542D" w:rsidRPr="00C750A5" w:rsidRDefault="0048542D" w:rsidP="00C750A5">
            <w:pPr>
              <w:jc w:val="center"/>
              <w:rPr>
                <w:rFonts w:ascii="Arial Narrow" w:hAnsi="Arial Narrow" w:cs="Times New Roman"/>
                <w:color w:val="000000"/>
                <w:sz w:val="18"/>
                <w:szCs w:val="18"/>
              </w:rPr>
            </w:pPr>
            <w:r w:rsidRPr="00C750A5">
              <w:rPr>
                <w:rFonts w:ascii="Arial Narrow" w:hAnsi="Arial Narrow" w:cs="Times New Roman"/>
                <w:color w:val="000000"/>
                <w:sz w:val="18"/>
                <w:szCs w:val="18"/>
              </w:rPr>
              <w:t>1,61</w:t>
            </w:r>
          </w:p>
        </w:tc>
        <w:tc>
          <w:tcPr>
            <w:tcW w:w="1362" w:type="dxa"/>
            <w:vAlign w:val="center"/>
          </w:tcPr>
          <w:p w:rsidR="0048542D" w:rsidRPr="00C750A5" w:rsidRDefault="0048542D" w:rsidP="00C750A5">
            <w:pPr>
              <w:jc w:val="center"/>
              <w:rPr>
                <w:rFonts w:ascii="Arial Narrow" w:hAnsi="Arial Narrow" w:cs="Times New Roman"/>
                <w:color w:val="000000"/>
                <w:sz w:val="18"/>
                <w:szCs w:val="18"/>
              </w:rPr>
            </w:pPr>
            <w:r w:rsidRPr="00C750A5">
              <w:rPr>
                <w:rFonts w:ascii="Arial Narrow" w:hAnsi="Arial Narrow" w:cs="Times New Roman"/>
                <w:color w:val="000000"/>
                <w:sz w:val="18"/>
                <w:szCs w:val="18"/>
              </w:rPr>
              <w:t>108,93</w:t>
            </w:r>
          </w:p>
        </w:tc>
      </w:tr>
      <w:tr w:rsidR="0048542D" w:rsidRPr="00C750A5" w:rsidTr="000E4A98">
        <w:trPr>
          <w:trHeight w:val="1110"/>
        </w:trPr>
        <w:tc>
          <w:tcPr>
            <w:tcW w:w="1977" w:type="dxa"/>
            <w:vAlign w:val="center"/>
          </w:tcPr>
          <w:p w:rsidR="0048542D" w:rsidRPr="00C750A5" w:rsidRDefault="0048542D" w:rsidP="00C750A5">
            <w:pPr>
              <w:tabs>
                <w:tab w:val="left" w:pos="1875"/>
              </w:tabs>
              <w:rPr>
                <w:rFonts w:ascii="Arial Narrow" w:hAnsi="Arial Narrow" w:cs="Times New Roman"/>
                <w:sz w:val="18"/>
                <w:szCs w:val="18"/>
              </w:rPr>
            </w:pPr>
            <w:r w:rsidRPr="00C750A5">
              <w:rPr>
                <w:rFonts w:ascii="Arial Narrow" w:hAnsi="Arial Narrow" w:cs="Times New Roman"/>
                <w:sz w:val="18"/>
                <w:szCs w:val="18"/>
              </w:rPr>
              <w:t>Задолженность по кредитам и прочим средствам, предоставленным физическим лицам</w:t>
            </w:r>
          </w:p>
        </w:tc>
        <w:tc>
          <w:tcPr>
            <w:tcW w:w="1063" w:type="dxa"/>
            <w:vAlign w:val="center"/>
          </w:tcPr>
          <w:p w:rsidR="0048542D" w:rsidRPr="00C750A5" w:rsidRDefault="0048542D" w:rsidP="00C750A5">
            <w:pPr>
              <w:jc w:val="center"/>
              <w:rPr>
                <w:rFonts w:ascii="Arial Narrow" w:hAnsi="Arial Narrow" w:cs="Times New Roman"/>
                <w:color w:val="000000"/>
                <w:sz w:val="18"/>
                <w:szCs w:val="18"/>
              </w:rPr>
            </w:pPr>
            <w:r w:rsidRPr="00C750A5">
              <w:rPr>
                <w:rFonts w:ascii="Arial Narrow" w:hAnsi="Arial Narrow" w:cs="Times New Roman"/>
                <w:color w:val="000000"/>
                <w:sz w:val="18"/>
                <w:szCs w:val="18"/>
              </w:rPr>
              <w:t>121,62</w:t>
            </w:r>
          </w:p>
        </w:tc>
        <w:tc>
          <w:tcPr>
            <w:tcW w:w="766" w:type="dxa"/>
            <w:vAlign w:val="center"/>
          </w:tcPr>
          <w:p w:rsidR="0048542D" w:rsidRPr="00C750A5" w:rsidRDefault="0048542D" w:rsidP="00C750A5">
            <w:pPr>
              <w:jc w:val="center"/>
              <w:rPr>
                <w:rFonts w:ascii="Arial Narrow" w:hAnsi="Arial Narrow" w:cs="Times New Roman"/>
                <w:color w:val="000000"/>
                <w:sz w:val="18"/>
                <w:szCs w:val="18"/>
              </w:rPr>
            </w:pPr>
            <w:r w:rsidRPr="00C750A5">
              <w:rPr>
                <w:rFonts w:ascii="Arial Narrow" w:hAnsi="Arial Narrow" w:cs="Times New Roman"/>
                <w:color w:val="000000"/>
                <w:sz w:val="18"/>
                <w:szCs w:val="18"/>
              </w:rPr>
              <w:t>101,75</w:t>
            </w:r>
          </w:p>
        </w:tc>
        <w:tc>
          <w:tcPr>
            <w:tcW w:w="799" w:type="dxa"/>
            <w:vAlign w:val="center"/>
          </w:tcPr>
          <w:p w:rsidR="0048542D" w:rsidRPr="00C750A5" w:rsidRDefault="0048542D" w:rsidP="00C750A5">
            <w:pPr>
              <w:jc w:val="center"/>
              <w:rPr>
                <w:rFonts w:ascii="Arial Narrow" w:hAnsi="Arial Narrow" w:cs="Times New Roman"/>
                <w:color w:val="000000"/>
                <w:sz w:val="18"/>
                <w:szCs w:val="18"/>
              </w:rPr>
            </w:pPr>
            <w:r w:rsidRPr="00C750A5">
              <w:rPr>
                <w:rFonts w:ascii="Arial Narrow" w:hAnsi="Arial Narrow" w:cs="Times New Roman"/>
                <w:color w:val="000000"/>
                <w:sz w:val="18"/>
                <w:szCs w:val="18"/>
              </w:rPr>
              <w:t>98,64</w:t>
            </w:r>
          </w:p>
        </w:tc>
        <w:tc>
          <w:tcPr>
            <w:tcW w:w="802" w:type="dxa"/>
            <w:vAlign w:val="center"/>
          </w:tcPr>
          <w:p w:rsidR="0048542D" w:rsidRPr="00C750A5" w:rsidRDefault="0048542D" w:rsidP="00C750A5">
            <w:pPr>
              <w:jc w:val="center"/>
              <w:rPr>
                <w:rFonts w:ascii="Arial Narrow" w:hAnsi="Arial Narrow" w:cs="Times New Roman"/>
                <w:color w:val="000000"/>
                <w:sz w:val="18"/>
                <w:szCs w:val="18"/>
              </w:rPr>
            </w:pPr>
            <w:r w:rsidRPr="00C750A5">
              <w:rPr>
                <w:rFonts w:ascii="Arial Narrow" w:hAnsi="Arial Narrow" w:cs="Times New Roman"/>
                <w:color w:val="000000"/>
                <w:sz w:val="18"/>
                <w:szCs w:val="18"/>
              </w:rPr>
              <w:t>105,22</w:t>
            </w:r>
          </w:p>
        </w:tc>
        <w:tc>
          <w:tcPr>
            <w:tcW w:w="827" w:type="dxa"/>
            <w:vAlign w:val="center"/>
          </w:tcPr>
          <w:p w:rsidR="0048542D" w:rsidRPr="00C750A5" w:rsidRDefault="0048542D" w:rsidP="00C750A5">
            <w:pPr>
              <w:jc w:val="center"/>
              <w:rPr>
                <w:rFonts w:ascii="Arial Narrow" w:hAnsi="Arial Narrow" w:cs="Times New Roman"/>
                <w:color w:val="000000"/>
                <w:sz w:val="18"/>
                <w:szCs w:val="18"/>
              </w:rPr>
            </w:pPr>
            <w:r w:rsidRPr="00C750A5">
              <w:rPr>
                <w:rFonts w:ascii="Arial Narrow" w:hAnsi="Arial Narrow" w:cs="Times New Roman"/>
                <w:color w:val="000000"/>
                <w:sz w:val="18"/>
                <w:szCs w:val="18"/>
              </w:rPr>
              <w:t>116,83</w:t>
            </w:r>
          </w:p>
        </w:tc>
        <w:tc>
          <w:tcPr>
            <w:tcW w:w="827" w:type="dxa"/>
            <w:vAlign w:val="center"/>
          </w:tcPr>
          <w:p w:rsidR="0048542D" w:rsidRPr="00C750A5" w:rsidRDefault="0048542D" w:rsidP="00C750A5">
            <w:pPr>
              <w:jc w:val="center"/>
              <w:rPr>
                <w:rFonts w:ascii="Arial Narrow" w:hAnsi="Arial Narrow" w:cs="Times New Roman"/>
                <w:color w:val="000000"/>
                <w:sz w:val="18"/>
                <w:szCs w:val="18"/>
              </w:rPr>
            </w:pPr>
            <w:r w:rsidRPr="00C750A5">
              <w:rPr>
                <w:rFonts w:ascii="Arial Narrow" w:hAnsi="Arial Narrow" w:cs="Times New Roman"/>
                <w:color w:val="000000"/>
                <w:sz w:val="18"/>
                <w:szCs w:val="18"/>
              </w:rPr>
              <w:t>129,47</w:t>
            </w:r>
          </w:p>
        </w:tc>
        <w:tc>
          <w:tcPr>
            <w:tcW w:w="1216" w:type="dxa"/>
            <w:vAlign w:val="center"/>
          </w:tcPr>
          <w:p w:rsidR="0048542D" w:rsidRPr="00C750A5" w:rsidRDefault="0048542D" w:rsidP="00C750A5">
            <w:pPr>
              <w:jc w:val="center"/>
              <w:rPr>
                <w:rFonts w:ascii="Arial Narrow" w:hAnsi="Arial Narrow" w:cs="Times New Roman"/>
                <w:color w:val="000000"/>
                <w:sz w:val="18"/>
                <w:szCs w:val="18"/>
              </w:rPr>
            </w:pPr>
            <w:r w:rsidRPr="00C750A5">
              <w:rPr>
                <w:rFonts w:ascii="Arial Narrow" w:hAnsi="Arial Narrow" w:cs="Times New Roman"/>
                <w:color w:val="000000"/>
                <w:sz w:val="18"/>
                <w:szCs w:val="18"/>
              </w:rPr>
              <w:t>7,85</w:t>
            </w:r>
          </w:p>
        </w:tc>
        <w:tc>
          <w:tcPr>
            <w:tcW w:w="1362" w:type="dxa"/>
            <w:vAlign w:val="center"/>
          </w:tcPr>
          <w:p w:rsidR="0048542D" w:rsidRPr="00C750A5" w:rsidRDefault="0048542D" w:rsidP="00C750A5">
            <w:pPr>
              <w:jc w:val="center"/>
              <w:rPr>
                <w:rFonts w:ascii="Arial Narrow" w:hAnsi="Arial Narrow" w:cs="Times New Roman"/>
                <w:color w:val="000000"/>
                <w:sz w:val="18"/>
                <w:szCs w:val="18"/>
              </w:rPr>
            </w:pPr>
            <w:r w:rsidRPr="00C750A5">
              <w:rPr>
                <w:rFonts w:ascii="Arial Narrow" w:hAnsi="Arial Narrow" w:cs="Times New Roman"/>
                <w:color w:val="000000"/>
                <w:sz w:val="18"/>
                <w:szCs w:val="18"/>
              </w:rPr>
              <w:t>106,45</w:t>
            </w:r>
          </w:p>
        </w:tc>
      </w:tr>
      <w:tr w:rsidR="0048542D" w:rsidRPr="00C750A5" w:rsidTr="000E4A98">
        <w:trPr>
          <w:trHeight w:val="288"/>
        </w:trPr>
        <w:tc>
          <w:tcPr>
            <w:tcW w:w="1977" w:type="dxa"/>
            <w:vAlign w:val="center"/>
          </w:tcPr>
          <w:p w:rsidR="0048542D" w:rsidRPr="00C750A5" w:rsidRDefault="0048542D" w:rsidP="00C750A5">
            <w:pPr>
              <w:tabs>
                <w:tab w:val="left" w:pos="1875"/>
              </w:tabs>
              <w:rPr>
                <w:rFonts w:ascii="Arial Narrow" w:hAnsi="Arial Narrow" w:cs="Times New Roman"/>
                <w:sz w:val="18"/>
                <w:szCs w:val="18"/>
              </w:rPr>
            </w:pPr>
            <w:r w:rsidRPr="00C750A5">
              <w:rPr>
                <w:rFonts w:ascii="Arial Narrow" w:hAnsi="Arial Narrow" w:cs="Times New Roman"/>
                <w:sz w:val="18"/>
                <w:szCs w:val="18"/>
              </w:rPr>
              <w:t>Задолженность по жилищным кредитам</w:t>
            </w:r>
          </w:p>
        </w:tc>
        <w:tc>
          <w:tcPr>
            <w:tcW w:w="1063" w:type="dxa"/>
            <w:vAlign w:val="center"/>
          </w:tcPr>
          <w:p w:rsidR="0048542D" w:rsidRPr="00C750A5" w:rsidRDefault="0048542D" w:rsidP="00C750A5">
            <w:pPr>
              <w:jc w:val="center"/>
              <w:rPr>
                <w:rFonts w:ascii="Arial Narrow" w:hAnsi="Arial Narrow" w:cs="Times New Roman"/>
                <w:color w:val="000000"/>
                <w:sz w:val="18"/>
                <w:szCs w:val="18"/>
              </w:rPr>
            </w:pPr>
            <w:r w:rsidRPr="00C750A5">
              <w:rPr>
                <w:rFonts w:ascii="Arial Narrow" w:hAnsi="Arial Narrow" w:cs="Times New Roman"/>
                <w:color w:val="000000"/>
                <w:sz w:val="18"/>
                <w:szCs w:val="18"/>
              </w:rPr>
              <w:t>41,69</w:t>
            </w:r>
          </w:p>
        </w:tc>
        <w:tc>
          <w:tcPr>
            <w:tcW w:w="766" w:type="dxa"/>
            <w:vAlign w:val="center"/>
          </w:tcPr>
          <w:p w:rsidR="0048542D" w:rsidRPr="00C750A5" w:rsidRDefault="0048542D" w:rsidP="00C750A5">
            <w:pPr>
              <w:jc w:val="center"/>
              <w:rPr>
                <w:rFonts w:ascii="Arial Narrow" w:hAnsi="Arial Narrow" w:cs="Times New Roman"/>
                <w:color w:val="000000"/>
                <w:sz w:val="18"/>
                <w:szCs w:val="18"/>
              </w:rPr>
            </w:pPr>
            <w:r w:rsidRPr="00C750A5">
              <w:rPr>
                <w:rFonts w:ascii="Arial Narrow" w:hAnsi="Arial Narrow" w:cs="Times New Roman"/>
                <w:color w:val="000000"/>
                <w:sz w:val="18"/>
                <w:szCs w:val="18"/>
              </w:rPr>
              <w:t>41,06</w:t>
            </w:r>
          </w:p>
        </w:tc>
        <w:tc>
          <w:tcPr>
            <w:tcW w:w="799" w:type="dxa"/>
            <w:vAlign w:val="center"/>
          </w:tcPr>
          <w:p w:rsidR="0048542D" w:rsidRPr="00C750A5" w:rsidRDefault="0048542D" w:rsidP="00C750A5">
            <w:pPr>
              <w:jc w:val="center"/>
              <w:rPr>
                <w:rFonts w:ascii="Arial Narrow" w:hAnsi="Arial Narrow" w:cs="Times New Roman"/>
                <w:color w:val="000000"/>
                <w:sz w:val="18"/>
                <w:szCs w:val="18"/>
              </w:rPr>
            </w:pPr>
            <w:r w:rsidRPr="00C750A5">
              <w:rPr>
                <w:rFonts w:ascii="Arial Narrow" w:hAnsi="Arial Narrow" w:cs="Times New Roman"/>
                <w:color w:val="000000"/>
                <w:sz w:val="18"/>
                <w:szCs w:val="18"/>
              </w:rPr>
              <w:t>43,57</w:t>
            </w:r>
          </w:p>
        </w:tc>
        <w:tc>
          <w:tcPr>
            <w:tcW w:w="802" w:type="dxa"/>
            <w:vAlign w:val="center"/>
          </w:tcPr>
          <w:p w:rsidR="0048542D" w:rsidRPr="00C750A5" w:rsidRDefault="0048542D" w:rsidP="00C750A5">
            <w:pPr>
              <w:jc w:val="center"/>
              <w:rPr>
                <w:rFonts w:ascii="Arial Narrow" w:hAnsi="Arial Narrow" w:cs="Times New Roman"/>
                <w:color w:val="000000"/>
                <w:sz w:val="18"/>
                <w:szCs w:val="18"/>
              </w:rPr>
            </w:pPr>
            <w:r w:rsidRPr="00C750A5">
              <w:rPr>
                <w:rFonts w:ascii="Arial Narrow" w:hAnsi="Arial Narrow" w:cs="Times New Roman"/>
                <w:color w:val="000000"/>
                <w:sz w:val="18"/>
                <w:szCs w:val="18"/>
              </w:rPr>
              <w:t>45,96</w:t>
            </w:r>
          </w:p>
        </w:tc>
        <w:tc>
          <w:tcPr>
            <w:tcW w:w="827" w:type="dxa"/>
            <w:vAlign w:val="center"/>
          </w:tcPr>
          <w:p w:rsidR="0048542D" w:rsidRPr="00C750A5" w:rsidRDefault="0048542D" w:rsidP="00C750A5">
            <w:pPr>
              <w:jc w:val="center"/>
              <w:rPr>
                <w:rFonts w:ascii="Arial Narrow" w:hAnsi="Arial Narrow" w:cs="Times New Roman"/>
                <w:color w:val="000000"/>
                <w:sz w:val="18"/>
                <w:szCs w:val="18"/>
              </w:rPr>
            </w:pPr>
            <w:r w:rsidRPr="00C750A5">
              <w:rPr>
                <w:rFonts w:ascii="Arial Narrow" w:hAnsi="Arial Narrow" w:cs="Times New Roman"/>
                <w:color w:val="000000"/>
                <w:sz w:val="18"/>
                <w:szCs w:val="18"/>
              </w:rPr>
              <w:t>49,16</w:t>
            </w:r>
          </w:p>
        </w:tc>
        <w:tc>
          <w:tcPr>
            <w:tcW w:w="827" w:type="dxa"/>
            <w:vAlign w:val="center"/>
          </w:tcPr>
          <w:p w:rsidR="0048542D" w:rsidRPr="00C750A5" w:rsidRDefault="0048542D" w:rsidP="00C750A5">
            <w:pPr>
              <w:jc w:val="center"/>
              <w:rPr>
                <w:rFonts w:ascii="Arial Narrow" w:hAnsi="Arial Narrow" w:cs="Times New Roman"/>
                <w:color w:val="000000"/>
                <w:sz w:val="18"/>
                <w:szCs w:val="18"/>
              </w:rPr>
            </w:pPr>
            <w:r w:rsidRPr="00C750A5">
              <w:rPr>
                <w:rFonts w:ascii="Arial Narrow" w:hAnsi="Arial Narrow" w:cs="Times New Roman"/>
                <w:color w:val="000000"/>
                <w:sz w:val="18"/>
                <w:szCs w:val="18"/>
              </w:rPr>
              <w:t>51,38</w:t>
            </w:r>
          </w:p>
        </w:tc>
        <w:tc>
          <w:tcPr>
            <w:tcW w:w="1216" w:type="dxa"/>
            <w:vAlign w:val="center"/>
          </w:tcPr>
          <w:p w:rsidR="0048542D" w:rsidRPr="00C750A5" w:rsidRDefault="0048542D" w:rsidP="00C750A5">
            <w:pPr>
              <w:jc w:val="center"/>
              <w:rPr>
                <w:rFonts w:ascii="Arial Narrow" w:hAnsi="Arial Narrow" w:cs="Times New Roman"/>
                <w:color w:val="000000"/>
                <w:sz w:val="18"/>
                <w:szCs w:val="18"/>
              </w:rPr>
            </w:pPr>
            <w:r w:rsidRPr="00C750A5">
              <w:rPr>
                <w:rFonts w:ascii="Arial Narrow" w:hAnsi="Arial Narrow" w:cs="Times New Roman"/>
                <w:color w:val="000000"/>
                <w:sz w:val="18"/>
                <w:szCs w:val="18"/>
              </w:rPr>
              <w:t>9,69</w:t>
            </w:r>
          </w:p>
        </w:tc>
        <w:tc>
          <w:tcPr>
            <w:tcW w:w="1362" w:type="dxa"/>
            <w:vAlign w:val="center"/>
          </w:tcPr>
          <w:p w:rsidR="0048542D" w:rsidRPr="00C750A5" w:rsidRDefault="0048542D" w:rsidP="00C750A5">
            <w:pPr>
              <w:jc w:val="center"/>
              <w:rPr>
                <w:rFonts w:ascii="Arial Narrow" w:hAnsi="Arial Narrow" w:cs="Times New Roman"/>
                <w:color w:val="000000"/>
                <w:sz w:val="18"/>
                <w:szCs w:val="18"/>
              </w:rPr>
            </w:pPr>
            <w:r w:rsidRPr="00C750A5">
              <w:rPr>
                <w:rFonts w:ascii="Arial Narrow" w:hAnsi="Arial Narrow" w:cs="Times New Roman"/>
                <w:color w:val="000000"/>
                <w:sz w:val="18"/>
                <w:szCs w:val="18"/>
              </w:rPr>
              <w:t>123,26</w:t>
            </w:r>
          </w:p>
        </w:tc>
      </w:tr>
      <w:tr w:rsidR="0048542D" w:rsidRPr="00C750A5" w:rsidTr="000E4A98">
        <w:trPr>
          <w:trHeight w:val="971"/>
        </w:trPr>
        <w:tc>
          <w:tcPr>
            <w:tcW w:w="1977" w:type="dxa"/>
            <w:vAlign w:val="center"/>
          </w:tcPr>
          <w:p w:rsidR="0048542D" w:rsidRPr="00C750A5" w:rsidRDefault="0048542D" w:rsidP="00C750A5">
            <w:pPr>
              <w:tabs>
                <w:tab w:val="left" w:pos="1875"/>
              </w:tabs>
              <w:rPr>
                <w:rFonts w:ascii="Arial Narrow" w:hAnsi="Arial Narrow" w:cs="Times New Roman"/>
                <w:sz w:val="18"/>
                <w:szCs w:val="18"/>
              </w:rPr>
            </w:pPr>
            <w:r w:rsidRPr="00C750A5">
              <w:rPr>
                <w:rFonts w:ascii="Arial Narrow" w:hAnsi="Arial Narrow" w:cs="Times New Roman"/>
                <w:sz w:val="18"/>
                <w:szCs w:val="18"/>
              </w:rPr>
              <w:t>Задолженность по ипотечным жилищным кредитам</w:t>
            </w:r>
          </w:p>
        </w:tc>
        <w:tc>
          <w:tcPr>
            <w:tcW w:w="1063" w:type="dxa"/>
            <w:vAlign w:val="center"/>
          </w:tcPr>
          <w:p w:rsidR="0048542D" w:rsidRPr="00C750A5" w:rsidRDefault="0048542D" w:rsidP="00C750A5">
            <w:pPr>
              <w:jc w:val="center"/>
              <w:rPr>
                <w:rFonts w:ascii="Arial Narrow" w:hAnsi="Arial Narrow" w:cs="Times New Roman"/>
                <w:color w:val="000000"/>
                <w:sz w:val="18"/>
                <w:szCs w:val="18"/>
              </w:rPr>
            </w:pPr>
            <w:r w:rsidRPr="00C750A5">
              <w:rPr>
                <w:rFonts w:ascii="Arial Narrow" w:hAnsi="Arial Narrow" w:cs="Times New Roman"/>
                <w:color w:val="000000"/>
                <w:sz w:val="18"/>
                <w:szCs w:val="18"/>
              </w:rPr>
              <w:t>40,91</w:t>
            </w:r>
          </w:p>
        </w:tc>
        <w:tc>
          <w:tcPr>
            <w:tcW w:w="766" w:type="dxa"/>
            <w:vAlign w:val="center"/>
          </w:tcPr>
          <w:p w:rsidR="0048542D" w:rsidRPr="00C750A5" w:rsidRDefault="0048542D" w:rsidP="00C750A5">
            <w:pPr>
              <w:jc w:val="center"/>
              <w:rPr>
                <w:rFonts w:ascii="Arial Narrow" w:hAnsi="Arial Narrow" w:cs="Times New Roman"/>
                <w:color w:val="000000"/>
                <w:sz w:val="18"/>
                <w:szCs w:val="18"/>
              </w:rPr>
            </w:pPr>
            <w:r w:rsidRPr="00C750A5">
              <w:rPr>
                <w:rFonts w:ascii="Arial Narrow" w:hAnsi="Arial Narrow" w:cs="Times New Roman"/>
                <w:color w:val="000000"/>
                <w:sz w:val="18"/>
                <w:szCs w:val="18"/>
              </w:rPr>
              <w:t>40,54</w:t>
            </w:r>
          </w:p>
        </w:tc>
        <w:tc>
          <w:tcPr>
            <w:tcW w:w="799" w:type="dxa"/>
            <w:vAlign w:val="center"/>
          </w:tcPr>
          <w:p w:rsidR="0048542D" w:rsidRPr="00C750A5" w:rsidRDefault="0048542D" w:rsidP="00C750A5">
            <w:pPr>
              <w:jc w:val="center"/>
              <w:rPr>
                <w:rFonts w:ascii="Arial Narrow" w:hAnsi="Arial Narrow" w:cs="Times New Roman"/>
                <w:color w:val="000000"/>
                <w:sz w:val="18"/>
                <w:szCs w:val="18"/>
              </w:rPr>
            </w:pPr>
            <w:r w:rsidRPr="00C750A5">
              <w:rPr>
                <w:rFonts w:ascii="Arial Narrow" w:hAnsi="Arial Narrow" w:cs="Times New Roman"/>
                <w:color w:val="000000"/>
                <w:sz w:val="18"/>
                <w:szCs w:val="18"/>
              </w:rPr>
              <w:t>43,25</w:t>
            </w:r>
          </w:p>
        </w:tc>
        <w:tc>
          <w:tcPr>
            <w:tcW w:w="802" w:type="dxa"/>
            <w:vAlign w:val="center"/>
          </w:tcPr>
          <w:p w:rsidR="0048542D" w:rsidRPr="00C750A5" w:rsidRDefault="0048542D" w:rsidP="00C750A5">
            <w:pPr>
              <w:jc w:val="center"/>
              <w:rPr>
                <w:rFonts w:ascii="Arial Narrow" w:hAnsi="Arial Narrow" w:cs="Times New Roman"/>
                <w:color w:val="000000"/>
                <w:sz w:val="18"/>
                <w:szCs w:val="18"/>
              </w:rPr>
            </w:pPr>
            <w:r w:rsidRPr="00C750A5">
              <w:rPr>
                <w:rFonts w:ascii="Arial Narrow" w:hAnsi="Arial Narrow" w:cs="Times New Roman"/>
                <w:color w:val="000000"/>
                <w:sz w:val="18"/>
                <w:szCs w:val="18"/>
              </w:rPr>
              <w:t>45,73</w:t>
            </w:r>
          </w:p>
        </w:tc>
        <w:tc>
          <w:tcPr>
            <w:tcW w:w="827" w:type="dxa"/>
            <w:vAlign w:val="center"/>
          </w:tcPr>
          <w:p w:rsidR="0048542D" w:rsidRPr="00C750A5" w:rsidRDefault="0048542D" w:rsidP="00C750A5">
            <w:pPr>
              <w:jc w:val="center"/>
              <w:rPr>
                <w:rFonts w:ascii="Arial Narrow" w:hAnsi="Arial Narrow" w:cs="Times New Roman"/>
                <w:color w:val="000000"/>
                <w:sz w:val="18"/>
                <w:szCs w:val="18"/>
              </w:rPr>
            </w:pPr>
            <w:r w:rsidRPr="00C750A5">
              <w:rPr>
                <w:rFonts w:ascii="Arial Narrow" w:hAnsi="Arial Narrow" w:cs="Times New Roman"/>
                <w:color w:val="000000"/>
                <w:sz w:val="18"/>
                <w:szCs w:val="18"/>
              </w:rPr>
              <w:t>49,01</w:t>
            </w:r>
          </w:p>
        </w:tc>
        <w:tc>
          <w:tcPr>
            <w:tcW w:w="827" w:type="dxa"/>
            <w:vAlign w:val="center"/>
          </w:tcPr>
          <w:p w:rsidR="0048542D" w:rsidRPr="00C750A5" w:rsidRDefault="0048542D" w:rsidP="00C750A5">
            <w:pPr>
              <w:jc w:val="center"/>
              <w:rPr>
                <w:rFonts w:ascii="Arial Narrow" w:hAnsi="Arial Narrow" w:cs="Times New Roman"/>
                <w:color w:val="000000"/>
                <w:sz w:val="18"/>
                <w:szCs w:val="18"/>
              </w:rPr>
            </w:pPr>
            <w:r w:rsidRPr="00C750A5">
              <w:rPr>
                <w:rFonts w:ascii="Arial Narrow" w:hAnsi="Arial Narrow" w:cs="Times New Roman"/>
                <w:color w:val="000000"/>
                <w:sz w:val="18"/>
                <w:szCs w:val="18"/>
              </w:rPr>
              <w:t>51,69</w:t>
            </w:r>
          </w:p>
        </w:tc>
        <w:tc>
          <w:tcPr>
            <w:tcW w:w="1216" w:type="dxa"/>
            <w:vAlign w:val="center"/>
          </w:tcPr>
          <w:p w:rsidR="0048542D" w:rsidRPr="00C750A5" w:rsidRDefault="0048542D" w:rsidP="00C750A5">
            <w:pPr>
              <w:jc w:val="center"/>
              <w:rPr>
                <w:rFonts w:ascii="Arial Narrow" w:hAnsi="Arial Narrow" w:cs="Times New Roman"/>
                <w:color w:val="000000"/>
                <w:sz w:val="18"/>
                <w:szCs w:val="18"/>
              </w:rPr>
            </w:pPr>
            <w:r w:rsidRPr="00C750A5">
              <w:rPr>
                <w:rFonts w:ascii="Arial Narrow" w:hAnsi="Arial Narrow" w:cs="Times New Roman"/>
                <w:color w:val="000000"/>
                <w:sz w:val="18"/>
                <w:szCs w:val="18"/>
              </w:rPr>
              <w:t>10,78</w:t>
            </w:r>
          </w:p>
        </w:tc>
        <w:tc>
          <w:tcPr>
            <w:tcW w:w="1362" w:type="dxa"/>
            <w:vAlign w:val="center"/>
          </w:tcPr>
          <w:p w:rsidR="0048542D" w:rsidRPr="00C750A5" w:rsidRDefault="0048542D" w:rsidP="00C750A5">
            <w:pPr>
              <w:jc w:val="center"/>
              <w:rPr>
                <w:rFonts w:ascii="Arial Narrow" w:hAnsi="Arial Narrow" w:cs="Times New Roman"/>
                <w:color w:val="000000"/>
                <w:sz w:val="18"/>
                <w:szCs w:val="18"/>
              </w:rPr>
            </w:pPr>
            <w:r w:rsidRPr="00C750A5">
              <w:rPr>
                <w:rFonts w:ascii="Arial Narrow" w:hAnsi="Arial Narrow" w:cs="Times New Roman"/>
                <w:color w:val="000000"/>
                <w:sz w:val="18"/>
                <w:szCs w:val="18"/>
              </w:rPr>
              <w:t>126,34</w:t>
            </w:r>
          </w:p>
        </w:tc>
      </w:tr>
      <w:tr w:rsidR="0048542D" w:rsidRPr="00C750A5" w:rsidTr="000E4A98">
        <w:trPr>
          <w:trHeight w:val="167"/>
        </w:trPr>
        <w:tc>
          <w:tcPr>
            <w:tcW w:w="1977" w:type="dxa"/>
            <w:vAlign w:val="center"/>
          </w:tcPr>
          <w:p w:rsidR="0048542D" w:rsidRPr="00C750A5" w:rsidRDefault="0048542D" w:rsidP="00C750A5">
            <w:pPr>
              <w:tabs>
                <w:tab w:val="left" w:pos="1875"/>
              </w:tabs>
              <w:rPr>
                <w:rFonts w:ascii="Arial Narrow" w:hAnsi="Arial Narrow" w:cs="Times New Roman"/>
                <w:sz w:val="18"/>
                <w:szCs w:val="18"/>
              </w:rPr>
            </w:pPr>
            <w:r w:rsidRPr="00C750A5">
              <w:rPr>
                <w:rFonts w:ascii="Arial Narrow" w:hAnsi="Arial Narrow" w:cs="Times New Roman"/>
                <w:sz w:val="18"/>
                <w:szCs w:val="18"/>
              </w:rPr>
              <w:t xml:space="preserve">в </w:t>
            </w:r>
            <w:proofErr w:type="spellStart"/>
            <w:r w:rsidRPr="00C750A5">
              <w:rPr>
                <w:rFonts w:ascii="Arial Narrow" w:hAnsi="Arial Narrow" w:cs="Times New Roman"/>
                <w:sz w:val="18"/>
                <w:szCs w:val="18"/>
              </w:rPr>
              <w:t>т.ч</w:t>
            </w:r>
            <w:proofErr w:type="spellEnd"/>
            <w:r w:rsidRPr="00C750A5">
              <w:rPr>
                <w:rFonts w:ascii="Arial Narrow" w:hAnsi="Arial Narrow" w:cs="Times New Roman"/>
                <w:sz w:val="18"/>
                <w:szCs w:val="18"/>
              </w:rPr>
              <w:t>. просроченная задолженность</w:t>
            </w:r>
          </w:p>
        </w:tc>
        <w:tc>
          <w:tcPr>
            <w:tcW w:w="1063" w:type="dxa"/>
            <w:vAlign w:val="center"/>
          </w:tcPr>
          <w:p w:rsidR="0048542D" w:rsidRPr="00C750A5" w:rsidRDefault="0048542D" w:rsidP="00C750A5">
            <w:pPr>
              <w:jc w:val="center"/>
              <w:rPr>
                <w:rFonts w:ascii="Arial Narrow" w:hAnsi="Arial Narrow" w:cs="Times New Roman"/>
                <w:color w:val="000000"/>
                <w:sz w:val="18"/>
                <w:szCs w:val="18"/>
              </w:rPr>
            </w:pPr>
            <w:r w:rsidRPr="00C750A5">
              <w:rPr>
                <w:rFonts w:ascii="Arial Narrow" w:hAnsi="Arial Narrow" w:cs="Times New Roman"/>
                <w:color w:val="000000"/>
                <w:sz w:val="18"/>
                <w:szCs w:val="18"/>
              </w:rPr>
              <w:t>0,20</w:t>
            </w:r>
          </w:p>
        </w:tc>
        <w:tc>
          <w:tcPr>
            <w:tcW w:w="766" w:type="dxa"/>
            <w:vAlign w:val="center"/>
          </w:tcPr>
          <w:p w:rsidR="0048542D" w:rsidRPr="00C750A5" w:rsidRDefault="0048542D" w:rsidP="00C750A5">
            <w:pPr>
              <w:jc w:val="center"/>
              <w:rPr>
                <w:rFonts w:ascii="Arial Narrow" w:hAnsi="Arial Narrow" w:cs="Times New Roman"/>
                <w:color w:val="000000"/>
                <w:sz w:val="18"/>
                <w:szCs w:val="18"/>
              </w:rPr>
            </w:pPr>
            <w:r w:rsidRPr="00C750A5">
              <w:rPr>
                <w:rFonts w:ascii="Arial Narrow" w:hAnsi="Arial Narrow" w:cs="Times New Roman"/>
                <w:color w:val="000000"/>
                <w:sz w:val="18"/>
                <w:szCs w:val="18"/>
              </w:rPr>
              <w:t>0,29</w:t>
            </w:r>
          </w:p>
        </w:tc>
        <w:tc>
          <w:tcPr>
            <w:tcW w:w="799" w:type="dxa"/>
            <w:vAlign w:val="center"/>
          </w:tcPr>
          <w:p w:rsidR="0048542D" w:rsidRPr="00C750A5" w:rsidRDefault="0048542D" w:rsidP="00C750A5">
            <w:pPr>
              <w:jc w:val="center"/>
              <w:rPr>
                <w:rFonts w:ascii="Arial Narrow" w:hAnsi="Arial Narrow" w:cs="Times New Roman"/>
                <w:color w:val="000000"/>
                <w:sz w:val="18"/>
                <w:szCs w:val="18"/>
              </w:rPr>
            </w:pPr>
            <w:r w:rsidRPr="00C750A5">
              <w:rPr>
                <w:rFonts w:ascii="Arial Narrow" w:hAnsi="Arial Narrow" w:cs="Times New Roman"/>
                <w:color w:val="000000"/>
                <w:sz w:val="18"/>
                <w:szCs w:val="18"/>
              </w:rPr>
              <w:t>0,41</w:t>
            </w:r>
          </w:p>
        </w:tc>
        <w:tc>
          <w:tcPr>
            <w:tcW w:w="802" w:type="dxa"/>
            <w:vAlign w:val="center"/>
          </w:tcPr>
          <w:p w:rsidR="0048542D" w:rsidRPr="00C750A5" w:rsidRDefault="0048542D" w:rsidP="00C750A5">
            <w:pPr>
              <w:jc w:val="center"/>
              <w:rPr>
                <w:rFonts w:ascii="Arial Narrow" w:hAnsi="Arial Narrow" w:cs="Times New Roman"/>
                <w:color w:val="000000"/>
                <w:sz w:val="18"/>
                <w:szCs w:val="18"/>
              </w:rPr>
            </w:pPr>
            <w:r w:rsidRPr="00C750A5">
              <w:rPr>
                <w:rFonts w:ascii="Arial Narrow" w:hAnsi="Arial Narrow" w:cs="Times New Roman"/>
                <w:color w:val="000000"/>
                <w:sz w:val="18"/>
                <w:szCs w:val="18"/>
              </w:rPr>
              <w:t>0,46</w:t>
            </w:r>
          </w:p>
        </w:tc>
        <w:tc>
          <w:tcPr>
            <w:tcW w:w="827" w:type="dxa"/>
            <w:vAlign w:val="center"/>
          </w:tcPr>
          <w:p w:rsidR="0048542D" w:rsidRPr="00C750A5" w:rsidRDefault="0048542D" w:rsidP="00C750A5">
            <w:pPr>
              <w:jc w:val="center"/>
              <w:rPr>
                <w:rFonts w:ascii="Arial Narrow" w:hAnsi="Arial Narrow" w:cs="Times New Roman"/>
                <w:color w:val="000000"/>
                <w:sz w:val="18"/>
                <w:szCs w:val="18"/>
              </w:rPr>
            </w:pPr>
            <w:r w:rsidRPr="00C750A5">
              <w:rPr>
                <w:rFonts w:ascii="Arial Narrow" w:hAnsi="Arial Narrow" w:cs="Times New Roman"/>
                <w:color w:val="000000"/>
                <w:sz w:val="18"/>
                <w:szCs w:val="18"/>
              </w:rPr>
              <w:t>0,48</w:t>
            </w:r>
          </w:p>
        </w:tc>
        <w:tc>
          <w:tcPr>
            <w:tcW w:w="827" w:type="dxa"/>
            <w:vAlign w:val="center"/>
          </w:tcPr>
          <w:p w:rsidR="0048542D" w:rsidRPr="00C750A5" w:rsidRDefault="0048542D" w:rsidP="00C750A5">
            <w:pPr>
              <w:jc w:val="center"/>
              <w:rPr>
                <w:rFonts w:ascii="Arial Narrow" w:hAnsi="Arial Narrow" w:cs="Times New Roman"/>
                <w:color w:val="000000"/>
                <w:sz w:val="18"/>
                <w:szCs w:val="18"/>
              </w:rPr>
            </w:pPr>
            <w:r w:rsidRPr="00C750A5">
              <w:rPr>
                <w:rFonts w:ascii="Arial Narrow" w:hAnsi="Arial Narrow" w:cs="Times New Roman"/>
                <w:color w:val="000000"/>
                <w:sz w:val="18"/>
                <w:szCs w:val="18"/>
              </w:rPr>
              <w:t>0,39</w:t>
            </w:r>
          </w:p>
        </w:tc>
        <w:tc>
          <w:tcPr>
            <w:tcW w:w="1216" w:type="dxa"/>
            <w:vAlign w:val="center"/>
          </w:tcPr>
          <w:p w:rsidR="0048542D" w:rsidRPr="00C750A5" w:rsidRDefault="0048542D" w:rsidP="00C750A5">
            <w:pPr>
              <w:jc w:val="center"/>
              <w:rPr>
                <w:rFonts w:ascii="Arial Narrow" w:hAnsi="Arial Narrow" w:cs="Times New Roman"/>
                <w:color w:val="000000"/>
                <w:sz w:val="18"/>
                <w:szCs w:val="18"/>
              </w:rPr>
            </w:pPr>
            <w:r w:rsidRPr="00C750A5">
              <w:rPr>
                <w:rFonts w:ascii="Arial Narrow" w:hAnsi="Arial Narrow" w:cs="Times New Roman"/>
                <w:color w:val="000000"/>
                <w:sz w:val="18"/>
                <w:szCs w:val="18"/>
              </w:rPr>
              <w:t>0,19</w:t>
            </w:r>
          </w:p>
        </w:tc>
        <w:tc>
          <w:tcPr>
            <w:tcW w:w="1362" w:type="dxa"/>
            <w:vAlign w:val="center"/>
          </w:tcPr>
          <w:p w:rsidR="0048542D" w:rsidRPr="00C750A5" w:rsidRDefault="0048542D" w:rsidP="00C750A5">
            <w:pPr>
              <w:jc w:val="center"/>
              <w:rPr>
                <w:rFonts w:ascii="Arial Narrow" w:hAnsi="Arial Narrow" w:cs="Times New Roman"/>
                <w:color w:val="000000"/>
                <w:sz w:val="18"/>
                <w:szCs w:val="18"/>
              </w:rPr>
            </w:pPr>
            <w:r w:rsidRPr="00C750A5">
              <w:rPr>
                <w:rFonts w:ascii="Arial Narrow" w:hAnsi="Arial Narrow" w:cs="Times New Roman"/>
                <w:color w:val="000000"/>
                <w:sz w:val="18"/>
                <w:szCs w:val="18"/>
              </w:rPr>
              <w:t>198,40</w:t>
            </w:r>
          </w:p>
        </w:tc>
      </w:tr>
      <w:tr w:rsidR="0048542D" w:rsidRPr="00C750A5" w:rsidTr="000E4A98">
        <w:trPr>
          <w:trHeight w:val="159"/>
        </w:trPr>
        <w:tc>
          <w:tcPr>
            <w:tcW w:w="9639" w:type="dxa"/>
            <w:gridSpan w:val="9"/>
          </w:tcPr>
          <w:p w:rsidR="0048542D" w:rsidRPr="00C750A5" w:rsidRDefault="0048542D" w:rsidP="00C750A5">
            <w:pPr>
              <w:tabs>
                <w:tab w:val="left" w:pos="1875"/>
              </w:tabs>
              <w:rPr>
                <w:rFonts w:ascii="Arial Narrow" w:hAnsi="Arial Narrow" w:cs="Times New Roman"/>
                <w:sz w:val="18"/>
                <w:szCs w:val="18"/>
              </w:rPr>
            </w:pPr>
            <w:r w:rsidRPr="00C750A5">
              <w:rPr>
                <w:rFonts w:ascii="Arial Narrow" w:hAnsi="Arial Narrow" w:cs="Times New Roman"/>
                <w:sz w:val="18"/>
                <w:szCs w:val="18"/>
              </w:rPr>
              <w:t>Источник: Составлено автором на основании данных ЦБ РФ</w:t>
            </w:r>
          </w:p>
        </w:tc>
      </w:tr>
    </w:tbl>
    <w:p w:rsidR="0048542D" w:rsidRDefault="0048542D" w:rsidP="0048542D">
      <w:pPr>
        <w:tabs>
          <w:tab w:val="left" w:pos="1875"/>
        </w:tabs>
        <w:spacing w:after="0" w:line="360" w:lineRule="auto"/>
        <w:ind w:firstLine="709"/>
        <w:jc w:val="both"/>
        <w:rPr>
          <w:rFonts w:ascii="Times New Roman" w:hAnsi="Times New Roman" w:cs="Times New Roman"/>
          <w:sz w:val="28"/>
          <w:highlight w:val="yellow"/>
        </w:rPr>
      </w:pPr>
    </w:p>
    <w:p w:rsidR="0048542D" w:rsidRPr="007B3EB0" w:rsidRDefault="0048542D" w:rsidP="0048542D">
      <w:pPr>
        <w:tabs>
          <w:tab w:val="left" w:pos="1875"/>
        </w:tabs>
        <w:spacing w:after="0" w:line="360" w:lineRule="auto"/>
        <w:ind w:firstLine="709"/>
        <w:jc w:val="both"/>
        <w:rPr>
          <w:rFonts w:ascii="Times New Roman" w:hAnsi="Times New Roman" w:cs="Times New Roman"/>
          <w:sz w:val="28"/>
        </w:rPr>
      </w:pPr>
      <w:r w:rsidRPr="007B3EB0">
        <w:rPr>
          <w:rFonts w:ascii="Times New Roman" w:hAnsi="Times New Roman" w:cs="Times New Roman"/>
          <w:sz w:val="28"/>
        </w:rPr>
        <w:t>Данные таблицы свидетельствуют о</w:t>
      </w:r>
      <w:r>
        <w:rPr>
          <w:rFonts w:ascii="Times New Roman" w:hAnsi="Times New Roman" w:cs="Times New Roman"/>
          <w:sz w:val="28"/>
        </w:rPr>
        <w:t>б</w:t>
      </w:r>
      <w:r w:rsidRPr="007B3EB0">
        <w:rPr>
          <w:rFonts w:ascii="Times New Roman" w:hAnsi="Times New Roman" w:cs="Times New Roman"/>
          <w:sz w:val="28"/>
        </w:rPr>
        <w:t xml:space="preserve"> </w:t>
      </w:r>
      <w:r>
        <w:rPr>
          <w:rFonts w:ascii="Times New Roman" w:hAnsi="Times New Roman" w:cs="Times New Roman"/>
          <w:sz w:val="28"/>
        </w:rPr>
        <w:t xml:space="preserve">увеличении </w:t>
      </w:r>
      <w:r w:rsidRPr="007B3EB0">
        <w:rPr>
          <w:rFonts w:ascii="Times New Roman" w:hAnsi="Times New Roman" w:cs="Times New Roman"/>
          <w:sz w:val="28"/>
        </w:rPr>
        <w:t xml:space="preserve">объема кредитного портфеля банковского сектора Вологодской области в 2019 году по сравнению с 2014 годом </w:t>
      </w:r>
      <w:r>
        <w:rPr>
          <w:rFonts w:ascii="Times New Roman" w:hAnsi="Times New Roman" w:cs="Times New Roman"/>
          <w:sz w:val="28"/>
        </w:rPr>
        <w:t>почти на 27%.</w:t>
      </w:r>
    </w:p>
    <w:p w:rsidR="0048542D" w:rsidRDefault="0048542D" w:rsidP="0048542D">
      <w:pPr>
        <w:tabs>
          <w:tab w:val="left" w:pos="1875"/>
        </w:tabs>
        <w:spacing w:after="0" w:line="360" w:lineRule="auto"/>
        <w:ind w:firstLine="709"/>
        <w:jc w:val="both"/>
        <w:rPr>
          <w:rFonts w:ascii="Times New Roman" w:hAnsi="Times New Roman" w:cs="Times New Roman"/>
          <w:sz w:val="28"/>
        </w:rPr>
      </w:pPr>
      <w:r w:rsidRPr="00B519E6">
        <w:rPr>
          <w:rFonts w:ascii="Times New Roman" w:hAnsi="Times New Roman" w:cs="Times New Roman"/>
          <w:sz w:val="28"/>
        </w:rPr>
        <w:t>Обращая внимание на задолженность, отметим, что тенденция является скачкообразной</w:t>
      </w:r>
      <w:r>
        <w:rPr>
          <w:rFonts w:ascii="Times New Roman" w:hAnsi="Times New Roman" w:cs="Times New Roman"/>
          <w:sz w:val="28"/>
        </w:rPr>
        <w:t>. Задолженность</w:t>
      </w:r>
      <w:r w:rsidRPr="00B519E6">
        <w:rPr>
          <w:rFonts w:ascii="Times New Roman" w:hAnsi="Times New Roman" w:cs="Times New Roman"/>
          <w:sz w:val="28"/>
        </w:rPr>
        <w:t xml:space="preserve"> по кредитам и прочим средствам, предоставленным физическим лицам, с 2014 по 2019 год увеличилась на 6%. Аналогичная динамика наблюдается и по показателям задолженности по жилищным и ипотечным жилищным кредитам, они увеличились на 23% и 26% соответственно. Также хочется обратить внимание на рост просроченной задолженности. Так, с 2014 по 2019 год </w:t>
      </w:r>
      <w:r>
        <w:rPr>
          <w:rFonts w:ascii="Times New Roman" w:hAnsi="Times New Roman" w:cs="Times New Roman"/>
          <w:sz w:val="28"/>
        </w:rPr>
        <w:t xml:space="preserve">она увеличилась почти в 2 раза. </w:t>
      </w:r>
      <w:r w:rsidRPr="00B519E6">
        <w:rPr>
          <w:rFonts w:ascii="Times New Roman" w:hAnsi="Times New Roman" w:cs="Times New Roman"/>
          <w:sz w:val="28"/>
        </w:rPr>
        <w:t xml:space="preserve">Основными причинами </w:t>
      </w:r>
      <w:r>
        <w:rPr>
          <w:rFonts w:ascii="Times New Roman" w:hAnsi="Times New Roman" w:cs="Times New Roman"/>
          <w:sz w:val="28"/>
        </w:rPr>
        <w:t xml:space="preserve">роста просроченной </w:t>
      </w:r>
      <w:r w:rsidRPr="00B519E6">
        <w:rPr>
          <w:rFonts w:ascii="Times New Roman" w:hAnsi="Times New Roman" w:cs="Times New Roman"/>
          <w:sz w:val="28"/>
        </w:rPr>
        <w:t xml:space="preserve">задолженности является </w:t>
      </w:r>
      <w:r w:rsidRPr="00B519E6">
        <w:rPr>
          <w:rFonts w:ascii="Times New Roman" w:hAnsi="Times New Roman" w:cs="Times New Roman"/>
          <w:sz w:val="28"/>
        </w:rPr>
        <w:lastRenderedPageBreak/>
        <w:t>низкий уровень заработной платы населения, а также высокий уровень процентных ставок по кредитным продуктам.</w:t>
      </w:r>
      <w:r>
        <w:rPr>
          <w:rFonts w:ascii="Times New Roman" w:hAnsi="Times New Roman" w:cs="Times New Roman"/>
          <w:sz w:val="28"/>
        </w:rPr>
        <w:t xml:space="preserve"> Необходимо отметить, что ипотека является обеспеченным видом кредитования, следовательно, просроченная задолженность погашается за счет взыскания залога.</w:t>
      </w:r>
    </w:p>
    <w:p w:rsidR="0048542D" w:rsidRDefault="0048542D" w:rsidP="0048542D">
      <w:pPr>
        <w:tabs>
          <w:tab w:val="left" w:pos="1875"/>
        </w:tabs>
        <w:spacing w:after="0" w:line="360" w:lineRule="auto"/>
        <w:ind w:firstLine="709"/>
        <w:jc w:val="both"/>
        <w:rPr>
          <w:rFonts w:ascii="Times New Roman" w:hAnsi="Times New Roman" w:cs="Times New Roman"/>
          <w:sz w:val="28"/>
        </w:rPr>
      </w:pPr>
      <w:r>
        <w:rPr>
          <w:rFonts w:ascii="Times New Roman" w:hAnsi="Times New Roman" w:cs="Times New Roman"/>
          <w:sz w:val="28"/>
        </w:rPr>
        <w:t>Основным источником финансирования для предприятий остаются банки, поэтому проанализируем динамику объема предоставленных кредитов субъектам малого и сред</w:t>
      </w:r>
      <w:r w:rsidR="000C2C97">
        <w:rPr>
          <w:rFonts w:ascii="Times New Roman" w:hAnsi="Times New Roman" w:cs="Times New Roman"/>
          <w:sz w:val="28"/>
        </w:rPr>
        <w:t>него предпринимательства (рис. 1) [</w:t>
      </w:r>
      <w:r w:rsidRPr="00D0232D">
        <w:rPr>
          <w:rFonts w:ascii="Times New Roman" w:hAnsi="Times New Roman" w:cs="Times New Roman"/>
          <w:sz w:val="28"/>
        </w:rPr>
        <w:t>3</w:t>
      </w:r>
      <w:r w:rsidRPr="00506ACA">
        <w:rPr>
          <w:rFonts w:ascii="Times New Roman" w:hAnsi="Times New Roman" w:cs="Times New Roman"/>
          <w:sz w:val="28"/>
        </w:rPr>
        <w:t>]</w:t>
      </w:r>
      <w:r>
        <w:rPr>
          <w:rFonts w:ascii="Times New Roman" w:hAnsi="Times New Roman" w:cs="Times New Roman"/>
          <w:sz w:val="28"/>
        </w:rPr>
        <w:t>.</w:t>
      </w:r>
    </w:p>
    <w:p w:rsidR="0048542D" w:rsidRDefault="0048542D" w:rsidP="0048542D">
      <w:pPr>
        <w:tabs>
          <w:tab w:val="left" w:pos="1875"/>
        </w:tabs>
        <w:spacing w:after="0" w:line="360" w:lineRule="auto"/>
        <w:ind w:firstLine="709"/>
        <w:jc w:val="both"/>
        <w:rPr>
          <w:rFonts w:ascii="Times New Roman" w:hAnsi="Times New Roman" w:cs="Times New Roman"/>
          <w:sz w:val="28"/>
          <w:lang w:val="en-US"/>
        </w:rPr>
      </w:pPr>
      <w:r>
        <w:rPr>
          <w:rFonts w:ascii="Times New Roman" w:hAnsi="Times New Roman" w:cs="Times New Roman"/>
          <w:noProof/>
          <w:sz w:val="28"/>
          <w:lang w:eastAsia="ru-RU"/>
        </w:rPr>
        <w:drawing>
          <wp:inline distT="0" distB="0" distL="0" distR="0" wp14:anchorId="383BB391" wp14:editId="65649AB1">
            <wp:extent cx="5305647" cy="2200939"/>
            <wp:effectExtent l="0" t="0" r="0" b="889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8542D" w:rsidRPr="00C750A5" w:rsidRDefault="000C2C97" w:rsidP="0048542D">
      <w:pPr>
        <w:tabs>
          <w:tab w:val="left" w:pos="1875"/>
        </w:tabs>
        <w:spacing w:after="0" w:line="240" w:lineRule="auto"/>
        <w:jc w:val="center"/>
        <w:rPr>
          <w:rFonts w:ascii="Times New Roman" w:hAnsi="Times New Roman" w:cs="Times New Roman"/>
          <w:sz w:val="24"/>
          <w:szCs w:val="24"/>
        </w:rPr>
      </w:pPr>
      <w:r w:rsidRPr="00C750A5">
        <w:rPr>
          <w:rFonts w:ascii="Times New Roman" w:hAnsi="Times New Roman" w:cs="Times New Roman"/>
          <w:sz w:val="24"/>
          <w:szCs w:val="24"/>
        </w:rPr>
        <w:t>Рис. 1</w:t>
      </w:r>
      <w:r w:rsidR="0048542D" w:rsidRPr="00C750A5">
        <w:rPr>
          <w:rFonts w:ascii="Times New Roman" w:hAnsi="Times New Roman" w:cs="Times New Roman"/>
          <w:sz w:val="24"/>
          <w:szCs w:val="24"/>
        </w:rPr>
        <w:t>. Динамика объема предоставленных кредитов субъектам малого и среднего предпринимательства Вологодской области в 2014-2019 гг., в млрд. руб.</w:t>
      </w:r>
    </w:p>
    <w:p w:rsidR="0048542D" w:rsidRPr="007700CC" w:rsidRDefault="0048542D" w:rsidP="0048542D">
      <w:pPr>
        <w:pStyle w:val="a3"/>
        <w:tabs>
          <w:tab w:val="left" w:pos="1875"/>
        </w:tabs>
        <w:spacing w:after="0" w:line="240" w:lineRule="auto"/>
        <w:ind w:left="0"/>
        <w:jc w:val="center"/>
        <w:rPr>
          <w:rFonts w:ascii="Times New Roman" w:hAnsi="Times New Roman" w:cs="Times New Roman"/>
          <w:sz w:val="20"/>
          <w:szCs w:val="28"/>
        </w:rPr>
      </w:pPr>
      <w:r w:rsidRPr="007700CC">
        <w:rPr>
          <w:rFonts w:ascii="Times New Roman" w:hAnsi="Times New Roman" w:cs="Times New Roman"/>
          <w:sz w:val="20"/>
          <w:szCs w:val="28"/>
        </w:rPr>
        <w:t xml:space="preserve">Источник: Составлено автором на основании данных </w:t>
      </w:r>
      <w:proofErr w:type="spellStart"/>
      <w:r>
        <w:rPr>
          <w:rFonts w:ascii="Times New Roman" w:hAnsi="Times New Roman" w:cs="Times New Roman"/>
          <w:sz w:val="20"/>
          <w:szCs w:val="28"/>
        </w:rPr>
        <w:t>Вологдастат</w:t>
      </w:r>
      <w:proofErr w:type="spellEnd"/>
    </w:p>
    <w:p w:rsidR="0048542D" w:rsidRPr="009F21DF" w:rsidRDefault="0048542D" w:rsidP="0048542D">
      <w:pPr>
        <w:tabs>
          <w:tab w:val="left" w:pos="1875"/>
        </w:tabs>
        <w:spacing w:after="0" w:line="360" w:lineRule="auto"/>
        <w:ind w:firstLine="709"/>
        <w:jc w:val="both"/>
        <w:rPr>
          <w:rFonts w:ascii="Times New Roman" w:hAnsi="Times New Roman" w:cs="Times New Roman"/>
          <w:sz w:val="28"/>
        </w:rPr>
      </w:pPr>
    </w:p>
    <w:p w:rsidR="0048542D" w:rsidRPr="009F21DF" w:rsidRDefault="000C2C97" w:rsidP="0048542D">
      <w:pPr>
        <w:tabs>
          <w:tab w:val="left" w:pos="1875"/>
        </w:tabs>
        <w:spacing w:after="0" w:line="360" w:lineRule="auto"/>
        <w:ind w:firstLine="709"/>
        <w:jc w:val="both"/>
        <w:rPr>
          <w:rFonts w:ascii="Times New Roman" w:hAnsi="Times New Roman" w:cs="Times New Roman"/>
          <w:sz w:val="28"/>
        </w:rPr>
      </w:pPr>
      <w:r>
        <w:rPr>
          <w:rFonts w:ascii="Times New Roman" w:hAnsi="Times New Roman" w:cs="Times New Roman"/>
          <w:sz w:val="28"/>
        </w:rPr>
        <w:t>Как видим, по данным рисунка 1</w:t>
      </w:r>
      <w:r w:rsidR="0048542D">
        <w:rPr>
          <w:rFonts w:ascii="Times New Roman" w:hAnsi="Times New Roman" w:cs="Times New Roman"/>
          <w:sz w:val="28"/>
        </w:rPr>
        <w:t xml:space="preserve"> объем предоставленных кредитов за весь исследуемый период снизился на 27%</w:t>
      </w:r>
      <w:r w:rsidR="0048542D" w:rsidRPr="009F21DF">
        <w:rPr>
          <w:rFonts w:ascii="Times New Roman" w:hAnsi="Times New Roman" w:cs="Times New Roman"/>
          <w:sz w:val="28"/>
        </w:rPr>
        <w:t xml:space="preserve">. </w:t>
      </w:r>
      <w:r w:rsidR="0048542D">
        <w:rPr>
          <w:rFonts w:ascii="Times New Roman" w:hAnsi="Times New Roman" w:cs="Times New Roman"/>
          <w:sz w:val="28"/>
        </w:rPr>
        <w:t>Недостаточное участие кредитных организаций в кредитовании реального сектора экономики обосновывается рядом факторов</w:t>
      </w:r>
      <w:r w:rsidR="0048542D" w:rsidRPr="00AD78F2">
        <w:rPr>
          <w:rFonts w:ascii="Times New Roman" w:hAnsi="Times New Roman" w:cs="Times New Roman"/>
          <w:sz w:val="28"/>
        </w:rPr>
        <w:t xml:space="preserve">: </w:t>
      </w:r>
      <w:r w:rsidR="0048542D">
        <w:rPr>
          <w:rFonts w:ascii="Times New Roman" w:hAnsi="Times New Roman" w:cs="Times New Roman"/>
          <w:sz w:val="28"/>
        </w:rPr>
        <w:t>высокие риски вложений в предприятия, краткосрочность кредитов, большой уровень просроченной задолженности, отсутствие ликвидного залога по кредиту.</w:t>
      </w:r>
    </w:p>
    <w:p w:rsidR="004B5FAC" w:rsidRDefault="0048542D" w:rsidP="000C2C97">
      <w:pPr>
        <w:tabs>
          <w:tab w:val="left" w:pos="1875"/>
        </w:tabs>
        <w:spacing w:after="0" w:line="360" w:lineRule="auto"/>
        <w:ind w:firstLine="709"/>
        <w:jc w:val="both"/>
        <w:rPr>
          <w:rFonts w:ascii="Times New Roman" w:hAnsi="Times New Roman" w:cs="Times New Roman"/>
          <w:sz w:val="28"/>
        </w:rPr>
      </w:pPr>
      <w:r>
        <w:rPr>
          <w:rFonts w:ascii="Times New Roman" w:hAnsi="Times New Roman" w:cs="Times New Roman"/>
          <w:sz w:val="28"/>
        </w:rPr>
        <w:t>Проведя анализ банковского сектора Вологодской области за период с 201</w:t>
      </w:r>
      <w:r w:rsidRPr="00FE7C6B">
        <w:rPr>
          <w:rFonts w:ascii="Times New Roman" w:hAnsi="Times New Roman" w:cs="Times New Roman"/>
          <w:sz w:val="28"/>
        </w:rPr>
        <w:t>4</w:t>
      </w:r>
      <w:r>
        <w:rPr>
          <w:rFonts w:ascii="Times New Roman" w:hAnsi="Times New Roman" w:cs="Times New Roman"/>
          <w:sz w:val="28"/>
        </w:rPr>
        <w:t xml:space="preserve"> по 2019 года</w:t>
      </w:r>
      <w:r w:rsidRPr="000A6E85">
        <w:rPr>
          <w:rFonts w:ascii="Times New Roman" w:hAnsi="Times New Roman" w:cs="Times New Roman"/>
          <w:sz w:val="28"/>
        </w:rPr>
        <w:t>, мож</w:t>
      </w:r>
      <w:r>
        <w:rPr>
          <w:rFonts w:ascii="Times New Roman" w:hAnsi="Times New Roman" w:cs="Times New Roman"/>
          <w:sz w:val="28"/>
        </w:rPr>
        <w:t xml:space="preserve">но отметить </w:t>
      </w:r>
      <w:r w:rsidR="00092FC1">
        <w:rPr>
          <w:rFonts w:ascii="Times New Roman" w:hAnsi="Times New Roman" w:cs="Times New Roman"/>
          <w:sz w:val="28"/>
        </w:rPr>
        <w:t>следующие тенденции</w:t>
      </w:r>
      <w:r w:rsidRPr="00FE7C6B">
        <w:rPr>
          <w:rFonts w:ascii="Times New Roman" w:hAnsi="Times New Roman" w:cs="Times New Roman"/>
          <w:sz w:val="28"/>
        </w:rPr>
        <w:t>:</w:t>
      </w:r>
      <w:r w:rsidR="004B5FAC">
        <w:rPr>
          <w:rFonts w:ascii="Times New Roman" w:hAnsi="Times New Roman" w:cs="Times New Roman"/>
          <w:sz w:val="28"/>
        </w:rPr>
        <w:t xml:space="preserve"> </w:t>
      </w:r>
    </w:p>
    <w:p w:rsidR="004B5FAC" w:rsidRDefault="004B5FAC" w:rsidP="000C2C97">
      <w:pPr>
        <w:tabs>
          <w:tab w:val="left" w:pos="1875"/>
        </w:tabs>
        <w:spacing w:after="0" w:line="360" w:lineRule="auto"/>
        <w:ind w:firstLine="709"/>
        <w:jc w:val="both"/>
        <w:rPr>
          <w:rFonts w:ascii="Times New Roman" w:hAnsi="Times New Roman" w:cs="Times New Roman"/>
          <w:sz w:val="28"/>
        </w:rPr>
      </w:pPr>
      <w:r>
        <w:rPr>
          <w:rFonts w:ascii="Times New Roman" w:hAnsi="Times New Roman" w:cs="Times New Roman"/>
          <w:sz w:val="28"/>
        </w:rPr>
        <w:t>- снижение числа</w:t>
      </w:r>
      <w:r w:rsidR="000C2C97">
        <w:rPr>
          <w:rFonts w:ascii="Times New Roman" w:hAnsi="Times New Roman" w:cs="Times New Roman"/>
          <w:sz w:val="28"/>
        </w:rPr>
        <w:t xml:space="preserve"> региональных банков на территории Вологодской области</w:t>
      </w:r>
    </w:p>
    <w:p w:rsidR="004B5FAC" w:rsidRDefault="004B5FAC" w:rsidP="000C2C97">
      <w:pPr>
        <w:tabs>
          <w:tab w:val="left" w:pos="187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увеличение объемов кредитования физических лиц, </w:t>
      </w:r>
    </w:p>
    <w:p w:rsidR="004B5FAC" w:rsidRDefault="004B5FAC" w:rsidP="000C2C97">
      <w:pPr>
        <w:tabs>
          <w:tab w:val="left" w:pos="187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2B069F">
        <w:rPr>
          <w:rFonts w:ascii="Times New Roman" w:hAnsi="Times New Roman" w:cs="Times New Roman"/>
          <w:sz w:val="28"/>
        </w:rPr>
        <w:t>рост просроченной задолженности по предоставленным ипотечным жилищным кредитам</w:t>
      </w:r>
    </w:p>
    <w:p w:rsidR="0048542D" w:rsidRDefault="004B5FAC" w:rsidP="000C2C97">
      <w:pPr>
        <w:tabs>
          <w:tab w:val="left" w:pos="1875"/>
        </w:tabs>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 </w:t>
      </w:r>
      <w:r w:rsidR="002B069F">
        <w:rPr>
          <w:rFonts w:ascii="Times New Roman" w:hAnsi="Times New Roman" w:cs="Times New Roman"/>
          <w:sz w:val="28"/>
        </w:rPr>
        <w:t>снижение объемов кредитования субъектов малого и среднего предпринимательства.</w:t>
      </w:r>
    </w:p>
    <w:p w:rsidR="004B5FAC" w:rsidRPr="002B069F" w:rsidRDefault="006D1643" w:rsidP="000C2C97">
      <w:pPr>
        <w:tabs>
          <w:tab w:val="left" w:pos="187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банковский сектор оказывает существенное влияние на социально-экономическое развитие территорий. </w:t>
      </w:r>
      <w:r w:rsidR="00CD69DC">
        <w:rPr>
          <w:rFonts w:ascii="Times New Roman" w:hAnsi="Times New Roman" w:cs="Times New Roman"/>
          <w:sz w:val="28"/>
        </w:rPr>
        <w:t>В настоящее время все чаще возникают неблагоприятные ситуации, оказывающие негативное влияние на банковский сектор, поэтому для развития экономики, не</w:t>
      </w:r>
      <w:r w:rsidR="00C87575">
        <w:rPr>
          <w:rFonts w:ascii="Times New Roman" w:hAnsi="Times New Roman" w:cs="Times New Roman"/>
          <w:sz w:val="28"/>
        </w:rPr>
        <w:t>обходимо предусмотреть меры направленные на его функционирование.</w:t>
      </w:r>
    </w:p>
    <w:p w:rsidR="0048542D" w:rsidRDefault="0048542D" w:rsidP="0048542D">
      <w:pPr>
        <w:widowControl w:val="0"/>
        <w:spacing w:line="360" w:lineRule="auto"/>
        <w:ind w:firstLine="709"/>
        <w:jc w:val="center"/>
        <w:rPr>
          <w:rFonts w:ascii="Times New Roman" w:eastAsia="Courier New" w:hAnsi="Times New Roman" w:cs="Times New Roman"/>
          <w:b/>
          <w:i/>
          <w:iCs/>
          <w:color w:val="000000"/>
          <w:sz w:val="28"/>
          <w:szCs w:val="28"/>
        </w:rPr>
      </w:pPr>
      <w:r w:rsidRPr="00556457">
        <w:rPr>
          <w:rFonts w:ascii="Times New Roman" w:eastAsia="Courier New" w:hAnsi="Times New Roman" w:cs="Times New Roman"/>
          <w:b/>
          <w:i/>
          <w:iCs/>
          <w:color w:val="000000"/>
          <w:sz w:val="28"/>
          <w:szCs w:val="28"/>
        </w:rPr>
        <w:t>Литература</w:t>
      </w:r>
    </w:p>
    <w:p w:rsidR="0048542D" w:rsidRPr="002F7648" w:rsidRDefault="0048542D" w:rsidP="0048542D">
      <w:pPr>
        <w:pStyle w:val="a3"/>
        <w:numPr>
          <w:ilvl w:val="0"/>
          <w:numId w:val="12"/>
        </w:numPr>
        <w:spacing w:after="0" w:line="360" w:lineRule="auto"/>
        <w:ind w:left="0" w:firstLine="709"/>
        <w:jc w:val="both"/>
        <w:rPr>
          <w:rFonts w:ascii="Times New Roman" w:hAnsi="Times New Roman" w:cs="Times New Roman"/>
          <w:sz w:val="28"/>
          <w:szCs w:val="28"/>
        </w:rPr>
      </w:pPr>
      <w:proofErr w:type="spellStart"/>
      <w:r w:rsidRPr="00365B49">
        <w:rPr>
          <w:rFonts w:ascii="Times New Roman" w:hAnsi="Times New Roman" w:cs="Times New Roman"/>
          <w:sz w:val="28"/>
          <w:szCs w:val="28"/>
        </w:rPr>
        <w:t>Галухин</w:t>
      </w:r>
      <w:proofErr w:type="spellEnd"/>
      <w:r w:rsidRPr="00365B49">
        <w:rPr>
          <w:rFonts w:ascii="Times New Roman" w:hAnsi="Times New Roman" w:cs="Times New Roman"/>
          <w:sz w:val="28"/>
          <w:szCs w:val="28"/>
        </w:rPr>
        <w:t xml:space="preserve"> А.В. </w:t>
      </w:r>
      <w:hyperlink r:id="rId9" w:history="1">
        <w:r w:rsidRPr="00365B49">
          <w:rPr>
            <w:rStyle w:val="a6"/>
            <w:rFonts w:ascii="Times New Roman" w:hAnsi="Times New Roman" w:cs="Times New Roman"/>
            <w:color w:val="auto"/>
            <w:sz w:val="28"/>
            <w:szCs w:val="28"/>
            <w:u w:val="none"/>
          </w:rPr>
          <w:t>Пути совершенствования кредитования реального сектора экономики</w:t>
        </w:r>
      </w:hyperlink>
      <w:r w:rsidRPr="00365B49">
        <w:rPr>
          <w:rFonts w:ascii="Times New Roman" w:hAnsi="Times New Roman" w:cs="Times New Roman"/>
          <w:sz w:val="28"/>
          <w:szCs w:val="28"/>
        </w:rPr>
        <w:t xml:space="preserve"> // Проб</w:t>
      </w:r>
      <w:r>
        <w:rPr>
          <w:rFonts w:ascii="Times New Roman" w:hAnsi="Times New Roman" w:cs="Times New Roman"/>
          <w:sz w:val="28"/>
          <w:szCs w:val="28"/>
        </w:rPr>
        <w:t xml:space="preserve">лемы развития территории. 2018. № 6 </w:t>
      </w:r>
      <w:r w:rsidRPr="00365B49">
        <w:rPr>
          <w:rFonts w:ascii="Times New Roman" w:hAnsi="Times New Roman" w:cs="Times New Roman"/>
          <w:sz w:val="28"/>
          <w:szCs w:val="28"/>
        </w:rPr>
        <w:t>(98). С. 162-171.</w:t>
      </w:r>
    </w:p>
    <w:p w:rsidR="0048542D" w:rsidRPr="002F7648" w:rsidRDefault="0048542D" w:rsidP="0048542D">
      <w:pPr>
        <w:pStyle w:val="a3"/>
        <w:numPr>
          <w:ilvl w:val="0"/>
          <w:numId w:val="12"/>
        </w:numPr>
        <w:spacing w:after="0" w:line="360" w:lineRule="auto"/>
        <w:ind w:left="0" w:firstLine="709"/>
        <w:jc w:val="both"/>
        <w:rPr>
          <w:rFonts w:ascii="Times New Roman" w:hAnsi="Times New Roman" w:cs="Times New Roman"/>
          <w:sz w:val="36"/>
          <w:szCs w:val="28"/>
        </w:rPr>
      </w:pPr>
      <w:proofErr w:type="spellStart"/>
      <w:r w:rsidRPr="001F72EC">
        <w:rPr>
          <w:rFonts w:ascii="Times New Roman" w:hAnsi="Times New Roman" w:cs="Times New Roman"/>
          <w:sz w:val="28"/>
        </w:rPr>
        <w:t>Печенская</w:t>
      </w:r>
      <w:proofErr w:type="spellEnd"/>
      <w:r w:rsidRPr="001F72EC">
        <w:rPr>
          <w:rFonts w:ascii="Times New Roman" w:hAnsi="Times New Roman" w:cs="Times New Roman"/>
          <w:sz w:val="28"/>
        </w:rPr>
        <w:t xml:space="preserve"> М.А. Актуальные вопросы развития потребительского кредитования в Российской Федерации // Вопросы террит</w:t>
      </w:r>
      <w:r>
        <w:rPr>
          <w:rFonts w:ascii="Times New Roman" w:hAnsi="Times New Roman" w:cs="Times New Roman"/>
          <w:sz w:val="28"/>
        </w:rPr>
        <w:t xml:space="preserve">ориального развития. 2015. № 10 </w:t>
      </w:r>
      <w:r w:rsidRPr="001F72EC">
        <w:rPr>
          <w:rFonts w:ascii="Times New Roman" w:hAnsi="Times New Roman" w:cs="Times New Roman"/>
          <w:sz w:val="28"/>
        </w:rPr>
        <w:t>(30). С. 1.</w:t>
      </w:r>
    </w:p>
    <w:p w:rsidR="0048542D" w:rsidRPr="00506ACA" w:rsidRDefault="0048542D" w:rsidP="0048542D">
      <w:pPr>
        <w:pStyle w:val="a3"/>
        <w:numPr>
          <w:ilvl w:val="0"/>
          <w:numId w:val="12"/>
        </w:numPr>
        <w:spacing w:after="0" w:line="360" w:lineRule="auto"/>
        <w:ind w:left="0" w:firstLine="709"/>
        <w:jc w:val="both"/>
        <w:rPr>
          <w:rFonts w:ascii="Times New Roman" w:hAnsi="Times New Roman" w:cs="Times New Roman"/>
          <w:sz w:val="28"/>
          <w:szCs w:val="28"/>
        </w:rPr>
      </w:pPr>
      <w:r w:rsidRPr="00506ACA">
        <w:rPr>
          <w:rFonts w:ascii="Times New Roman" w:hAnsi="Times New Roman" w:cs="Times New Roman"/>
          <w:sz w:val="28"/>
          <w:szCs w:val="28"/>
        </w:rPr>
        <w:t>Верников А.В., Мамонов М.Е. Долгосрочное банковское кредитование: какие банки им занимаются и почему? // ЭКО. 2016. № 9 (507). С. 135-150.</w:t>
      </w:r>
    </w:p>
    <w:p w:rsidR="00C750A5" w:rsidRPr="00C750A5" w:rsidRDefault="00C750A5" w:rsidP="00C750A5">
      <w:pPr>
        <w:pStyle w:val="a9"/>
        <w:spacing w:line="360" w:lineRule="auto"/>
        <w:ind w:left="1429"/>
        <w:jc w:val="center"/>
        <w:rPr>
          <w:rFonts w:ascii="Times New Roman" w:hAnsi="Times New Roman" w:cs="Times New Roman"/>
          <w:sz w:val="28"/>
        </w:rPr>
      </w:pPr>
      <w:r w:rsidRPr="00C750A5">
        <w:rPr>
          <w:rFonts w:ascii="Times New Roman" w:hAnsi="Times New Roman" w:cs="Times New Roman"/>
          <w:sz w:val="28"/>
        </w:rPr>
        <w:t>Информация об авторе</w:t>
      </w:r>
    </w:p>
    <w:p w:rsidR="00C750A5" w:rsidRPr="00C750A5" w:rsidRDefault="00C750A5" w:rsidP="00C750A5">
      <w:pPr>
        <w:pStyle w:val="a9"/>
        <w:spacing w:line="360" w:lineRule="auto"/>
        <w:jc w:val="both"/>
        <w:rPr>
          <w:rFonts w:ascii="Times New Roman" w:hAnsi="Times New Roman" w:cs="Times New Roman"/>
          <w:sz w:val="28"/>
        </w:rPr>
      </w:pPr>
      <w:r>
        <w:rPr>
          <w:rFonts w:ascii="Times New Roman" w:hAnsi="Times New Roman" w:cs="Times New Roman"/>
          <w:sz w:val="28"/>
        </w:rPr>
        <w:t>Волков Анатолий Анатольевич</w:t>
      </w:r>
      <w:r w:rsidRPr="00C750A5">
        <w:rPr>
          <w:rFonts w:ascii="Times New Roman" w:hAnsi="Times New Roman" w:cs="Times New Roman"/>
          <w:sz w:val="28"/>
        </w:rPr>
        <w:t xml:space="preserve"> (Россия, Вологда) – инженер-исследователь, ФГБУН </w:t>
      </w:r>
      <w:proofErr w:type="spellStart"/>
      <w:r w:rsidRPr="00C750A5">
        <w:rPr>
          <w:rFonts w:ascii="Times New Roman" w:hAnsi="Times New Roman" w:cs="Times New Roman"/>
          <w:sz w:val="28"/>
        </w:rPr>
        <w:t>ВолНЦ</w:t>
      </w:r>
      <w:proofErr w:type="spellEnd"/>
      <w:r w:rsidRPr="00C750A5">
        <w:rPr>
          <w:rFonts w:ascii="Times New Roman" w:hAnsi="Times New Roman" w:cs="Times New Roman"/>
          <w:sz w:val="28"/>
        </w:rPr>
        <w:t xml:space="preserve"> РАН, 160014, Россия, г. Вологда, ул. Горького, 56а), </w:t>
      </w:r>
      <w:r>
        <w:rPr>
          <w:rFonts w:ascii="Times New Roman" w:hAnsi="Times New Roman" w:cs="Times New Roman"/>
          <w:sz w:val="28"/>
          <w:lang w:val="en-US"/>
        </w:rPr>
        <w:t>aa. volkov95</w:t>
      </w:r>
      <w:r w:rsidRPr="00C750A5">
        <w:rPr>
          <w:rFonts w:ascii="Times New Roman" w:hAnsi="Times New Roman" w:cs="Times New Roman"/>
          <w:sz w:val="28"/>
        </w:rPr>
        <w:t>@</w:t>
      </w:r>
      <w:r w:rsidRPr="00C750A5">
        <w:rPr>
          <w:rFonts w:ascii="Times New Roman" w:hAnsi="Times New Roman" w:cs="Times New Roman"/>
          <w:sz w:val="28"/>
          <w:lang w:val="en-US"/>
        </w:rPr>
        <w:t>mail</w:t>
      </w:r>
      <w:r w:rsidRPr="00C750A5">
        <w:rPr>
          <w:rFonts w:ascii="Times New Roman" w:hAnsi="Times New Roman" w:cs="Times New Roman"/>
          <w:sz w:val="28"/>
        </w:rPr>
        <w:t>.</w:t>
      </w:r>
      <w:proofErr w:type="spellStart"/>
      <w:r w:rsidRPr="00C750A5">
        <w:rPr>
          <w:rFonts w:ascii="Times New Roman" w:hAnsi="Times New Roman" w:cs="Times New Roman"/>
          <w:sz w:val="28"/>
          <w:lang w:val="en-US"/>
        </w:rPr>
        <w:t>ru</w:t>
      </w:r>
      <w:proofErr w:type="spellEnd"/>
    </w:p>
    <w:p w:rsidR="009912E3" w:rsidRDefault="009912E3">
      <w:pPr>
        <w:rPr>
          <w:lang w:val="en-US"/>
        </w:rPr>
      </w:pPr>
    </w:p>
    <w:p w:rsidR="00C750A5" w:rsidRPr="00C750A5" w:rsidRDefault="00C750A5" w:rsidP="00C750A5">
      <w:pPr>
        <w:jc w:val="right"/>
        <w:rPr>
          <w:rFonts w:ascii="Times New Roman" w:hAnsi="Times New Roman" w:cs="Times New Roman"/>
          <w:b/>
          <w:sz w:val="28"/>
          <w:szCs w:val="28"/>
          <w:lang w:val="en-US"/>
        </w:rPr>
      </w:pPr>
      <w:proofErr w:type="spellStart"/>
      <w:r w:rsidRPr="00C750A5">
        <w:rPr>
          <w:rFonts w:ascii="Times New Roman" w:hAnsi="Times New Roman" w:cs="Times New Roman"/>
          <w:b/>
          <w:sz w:val="28"/>
          <w:szCs w:val="28"/>
          <w:lang w:val="en-US"/>
        </w:rPr>
        <w:t>Volkov</w:t>
      </w:r>
      <w:proofErr w:type="spellEnd"/>
      <w:r w:rsidRPr="00C750A5">
        <w:rPr>
          <w:rFonts w:ascii="Times New Roman" w:hAnsi="Times New Roman" w:cs="Times New Roman"/>
          <w:b/>
          <w:sz w:val="28"/>
          <w:szCs w:val="28"/>
          <w:lang w:val="en-US"/>
        </w:rPr>
        <w:t xml:space="preserve"> A. A.</w:t>
      </w:r>
    </w:p>
    <w:p w:rsidR="00C750A5" w:rsidRPr="00C750A5" w:rsidRDefault="00C750A5" w:rsidP="00C750A5">
      <w:pPr>
        <w:jc w:val="center"/>
        <w:rPr>
          <w:rFonts w:ascii="Times New Roman" w:hAnsi="Times New Roman" w:cs="Times New Roman"/>
          <w:b/>
          <w:sz w:val="28"/>
          <w:szCs w:val="28"/>
          <w:lang w:val="en-US"/>
        </w:rPr>
      </w:pPr>
      <w:r>
        <w:rPr>
          <w:rFonts w:ascii="Times New Roman" w:hAnsi="Times New Roman" w:cs="Times New Roman"/>
          <w:b/>
          <w:sz w:val="28"/>
          <w:szCs w:val="28"/>
          <w:lang w:val="en-US"/>
        </w:rPr>
        <w:t>F</w:t>
      </w:r>
      <w:r w:rsidRPr="00C750A5">
        <w:rPr>
          <w:rFonts w:ascii="Times New Roman" w:hAnsi="Times New Roman" w:cs="Times New Roman"/>
          <w:b/>
          <w:sz w:val="28"/>
          <w:szCs w:val="28"/>
          <w:lang w:val="en-US"/>
        </w:rPr>
        <w:t xml:space="preserve">unctioning of the </w:t>
      </w:r>
      <w:r w:rsidRPr="00C750A5">
        <w:rPr>
          <w:rFonts w:ascii="Times New Roman" w:hAnsi="Times New Roman" w:cs="Times New Roman"/>
          <w:b/>
          <w:sz w:val="28"/>
          <w:szCs w:val="28"/>
          <w:lang w:val="en-US"/>
        </w:rPr>
        <w:t>banking sector</w:t>
      </w:r>
      <w:r w:rsidRPr="00C750A5">
        <w:rPr>
          <w:rFonts w:ascii="Times New Roman" w:hAnsi="Times New Roman" w:cs="Times New Roman"/>
          <w:b/>
          <w:sz w:val="28"/>
          <w:szCs w:val="28"/>
          <w:lang w:val="en-US"/>
        </w:rPr>
        <w:t xml:space="preserve"> in the region (on the example of the V</w:t>
      </w:r>
      <w:r w:rsidRPr="00C750A5">
        <w:rPr>
          <w:rFonts w:ascii="Times New Roman" w:hAnsi="Times New Roman" w:cs="Times New Roman"/>
          <w:b/>
          <w:sz w:val="28"/>
          <w:szCs w:val="28"/>
          <w:lang w:val="en-US"/>
        </w:rPr>
        <w:t>ologda region</w:t>
      </w:r>
      <w:r w:rsidRPr="00C750A5">
        <w:rPr>
          <w:rFonts w:ascii="Times New Roman" w:hAnsi="Times New Roman" w:cs="Times New Roman"/>
          <w:b/>
          <w:sz w:val="28"/>
          <w:szCs w:val="28"/>
          <w:lang w:val="en-US"/>
        </w:rPr>
        <w:t>)</w:t>
      </w:r>
    </w:p>
    <w:p w:rsidR="00C750A5" w:rsidRPr="00C750A5" w:rsidRDefault="00C750A5" w:rsidP="00C750A5">
      <w:pPr>
        <w:spacing w:after="0" w:line="360" w:lineRule="auto"/>
        <w:ind w:firstLine="709"/>
        <w:jc w:val="both"/>
        <w:rPr>
          <w:rFonts w:ascii="Times New Roman" w:hAnsi="Times New Roman" w:cs="Times New Roman"/>
          <w:sz w:val="28"/>
          <w:szCs w:val="28"/>
          <w:lang w:val="en-US"/>
        </w:rPr>
      </w:pPr>
      <w:r w:rsidRPr="00C750A5">
        <w:rPr>
          <w:rFonts w:ascii="Times New Roman" w:hAnsi="Times New Roman" w:cs="Times New Roman"/>
          <w:b/>
          <w:sz w:val="28"/>
          <w:szCs w:val="28"/>
          <w:lang w:val="en-US"/>
        </w:rPr>
        <w:t>Abstract:</w:t>
      </w:r>
      <w:r w:rsidRPr="00C750A5">
        <w:rPr>
          <w:rFonts w:ascii="Times New Roman" w:hAnsi="Times New Roman" w:cs="Times New Roman"/>
          <w:sz w:val="28"/>
          <w:szCs w:val="28"/>
          <w:lang w:val="en-US"/>
        </w:rPr>
        <w:t xml:space="preserve"> this article analyzes the functioning of the banking sector in the Vologda region. The author considers the main indicators of the banking sector. The results of the study revealed the main trends that affect the development of the banking sector.</w:t>
      </w:r>
    </w:p>
    <w:p w:rsidR="00C750A5" w:rsidRPr="00C750A5" w:rsidRDefault="00C750A5" w:rsidP="00C750A5">
      <w:pPr>
        <w:spacing w:after="0" w:line="360" w:lineRule="auto"/>
        <w:ind w:firstLine="709"/>
        <w:jc w:val="both"/>
        <w:rPr>
          <w:rFonts w:ascii="Times New Roman" w:hAnsi="Times New Roman" w:cs="Times New Roman"/>
          <w:sz w:val="28"/>
          <w:szCs w:val="28"/>
          <w:lang w:val="en-US"/>
        </w:rPr>
      </w:pPr>
      <w:r w:rsidRPr="00C750A5">
        <w:rPr>
          <w:rFonts w:ascii="Times New Roman" w:hAnsi="Times New Roman" w:cs="Times New Roman"/>
          <w:b/>
          <w:sz w:val="28"/>
          <w:szCs w:val="28"/>
          <w:lang w:val="en-US"/>
        </w:rPr>
        <w:lastRenderedPageBreak/>
        <w:t>Keywords:</w:t>
      </w:r>
      <w:r w:rsidRPr="00C750A5">
        <w:rPr>
          <w:rFonts w:ascii="Times New Roman" w:hAnsi="Times New Roman" w:cs="Times New Roman"/>
          <w:sz w:val="28"/>
          <w:szCs w:val="28"/>
          <w:lang w:val="en-US"/>
        </w:rPr>
        <w:t xml:space="preserve"> banking sector, development, regional banks, lending, mortgage.</w:t>
      </w:r>
    </w:p>
    <w:p w:rsidR="00C750A5" w:rsidRPr="00C750A5" w:rsidRDefault="00C750A5" w:rsidP="00C750A5">
      <w:pPr>
        <w:jc w:val="center"/>
        <w:rPr>
          <w:rFonts w:ascii="Times New Roman" w:hAnsi="Times New Roman" w:cs="Times New Roman"/>
          <w:b/>
          <w:sz w:val="28"/>
          <w:szCs w:val="28"/>
          <w:lang w:val="en-US"/>
        </w:rPr>
      </w:pPr>
      <w:r w:rsidRPr="00C750A5">
        <w:rPr>
          <w:rFonts w:ascii="Times New Roman" w:hAnsi="Times New Roman" w:cs="Times New Roman"/>
          <w:b/>
          <w:sz w:val="28"/>
          <w:szCs w:val="28"/>
          <w:lang w:val="en-US"/>
        </w:rPr>
        <w:t>Literature</w:t>
      </w:r>
    </w:p>
    <w:p w:rsidR="00C750A5" w:rsidRDefault="00C750A5" w:rsidP="00C750A5">
      <w:pPr>
        <w:rPr>
          <w:rFonts w:ascii="Times New Roman" w:hAnsi="Times New Roman" w:cs="Times New Roman"/>
          <w:sz w:val="28"/>
          <w:szCs w:val="28"/>
          <w:lang w:val="en-US"/>
        </w:rPr>
      </w:pPr>
      <w:r w:rsidRPr="00C750A5">
        <w:rPr>
          <w:rFonts w:ascii="Times New Roman" w:hAnsi="Times New Roman" w:cs="Times New Roman"/>
          <w:sz w:val="28"/>
          <w:szCs w:val="28"/>
          <w:lang w:val="en-US"/>
        </w:rPr>
        <w:t xml:space="preserve">1. </w:t>
      </w:r>
      <w:proofErr w:type="spellStart"/>
      <w:r w:rsidRPr="00C750A5">
        <w:rPr>
          <w:rFonts w:ascii="Times New Roman" w:hAnsi="Times New Roman" w:cs="Times New Roman"/>
          <w:sz w:val="28"/>
          <w:szCs w:val="28"/>
          <w:lang w:val="en-US"/>
        </w:rPr>
        <w:t>Galukhin</w:t>
      </w:r>
      <w:proofErr w:type="spellEnd"/>
      <w:r w:rsidRPr="00C750A5">
        <w:rPr>
          <w:rFonts w:ascii="Times New Roman" w:hAnsi="Times New Roman" w:cs="Times New Roman"/>
          <w:sz w:val="28"/>
          <w:szCs w:val="28"/>
          <w:lang w:val="en-US"/>
        </w:rPr>
        <w:t xml:space="preserve"> A.V. ways to improve lending to the real sector of </w:t>
      </w:r>
      <w:r>
        <w:rPr>
          <w:rFonts w:ascii="Times New Roman" w:hAnsi="Times New Roman" w:cs="Times New Roman"/>
          <w:sz w:val="28"/>
          <w:szCs w:val="28"/>
          <w:lang w:val="en-US"/>
        </w:rPr>
        <w:t xml:space="preserve"> </w:t>
      </w:r>
      <w:r w:rsidRPr="00C750A5">
        <w:rPr>
          <w:rFonts w:ascii="Times New Roman" w:hAnsi="Times New Roman" w:cs="Times New Roman"/>
          <w:sz w:val="28"/>
          <w:szCs w:val="28"/>
          <w:lang w:val="en-US"/>
        </w:rPr>
        <w:t>The economy // Problems of territory development</w:t>
      </w:r>
      <w:r>
        <w:rPr>
          <w:rFonts w:ascii="Times New Roman" w:hAnsi="Times New Roman" w:cs="Times New Roman"/>
          <w:sz w:val="28"/>
          <w:szCs w:val="28"/>
          <w:lang w:val="en-US"/>
        </w:rPr>
        <w:t>. 2018. No. 6 (98). Pp. 162-171</w:t>
      </w:r>
      <w:r w:rsidRPr="00C750A5">
        <w:rPr>
          <w:rFonts w:ascii="Times New Roman" w:hAnsi="Times New Roman" w:cs="Times New Roman"/>
          <w:sz w:val="28"/>
          <w:szCs w:val="28"/>
          <w:lang w:val="en-US"/>
        </w:rPr>
        <w:t xml:space="preserve">. </w:t>
      </w:r>
    </w:p>
    <w:p w:rsidR="00C750A5" w:rsidRPr="00C750A5" w:rsidRDefault="00C750A5" w:rsidP="00C750A5">
      <w:pPr>
        <w:rPr>
          <w:rFonts w:ascii="Times New Roman" w:hAnsi="Times New Roman" w:cs="Times New Roman"/>
          <w:sz w:val="28"/>
          <w:szCs w:val="28"/>
          <w:lang w:val="en-US"/>
        </w:rPr>
      </w:pPr>
      <w:r w:rsidRPr="00C750A5">
        <w:rPr>
          <w:rFonts w:ascii="Times New Roman" w:hAnsi="Times New Roman" w:cs="Times New Roman"/>
          <w:sz w:val="28"/>
          <w:szCs w:val="28"/>
          <w:lang w:val="en-US"/>
        </w:rPr>
        <w:t xml:space="preserve">2. </w:t>
      </w:r>
      <w:proofErr w:type="spellStart"/>
      <w:r w:rsidRPr="00C750A5">
        <w:rPr>
          <w:rFonts w:ascii="Times New Roman" w:hAnsi="Times New Roman" w:cs="Times New Roman"/>
          <w:sz w:val="28"/>
          <w:szCs w:val="28"/>
          <w:lang w:val="en-US"/>
        </w:rPr>
        <w:t>Pechenskaya</w:t>
      </w:r>
      <w:proofErr w:type="spellEnd"/>
      <w:r w:rsidRPr="00C750A5">
        <w:rPr>
          <w:rFonts w:ascii="Times New Roman" w:hAnsi="Times New Roman" w:cs="Times New Roman"/>
          <w:sz w:val="28"/>
          <w:szCs w:val="28"/>
          <w:lang w:val="en-US"/>
        </w:rPr>
        <w:t xml:space="preserve"> M. A. Topical issues of consumer Credit development in the Russian Federation // Issues of territorial development. 2015. No. 10 (30). p. 1.</w:t>
      </w:r>
    </w:p>
    <w:p w:rsidR="00C750A5" w:rsidRPr="00C750A5" w:rsidRDefault="00C750A5" w:rsidP="00C750A5">
      <w:pPr>
        <w:rPr>
          <w:rFonts w:ascii="Times New Roman" w:hAnsi="Times New Roman" w:cs="Times New Roman"/>
          <w:sz w:val="28"/>
          <w:szCs w:val="28"/>
          <w:lang w:val="en-US"/>
        </w:rPr>
      </w:pPr>
      <w:r w:rsidRPr="00C750A5">
        <w:rPr>
          <w:rFonts w:ascii="Times New Roman" w:hAnsi="Times New Roman" w:cs="Times New Roman"/>
          <w:sz w:val="28"/>
          <w:szCs w:val="28"/>
          <w:lang w:val="en-US"/>
        </w:rPr>
        <w:t xml:space="preserve">3. </w:t>
      </w:r>
      <w:proofErr w:type="spellStart"/>
      <w:r w:rsidRPr="00C750A5">
        <w:rPr>
          <w:rFonts w:ascii="Times New Roman" w:hAnsi="Times New Roman" w:cs="Times New Roman"/>
          <w:sz w:val="28"/>
          <w:szCs w:val="28"/>
          <w:lang w:val="en-US"/>
        </w:rPr>
        <w:t>Vernikov</w:t>
      </w:r>
      <w:proofErr w:type="spellEnd"/>
      <w:r w:rsidRPr="00C750A5">
        <w:rPr>
          <w:rFonts w:ascii="Times New Roman" w:hAnsi="Times New Roman" w:cs="Times New Roman"/>
          <w:sz w:val="28"/>
          <w:szCs w:val="28"/>
          <w:lang w:val="en-US"/>
        </w:rPr>
        <w:t xml:space="preserve"> A.V., </w:t>
      </w:r>
      <w:proofErr w:type="spellStart"/>
      <w:r w:rsidRPr="00C750A5">
        <w:rPr>
          <w:rFonts w:ascii="Times New Roman" w:hAnsi="Times New Roman" w:cs="Times New Roman"/>
          <w:sz w:val="28"/>
          <w:szCs w:val="28"/>
          <w:lang w:val="en-US"/>
        </w:rPr>
        <w:t>Mamonov</w:t>
      </w:r>
      <w:proofErr w:type="spellEnd"/>
      <w:r w:rsidRPr="00C750A5">
        <w:rPr>
          <w:rFonts w:ascii="Times New Roman" w:hAnsi="Times New Roman" w:cs="Times New Roman"/>
          <w:sz w:val="28"/>
          <w:szCs w:val="28"/>
          <w:lang w:val="en-US"/>
        </w:rPr>
        <w:t xml:space="preserve"> M. E. Long-term Bank lending: which banks are engaged in it and why? // IVF. 2016. No. 9 (507). pp. 135-150.</w:t>
      </w:r>
    </w:p>
    <w:p w:rsidR="00C750A5" w:rsidRPr="00C750A5" w:rsidRDefault="00C750A5" w:rsidP="00C750A5">
      <w:pPr>
        <w:jc w:val="center"/>
        <w:rPr>
          <w:rFonts w:ascii="Times New Roman" w:hAnsi="Times New Roman" w:cs="Times New Roman"/>
          <w:b/>
          <w:sz w:val="28"/>
          <w:szCs w:val="28"/>
          <w:lang w:val="en-US"/>
        </w:rPr>
      </w:pPr>
      <w:r w:rsidRPr="00C750A5">
        <w:rPr>
          <w:rFonts w:ascii="Times New Roman" w:hAnsi="Times New Roman" w:cs="Times New Roman"/>
          <w:b/>
          <w:sz w:val="28"/>
          <w:szCs w:val="28"/>
          <w:lang w:val="en-US"/>
        </w:rPr>
        <w:t>Author information</w:t>
      </w:r>
      <w:bookmarkStart w:id="0" w:name="_GoBack"/>
      <w:bookmarkEnd w:id="0"/>
    </w:p>
    <w:p w:rsidR="00C750A5" w:rsidRPr="00C750A5" w:rsidRDefault="00C750A5" w:rsidP="00C750A5">
      <w:pPr>
        <w:rPr>
          <w:rFonts w:ascii="Times New Roman" w:hAnsi="Times New Roman" w:cs="Times New Roman"/>
          <w:sz w:val="28"/>
          <w:szCs w:val="28"/>
          <w:lang w:val="en-US"/>
        </w:rPr>
      </w:pPr>
      <w:r w:rsidRPr="00C750A5">
        <w:rPr>
          <w:rFonts w:ascii="Times New Roman" w:hAnsi="Times New Roman" w:cs="Times New Roman"/>
          <w:sz w:val="28"/>
          <w:szCs w:val="28"/>
          <w:lang w:val="en-US"/>
        </w:rPr>
        <w:t xml:space="preserve">Anatoly A. </w:t>
      </w:r>
      <w:proofErr w:type="spellStart"/>
      <w:r w:rsidRPr="00C750A5">
        <w:rPr>
          <w:rFonts w:ascii="Times New Roman" w:hAnsi="Times New Roman" w:cs="Times New Roman"/>
          <w:sz w:val="28"/>
          <w:szCs w:val="28"/>
          <w:lang w:val="en-US"/>
        </w:rPr>
        <w:t>Volkov</w:t>
      </w:r>
      <w:proofErr w:type="spellEnd"/>
      <w:r w:rsidRPr="00C750A5">
        <w:rPr>
          <w:rFonts w:ascii="Times New Roman" w:hAnsi="Times New Roman" w:cs="Times New Roman"/>
          <w:sz w:val="28"/>
          <w:szCs w:val="28"/>
          <w:lang w:val="en-US"/>
        </w:rPr>
        <w:t xml:space="preserve"> (Vologda, Russia) – research engineer, Federal state budgetary INSTITUTION of the Russian Academy of Sciences, 56a </w:t>
      </w:r>
      <w:proofErr w:type="spellStart"/>
      <w:r w:rsidRPr="00C750A5">
        <w:rPr>
          <w:rFonts w:ascii="Times New Roman" w:hAnsi="Times New Roman" w:cs="Times New Roman"/>
          <w:sz w:val="28"/>
          <w:szCs w:val="28"/>
          <w:lang w:val="en-US"/>
        </w:rPr>
        <w:t>Gorkogo</w:t>
      </w:r>
      <w:proofErr w:type="spellEnd"/>
      <w:r w:rsidRPr="00C750A5">
        <w:rPr>
          <w:rFonts w:ascii="Times New Roman" w:hAnsi="Times New Roman" w:cs="Times New Roman"/>
          <w:sz w:val="28"/>
          <w:szCs w:val="28"/>
          <w:lang w:val="en-US"/>
        </w:rPr>
        <w:t xml:space="preserve"> str., Vologda, 160014, Russia), aa. volkov95@mail.ru</w:t>
      </w:r>
    </w:p>
    <w:sectPr w:rsidR="00C750A5" w:rsidRPr="00C750A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42D" w:rsidRDefault="0048542D" w:rsidP="0048542D">
      <w:pPr>
        <w:spacing w:after="0" w:line="240" w:lineRule="auto"/>
      </w:pPr>
      <w:r>
        <w:separator/>
      </w:r>
    </w:p>
  </w:endnote>
  <w:endnote w:type="continuationSeparator" w:id="0">
    <w:p w:rsidR="0048542D" w:rsidRDefault="0048542D" w:rsidP="00485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42D" w:rsidRDefault="0048542D" w:rsidP="0048542D">
      <w:pPr>
        <w:spacing w:after="0" w:line="240" w:lineRule="auto"/>
      </w:pPr>
      <w:r>
        <w:separator/>
      </w:r>
    </w:p>
  </w:footnote>
  <w:footnote w:type="continuationSeparator" w:id="0">
    <w:p w:rsidR="0048542D" w:rsidRDefault="0048542D" w:rsidP="0048542D">
      <w:pPr>
        <w:spacing w:after="0" w:line="240" w:lineRule="auto"/>
      </w:pPr>
      <w:r>
        <w:continuationSeparator/>
      </w:r>
    </w:p>
  </w:footnote>
  <w:footnote w:id="1">
    <w:p w:rsidR="0048542D" w:rsidRPr="00D805F2" w:rsidRDefault="0048542D" w:rsidP="0048542D">
      <w:pPr>
        <w:jc w:val="both"/>
        <w:rPr>
          <w:rFonts w:ascii="Times New Roman" w:hAnsi="Times New Roman" w:cs="Times New Roman"/>
          <w:sz w:val="20"/>
          <w:szCs w:val="20"/>
        </w:rPr>
      </w:pPr>
      <w:r w:rsidRPr="00D805F2">
        <w:rPr>
          <w:rStyle w:val="ab"/>
          <w:rFonts w:ascii="Times New Roman" w:hAnsi="Times New Roman" w:cs="Times New Roman"/>
          <w:sz w:val="20"/>
          <w:szCs w:val="20"/>
        </w:rPr>
        <w:footnoteRef/>
      </w:r>
      <w:r w:rsidRPr="00D805F2">
        <w:rPr>
          <w:rFonts w:ascii="Times New Roman" w:hAnsi="Times New Roman" w:cs="Times New Roman"/>
          <w:sz w:val="20"/>
          <w:szCs w:val="20"/>
        </w:rPr>
        <w:t xml:space="preserve"> Статья подготовлена в соответствии с государственным заданием для ФГБУН «Вологодский научный центр РАН» по теме НИР № 0168-2019-0005 «Исследование факторов и методов устойчивого развития территориальных систем в изменяющихся геополитических и геоэкономических условиях».</w:t>
      </w:r>
    </w:p>
    <w:p w:rsidR="0048542D" w:rsidRDefault="0048542D" w:rsidP="0048542D">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F6EA7"/>
    <w:multiLevelType w:val="hybridMultilevel"/>
    <w:tmpl w:val="3F2E1654"/>
    <w:lvl w:ilvl="0" w:tplc="0DA822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69382F"/>
    <w:multiLevelType w:val="hybridMultilevel"/>
    <w:tmpl w:val="A8E25612"/>
    <w:lvl w:ilvl="0" w:tplc="C2DE65D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446563"/>
    <w:multiLevelType w:val="hybridMultilevel"/>
    <w:tmpl w:val="F2C40170"/>
    <w:lvl w:ilvl="0" w:tplc="57A492D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260953D3"/>
    <w:multiLevelType w:val="hybridMultilevel"/>
    <w:tmpl w:val="15C2389E"/>
    <w:lvl w:ilvl="0" w:tplc="57A492D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0646B0"/>
    <w:multiLevelType w:val="hybridMultilevel"/>
    <w:tmpl w:val="2C681BEC"/>
    <w:lvl w:ilvl="0" w:tplc="8A705F56">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1BD4B6F"/>
    <w:multiLevelType w:val="multilevel"/>
    <w:tmpl w:val="9DE86E5A"/>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39500348"/>
    <w:multiLevelType w:val="hybridMultilevel"/>
    <w:tmpl w:val="2B84D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BC519C"/>
    <w:multiLevelType w:val="hybridMultilevel"/>
    <w:tmpl w:val="0DD64076"/>
    <w:lvl w:ilvl="0" w:tplc="DD025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10524AB"/>
    <w:multiLevelType w:val="hybridMultilevel"/>
    <w:tmpl w:val="4ECEACBA"/>
    <w:lvl w:ilvl="0" w:tplc="D8FCF9F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2854B1"/>
    <w:multiLevelType w:val="hybridMultilevel"/>
    <w:tmpl w:val="2060756E"/>
    <w:lvl w:ilvl="0" w:tplc="9E8CE6A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F20B43"/>
    <w:multiLevelType w:val="hybridMultilevel"/>
    <w:tmpl w:val="820EF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3F1504"/>
    <w:multiLevelType w:val="hybridMultilevel"/>
    <w:tmpl w:val="602835A4"/>
    <w:lvl w:ilvl="0" w:tplc="7264CD3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0E3CE3"/>
    <w:multiLevelType w:val="hybridMultilevel"/>
    <w:tmpl w:val="120A54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C697618"/>
    <w:multiLevelType w:val="hybridMultilevel"/>
    <w:tmpl w:val="234C84D4"/>
    <w:lvl w:ilvl="0" w:tplc="02D0577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64D17D4B"/>
    <w:multiLevelType w:val="hybridMultilevel"/>
    <w:tmpl w:val="D57A5D74"/>
    <w:lvl w:ilvl="0" w:tplc="BA96A51C">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C71848"/>
    <w:multiLevelType w:val="hybridMultilevel"/>
    <w:tmpl w:val="89726C56"/>
    <w:lvl w:ilvl="0" w:tplc="BFBE87C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EE759E5"/>
    <w:multiLevelType w:val="hybridMultilevel"/>
    <w:tmpl w:val="1644A44A"/>
    <w:lvl w:ilvl="0" w:tplc="0546C0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3EA362F"/>
    <w:multiLevelType w:val="hybridMultilevel"/>
    <w:tmpl w:val="011A8B90"/>
    <w:lvl w:ilvl="0" w:tplc="02D0577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5FC1562"/>
    <w:multiLevelType w:val="hybridMultilevel"/>
    <w:tmpl w:val="2200D93A"/>
    <w:lvl w:ilvl="0" w:tplc="57A492D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6"/>
  </w:num>
  <w:num w:numId="3">
    <w:abstractNumId w:val="2"/>
  </w:num>
  <w:num w:numId="4">
    <w:abstractNumId w:val="7"/>
  </w:num>
  <w:num w:numId="5">
    <w:abstractNumId w:val="12"/>
  </w:num>
  <w:num w:numId="6">
    <w:abstractNumId w:val="3"/>
  </w:num>
  <w:num w:numId="7">
    <w:abstractNumId w:val="18"/>
  </w:num>
  <w:num w:numId="8">
    <w:abstractNumId w:val="0"/>
  </w:num>
  <w:num w:numId="9">
    <w:abstractNumId w:val="9"/>
  </w:num>
  <w:num w:numId="10">
    <w:abstractNumId w:val="8"/>
  </w:num>
  <w:num w:numId="11">
    <w:abstractNumId w:val="13"/>
  </w:num>
  <w:num w:numId="12">
    <w:abstractNumId w:val="4"/>
  </w:num>
  <w:num w:numId="13">
    <w:abstractNumId w:val="17"/>
  </w:num>
  <w:num w:numId="14">
    <w:abstractNumId w:val="5"/>
  </w:num>
  <w:num w:numId="15">
    <w:abstractNumId w:val="1"/>
  </w:num>
  <w:num w:numId="16">
    <w:abstractNumId w:val="14"/>
  </w:num>
  <w:num w:numId="17">
    <w:abstractNumId w:val="15"/>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FFB"/>
    <w:rsid w:val="00092FC1"/>
    <w:rsid w:val="000C2C97"/>
    <w:rsid w:val="00260E11"/>
    <w:rsid w:val="002B069F"/>
    <w:rsid w:val="00427FFB"/>
    <w:rsid w:val="0048542D"/>
    <w:rsid w:val="004B5FAC"/>
    <w:rsid w:val="006D1643"/>
    <w:rsid w:val="008A5C6D"/>
    <w:rsid w:val="008F44CB"/>
    <w:rsid w:val="009912E3"/>
    <w:rsid w:val="00BB1F29"/>
    <w:rsid w:val="00C750A5"/>
    <w:rsid w:val="00C87575"/>
    <w:rsid w:val="00CA1510"/>
    <w:rsid w:val="00CD69DC"/>
    <w:rsid w:val="00EC764E"/>
    <w:rsid w:val="00F85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8542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48542D"/>
    <w:pPr>
      <w:ind w:left="720"/>
      <w:contextualSpacing/>
    </w:pPr>
  </w:style>
  <w:style w:type="paragraph" w:styleId="a4">
    <w:name w:val="Balloon Text"/>
    <w:basedOn w:val="a"/>
    <w:link w:val="a5"/>
    <w:uiPriority w:val="99"/>
    <w:semiHidden/>
    <w:unhideWhenUsed/>
    <w:rsid w:val="004854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542D"/>
    <w:rPr>
      <w:rFonts w:ascii="Tahoma" w:hAnsi="Tahoma" w:cs="Tahoma"/>
      <w:sz w:val="16"/>
      <w:szCs w:val="16"/>
    </w:rPr>
  </w:style>
  <w:style w:type="character" w:styleId="a6">
    <w:name w:val="Hyperlink"/>
    <w:basedOn w:val="a0"/>
    <w:uiPriority w:val="99"/>
    <w:unhideWhenUsed/>
    <w:rsid w:val="0048542D"/>
    <w:rPr>
      <w:color w:val="0000FF"/>
      <w:u w:val="single"/>
    </w:rPr>
  </w:style>
  <w:style w:type="table" w:styleId="a7">
    <w:name w:val="Table Grid"/>
    <w:basedOn w:val="a1"/>
    <w:uiPriority w:val="59"/>
    <w:rsid w:val="00485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485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note text"/>
    <w:basedOn w:val="a"/>
    <w:link w:val="aa"/>
    <w:uiPriority w:val="99"/>
    <w:unhideWhenUsed/>
    <w:rsid w:val="0048542D"/>
    <w:pPr>
      <w:spacing w:after="0" w:line="240" w:lineRule="auto"/>
    </w:pPr>
    <w:rPr>
      <w:sz w:val="20"/>
      <w:szCs w:val="20"/>
    </w:rPr>
  </w:style>
  <w:style w:type="character" w:customStyle="1" w:styleId="aa">
    <w:name w:val="Текст сноски Знак"/>
    <w:basedOn w:val="a0"/>
    <w:link w:val="a9"/>
    <w:uiPriority w:val="99"/>
    <w:rsid w:val="0048542D"/>
    <w:rPr>
      <w:sz w:val="20"/>
      <w:szCs w:val="20"/>
    </w:rPr>
  </w:style>
  <w:style w:type="character" w:styleId="ab">
    <w:name w:val="footnote reference"/>
    <w:basedOn w:val="a0"/>
    <w:uiPriority w:val="99"/>
    <w:semiHidden/>
    <w:unhideWhenUsed/>
    <w:rsid w:val="004854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8542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48542D"/>
    <w:pPr>
      <w:ind w:left="720"/>
      <w:contextualSpacing/>
    </w:pPr>
  </w:style>
  <w:style w:type="paragraph" w:styleId="a4">
    <w:name w:val="Balloon Text"/>
    <w:basedOn w:val="a"/>
    <w:link w:val="a5"/>
    <w:uiPriority w:val="99"/>
    <w:semiHidden/>
    <w:unhideWhenUsed/>
    <w:rsid w:val="004854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542D"/>
    <w:rPr>
      <w:rFonts w:ascii="Tahoma" w:hAnsi="Tahoma" w:cs="Tahoma"/>
      <w:sz w:val="16"/>
      <w:szCs w:val="16"/>
    </w:rPr>
  </w:style>
  <w:style w:type="character" w:styleId="a6">
    <w:name w:val="Hyperlink"/>
    <w:basedOn w:val="a0"/>
    <w:uiPriority w:val="99"/>
    <w:unhideWhenUsed/>
    <w:rsid w:val="0048542D"/>
    <w:rPr>
      <w:color w:val="0000FF"/>
      <w:u w:val="single"/>
    </w:rPr>
  </w:style>
  <w:style w:type="table" w:styleId="a7">
    <w:name w:val="Table Grid"/>
    <w:basedOn w:val="a1"/>
    <w:uiPriority w:val="59"/>
    <w:rsid w:val="00485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485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note text"/>
    <w:basedOn w:val="a"/>
    <w:link w:val="aa"/>
    <w:uiPriority w:val="99"/>
    <w:unhideWhenUsed/>
    <w:rsid w:val="0048542D"/>
    <w:pPr>
      <w:spacing w:after="0" w:line="240" w:lineRule="auto"/>
    </w:pPr>
    <w:rPr>
      <w:sz w:val="20"/>
      <w:szCs w:val="20"/>
    </w:rPr>
  </w:style>
  <w:style w:type="character" w:customStyle="1" w:styleId="aa">
    <w:name w:val="Текст сноски Знак"/>
    <w:basedOn w:val="a0"/>
    <w:link w:val="a9"/>
    <w:uiPriority w:val="99"/>
    <w:rsid w:val="0048542D"/>
    <w:rPr>
      <w:sz w:val="20"/>
      <w:szCs w:val="20"/>
    </w:rPr>
  </w:style>
  <w:style w:type="character" w:styleId="ab">
    <w:name w:val="footnote reference"/>
    <w:basedOn w:val="a0"/>
    <w:uiPriority w:val="99"/>
    <w:semiHidden/>
    <w:unhideWhenUsed/>
    <w:rsid w:val="004854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library.ru/item.asp?id=36499959"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Общий объем прибыли (млрд. руб.)</c:v>
                </c:pt>
              </c:strCache>
            </c:strRef>
          </c:tx>
          <c:spPr>
            <a:solidFill>
              <a:schemeClr val="accent6"/>
            </a:solidFill>
          </c:spPr>
          <c:invertIfNegative val="0"/>
          <c:dLbls>
            <c:txPr>
              <a:bodyPr/>
              <a:lstStyle/>
              <a:p>
                <a:pPr>
                  <a:defRPr sz="900">
                    <a:latin typeface="Arial Narrow" panose="020B0606020202030204" pitchFamily="34" charset="0"/>
                    <a:cs typeface="Times New Roman" panose="02020603050405020304" pitchFamily="18" charset="0"/>
                  </a:defRPr>
                </a:pPr>
                <a:endParaRPr lang="ru-RU"/>
              </a:p>
            </c:txPr>
            <c:dLblPos val="ctr"/>
            <c:showLegendKey val="0"/>
            <c:showVal val="1"/>
            <c:showCatName val="0"/>
            <c:showSerName val="0"/>
            <c:showPercent val="0"/>
            <c:showBubbleSize val="0"/>
            <c:showLeaderLines val="0"/>
          </c:dLbls>
          <c:cat>
            <c:numRef>
              <c:f>Лист1!$A$2:$A$7</c:f>
              <c:numCache>
                <c:formatCode>General</c:formatCode>
                <c:ptCount val="6"/>
                <c:pt idx="0">
                  <c:v>2014</c:v>
                </c:pt>
                <c:pt idx="1">
                  <c:v>2015</c:v>
                </c:pt>
                <c:pt idx="2">
                  <c:v>2016</c:v>
                </c:pt>
                <c:pt idx="3">
                  <c:v>2017</c:v>
                </c:pt>
                <c:pt idx="4">
                  <c:v>2018</c:v>
                </c:pt>
                <c:pt idx="5">
                  <c:v>2019</c:v>
                </c:pt>
              </c:numCache>
            </c:numRef>
          </c:cat>
          <c:val>
            <c:numRef>
              <c:f>Лист1!$B$2:$B$7</c:f>
              <c:numCache>
                <c:formatCode>General</c:formatCode>
                <c:ptCount val="6"/>
                <c:pt idx="0">
                  <c:v>60.85</c:v>
                </c:pt>
                <c:pt idx="1">
                  <c:v>41.1</c:v>
                </c:pt>
                <c:pt idx="2">
                  <c:v>40.200000000000003</c:v>
                </c:pt>
                <c:pt idx="3">
                  <c:v>37.21</c:v>
                </c:pt>
                <c:pt idx="4">
                  <c:v>41.65</c:v>
                </c:pt>
                <c:pt idx="5">
                  <c:v>44.86</c:v>
                </c:pt>
              </c:numCache>
            </c:numRef>
          </c:val>
        </c:ser>
        <c:dLbls>
          <c:showLegendKey val="0"/>
          <c:showVal val="0"/>
          <c:showCatName val="0"/>
          <c:showSerName val="0"/>
          <c:showPercent val="0"/>
          <c:showBubbleSize val="0"/>
        </c:dLbls>
        <c:gapWidth val="150"/>
        <c:overlap val="100"/>
        <c:serLines>
          <c:spPr>
            <a:ln>
              <a:headEnd type="triangle"/>
              <a:tailEnd type="none"/>
            </a:ln>
          </c:spPr>
        </c:serLines>
        <c:axId val="65906176"/>
        <c:axId val="65907712"/>
      </c:barChart>
      <c:lineChart>
        <c:grouping val="stacked"/>
        <c:varyColors val="0"/>
        <c:ser>
          <c:idx val="1"/>
          <c:order val="1"/>
          <c:tx>
            <c:strRef>
              <c:f>Лист1!$C$1</c:f>
              <c:strCache>
                <c:ptCount val="1"/>
                <c:pt idx="0">
                  <c:v>Подписи</c:v>
                </c:pt>
              </c:strCache>
            </c:strRef>
          </c:tx>
          <c:spPr>
            <a:ln>
              <a:noFill/>
            </a:ln>
          </c:spPr>
          <c:marker>
            <c:symbol val="none"/>
          </c:marker>
          <c:cat>
            <c:numRef>
              <c:f>Лист1!$A$2:$A$7</c:f>
              <c:numCache>
                <c:formatCode>General</c:formatCode>
                <c:ptCount val="6"/>
                <c:pt idx="0">
                  <c:v>2014</c:v>
                </c:pt>
                <c:pt idx="1">
                  <c:v>2015</c:v>
                </c:pt>
                <c:pt idx="2">
                  <c:v>2016</c:v>
                </c:pt>
                <c:pt idx="3">
                  <c:v>2017</c:v>
                </c:pt>
                <c:pt idx="4">
                  <c:v>2018</c:v>
                </c:pt>
                <c:pt idx="5">
                  <c:v>2019</c:v>
                </c:pt>
              </c:numCache>
            </c:numRef>
          </c:cat>
          <c:val>
            <c:numRef>
              <c:f>Лист1!$C$2:$C$7</c:f>
              <c:numCache>
                <c:formatCode>General</c:formatCode>
                <c:ptCount val="6"/>
                <c:pt idx="0">
                  <c:v>63</c:v>
                </c:pt>
                <c:pt idx="1">
                  <c:v>44</c:v>
                </c:pt>
                <c:pt idx="2">
                  <c:v>43</c:v>
                </c:pt>
                <c:pt idx="3">
                  <c:v>40</c:v>
                </c:pt>
                <c:pt idx="4">
                  <c:v>44</c:v>
                </c:pt>
                <c:pt idx="5">
                  <c:v>48</c:v>
                </c:pt>
              </c:numCache>
            </c:numRef>
          </c:val>
          <c:smooth val="0"/>
        </c:ser>
        <c:ser>
          <c:idx val="2"/>
          <c:order val="2"/>
          <c:tx>
            <c:strRef>
              <c:f>Лист1!$D$1</c:f>
              <c:strCache>
                <c:ptCount val="1"/>
                <c:pt idx="0">
                  <c:v>Рост</c:v>
                </c:pt>
              </c:strCache>
            </c:strRef>
          </c:tx>
          <c:spPr>
            <a:ln>
              <a:noFill/>
            </a:ln>
          </c:spPr>
          <c:marker>
            <c:symbol val="none"/>
          </c:marker>
          <c:dLbls>
            <c:txPr>
              <a:bodyPr/>
              <a:lstStyle/>
              <a:p>
                <a:pPr>
                  <a:defRPr sz="900">
                    <a:latin typeface="Arial Narrow" panose="020B0606020202030204" pitchFamily="34" charset="0"/>
                    <a:cs typeface="Times New Roman" panose="02020603050405020304" pitchFamily="18" charset="0"/>
                  </a:defRPr>
                </a:pPr>
                <a:endParaRPr lang="ru-RU"/>
              </a:p>
            </c:txPr>
            <c:dLblPos val="ctr"/>
            <c:showLegendKey val="0"/>
            <c:showVal val="1"/>
            <c:showCatName val="0"/>
            <c:showSerName val="0"/>
            <c:showPercent val="0"/>
            <c:showBubbleSize val="0"/>
            <c:showLeaderLines val="0"/>
          </c:dLbls>
          <c:cat>
            <c:numRef>
              <c:f>Лист1!$A$2:$A$7</c:f>
              <c:numCache>
                <c:formatCode>General</c:formatCode>
                <c:ptCount val="6"/>
                <c:pt idx="0">
                  <c:v>2014</c:v>
                </c:pt>
                <c:pt idx="1">
                  <c:v>2015</c:v>
                </c:pt>
                <c:pt idx="2">
                  <c:v>2016</c:v>
                </c:pt>
                <c:pt idx="3">
                  <c:v>2017</c:v>
                </c:pt>
                <c:pt idx="4">
                  <c:v>2018</c:v>
                </c:pt>
                <c:pt idx="5">
                  <c:v>2019</c:v>
                </c:pt>
              </c:numCache>
            </c:numRef>
          </c:cat>
          <c:val>
            <c:numRef>
              <c:f>Лист1!$D$2:$D$7</c:f>
              <c:numCache>
                <c:formatCode>0%</c:formatCode>
                <c:ptCount val="6"/>
                <c:pt idx="0" formatCode="0.00%">
                  <c:v>#N/A</c:v>
                </c:pt>
                <c:pt idx="1">
                  <c:v>0.32</c:v>
                </c:pt>
                <c:pt idx="2">
                  <c:v>0.02</c:v>
                </c:pt>
                <c:pt idx="3">
                  <c:v>7.0000000000000007E-2</c:v>
                </c:pt>
                <c:pt idx="4">
                  <c:v>0.12</c:v>
                </c:pt>
                <c:pt idx="5">
                  <c:v>7.0000000000000007E-2</c:v>
                </c:pt>
              </c:numCache>
            </c:numRef>
          </c:val>
          <c:smooth val="0"/>
        </c:ser>
        <c:dLbls>
          <c:showLegendKey val="0"/>
          <c:showVal val="0"/>
          <c:showCatName val="0"/>
          <c:showSerName val="0"/>
          <c:showPercent val="0"/>
          <c:showBubbleSize val="0"/>
        </c:dLbls>
        <c:marker val="1"/>
        <c:smooth val="0"/>
        <c:axId val="65906176"/>
        <c:axId val="65907712"/>
      </c:lineChart>
      <c:catAx>
        <c:axId val="65906176"/>
        <c:scaling>
          <c:orientation val="minMax"/>
        </c:scaling>
        <c:delete val="0"/>
        <c:axPos val="b"/>
        <c:numFmt formatCode="General" sourceLinked="1"/>
        <c:majorTickMark val="out"/>
        <c:minorTickMark val="none"/>
        <c:tickLblPos val="nextTo"/>
        <c:txPr>
          <a:bodyPr/>
          <a:lstStyle/>
          <a:p>
            <a:pPr>
              <a:defRPr sz="900">
                <a:latin typeface="Arial Narrow" panose="020B0606020202030204" pitchFamily="34" charset="0"/>
                <a:cs typeface="Times New Roman" panose="02020603050405020304" pitchFamily="18" charset="0"/>
              </a:defRPr>
            </a:pPr>
            <a:endParaRPr lang="ru-RU"/>
          </a:p>
        </c:txPr>
        <c:crossAx val="65907712"/>
        <c:crosses val="autoZero"/>
        <c:auto val="1"/>
        <c:lblAlgn val="ctr"/>
        <c:lblOffset val="100"/>
        <c:noMultiLvlLbl val="0"/>
      </c:catAx>
      <c:valAx>
        <c:axId val="65907712"/>
        <c:scaling>
          <c:orientation val="minMax"/>
          <c:max val="80"/>
          <c:min val="0"/>
        </c:scaling>
        <c:delete val="0"/>
        <c:axPos val="l"/>
        <c:majorGridlines/>
        <c:numFmt formatCode="General" sourceLinked="1"/>
        <c:majorTickMark val="out"/>
        <c:minorTickMark val="none"/>
        <c:tickLblPos val="nextTo"/>
        <c:txPr>
          <a:bodyPr/>
          <a:lstStyle/>
          <a:p>
            <a:pPr>
              <a:defRPr sz="900">
                <a:latin typeface="Arial Narrow" panose="020B0606020202030204" pitchFamily="34" charset="0"/>
                <a:cs typeface="Times New Roman" panose="02020603050405020304" pitchFamily="18" charset="0"/>
              </a:defRPr>
            </a:pPr>
            <a:endParaRPr lang="ru-RU"/>
          </a:p>
        </c:txPr>
        <c:crossAx val="65906176"/>
        <c:crosses val="autoZero"/>
        <c:crossBetween val="between"/>
        <c:majorUnit val="15"/>
        <c:minorUnit val="10"/>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5</Pages>
  <Words>1035</Words>
  <Characters>5901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А. Волков</dc:creator>
  <cp:keywords/>
  <dc:description/>
  <cp:lastModifiedBy>Анатолий А. Волков</cp:lastModifiedBy>
  <cp:revision>10</cp:revision>
  <dcterms:created xsi:type="dcterms:W3CDTF">2020-10-16T12:45:00Z</dcterms:created>
  <dcterms:modified xsi:type="dcterms:W3CDTF">2020-10-19T08:37:00Z</dcterms:modified>
</cp:coreProperties>
</file>