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40C9" w:rsidRPr="00CE47E7" w:rsidRDefault="00062F1A" w:rsidP="00043DD2">
      <w:pPr>
        <w:spacing w:after="0" w:line="360" w:lineRule="auto"/>
        <w:jc w:val="right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Лысцева</w:t>
      </w:r>
      <w:proofErr w:type="spellEnd"/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 xml:space="preserve"> А.А</w:t>
      </w:r>
      <w:r w:rsidRPr="00CE47E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.</w:t>
      </w:r>
    </w:p>
    <w:p w:rsidR="0050750C" w:rsidRDefault="004559A9" w:rsidP="00062F1A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5640C9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Использование хлореллы для оценки степени загрязнения тяжелыми металлами водной среды</w:t>
      </w:r>
    </w:p>
    <w:p w:rsidR="00C3663F" w:rsidRDefault="00C3663F" w:rsidP="00043DD2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C3663F" w:rsidRPr="00043DD2" w:rsidRDefault="00C3663F" w:rsidP="00043DD2">
      <w:pPr>
        <w:spacing w:after="0" w:line="240" w:lineRule="auto"/>
        <w:ind w:firstLine="708"/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 w:rsidRPr="00043DD2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Аннотация: </w:t>
      </w:r>
      <w:r w:rsidRPr="00043DD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данная работа посвящена изучению </w:t>
      </w:r>
      <w:r w:rsidR="00AA0DB5" w:rsidRPr="00043DD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адаптационных реакций и влиянию</w:t>
      </w:r>
      <w:r w:rsidRPr="00043DD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тяжелых металлов на регенерационный коэффициент при оценке адаптационных возможностей </w:t>
      </w:r>
      <w:proofErr w:type="spellStart"/>
      <w:proofErr w:type="gramStart"/>
      <w:r w:rsidRPr="00043DD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С</w:t>
      </w:r>
      <w:proofErr w:type="gramEnd"/>
      <w:r w:rsidRPr="00043DD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hlorella</w:t>
      </w:r>
      <w:proofErr w:type="spellEnd"/>
      <w:r w:rsidRPr="00043DD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043DD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vulgaris</w:t>
      </w:r>
      <w:proofErr w:type="spellEnd"/>
      <w:r w:rsidR="00CE47E7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CE47E7" w:rsidRPr="004A1F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Beijer</w:t>
      </w:r>
      <w:proofErr w:type="spellEnd"/>
      <w:r w:rsidR="00CE47E7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. Сравнение реакций </w:t>
      </w:r>
      <w:r w:rsidR="00CE47E7" w:rsidRPr="00CE47E7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 хлореллы на присутствие в растворах тяжелых металлов в зависимости от концентрации.</w:t>
      </w:r>
    </w:p>
    <w:p w:rsidR="00AA0DB5" w:rsidRPr="00043DD2" w:rsidRDefault="00AA0DB5" w:rsidP="00043DD2">
      <w:pPr>
        <w:spacing w:after="0" w:line="360" w:lineRule="auto"/>
        <w:ind w:firstLine="708"/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</w:pPr>
      <w:r w:rsidRPr="00043DD2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</w:rPr>
        <w:t xml:space="preserve">Ключевые слова: </w:t>
      </w:r>
      <w:r w:rsidR="00043DD2" w:rsidRPr="00043DD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токсичность</w:t>
      </w:r>
      <w:r w:rsidRPr="00043DD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 xml:space="preserve">; коэффициент регенерации; адаптации хлореллы; медь; </w:t>
      </w:r>
      <w:r w:rsidR="00043DD2" w:rsidRPr="00043DD2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</w:rPr>
        <w:t>цинк; свинец.</w:t>
      </w:r>
    </w:p>
    <w:p w:rsidR="00043DD2" w:rsidRPr="00AA0DB5" w:rsidRDefault="00043DD2" w:rsidP="00043DD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D425C7" w:rsidRPr="00D425C7" w:rsidRDefault="0050750C" w:rsidP="00043DD2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ab/>
        <w:t xml:space="preserve">В настоящее время в связи с решением экологических проблем, к одной из которых относится накопление в поверхностных водах тяжелых металлов, является важным изучение клеточных механизмов адаптации водных растений к </w:t>
      </w:r>
      <w:proofErr w:type="spellStart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токсикантам</w:t>
      </w:r>
      <w:proofErr w:type="spellEnd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Устойчивость гидроби</w:t>
      </w:r>
      <w:r w:rsidR="006C2375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онтов к неблагоприятным факторам среды</w:t>
      </w: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определяется </w:t>
      </w:r>
      <w:r w:rsidR="006C2375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как специфическими реакциями клеточных мембран, так и неспецифическими, сопряженные с изм</w:t>
      </w:r>
      <w:r w:rsidR="00170E2D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енением их состава и структуры. </w:t>
      </w:r>
    </w:p>
    <w:p w:rsidR="004559A9" w:rsidRPr="00D425C7" w:rsidRDefault="004F7945" w:rsidP="00043DD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При воздействии свинца и цинка на одноклеточные водоросли образуются связи между металлами и компонентами мембран, активизируются мембранные ферменты, транспорт ионов, энергетические процессы, изменение ионного и энергетического постоянства в клетках. </w:t>
      </w:r>
      <w:proofErr w:type="gramStart"/>
      <w:r w:rsidR="00EC79FA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Медь</w:t>
      </w:r>
      <w:proofErr w:type="gramEnd"/>
      <w:r w:rsidR="007B68D8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C79FA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воздействуя </w:t>
      </w:r>
      <w:r w:rsidR="007B68D8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 клетки водоросли </w:t>
      </w:r>
      <w:r w:rsidR="00EC79FA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изменяет структуру мембран за счет окисления липидов, а также усиления генерации форм кислорода. Помимо этого, она принимает участие в транспортировке кислорода в клетке, конвертируя неактивный кислород, который может приводить к окислительному стрессу. </w:t>
      </w:r>
      <w:r w:rsidR="003B2CC8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proofErr w:type="spellStart"/>
      <w:r w:rsidR="003B2CC8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Грубинко</w:t>
      </w:r>
      <w:proofErr w:type="spellEnd"/>
      <w:r w:rsidR="003B2CC8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2011]</w:t>
      </w:r>
      <w:r w:rsidR="00EC79FA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EC79FA" w:rsidRPr="00D425C7" w:rsidRDefault="00EC79FA" w:rsidP="00043DD2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ab/>
      </w:r>
      <w:r w:rsidR="00E64AB8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Цель данной работы состояла в изучении влияния </w:t>
      </w:r>
      <w:r w:rsidR="00996DEB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тяжелых металлов на регенерационный коэффициент при оценке адаптационных возможностей </w:t>
      </w:r>
      <w:proofErr w:type="spellStart"/>
      <w:proofErr w:type="gramStart"/>
      <w:r w:rsidR="00996DEB" w:rsidRPr="00D425C7">
        <w:rPr>
          <w:rFonts w:ascii="Times New Roman" w:hAnsi="Times New Roman" w:cs="Times New Roman"/>
          <w:i/>
          <w:sz w:val="28"/>
          <w:szCs w:val="28"/>
        </w:rPr>
        <w:t>С</w:t>
      </w:r>
      <w:proofErr w:type="gramEnd"/>
      <w:r w:rsidR="00996DEB" w:rsidRPr="00D425C7">
        <w:rPr>
          <w:rFonts w:ascii="Times New Roman" w:hAnsi="Times New Roman" w:cs="Times New Roman"/>
          <w:i/>
          <w:sz w:val="28"/>
          <w:szCs w:val="28"/>
        </w:rPr>
        <w:t>hlorella</w:t>
      </w:r>
      <w:proofErr w:type="spellEnd"/>
      <w:r w:rsidR="00996DEB" w:rsidRPr="00D425C7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96DEB" w:rsidRPr="00D425C7">
        <w:rPr>
          <w:rFonts w:ascii="Times New Roman" w:hAnsi="Times New Roman" w:cs="Times New Roman"/>
          <w:i/>
          <w:sz w:val="28"/>
          <w:szCs w:val="28"/>
        </w:rPr>
        <w:t>vulgaris</w:t>
      </w:r>
      <w:proofErr w:type="spellEnd"/>
      <w:r w:rsidR="00996DEB" w:rsidRPr="00D425C7">
        <w:rPr>
          <w:rFonts w:ascii="Times New Roman" w:hAnsi="Times New Roman" w:cs="Times New Roman"/>
          <w:i/>
          <w:sz w:val="28"/>
          <w:szCs w:val="28"/>
        </w:rPr>
        <w:t xml:space="preserve"> </w:t>
      </w:r>
      <w:proofErr w:type="spellStart"/>
      <w:r w:rsidR="00996DEB" w:rsidRPr="00D425C7">
        <w:rPr>
          <w:rFonts w:ascii="Times New Roman" w:hAnsi="Times New Roman" w:cs="Times New Roman"/>
          <w:iCs/>
          <w:sz w:val="28"/>
          <w:szCs w:val="28"/>
          <w:lang w:val="en-US"/>
        </w:rPr>
        <w:t>Beijer</w:t>
      </w:r>
      <w:proofErr w:type="spellEnd"/>
      <w:r w:rsidR="00996DEB" w:rsidRPr="00D425C7">
        <w:rPr>
          <w:rFonts w:ascii="Times New Roman" w:hAnsi="Times New Roman" w:cs="Times New Roman"/>
          <w:iCs/>
          <w:sz w:val="28"/>
          <w:szCs w:val="28"/>
        </w:rPr>
        <w:t>.</w:t>
      </w:r>
    </w:p>
    <w:p w:rsidR="00E64AB8" w:rsidRPr="00D425C7" w:rsidRDefault="00FD4B57" w:rsidP="00043DD2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Материал и методика исследования</w:t>
      </w:r>
    </w:p>
    <w:p w:rsidR="00FD4B57" w:rsidRPr="00D425C7" w:rsidRDefault="00FD4B57" w:rsidP="00043DD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Для оценки токсичности тяжелых металлов использовали соль CuSO4</w:t>
      </w:r>
      <w:r w:rsidR="004A1F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proofErr w:type="spellStart"/>
      <w:r w:rsidR="004A1F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ZnSO</w:t>
      </w:r>
      <w:proofErr w:type="spellEnd"/>
      <w:r w:rsidR="004A1FF8" w:rsidRPr="004A1F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bscript"/>
        </w:rPr>
        <w:t>4</w:t>
      </w:r>
      <w:r w:rsidR="004A1F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="004A1FF8" w:rsidRPr="004A1F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4A1F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PbSO</w:t>
      </w:r>
      <w:proofErr w:type="spellEnd"/>
      <w:r w:rsidR="004A1FF8" w:rsidRPr="004A1F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bscript"/>
        </w:rPr>
        <w:t>4</w:t>
      </w: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 концентрациями: 0,1; 0,01; 0,001; 0,0001; 0,00001 мг/л.</w:t>
      </w:r>
      <w:r w:rsidR="007A1D73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Каждую </w:t>
      </w: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концентрацию растворов делали в трёхкратной повторности. При проведении опытов использовали два вида контроля: 1) питательная среда </w:t>
      </w:r>
      <w:proofErr w:type="spellStart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Тамия</w:t>
      </w:r>
      <w:proofErr w:type="spellEnd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; 2) дистиллированная вода. Подсчет клеток проводится на 1, 4 и 8 сутки с помощью камеры Горяева [Рябухина,2006]. </w:t>
      </w:r>
    </w:p>
    <w:p w:rsidR="007A1D73" w:rsidRPr="00D425C7" w:rsidRDefault="007A1D73" w:rsidP="00043DD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Оценивали возможность фиксации данных солей клеточными структурами водоросли. Для этого после культивирования хлореллы питательную среду отфильтровывали и повторно вносили новые клетки. Подсчеты проводили на 1, 4 и 8-е сутки, после чего рассчитывали коэффициент регенерации. Исследовали возможность адаптации хлореллы к растворам солей тяжелых металлов</w:t>
      </w:r>
      <w:r w:rsidR="00A45A12" w:rsidRPr="004F2EA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45A12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[</w:t>
      </w:r>
      <w:r w:rsidR="00A45A12" w:rsidRPr="00D425C7">
        <w:rPr>
          <w:rFonts w:ascii="Times New Roman" w:hAnsi="Times New Roman" w:cs="Times New Roman"/>
          <w:sz w:val="28"/>
          <w:szCs w:val="28"/>
          <w:lang w:val="en-US"/>
        </w:rPr>
        <w:t>Franklin</w:t>
      </w:r>
      <w:r w:rsidR="00A45A12" w:rsidRPr="00D425C7">
        <w:rPr>
          <w:rFonts w:ascii="Times New Roman" w:hAnsi="Times New Roman" w:cs="Times New Roman"/>
          <w:sz w:val="28"/>
          <w:szCs w:val="28"/>
        </w:rPr>
        <w:t>, 202</w:t>
      </w:r>
      <w:r w:rsidR="00A45A12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]</w:t>
      </w: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</w:p>
    <w:p w:rsidR="007A1D73" w:rsidRPr="00D425C7" w:rsidRDefault="007A1D73" w:rsidP="00043DD2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Результаты исследований и их обсуждение</w:t>
      </w:r>
    </w:p>
    <w:p w:rsidR="007A1D73" w:rsidRPr="00D425C7" w:rsidRDefault="00996DEB" w:rsidP="00043DD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Для исследования возможности сорбции клетками хлореллы ионов тяжелых металлов использовали соли: сульфат меди, сульфат цинка, сульфат свинца. </w:t>
      </w:r>
    </w:p>
    <w:p w:rsidR="005640C9" w:rsidRPr="00D425C7" w:rsidRDefault="005640C9" w:rsidP="00A45A1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При первом культивировании в присутствии </w:t>
      </w:r>
      <w:proofErr w:type="spellStart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CuSO</w:t>
      </w:r>
      <w:proofErr w:type="spellEnd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bscript"/>
        </w:rPr>
        <w:t xml:space="preserve">4 </w:t>
      </w: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коэффициент регенерации в течение восьми суток был отрицательным, что говорит о преобладании мертвых клеток над живыми. При дальнейшем </w:t>
      </w:r>
      <w:proofErr w:type="spellStart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инкубировании</w:t>
      </w:r>
      <w:proofErr w:type="spellEnd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ожидалось снижение токсического действия.</w:t>
      </w:r>
    </w:p>
    <w:p w:rsidR="00996DEB" w:rsidRPr="00D425C7" w:rsidRDefault="00996DEB" w:rsidP="004A1FF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Таблица 1</w:t>
      </w:r>
      <w:r w:rsidR="00D425C7" w:rsidRPr="00D425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r w:rsidRPr="00D425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Влияние сульфата меди на регенерационный коэффициент при оценке возможности сорбц</w:t>
      </w:r>
      <w:proofErr w:type="gramStart"/>
      <w:r w:rsidRPr="00D425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ии ио</w:t>
      </w:r>
      <w:proofErr w:type="gramEnd"/>
      <w:r w:rsidRPr="00D425C7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нов клеткой</w:t>
      </w:r>
    </w:p>
    <w:tbl>
      <w:tblPr>
        <w:tblStyle w:val="a3"/>
        <w:tblW w:w="9596" w:type="dxa"/>
        <w:jc w:val="center"/>
        <w:tblLook w:val="04A0" w:firstRow="1" w:lastRow="0" w:firstColumn="1" w:lastColumn="0" w:noHBand="0" w:noVBand="1"/>
      </w:tblPr>
      <w:tblGrid>
        <w:gridCol w:w="2278"/>
        <w:gridCol w:w="1035"/>
        <w:gridCol w:w="1035"/>
        <w:gridCol w:w="1035"/>
        <w:gridCol w:w="1077"/>
        <w:gridCol w:w="1035"/>
        <w:gridCol w:w="1050"/>
        <w:gridCol w:w="1051"/>
      </w:tblGrid>
      <w:tr w:rsidR="00996DEB" w:rsidRPr="00D425C7" w:rsidTr="00A45A12">
        <w:trPr>
          <w:trHeight w:val="311"/>
          <w:jc w:val="center"/>
        </w:trPr>
        <w:tc>
          <w:tcPr>
            <w:tcW w:w="2278" w:type="dxa"/>
            <w:vMerge w:val="restart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Вариант</w:t>
            </w:r>
          </w:p>
        </w:tc>
        <w:tc>
          <w:tcPr>
            <w:tcW w:w="5217" w:type="dxa"/>
            <w:gridSpan w:val="5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1-ое культивирование</w:t>
            </w:r>
          </w:p>
        </w:tc>
        <w:tc>
          <w:tcPr>
            <w:tcW w:w="2101" w:type="dxa"/>
            <w:gridSpan w:val="2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2-ое культивирование</w:t>
            </w:r>
          </w:p>
        </w:tc>
      </w:tr>
      <w:tr w:rsidR="004F4F97" w:rsidRPr="00D425C7" w:rsidTr="004F4F97">
        <w:trPr>
          <w:trHeight w:val="311"/>
          <w:jc w:val="center"/>
        </w:trPr>
        <w:tc>
          <w:tcPr>
            <w:tcW w:w="2278" w:type="dxa"/>
            <w:vMerge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 сутки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2 сутки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3 сутки</w:t>
            </w:r>
          </w:p>
        </w:tc>
        <w:tc>
          <w:tcPr>
            <w:tcW w:w="1077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4 сутки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5 сутки</w:t>
            </w:r>
          </w:p>
        </w:tc>
        <w:tc>
          <w:tcPr>
            <w:tcW w:w="1050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 сутки</w:t>
            </w:r>
          </w:p>
        </w:tc>
        <w:tc>
          <w:tcPr>
            <w:tcW w:w="1051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4 сутки</w:t>
            </w:r>
          </w:p>
        </w:tc>
      </w:tr>
      <w:tr w:rsidR="004F4F97" w:rsidRPr="00D425C7" w:rsidTr="004F4F97">
        <w:trPr>
          <w:trHeight w:val="311"/>
          <w:jc w:val="center"/>
        </w:trPr>
        <w:tc>
          <w:tcPr>
            <w:tcW w:w="2278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Дистиллированная вода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  <w:tc>
          <w:tcPr>
            <w:tcW w:w="1077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  <w:tc>
          <w:tcPr>
            <w:tcW w:w="1050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  <w:tc>
          <w:tcPr>
            <w:tcW w:w="1051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</w:tr>
      <w:tr w:rsidR="004F4F97" w:rsidRPr="00D425C7" w:rsidTr="004F4F97">
        <w:trPr>
          <w:trHeight w:val="311"/>
          <w:jc w:val="center"/>
        </w:trPr>
        <w:tc>
          <w:tcPr>
            <w:tcW w:w="2278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0,00001 мг/л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-0,23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0,13</w:t>
            </w:r>
          </w:p>
        </w:tc>
        <w:tc>
          <w:tcPr>
            <w:tcW w:w="1077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0,25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0,2</w:t>
            </w:r>
          </w:p>
        </w:tc>
        <w:tc>
          <w:tcPr>
            <w:tcW w:w="1050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0,3</w:t>
            </w:r>
          </w:p>
        </w:tc>
        <w:tc>
          <w:tcPr>
            <w:tcW w:w="1051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0,6</w:t>
            </w:r>
          </w:p>
        </w:tc>
      </w:tr>
      <w:tr w:rsidR="004F4F97" w:rsidRPr="00D425C7" w:rsidTr="004F4F97">
        <w:trPr>
          <w:trHeight w:val="311"/>
          <w:jc w:val="center"/>
        </w:trPr>
        <w:tc>
          <w:tcPr>
            <w:tcW w:w="2278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b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0,0001 мг/л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-0,52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-0,1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-0,13</w:t>
            </w:r>
          </w:p>
        </w:tc>
        <w:tc>
          <w:tcPr>
            <w:tcW w:w="1077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-0,01</w:t>
            </w:r>
          </w:p>
        </w:tc>
        <w:tc>
          <w:tcPr>
            <w:tcW w:w="1050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0,15</w:t>
            </w:r>
          </w:p>
        </w:tc>
        <w:tc>
          <w:tcPr>
            <w:tcW w:w="1051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0,32</w:t>
            </w:r>
          </w:p>
        </w:tc>
      </w:tr>
      <w:tr w:rsidR="004F4F97" w:rsidRPr="00D425C7" w:rsidTr="004F4F97">
        <w:trPr>
          <w:trHeight w:val="311"/>
          <w:jc w:val="center"/>
        </w:trPr>
        <w:tc>
          <w:tcPr>
            <w:tcW w:w="2278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0,001 мг/л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-0,63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-0,37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-0,42</w:t>
            </w:r>
          </w:p>
        </w:tc>
        <w:tc>
          <w:tcPr>
            <w:tcW w:w="1077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-0,24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-0,19</w:t>
            </w:r>
          </w:p>
        </w:tc>
        <w:tc>
          <w:tcPr>
            <w:tcW w:w="1050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0,07</w:t>
            </w:r>
          </w:p>
        </w:tc>
        <w:tc>
          <w:tcPr>
            <w:tcW w:w="1051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0,17</w:t>
            </w:r>
          </w:p>
        </w:tc>
      </w:tr>
      <w:tr w:rsidR="004F4F97" w:rsidRPr="00D425C7" w:rsidTr="004F4F97">
        <w:trPr>
          <w:trHeight w:val="311"/>
          <w:jc w:val="center"/>
        </w:trPr>
        <w:tc>
          <w:tcPr>
            <w:tcW w:w="2278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0,01 мг/л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-0,84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-0,48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-0,62</w:t>
            </w:r>
          </w:p>
        </w:tc>
        <w:tc>
          <w:tcPr>
            <w:tcW w:w="1077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-0,29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-0,43</w:t>
            </w:r>
          </w:p>
        </w:tc>
        <w:tc>
          <w:tcPr>
            <w:tcW w:w="1050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-0,1</w:t>
            </w:r>
          </w:p>
        </w:tc>
        <w:tc>
          <w:tcPr>
            <w:tcW w:w="1051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-0,05</w:t>
            </w:r>
          </w:p>
        </w:tc>
      </w:tr>
      <w:tr w:rsidR="004F4F97" w:rsidRPr="00D425C7" w:rsidTr="004F4F97">
        <w:trPr>
          <w:trHeight w:val="311"/>
          <w:jc w:val="center"/>
        </w:trPr>
        <w:tc>
          <w:tcPr>
            <w:tcW w:w="2278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0,1 мг/л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-1,17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-0,56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-0,92</w:t>
            </w:r>
          </w:p>
        </w:tc>
        <w:tc>
          <w:tcPr>
            <w:tcW w:w="1077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-0,43</w:t>
            </w:r>
          </w:p>
        </w:tc>
        <w:tc>
          <w:tcPr>
            <w:tcW w:w="1035" w:type="dxa"/>
            <w:noWrap/>
            <w:vAlign w:val="center"/>
            <w:hideMark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-0,68</w:t>
            </w:r>
          </w:p>
        </w:tc>
        <w:tc>
          <w:tcPr>
            <w:tcW w:w="1050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-0,22</w:t>
            </w:r>
          </w:p>
        </w:tc>
        <w:tc>
          <w:tcPr>
            <w:tcW w:w="1051" w:type="dxa"/>
            <w:vAlign w:val="center"/>
          </w:tcPr>
          <w:p w:rsidR="00996DEB" w:rsidRPr="00D425C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D425C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-0,1</w:t>
            </w:r>
          </w:p>
        </w:tc>
      </w:tr>
    </w:tbl>
    <w:p w:rsidR="00A45A12" w:rsidRPr="00CE47E7" w:rsidRDefault="00A45A12" w:rsidP="00A45A1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Второе культивирование отличалось повышением значений коэффициента регенерации. На первые сутки показатели исследуемых </w:t>
      </w: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растворов также указывали на острое токсическое действие, кроме варианта с концентрацией 0,00001 мг/л, где наблюдалось подострое ТД (таблица 1).</w:t>
      </w:r>
    </w:p>
    <w:p w:rsidR="00996DEB" w:rsidRPr="00D425C7" w:rsidRDefault="00996DEB" w:rsidP="00A45A1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Четвертые сутки отличались увеличением коэффициента регенерации в два раза, что говорит о быстром восстановлении регенерирующих процессов.</w:t>
      </w:r>
    </w:p>
    <w:p w:rsidR="00996DEB" w:rsidRPr="00D425C7" w:rsidRDefault="00996DEB" w:rsidP="00A45A1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Чтобы оценить токсичность растворов с добавлением </w:t>
      </w:r>
      <w:proofErr w:type="spellStart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ZnSO</w:t>
      </w:r>
      <w:proofErr w:type="spellEnd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bscript"/>
        </w:rPr>
        <w:t xml:space="preserve">4 </w:t>
      </w: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производили </w:t>
      </w:r>
      <w:r w:rsidR="00DA3761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расчет коэффициента регенерации </w:t>
      </w: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(таблица 2).</w:t>
      </w:r>
    </w:p>
    <w:p w:rsidR="005640C9" w:rsidRPr="00A45A12" w:rsidRDefault="004F4F97" w:rsidP="00A45A1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 протяжении первого культивирования значительное снижение коэффициента регенерации было отмечено в растворе с концентрацией 0,1 мг/л. В остальных вариантах токсическое действие </w:t>
      </w:r>
      <w:proofErr w:type="gramStart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при</w:t>
      </w:r>
      <w:proofErr w:type="gramEnd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длительном </w:t>
      </w:r>
      <w:proofErr w:type="spellStart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инкубировании</w:t>
      </w:r>
      <w:proofErr w:type="spellEnd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снижалось.</w:t>
      </w:r>
    </w:p>
    <w:p w:rsidR="00996DEB" w:rsidRPr="00D425C7" w:rsidRDefault="00996DEB" w:rsidP="004A1FF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Таблица 2</w:t>
      </w:r>
      <w:r w:rsidR="00D425C7" w:rsidRPr="00D425C7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.</w:t>
      </w:r>
      <w:r w:rsidRPr="00D425C7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 xml:space="preserve"> Влияние сульфата цинка на регенерационный коэффициент при оценке возможности сорбц</w:t>
      </w:r>
      <w:proofErr w:type="gramStart"/>
      <w:r w:rsidRPr="00D425C7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ии ио</w:t>
      </w:r>
      <w:proofErr w:type="gramEnd"/>
      <w:r w:rsidRPr="00D425C7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нов клеткой</w:t>
      </w:r>
    </w:p>
    <w:tbl>
      <w:tblPr>
        <w:tblStyle w:val="a3"/>
        <w:tblW w:w="9613" w:type="dxa"/>
        <w:jc w:val="center"/>
        <w:tblLook w:val="04A0" w:firstRow="1" w:lastRow="0" w:firstColumn="1" w:lastColumn="0" w:noHBand="0" w:noVBand="1"/>
      </w:tblPr>
      <w:tblGrid>
        <w:gridCol w:w="2180"/>
        <w:gridCol w:w="1055"/>
        <w:gridCol w:w="1055"/>
        <w:gridCol w:w="1055"/>
        <w:gridCol w:w="1099"/>
        <w:gridCol w:w="1057"/>
        <w:gridCol w:w="1055"/>
        <w:gridCol w:w="1057"/>
      </w:tblGrid>
      <w:tr w:rsidR="00996DEB" w:rsidRPr="004F4F97" w:rsidTr="00A45A12">
        <w:trPr>
          <w:trHeight w:val="306"/>
          <w:jc w:val="center"/>
        </w:trPr>
        <w:tc>
          <w:tcPr>
            <w:tcW w:w="2180" w:type="dxa"/>
            <w:vMerge w:val="restart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Вариант</w:t>
            </w:r>
          </w:p>
        </w:tc>
        <w:tc>
          <w:tcPr>
            <w:tcW w:w="5321" w:type="dxa"/>
            <w:gridSpan w:val="5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1-ое культивирование</w:t>
            </w:r>
          </w:p>
        </w:tc>
        <w:tc>
          <w:tcPr>
            <w:tcW w:w="2112" w:type="dxa"/>
            <w:gridSpan w:val="2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2-ое культивирование</w:t>
            </w:r>
          </w:p>
        </w:tc>
      </w:tr>
      <w:tr w:rsidR="004F4F97" w:rsidRPr="004F4F97" w:rsidTr="004F4F97">
        <w:trPr>
          <w:trHeight w:val="306"/>
          <w:jc w:val="center"/>
        </w:trPr>
        <w:tc>
          <w:tcPr>
            <w:tcW w:w="2180" w:type="dxa"/>
            <w:vMerge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 сутки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2 сутки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3 сутки</w:t>
            </w:r>
          </w:p>
        </w:tc>
        <w:tc>
          <w:tcPr>
            <w:tcW w:w="1099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4 сутки</w:t>
            </w:r>
          </w:p>
        </w:tc>
        <w:tc>
          <w:tcPr>
            <w:tcW w:w="1057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5 сутки</w:t>
            </w:r>
          </w:p>
        </w:tc>
        <w:tc>
          <w:tcPr>
            <w:tcW w:w="1055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 сутки</w:t>
            </w:r>
          </w:p>
        </w:tc>
        <w:tc>
          <w:tcPr>
            <w:tcW w:w="1057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4 сутки</w:t>
            </w:r>
          </w:p>
        </w:tc>
      </w:tr>
      <w:tr w:rsidR="004F4F97" w:rsidRPr="004F4F97" w:rsidTr="004F4F97">
        <w:trPr>
          <w:trHeight w:val="143"/>
          <w:jc w:val="center"/>
        </w:trPr>
        <w:tc>
          <w:tcPr>
            <w:tcW w:w="2180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Дистиллированная вода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  <w:tc>
          <w:tcPr>
            <w:tcW w:w="1099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  <w:tc>
          <w:tcPr>
            <w:tcW w:w="1057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  <w:tc>
          <w:tcPr>
            <w:tcW w:w="1055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  <w:tc>
          <w:tcPr>
            <w:tcW w:w="1057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</w:tr>
      <w:tr w:rsidR="004F4F97" w:rsidRPr="004F4F97" w:rsidTr="004F4F97">
        <w:trPr>
          <w:trHeight w:val="306"/>
          <w:jc w:val="center"/>
        </w:trPr>
        <w:tc>
          <w:tcPr>
            <w:tcW w:w="2180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0,00001 мг/л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0,67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0,7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0,81</w:t>
            </w:r>
          </w:p>
        </w:tc>
        <w:tc>
          <w:tcPr>
            <w:tcW w:w="1099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0,73</w:t>
            </w:r>
          </w:p>
        </w:tc>
        <w:tc>
          <w:tcPr>
            <w:tcW w:w="1057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0,82</w:t>
            </w:r>
          </w:p>
        </w:tc>
        <w:tc>
          <w:tcPr>
            <w:tcW w:w="1055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0,75</w:t>
            </w:r>
          </w:p>
        </w:tc>
        <w:tc>
          <w:tcPr>
            <w:tcW w:w="1057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0,87</w:t>
            </w:r>
          </w:p>
        </w:tc>
      </w:tr>
      <w:tr w:rsidR="004F4F97" w:rsidRPr="004F4F97" w:rsidTr="004F4F97">
        <w:trPr>
          <w:trHeight w:val="306"/>
          <w:jc w:val="center"/>
        </w:trPr>
        <w:tc>
          <w:tcPr>
            <w:tcW w:w="2180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b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0,0001 мг/л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0,53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0,6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0,55</w:t>
            </w:r>
          </w:p>
        </w:tc>
        <w:tc>
          <w:tcPr>
            <w:tcW w:w="1099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0,7</w:t>
            </w:r>
          </w:p>
        </w:tc>
        <w:tc>
          <w:tcPr>
            <w:tcW w:w="1057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0,73</w:t>
            </w:r>
          </w:p>
        </w:tc>
        <w:tc>
          <w:tcPr>
            <w:tcW w:w="1055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0,71</w:t>
            </w:r>
          </w:p>
        </w:tc>
        <w:tc>
          <w:tcPr>
            <w:tcW w:w="1057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0,8</w:t>
            </w:r>
          </w:p>
        </w:tc>
      </w:tr>
      <w:tr w:rsidR="004F4F97" w:rsidRPr="004F4F97" w:rsidTr="004F4F97">
        <w:trPr>
          <w:trHeight w:val="306"/>
          <w:jc w:val="center"/>
        </w:trPr>
        <w:tc>
          <w:tcPr>
            <w:tcW w:w="2180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0,001 мг/л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0,42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0,73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0,57</w:t>
            </w:r>
          </w:p>
        </w:tc>
        <w:tc>
          <w:tcPr>
            <w:tcW w:w="1099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0,62</w:t>
            </w:r>
          </w:p>
        </w:tc>
        <w:tc>
          <w:tcPr>
            <w:tcW w:w="1057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0,54</w:t>
            </w:r>
          </w:p>
        </w:tc>
        <w:tc>
          <w:tcPr>
            <w:tcW w:w="1055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0,6</w:t>
            </w:r>
          </w:p>
        </w:tc>
        <w:tc>
          <w:tcPr>
            <w:tcW w:w="1057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0,71</w:t>
            </w:r>
          </w:p>
        </w:tc>
      </w:tr>
      <w:tr w:rsidR="004F4F97" w:rsidRPr="004F4F97" w:rsidTr="004F4F97">
        <w:trPr>
          <w:trHeight w:val="306"/>
          <w:jc w:val="center"/>
        </w:trPr>
        <w:tc>
          <w:tcPr>
            <w:tcW w:w="2180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0,01 мг/л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0,31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0,52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0,37</w:t>
            </w:r>
          </w:p>
        </w:tc>
        <w:tc>
          <w:tcPr>
            <w:tcW w:w="1099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0,41</w:t>
            </w:r>
          </w:p>
        </w:tc>
        <w:tc>
          <w:tcPr>
            <w:tcW w:w="1057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0,32</w:t>
            </w:r>
          </w:p>
        </w:tc>
        <w:tc>
          <w:tcPr>
            <w:tcW w:w="1055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0,4</w:t>
            </w:r>
          </w:p>
        </w:tc>
        <w:tc>
          <w:tcPr>
            <w:tcW w:w="1057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0,59</w:t>
            </w:r>
          </w:p>
        </w:tc>
      </w:tr>
      <w:tr w:rsidR="004F4F97" w:rsidRPr="004F4F97" w:rsidTr="004F4F97">
        <w:trPr>
          <w:trHeight w:val="306"/>
          <w:jc w:val="center"/>
        </w:trPr>
        <w:tc>
          <w:tcPr>
            <w:tcW w:w="2180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0,1 мг/л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0,03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0,29</w:t>
            </w:r>
          </w:p>
        </w:tc>
        <w:tc>
          <w:tcPr>
            <w:tcW w:w="1055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0,18</w:t>
            </w:r>
          </w:p>
        </w:tc>
        <w:tc>
          <w:tcPr>
            <w:tcW w:w="1099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0,27</w:t>
            </w:r>
          </w:p>
        </w:tc>
        <w:tc>
          <w:tcPr>
            <w:tcW w:w="1057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0,2</w:t>
            </w:r>
          </w:p>
        </w:tc>
        <w:tc>
          <w:tcPr>
            <w:tcW w:w="1055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0,25</w:t>
            </w:r>
          </w:p>
        </w:tc>
        <w:tc>
          <w:tcPr>
            <w:tcW w:w="1057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0,36</w:t>
            </w:r>
          </w:p>
        </w:tc>
      </w:tr>
    </w:tbl>
    <w:p w:rsidR="00A45A12" w:rsidRPr="00CE47E7" w:rsidRDefault="00A45A12" w:rsidP="00043DD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При втором культивировании коэффициент регенерации соответствовал показателям четвертых суток первого эксперимента. Помимо этого, при повторном </w:t>
      </w:r>
      <w:proofErr w:type="spellStart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засеивании</w:t>
      </w:r>
      <w:proofErr w:type="spellEnd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исследуемой среды, высокий уровень токсичности был зафиксирован в варианте с концентрацией 0,1 мг/л. В данном опыте, как и в предыдущем, было отмечено снижение токсического эффекта (таблица 2).</w:t>
      </w:r>
    </w:p>
    <w:p w:rsidR="00996DEB" w:rsidRPr="00D425C7" w:rsidRDefault="00996DEB" w:rsidP="00043DD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highlight w:val="yellow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При внесении </w:t>
      </w:r>
      <w:proofErr w:type="spellStart"/>
      <w:r w:rsidR="008C105D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Pb</w:t>
      </w:r>
      <w:proofErr w:type="spellEnd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So</w:t>
      </w: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vertAlign w:val="subscript"/>
        </w:rPr>
        <w:t>4</w:t>
      </w: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среду наблюдалось скачкообразное изменение коэф</w:t>
      </w:r>
      <w:r w:rsidR="008C105D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фициента регенерации (таблица 3</w:t>
      </w: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). На протяжении всего опыта данные показатели постепенно возрастали.</w:t>
      </w:r>
    </w:p>
    <w:p w:rsidR="004F2EAB" w:rsidRPr="00CE47E7" w:rsidRDefault="004F2EAB" w:rsidP="004F2EA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первом эксперименте на первые сутки наиболее острая реакция прослеживалась в растворах с максимальными концентрациями (0,1; 0,01; 0,001 </w:t>
      </w: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мг/л). На четвертые сутки значения повысились и указывали на подострое токсическое действие (0,0001; 0,00001 мг/л). </w:t>
      </w:r>
    </w:p>
    <w:p w:rsidR="00996DEB" w:rsidRPr="00D425C7" w:rsidRDefault="00996DEB" w:rsidP="004A1FF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8"/>
          <w:szCs w:val="28"/>
          <w:highlight w:val="yellow"/>
          <w:shd w:val="clear" w:color="auto" w:fill="FFFFFF"/>
        </w:rPr>
      </w:pPr>
      <w:r w:rsidRPr="004F4F97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 xml:space="preserve">Таблица </w:t>
      </w:r>
      <w:r w:rsidR="008C105D" w:rsidRPr="004F4F97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3</w:t>
      </w:r>
      <w:r w:rsidR="004F4F97" w:rsidRPr="004F4F97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.</w:t>
      </w:r>
      <w:r w:rsidRPr="004F4F97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 xml:space="preserve"> Влияние сульфата </w:t>
      </w:r>
      <w:r w:rsidR="004A1FF8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свинца</w:t>
      </w:r>
      <w:r w:rsidRPr="004F4F97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 xml:space="preserve"> на регенерационный коэффициент при оценке возможности сорбц</w:t>
      </w:r>
      <w:proofErr w:type="gramStart"/>
      <w:r w:rsidRPr="004F4F97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ии ио</w:t>
      </w:r>
      <w:proofErr w:type="gramEnd"/>
      <w:r w:rsidRPr="004F4F97">
        <w:rPr>
          <w:rFonts w:ascii="Times New Roman" w:hAnsi="Times New Roman" w:cs="Times New Roman"/>
          <w:color w:val="000000"/>
          <w:sz w:val="24"/>
          <w:szCs w:val="28"/>
          <w:shd w:val="clear" w:color="auto" w:fill="FFFFFF"/>
        </w:rPr>
        <w:t>нов клеткой</w:t>
      </w:r>
    </w:p>
    <w:tbl>
      <w:tblPr>
        <w:tblStyle w:val="a3"/>
        <w:tblW w:w="0" w:type="auto"/>
        <w:jc w:val="center"/>
        <w:tblLayout w:type="fixed"/>
        <w:tblLook w:val="04A0" w:firstRow="1" w:lastRow="0" w:firstColumn="1" w:lastColumn="0" w:noHBand="0" w:noVBand="1"/>
      </w:tblPr>
      <w:tblGrid>
        <w:gridCol w:w="2486"/>
        <w:gridCol w:w="972"/>
        <w:gridCol w:w="972"/>
        <w:gridCol w:w="972"/>
        <w:gridCol w:w="1012"/>
        <w:gridCol w:w="974"/>
        <w:gridCol w:w="1144"/>
        <w:gridCol w:w="1144"/>
      </w:tblGrid>
      <w:tr w:rsidR="00996DEB" w:rsidRPr="004F4F97" w:rsidTr="004F4F97">
        <w:trPr>
          <w:trHeight w:val="300"/>
          <w:jc w:val="center"/>
        </w:trPr>
        <w:tc>
          <w:tcPr>
            <w:tcW w:w="2486" w:type="dxa"/>
            <w:vMerge w:val="restart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Вариант</w:t>
            </w:r>
          </w:p>
        </w:tc>
        <w:tc>
          <w:tcPr>
            <w:tcW w:w="4902" w:type="dxa"/>
            <w:gridSpan w:val="5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1-ое культивирование</w:t>
            </w:r>
          </w:p>
        </w:tc>
        <w:tc>
          <w:tcPr>
            <w:tcW w:w="2288" w:type="dxa"/>
            <w:gridSpan w:val="2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2-ое культивирование</w:t>
            </w:r>
          </w:p>
        </w:tc>
      </w:tr>
      <w:tr w:rsidR="004F4F97" w:rsidRPr="004F4F97" w:rsidTr="004F4F97">
        <w:trPr>
          <w:trHeight w:val="300"/>
          <w:jc w:val="center"/>
        </w:trPr>
        <w:tc>
          <w:tcPr>
            <w:tcW w:w="2486" w:type="dxa"/>
            <w:vMerge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both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</w:p>
        </w:tc>
        <w:tc>
          <w:tcPr>
            <w:tcW w:w="972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 сутки</w:t>
            </w:r>
          </w:p>
        </w:tc>
        <w:tc>
          <w:tcPr>
            <w:tcW w:w="972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2 сутки</w:t>
            </w:r>
          </w:p>
        </w:tc>
        <w:tc>
          <w:tcPr>
            <w:tcW w:w="972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3 сутки</w:t>
            </w:r>
          </w:p>
        </w:tc>
        <w:tc>
          <w:tcPr>
            <w:tcW w:w="1012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4 сутки</w:t>
            </w:r>
          </w:p>
        </w:tc>
        <w:tc>
          <w:tcPr>
            <w:tcW w:w="972" w:type="dxa"/>
            <w:noWrap/>
            <w:vAlign w:val="center"/>
            <w:hideMark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5 сутки</w:t>
            </w:r>
          </w:p>
        </w:tc>
        <w:tc>
          <w:tcPr>
            <w:tcW w:w="1144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 сутки</w:t>
            </w:r>
          </w:p>
        </w:tc>
        <w:tc>
          <w:tcPr>
            <w:tcW w:w="1144" w:type="dxa"/>
            <w:vAlign w:val="center"/>
          </w:tcPr>
          <w:p w:rsidR="00996DEB" w:rsidRPr="004F4F97" w:rsidRDefault="00996DEB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4 сутки</w:t>
            </w:r>
          </w:p>
        </w:tc>
      </w:tr>
      <w:tr w:rsidR="004F4F97" w:rsidRPr="004F4F97" w:rsidTr="004F4F97">
        <w:trPr>
          <w:trHeight w:val="300"/>
          <w:jc w:val="center"/>
        </w:trPr>
        <w:tc>
          <w:tcPr>
            <w:tcW w:w="2486" w:type="dxa"/>
            <w:vAlign w:val="center"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Дистиллированная вода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F4F97">
              <w:rPr>
                <w:rFonts w:ascii="Arial Narrow" w:hAnsi="Arial Narrow" w:cs="Times New Roman"/>
                <w:sz w:val="18"/>
                <w:szCs w:val="18"/>
              </w:rPr>
              <w:t>1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  <w:tc>
          <w:tcPr>
            <w:tcW w:w="972" w:type="dxa"/>
            <w:noWrap/>
            <w:vAlign w:val="bottom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  <w:tc>
          <w:tcPr>
            <w:tcW w:w="1012" w:type="dxa"/>
            <w:noWrap/>
            <w:vAlign w:val="center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F4F97">
              <w:rPr>
                <w:rFonts w:ascii="Arial Narrow" w:hAnsi="Arial Narrow" w:cs="Times New Roman"/>
                <w:sz w:val="18"/>
                <w:szCs w:val="18"/>
              </w:rPr>
              <w:t>1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  <w:tc>
          <w:tcPr>
            <w:tcW w:w="1144" w:type="dxa"/>
            <w:vAlign w:val="center"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  <w:tc>
          <w:tcPr>
            <w:tcW w:w="1144" w:type="dxa"/>
            <w:vAlign w:val="center"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1</w:t>
            </w:r>
          </w:p>
        </w:tc>
      </w:tr>
      <w:tr w:rsidR="004F4F97" w:rsidRPr="004F4F97" w:rsidTr="004F4F97">
        <w:trPr>
          <w:trHeight w:val="300"/>
          <w:jc w:val="center"/>
        </w:trPr>
        <w:tc>
          <w:tcPr>
            <w:tcW w:w="2486" w:type="dxa"/>
            <w:vAlign w:val="center"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0,00001 мг/л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F4F97">
              <w:rPr>
                <w:rFonts w:ascii="Arial Narrow" w:hAnsi="Arial Narrow" w:cs="Times New Roman"/>
                <w:sz w:val="18"/>
                <w:szCs w:val="18"/>
              </w:rPr>
              <w:t>0,21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ED3451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0,2</w:t>
            </w:r>
          </w:p>
        </w:tc>
        <w:tc>
          <w:tcPr>
            <w:tcW w:w="972" w:type="dxa"/>
            <w:noWrap/>
            <w:vAlign w:val="bottom"/>
            <w:hideMark/>
          </w:tcPr>
          <w:p w:rsidR="00744B1A" w:rsidRPr="004F4F97" w:rsidRDefault="00ED3451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0,29</w:t>
            </w:r>
          </w:p>
        </w:tc>
        <w:tc>
          <w:tcPr>
            <w:tcW w:w="1012" w:type="dxa"/>
            <w:noWrap/>
            <w:vAlign w:val="center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F4F97">
              <w:rPr>
                <w:rFonts w:ascii="Arial Narrow" w:hAnsi="Arial Narrow" w:cs="Times New Roman"/>
                <w:sz w:val="18"/>
                <w:szCs w:val="18"/>
              </w:rPr>
              <w:t>0,37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</w:t>
            </w:r>
            <w:r w:rsidR="00ED3451"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4</w:t>
            </w:r>
          </w:p>
        </w:tc>
        <w:tc>
          <w:tcPr>
            <w:tcW w:w="1144" w:type="dxa"/>
            <w:vAlign w:val="center"/>
          </w:tcPr>
          <w:p w:rsidR="00744B1A" w:rsidRPr="004F4F97" w:rsidRDefault="008C105D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0,3</w:t>
            </w:r>
          </w:p>
        </w:tc>
        <w:tc>
          <w:tcPr>
            <w:tcW w:w="1144" w:type="dxa"/>
            <w:vAlign w:val="center"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</w:t>
            </w:r>
            <w:r w:rsidR="008C105D"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45</w:t>
            </w:r>
          </w:p>
        </w:tc>
      </w:tr>
      <w:tr w:rsidR="004F4F97" w:rsidRPr="004F4F97" w:rsidTr="004F4F97">
        <w:trPr>
          <w:trHeight w:val="300"/>
          <w:jc w:val="center"/>
        </w:trPr>
        <w:tc>
          <w:tcPr>
            <w:tcW w:w="2486" w:type="dxa"/>
            <w:vAlign w:val="center"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b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0,0001 мг/л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F4F97">
              <w:rPr>
                <w:rFonts w:ascii="Arial Narrow" w:hAnsi="Arial Narrow" w:cs="Times New Roman"/>
                <w:sz w:val="18"/>
                <w:szCs w:val="18"/>
              </w:rPr>
              <w:t>0,11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ED3451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0,12</w:t>
            </w:r>
          </w:p>
        </w:tc>
        <w:tc>
          <w:tcPr>
            <w:tcW w:w="972" w:type="dxa"/>
            <w:noWrap/>
            <w:vAlign w:val="bottom"/>
            <w:hideMark/>
          </w:tcPr>
          <w:p w:rsidR="00744B1A" w:rsidRPr="004F4F97" w:rsidRDefault="00ED3451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0,15</w:t>
            </w:r>
          </w:p>
        </w:tc>
        <w:tc>
          <w:tcPr>
            <w:tcW w:w="1012" w:type="dxa"/>
            <w:noWrap/>
            <w:vAlign w:val="center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F4F97">
              <w:rPr>
                <w:rFonts w:ascii="Arial Narrow" w:hAnsi="Arial Narrow" w:cs="Times New Roman"/>
                <w:sz w:val="18"/>
                <w:szCs w:val="18"/>
              </w:rPr>
              <w:t>0,19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ED3451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0,28</w:t>
            </w:r>
          </w:p>
        </w:tc>
        <w:tc>
          <w:tcPr>
            <w:tcW w:w="1144" w:type="dxa"/>
            <w:vAlign w:val="center"/>
          </w:tcPr>
          <w:p w:rsidR="00744B1A" w:rsidRPr="004F4F97" w:rsidRDefault="008C105D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0,18</w:t>
            </w:r>
          </w:p>
        </w:tc>
        <w:tc>
          <w:tcPr>
            <w:tcW w:w="1144" w:type="dxa"/>
            <w:vAlign w:val="center"/>
          </w:tcPr>
          <w:p w:rsidR="00744B1A" w:rsidRPr="004F4F97" w:rsidRDefault="008C105D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0,33</w:t>
            </w:r>
          </w:p>
        </w:tc>
      </w:tr>
      <w:tr w:rsidR="004F4F97" w:rsidRPr="004F4F97" w:rsidTr="004F4F97">
        <w:trPr>
          <w:trHeight w:val="300"/>
          <w:jc w:val="center"/>
        </w:trPr>
        <w:tc>
          <w:tcPr>
            <w:tcW w:w="2486" w:type="dxa"/>
            <w:vAlign w:val="center"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0,001 мг/л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ED3451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F4F97">
              <w:rPr>
                <w:rFonts w:ascii="Arial Narrow" w:hAnsi="Arial Narrow" w:cs="Times New Roman"/>
                <w:sz w:val="18"/>
                <w:szCs w:val="18"/>
              </w:rPr>
              <w:t>-</w:t>
            </w:r>
            <w:r w:rsidR="00744B1A" w:rsidRPr="004F4F97">
              <w:rPr>
                <w:rFonts w:ascii="Arial Narrow" w:hAnsi="Arial Narrow" w:cs="Times New Roman"/>
                <w:sz w:val="18"/>
                <w:szCs w:val="18"/>
              </w:rPr>
              <w:t>0,04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ED3451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  <w:lang w:val="en-US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</w:t>
            </w:r>
            <w:r w:rsidR="008C105D"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,0</w:t>
            </w:r>
            <w:r w:rsidR="008C105D"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  <w:lang w:val="en-US"/>
              </w:rPr>
              <w:t>6</w:t>
            </w:r>
          </w:p>
        </w:tc>
        <w:tc>
          <w:tcPr>
            <w:tcW w:w="972" w:type="dxa"/>
            <w:noWrap/>
            <w:vAlign w:val="bottom"/>
            <w:hideMark/>
          </w:tcPr>
          <w:p w:rsidR="00744B1A" w:rsidRPr="004F4F97" w:rsidRDefault="00ED3451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0,04</w:t>
            </w:r>
          </w:p>
        </w:tc>
        <w:tc>
          <w:tcPr>
            <w:tcW w:w="1012" w:type="dxa"/>
            <w:noWrap/>
            <w:vAlign w:val="center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F4F97">
              <w:rPr>
                <w:rFonts w:ascii="Arial Narrow" w:hAnsi="Arial Narrow" w:cs="Times New Roman"/>
                <w:sz w:val="18"/>
                <w:szCs w:val="18"/>
              </w:rPr>
              <w:t>0,07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ED3451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0,15</w:t>
            </w:r>
          </w:p>
        </w:tc>
        <w:tc>
          <w:tcPr>
            <w:tcW w:w="1144" w:type="dxa"/>
            <w:vAlign w:val="center"/>
          </w:tcPr>
          <w:p w:rsidR="00744B1A" w:rsidRPr="004F4F97" w:rsidRDefault="008C105D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0,06</w:t>
            </w:r>
          </w:p>
        </w:tc>
        <w:tc>
          <w:tcPr>
            <w:tcW w:w="1144" w:type="dxa"/>
            <w:vAlign w:val="center"/>
          </w:tcPr>
          <w:p w:rsidR="00744B1A" w:rsidRPr="004F4F97" w:rsidRDefault="008C105D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0,27</w:t>
            </w:r>
          </w:p>
        </w:tc>
      </w:tr>
      <w:tr w:rsidR="004F4F97" w:rsidRPr="004F4F97" w:rsidTr="004F4F97">
        <w:trPr>
          <w:trHeight w:val="300"/>
          <w:jc w:val="center"/>
        </w:trPr>
        <w:tc>
          <w:tcPr>
            <w:tcW w:w="2486" w:type="dxa"/>
            <w:vAlign w:val="center"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0,01 мг/л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F4F97">
              <w:rPr>
                <w:rFonts w:ascii="Arial Narrow" w:hAnsi="Arial Narrow" w:cs="Times New Roman"/>
                <w:sz w:val="18"/>
                <w:szCs w:val="18"/>
              </w:rPr>
              <w:t>-</w:t>
            </w:r>
            <w:r w:rsidR="00ED3451" w:rsidRPr="004F4F97">
              <w:rPr>
                <w:rFonts w:ascii="Arial Narrow" w:hAnsi="Arial Narrow" w:cs="Times New Roman"/>
                <w:sz w:val="18"/>
                <w:szCs w:val="18"/>
              </w:rPr>
              <w:t>0,1</w:t>
            </w:r>
            <w:r w:rsidRPr="004F4F97">
              <w:rPr>
                <w:rFonts w:ascii="Arial Narrow" w:hAnsi="Arial Narrow" w:cs="Times New Roman"/>
                <w:sz w:val="18"/>
                <w:szCs w:val="18"/>
              </w:rPr>
              <w:t>1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8C105D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  <w:lang w:val="en-US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</w:t>
            </w: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  <w:lang w:val="en-US"/>
              </w:rPr>
              <w:t>14</w:t>
            </w:r>
          </w:p>
        </w:tc>
        <w:tc>
          <w:tcPr>
            <w:tcW w:w="972" w:type="dxa"/>
            <w:noWrap/>
            <w:vAlign w:val="bottom"/>
            <w:hideMark/>
          </w:tcPr>
          <w:p w:rsidR="00744B1A" w:rsidRPr="004F4F97" w:rsidRDefault="00ED3451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-0,07</w:t>
            </w:r>
          </w:p>
        </w:tc>
        <w:tc>
          <w:tcPr>
            <w:tcW w:w="1012" w:type="dxa"/>
            <w:noWrap/>
            <w:vAlign w:val="center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F4F97">
              <w:rPr>
                <w:rFonts w:ascii="Arial Narrow" w:hAnsi="Arial Narrow" w:cs="Times New Roman"/>
                <w:sz w:val="18"/>
                <w:szCs w:val="18"/>
              </w:rPr>
              <w:t>-0,05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ED3451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0,12</w:t>
            </w:r>
          </w:p>
        </w:tc>
        <w:tc>
          <w:tcPr>
            <w:tcW w:w="1144" w:type="dxa"/>
            <w:vAlign w:val="center"/>
          </w:tcPr>
          <w:p w:rsidR="008C105D" w:rsidRPr="004F4F97" w:rsidRDefault="008C105D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-0,03</w:t>
            </w:r>
          </w:p>
        </w:tc>
        <w:tc>
          <w:tcPr>
            <w:tcW w:w="1144" w:type="dxa"/>
            <w:vAlign w:val="center"/>
          </w:tcPr>
          <w:p w:rsidR="00744B1A" w:rsidRPr="004F4F97" w:rsidRDefault="002F0D2C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</w:t>
            </w:r>
            <w:r w:rsidR="008C105D"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2</w:t>
            </w:r>
          </w:p>
        </w:tc>
      </w:tr>
      <w:tr w:rsidR="004F4F97" w:rsidRPr="004F4F97" w:rsidTr="004F4F97">
        <w:trPr>
          <w:trHeight w:val="300"/>
          <w:jc w:val="center"/>
        </w:trPr>
        <w:tc>
          <w:tcPr>
            <w:tcW w:w="2486" w:type="dxa"/>
            <w:vAlign w:val="center"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0,1 мг/л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F4F97">
              <w:rPr>
                <w:rFonts w:ascii="Arial Narrow" w:hAnsi="Arial Narrow" w:cs="Times New Roman"/>
                <w:sz w:val="18"/>
                <w:szCs w:val="18"/>
              </w:rPr>
              <w:t>-0,17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-0,14</w:t>
            </w:r>
          </w:p>
        </w:tc>
        <w:tc>
          <w:tcPr>
            <w:tcW w:w="972" w:type="dxa"/>
            <w:noWrap/>
            <w:vAlign w:val="bottom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-0,1</w:t>
            </w:r>
          </w:p>
        </w:tc>
        <w:tc>
          <w:tcPr>
            <w:tcW w:w="1012" w:type="dxa"/>
            <w:noWrap/>
            <w:vAlign w:val="center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sz w:val="18"/>
                <w:szCs w:val="18"/>
              </w:rPr>
            </w:pPr>
            <w:r w:rsidRPr="004F4F97">
              <w:rPr>
                <w:rFonts w:ascii="Arial Narrow" w:hAnsi="Arial Narrow" w:cs="Times New Roman"/>
                <w:sz w:val="18"/>
                <w:szCs w:val="18"/>
              </w:rPr>
              <w:t>-0,07</w:t>
            </w:r>
          </w:p>
        </w:tc>
        <w:tc>
          <w:tcPr>
            <w:tcW w:w="972" w:type="dxa"/>
            <w:noWrap/>
            <w:vAlign w:val="center"/>
            <w:hideMark/>
          </w:tcPr>
          <w:p w:rsidR="00744B1A" w:rsidRPr="004F4F97" w:rsidRDefault="00744B1A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0,06</w:t>
            </w:r>
          </w:p>
        </w:tc>
        <w:tc>
          <w:tcPr>
            <w:tcW w:w="1144" w:type="dxa"/>
            <w:vAlign w:val="center"/>
          </w:tcPr>
          <w:p w:rsidR="00744B1A" w:rsidRPr="004F4F97" w:rsidRDefault="008C105D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-0,09</w:t>
            </w:r>
          </w:p>
        </w:tc>
        <w:tc>
          <w:tcPr>
            <w:tcW w:w="1144" w:type="dxa"/>
            <w:vAlign w:val="center"/>
          </w:tcPr>
          <w:p w:rsidR="00744B1A" w:rsidRPr="004F4F97" w:rsidRDefault="002F0D2C" w:rsidP="00043DD2">
            <w:pPr>
              <w:spacing w:beforeLines="30" w:before="72" w:afterLines="30" w:after="72" w:line="360" w:lineRule="auto"/>
              <w:jc w:val="center"/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</w:pPr>
            <w:r w:rsidRPr="004F4F97">
              <w:rPr>
                <w:rFonts w:ascii="Arial Narrow" w:hAnsi="Arial Narrow" w:cs="Times New Roman"/>
                <w:color w:val="000000"/>
                <w:sz w:val="18"/>
                <w:szCs w:val="18"/>
                <w:shd w:val="clear" w:color="auto" w:fill="FFFFFF"/>
              </w:rPr>
              <w:t>0,12</w:t>
            </w:r>
          </w:p>
        </w:tc>
      </w:tr>
    </w:tbl>
    <w:p w:rsidR="00996DEB" w:rsidRPr="00D425C7" w:rsidRDefault="00996DEB" w:rsidP="004F2EAB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Второй эксперимент практически не отличался. Как и при первом культивировании, снижение численности было отмечено в наиболее концентрированных растворах: 0,1 и 0,01 мг/л. При продолж</w:t>
      </w:r>
      <w:r w:rsidR="00CE47E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ении культивирования токсичность</w:t>
      </w: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исслед</w:t>
      </w:r>
      <w:r w:rsidR="008C105D"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уемых сред снижалось (таблица 3</w:t>
      </w: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).</w:t>
      </w:r>
    </w:p>
    <w:p w:rsidR="00996DEB" w:rsidRPr="00D425C7" w:rsidRDefault="003B2CC8" w:rsidP="00043DD2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Заключение</w:t>
      </w:r>
    </w:p>
    <w:p w:rsidR="003B2CC8" w:rsidRDefault="003B2CC8" w:rsidP="00043DD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Важно отметить, что при </w:t>
      </w:r>
      <w:proofErr w:type="gramStart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длительном</w:t>
      </w:r>
      <w:proofErr w:type="gramEnd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инкубировании</w:t>
      </w:r>
      <w:proofErr w:type="spellEnd"/>
      <w:r w:rsidRPr="00D425C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водоросль приспосабливается к условиям среды, и включаются механизмы нейтрализации негативного воздействия. Наиболее острые реакции протекали в средах с максимальными концентрациями 0,1 и 0,01 мг/л, что позволяет рассмотреть их как токсичные. Также выявлено, что адаптационные реакции прослеживались с четвертых суток культивирования. </w:t>
      </w:r>
    </w:p>
    <w:p w:rsidR="00062F1A" w:rsidRPr="00D425C7" w:rsidRDefault="00062F1A" w:rsidP="00043DD2">
      <w:pPr>
        <w:spacing w:after="0" w:line="360" w:lineRule="auto"/>
        <w:ind w:firstLine="708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3B2CC8" w:rsidRPr="00043DD2" w:rsidRDefault="00043DD2" w:rsidP="00043DD2">
      <w:pPr>
        <w:spacing w:after="0" w:line="360" w:lineRule="auto"/>
        <w:ind w:firstLine="708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  <w:r w:rsidRPr="00043DD2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  <w:t>Библиографический список</w:t>
      </w:r>
    </w:p>
    <w:p w:rsidR="003B2CC8" w:rsidRPr="00043DD2" w:rsidRDefault="00043DD2" w:rsidP="00043DD2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043D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1.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spellStart"/>
      <w:r w:rsidR="003B2CC8" w:rsidRPr="00043D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Грубинко</w:t>
      </w:r>
      <w:proofErr w:type="spellEnd"/>
      <w:r w:rsidR="003B2CC8" w:rsidRPr="00043D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В. В. Структурные изменения в клеточных мембранах водных растений при воздействии токсических веществ / В. В. </w:t>
      </w:r>
      <w:proofErr w:type="spellStart"/>
      <w:r w:rsidR="003B2CC8" w:rsidRPr="00043D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Грубинко</w:t>
      </w:r>
      <w:proofErr w:type="spellEnd"/>
      <w:r w:rsidR="003B2CC8" w:rsidRPr="00043D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К. В. Костюк // Гидробиологический журнал. – 2011. – Т. 47, № 6. – С.43-57.</w:t>
      </w:r>
    </w:p>
    <w:p w:rsidR="003B2CC8" w:rsidRPr="00043DD2" w:rsidRDefault="00043DD2" w:rsidP="00043DD2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2. </w:t>
      </w:r>
      <w:r w:rsidR="003B2CC8" w:rsidRPr="00043D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Рябухина, Е. В. Биологические методы определения токсичности водной среды: метод</w:t>
      </w:r>
      <w:proofErr w:type="gramStart"/>
      <w:r w:rsidR="003B2CC8" w:rsidRPr="00043D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proofErr w:type="gramEnd"/>
      <w:r w:rsidR="003B2CC8" w:rsidRPr="00043D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proofErr w:type="gramStart"/>
      <w:r w:rsidR="003B2CC8" w:rsidRPr="00043D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</w:t>
      </w:r>
      <w:proofErr w:type="gramEnd"/>
      <w:r w:rsidR="003B2CC8" w:rsidRPr="00043D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казания / Е. В. Рябухина, С. Л. Зарубин. – Ярославль: </w:t>
      </w:r>
      <w:proofErr w:type="spellStart"/>
      <w:r w:rsidR="003B2CC8" w:rsidRPr="00043D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ЯрГУ</w:t>
      </w:r>
      <w:proofErr w:type="spellEnd"/>
      <w:r w:rsidR="003B2CC8" w:rsidRPr="00043DD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2006. – 64 с.</w:t>
      </w:r>
    </w:p>
    <w:p w:rsidR="00D425C7" w:rsidRDefault="00A45A12" w:rsidP="00043DD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3</w:t>
      </w:r>
      <w:r w:rsidR="00043DD2" w:rsidRPr="00043DD2"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="00D425C7" w:rsidRPr="00043DD2">
        <w:rPr>
          <w:rFonts w:ascii="Times New Roman" w:hAnsi="Times New Roman" w:cs="Times New Roman"/>
          <w:sz w:val="28"/>
          <w:szCs w:val="28"/>
          <w:lang w:val="en-US"/>
        </w:rPr>
        <w:t xml:space="preserve">Franklin, N. M. Effect of initial cell density on the bioavailability and toxicity of copper in </w:t>
      </w:r>
      <w:proofErr w:type="spellStart"/>
      <w:r w:rsidR="00D425C7" w:rsidRPr="00043DD2">
        <w:rPr>
          <w:rFonts w:ascii="Times New Roman" w:hAnsi="Times New Roman" w:cs="Times New Roman"/>
          <w:sz w:val="28"/>
          <w:szCs w:val="28"/>
          <w:lang w:val="en-US"/>
        </w:rPr>
        <w:t>microalgal</w:t>
      </w:r>
      <w:proofErr w:type="spellEnd"/>
      <w:r w:rsidR="00D425C7" w:rsidRPr="00043DD2">
        <w:rPr>
          <w:rFonts w:ascii="Times New Roman" w:hAnsi="Times New Roman" w:cs="Times New Roman"/>
          <w:sz w:val="28"/>
          <w:szCs w:val="28"/>
          <w:lang w:val="en-US"/>
        </w:rPr>
        <w:t xml:space="preserve"> bioassays / N. M. Franklin, J. L. </w:t>
      </w:r>
      <w:proofErr w:type="spellStart"/>
      <w:r w:rsidR="00D425C7" w:rsidRPr="00043DD2">
        <w:rPr>
          <w:rFonts w:ascii="Times New Roman" w:hAnsi="Times New Roman" w:cs="Times New Roman"/>
          <w:sz w:val="28"/>
          <w:szCs w:val="28"/>
          <w:lang w:val="en-US"/>
        </w:rPr>
        <w:t>Stauber</w:t>
      </w:r>
      <w:proofErr w:type="spellEnd"/>
      <w:r w:rsidR="00D425C7" w:rsidRPr="00043DD2">
        <w:rPr>
          <w:rFonts w:ascii="Times New Roman" w:hAnsi="Times New Roman" w:cs="Times New Roman"/>
          <w:sz w:val="28"/>
          <w:szCs w:val="28"/>
          <w:lang w:val="en-US"/>
        </w:rPr>
        <w:t xml:space="preserve">, S. </w:t>
      </w:r>
      <w:proofErr w:type="spellStart"/>
      <w:r w:rsidR="00D425C7" w:rsidRPr="00043DD2">
        <w:rPr>
          <w:rFonts w:ascii="Times New Roman" w:hAnsi="Times New Roman" w:cs="Times New Roman"/>
          <w:sz w:val="28"/>
          <w:szCs w:val="28"/>
          <w:lang w:val="en-US"/>
        </w:rPr>
        <w:t>Apte</w:t>
      </w:r>
      <w:proofErr w:type="spellEnd"/>
      <w:r w:rsidR="00D425C7" w:rsidRPr="00043DD2">
        <w:rPr>
          <w:rFonts w:ascii="Times New Roman" w:hAnsi="Times New Roman" w:cs="Times New Roman"/>
          <w:sz w:val="28"/>
          <w:szCs w:val="28"/>
          <w:lang w:val="en-US"/>
        </w:rPr>
        <w:t>, R. P. Lim // Environmental Toxicology and Chemistry. – 2002 – Vol. 21. – P. 742-751.</w:t>
      </w:r>
    </w:p>
    <w:p w:rsidR="004F2EAB" w:rsidRDefault="004F2EAB" w:rsidP="00043DD2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</w:p>
    <w:p w:rsidR="004F2EAB" w:rsidRPr="00CE47E7" w:rsidRDefault="004F2EAB" w:rsidP="0085230C">
      <w:pPr>
        <w:spacing w:after="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4F2EAB">
        <w:rPr>
          <w:rFonts w:ascii="Times New Roman" w:hAnsi="Times New Roman" w:cs="Times New Roman"/>
          <w:b/>
          <w:sz w:val="28"/>
          <w:szCs w:val="28"/>
        </w:rPr>
        <w:t>Информация об авторе</w:t>
      </w:r>
    </w:p>
    <w:p w:rsidR="004F2EAB" w:rsidRPr="004F2EAB" w:rsidRDefault="004F2EAB" w:rsidP="0085230C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proofErr w:type="spellStart"/>
      <w:r>
        <w:rPr>
          <w:rFonts w:ascii="Times New Roman" w:hAnsi="Times New Roman" w:cs="Times New Roman"/>
          <w:sz w:val="28"/>
          <w:szCs w:val="28"/>
        </w:rPr>
        <w:t>Лысцева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Алина Алексеевна (Россия, г. Вологда) – студент второго курса магистратуры, Вологодский Государственный Университет.</w:t>
      </w:r>
    </w:p>
    <w:p w:rsidR="00062F1A" w:rsidRPr="004F2EAB" w:rsidRDefault="00062F1A" w:rsidP="0085230C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</w:rPr>
      </w:pPr>
    </w:p>
    <w:p w:rsidR="00062F1A" w:rsidRPr="00CE47E7" w:rsidRDefault="00062F1A" w:rsidP="0085230C">
      <w:pPr>
        <w:spacing w:after="0" w:line="360" w:lineRule="auto"/>
        <w:jc w:val="right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  <w:proofErr w:type="spellStart"/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Lystseva</w:t>
      </w:r>
      <w:proofErr w:type="spellEnd"/>
      <w:r w:rsidRPr="00CE47E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 xml:space="preserve"> 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A</w:t>
      </w:r>
      <w:r w:rsidRPr="00CE47E7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.</w:t>
      </w:r>
      <w:r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A</w:t>
      </w:r>
    </w:p>
    <w:p w:rsidR="00043DD2" w:rsidRPr="00062F1A" w:rsidRDefault="00062F1A" w:rsidP="0085230C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  <w:r w:rsidRPr="00062F1A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Use of Chlorella to assess the degree of heavy metal contamination of the aquatic environment</w:t>
      </w:r>
    </w:p>
    <w:p w:rsidR="00062F1A" w:rsidRPr="00062F1A" w:rsidRDefault="00062F1A" w:rsidP="0085230C">
      <w:pPr>
        <w:spacing w:after="0" w:line="360" w:lineRule="auto"/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</w:pPr>
      <w:r w:rsidRPr="00062F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val="en-US"/>
        </w:rPr>
        <w:t>Abstract.</w:t>
      </w:r>
      <w:r w:rsidRPr="00062F1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This work is devoted to the study of adaptation reactions and the influence of heavy metals on the regeneration coefficient in assessing the adaptive capabilities of Chlorella vulgaris </w:t>
      </w:r>
      <w:proofErr w:type="spellStart"/>
      <w:r w:rsidRPr="00062F1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Beijer</w:t>
      </w:r>
      <w:proofErr w:type="spellEnd"/>
      <w:r w:rsidRPr="00062F1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>.</w:t>
      </w:r>
    </w:p>
    <w:p w:rsidR="00062F1A" w:rsidRDefault="00062F1A" w:rsidP="0085230C">
      <w:pPr>
        <w:spacing w:after="0" w:line="360" w:lineRule="auto"/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</w:pPr>
      <w:r w:rsidRPr="00062F1A">
        <w:rPr>
          <w:rFonts w:ascii="Times New Roman" w:hAnsi="Times New Roman" w:cs="Times New Roman"/>
          <w:b/>
          <w:i/>
          <w:color w:val="000000"/>
          <w:sz w:val="28"/>
          <w:szCs w:val="28"/>
          <w:shd w:val="clear" w:color="auto" w:fill="FFFFFF"/>
          <w:lang w:val="en-US"/>
        </w:rPr>
        <w:t>Keywords:</w:t>
      </w:r>
      <w:r w:rsidRPr="00062F1A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  <w:t xml:space="preserve"> toxicity; the recovery rate; adaptation of Chlorella; copper; zinc; lead.</w:t>
      </w:r>
    </w:p>
    <w:p w:rsidR="00062F1A" w:rsidRPr="00CE47E7" w:rsidRDefault="00062F1A" w:rsidP="0085230C">
      <w:pPr>
        <w:spacing w:after="0" w:line="360" w:lineRule="auto"/>
        <w:jc w:val="both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en-US"/>
        </w:rPr>
      </w:pPr>
    </w:p>
    <w:p w:rsidR="0085230C" w:rsidRPr="0085230C" w:rsidRDefault="0085230C" w:rsidP="0085230C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  <w:r w:rsidRPr="0085230C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Information about the author</w:t>
      </w:r>
    </w:p>
    <w:p w:rsidR="0085230C" w:rsidRPr="004A1FF8" w:rsidRDefault="0085230C" w:rsidP="0085230C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proofErr w:type="spellStart"/>
      <w:proofErr w:type="gramStart"/>
      <w:r w:rsidRPr="008523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Alina</w:t>
      </w:r>
      <w:proofErr w:type="spellEnd"/>
      <w:r w:rsidRPr="008523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</w:t>
      </w:r>
      <w:proofErr w:type="spellStart"/>
      <w:r w:rsidRPr="008523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lystseva</w:t>
      </w:r>
      <w:proofErr w:type="spellEnd"/>
      <w:r w:rsidR="004A1FF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(Vologda, Russia) </w:t>
      </w:r>
      <w:bookmarkStart w:id="0" w:name="_GoBack"/>
      <w:bookmarkEnd w:id="0"/>
      <w:r w:rsidRPr="0085230C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– second-year master's student, Vologda State University.</w:t>
      </w:r>
      <w:proofErr w:type="gramEnd"/>
    </w:p>
    <w:p w:rsidR="00CE47E7" w:rsidRPr="004A1FF8" w:rsidRDefault="00CE47E7" w:rsidP="0085230C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</w:p>
    <w:p w:rsidR="00062F1A" w:rsidRPr="00062F1A" w:rsidRDefault="00062F1A" w:rsidP="0085230C">
      <w:pPr>
        <w:spacing w:after="0" w:line="360" w:lineRule="auto"/>
        <w:jc w:val="center"/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</w:pPr>
      <w:r w:rsidRPr="00062F1A">
        <w:rPr>
          <w:rFonts w:ascii="Times New Roman" w:hAnsi="Times New Roman" w:cs="Times New Roman"/>
          <w:b/>
          <w:color w:val="000000"/>
          <w:sz w:val="28"/>
          <w:szCs w:val="28"/>
          <w:shd w:val="clear" w:color="auto" w:fill="FFFFFF"/>
          <w:lang w:val="en-US"/>
        </w:rPr>
        <w:t>Bibliography</w:t>
      </w:r>
    </w:p>
    <w:p w:rsidR="00062F1A" w:rsidRPr="00062F1A" w:rsidRDefault="00062F1A" w:rsidP="0085230C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1. </w:t>
      </w:r>
      <w:proofErr w:type="spellStart"/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Grebenko</w:t>
      </w:r>
      <w:proofErr w:type="spellEnd"/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V. V. Structural changes in the cell membranes of the aquatic plants when exposed to toxic substances / V. V. </w:t>
      </w:r>
      <w:proofErr w:type="spellStart"/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Grebenko</w:t>
      </w:r>
      <w:proofErr w:type="spellEnd"/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K. V. </w:t>
      </w:r>
      <w:proofErr w:type="spellStart"/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Kostyuk</w:t>
      </w:r>
      <w:proofErr w:type="spellEnd"/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// </w:t>
      </w:r>
      <w:proofErr w:type="spellStart"/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Hydrobiological</w:t>
      </w:r>
      <w:proofErr w:type="spellEnd"/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journal. – 2011. – Vol. 47, No. 6. – S. 43-57.</w:t>
      </w:r>
    </w:p>
    <w:p w:rsidR="00062F1A" w:rsidRPr="00062F1A" w:rsidRDefault="00062F1A" w:rsidP="0085230C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2. </w:t>
      </w:r>
      <w:proofErr w:type="spellStart"/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Ryabukhina</w:t>
      </w:r>
      <w:proofErr w:type="spellEnd"/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E. V. Biological methods for determining toxicity of aquatic environment: method. </w:t>
      </w:r>
      <w:proofErr w:type="gramStart"/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instructions</w:t>
      </w:r>
      <w:proofErr w:type="gramEnd"/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 E. V. </w:t>
      </w:r>
      <w:proofErr w:type="spellStart"/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ryabukhina</w:t>
      </w:r>
      <w:proofErr w:type="spellEnd"/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S. L. </w:t>
      </w:r>
      <w:proofErr w:type="spellStart"/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Zarubin</w:t>
      </w:r>
      <w:proofErr w:type="spellEnd"/>
      <w:r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. – Yaroslavl: Yaroslavl State University, 2006. – 64 p.</w:t>
      </w:r>
    </w:p>
    <w:p w:rsidR="00170E2D" w:rsidRPr="00DA3761" w:rsidRDefault="00A45A12" w:rsidP="00043DD2">
      <w:pPr>
        <w:spacing w:after="0" w:line="360" w:lineRule="auto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3</w:t>
      </w:r>
      <w:r w:rsidR="00062F1A"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. Franklin, N. M. Effect of initial cell density on the bioavailability and toxicity of copper in </w:t>
      </w:r>
      <w:proofErr w:type="spellStart"/>
      <w:r w:rsidR="00062F1A"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microalgal</w:t>
      </w:r>
      <w:proofErr w:type="spellEnd"/>
      <w:r w:rsidR="00062F1A"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bioassays / N. M. Franklin, J. L. </w:t>
      </w:r>
      <w:proofErr w:type="spellStart"/>
      <w:r w:rsid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Stauber</w:t>
      </w:r>
      <w:proofErr w:type="spellEnd"/>
      <w:r w:rsid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S. </w:t>
      </w:r>
      <w:proofErr w:type="spellStart"/>
      <w:r w:rsid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Apte</w:t>
      </w:r>
      <w:proofErr w:type="spellEnd"/>
      <w:r w:rsid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, R. P. </w:t>
      </w:r>
      <w:proofErr w:type="spellStart"/>
      <w:r w:rsid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lim</w:t>
      </w:r>
      <w:proofErr w:type="spellEnd"/>
      <w:r w:rsid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 xml:space="preserve"> // E</w:t>
      </w:r>
      <w:r w:rsidR="00062F1A" w:rsidRPr="00062F1A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  <w:lang w:val="en-US"/>
        </w:rPr>
        <w:t>nvironmental Toxicology and chemistry. - 2002 – Volume 21. – Pp. 742-751.</w:t>
      </w:r>
    </w:p>
    <w:sectPr w:rsidR="00170E2D" w:rsidRPr="00DA3761" w:rsidSect="00D425C7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CC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D0036E9"/>
    <w:multiLevelType w:val="hybridMultilevel"/>
    <w:tmpl w:val="729E9350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FC81FA9"/>
    <w:multiLevelType w:val="hybridMultilevel"/>
    <w:tmpl w:val="D7B83BC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33AF5"/>
    <w:rsid w:val="00043DD2"/>
    <w:rsid w:val="00062F1A"/>
    <w:rsid w:val="00170E2D"/>
    <w:rsid w:val="002F0D2C"/>
    <w:rsid w:val="00373CA0"/>
    <w:rsid w:val="003B2CC8"/>
    <w:rsid w:val="00414ECD"/>
    <w:rsid w:val="0042696D"/>
    <w:rsid w:val="004559A9"/>
    <w:rsid w:val="004A1FF8"/>
    <w:rsid w:val="004F2EAB"/>
    <w:rsid w:val="004F4F97"/>
    <w:rsid w:val="004F7945"/>
    <w:rsid w:val="0050750C"/>
    <w:rsid w:val="005640C9"/>
    <w:rsid w:val="00642A92"/>
    <w:rsid w:val="006C2375"/>
    <w:rsid w:val="006F7778"/>
    <w:rsid w:val="007444B7"/>
    <w:rsid w:val="00744B1A"/>
    <w:rsid w:val="007A1D73"/>
    <w:rsid w:val="007B68D8"/>
    <w:rsid w:val="0085230C"/>
    <w:rsid w:val="008C105D"/>
    <w:rsid w:val="00933AF5"/>
    <w:rsid w:val="00996DEB"/>
    <w:rsid w:val="00A43493"/>
    <w:rsid w:val="00A45A12"/>
    <w:rsid w:val="00AA0DB5"/>
    <w:rsid w:val="00C3663F"/>
    <w:rsid w:val="00C80243"/>
    <w:rsid w:val="00CE47E7"/>
    <w:rsid w:val="00D425C7"/>
    <w:rsid w:val="00DA3761"/>
    <w:rsid w:val="00E64AB8"/>
    <w:rsid w:val="00EC79FA"/>
    <w:rsid w:val="00ED3451"/>
    <w:rsid w:val="00FD4B5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96DE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425C7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96DEB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List Paragraph"/>
    <w:basedOn w:val="a"/>
    <w:uiPriority w:val="34"/>
    <w:qFormat/>
    <w:rsid w:val="00D425C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990550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346</TotalTime>
  <Pages>5</Pages>
  <Words>1265</Words>
  <Characters>7211</Characters>
  <Application>Microsoft Office Word</Application>
  <DocSecurity>0</DocSecurity>
  <Lines>60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*</Company>
  <LinksUpToDate>false</LinksUpToDate>
  <CharactersWithSpaces>8460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Алина</dc:creator>
  <cp:keywords/>
  <dc:description/>
  <cp:lastModifiedBy>Алина</cp:lastModifiedBy>
  <cp:revision>5</cp:revision>
  <dcterms:created xsi:type="dcterms:W3CDTF">2020-10-13T09:59:00Z</dcterms:created>
  <dcterms:modified xsi:type="dcterms:W3CDTF">2020-10-15T19:57:00Z</dcterms:modified>
</cp:coreProperties>
</file>