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1CF" w:rsidRPr="006D21CF" w:rsidRDefault="006D21CF" w:rsidP="006D21CF">
      <w:pPr>
        <w:spacing w:after="0" w:line="360" w:lineRule="auto"/>
        <w:ind w:firstLine="709"/>
        <w:rPr>
          <w:rFonts w:ascii="Times New Roman" w:hAnsi="Times New Roman" w:cs="Times New Roman"/>
          <w:b/>
          <w:sz w:val="28"/>
          <w:szCs w:val="28"/>
        </w:rPr>
      </w:pPr>
      <w:r w:rsidRPr="006D21CF">
        <w:rPr>
          <w:rFonts w:ascii="Times New Roman" w:hAnsi="Times New Roman" w:cs="Times New Roman"/>
          <w:b/>
          <w:sz w:val="28"/>
          <w:szCs w:val="28"/>
        </w:rPr>
        <w:t>УДК 368.1    ББК 65.271</w:t>
      </w:r>
    </w:p>
    <w:p w:rsidR="006D21CF" w:rsidRPr="006D21CF" w:rsidRDefault="006D21CF" w:rsidP="006D21CF">
      <w:pPr>
        <w:spacing w:after="0" w:line="360" w:lineRule="auto"/>
        <w:ind w:firstLine="709"/>
        <w:jc w:val="right"/>
        <w:rPr>
          <w:rFonts w:ascii="Times New Roman" w:hAnsi="Times New Roman" w:cs="Times New Roman"/>
          <w:b/>
          <w:sz w:val="28"/>
          <w:szCs w:val="28"/>
        </w:rPr>
      </w:pPr>
      <w:r w:rsidRPr="006D21CF">
        <w:rPr>
          <w:b/>
          <w:sz w:val="28"/>
          <w:szCs w:val="28"/>
        </w:rPr>
        <w:t xml:space="preserve">© </w:t>
      </w:r>
      <w:r w:rsidRPr="006D21CF">
        <w:rPr>
          <w:rFonts w:ascii="Times New Roman" w:hAnsi="Times New Roman" w:cs="Times New Roman"/>
          <w:b/>
          <w:sz w:val="28"/>
          <w:szCs w:val="28"/>
        </w:rPr>
        <w:t>Васильева Т.С.</w:t>
      </w:r>
    </w:p>
    <w:p w:rsidR="006D21CF" w:rsidRDefault="006D21CF" w:rsidP="006D21CF">
      <w:pPr>
        <w:spacing w:after="0" w:line="360" w:lineRule="auto"/>
        <w:jc w:val="center"/>
        <w:rPr>
          <w:rFonts w:ascii="Times New Roman" w:hAnsi="Times New Roman" w:cs="Times New Roman"/>
          <w:sz w:val="28"/>
          <w:szCs w:val="28"/>
        </w:rPr>
      </w:pPr>
    </w:p>
    <w:p w:rsidR="006E427B" w:rsidRPr="006D21CF" w:rsidRDefault="00CC1103" w:rsidP="006D21CF">
      <w:pPr>
        <w:spacing w:after="0" w:line="360" w:lineRule="auto"/>
        <w:jc w:val="center"/>
        <w:rPr>
          <w:rFonts w:ascii="Times New Roman Полужирный" w:hAnsi="Times New Roman Полужирный" w:cs="Times New Roman"/>
          <w:b/>
          <w:caps/>
          <w:sz w:val="28"/>
          <w:szCs w:val="28"/>
        </w:rPr>
      </w:pPr>
      <w:r w:rsidRPr="006D21CF">
        <w:rPr>
          <w:rFonts w:ascii="Times New Roman Полужирный" w:hAnsi="Times New Roman Полужирный" w:cs="Times New Roman"/>
          <w:b/>
          <w:caps/>
          <w:sz w:val="28"/>
          <w:szCs w:val="28"/>
        </w:rPr>
        <w:t>Актуальные вопросы развития страхования жизни</w:t>
      </w:r>
      <w:r w:rsidR="006D21CF" w:rsidRPr="006D21CF">
        <w:rPr>
          <w:rFonts w:ascii="Times New Roman Полужирный" w:hAnsi="Times New Roman Полужирный" w:cs="Times New Roman"/>
          <w:b/>
          <w:caps/>
          <w:sz w:val="28"/>
          <w:szCs w:val="28"/>
        </w:rPr>
        <w:t xml:space="preserve"> в Российской Федерации и ее регионах (на примере СЗФО)</w:t>
      </w:r>
    </w:p>
    <w:p w:rsidR="006D21CF" w:rsidRPr="007A79A7" w:rsidRDefault="006D21CF" w:rsidP="007A79A7">
      <w:pPr>
        <w:spacing w:after="0" w:line="360" w:lineRule="auto"/>
        <w:ind w:firstLine="709"/>
        <w:jc w:val="both"/>
        <w:rPr>
          <w:rFonts w:ascii="Times New Roman" w:hAnsi="Times New Roman" w:cs="Times New Roman"/>
          <w:i/>
          <w:sz w:val="28"/>
          <w:szCs w:val="28"/>
        </w:rPr>
      </w:pPr>
      <w:r w:rsidRPr="007A79A7">
        <w:rPr>
          <w:rFonts w:ascii="Times New Roman" w:hAnsi="Times New Roman" w:cs="Times New Roman"/>
          <w:i/>
          <w:sz w:val="28"/>
          <w:szCs w:val="28"/>
        </w:rPr>
        <w:t xml:space="preserve">Аннотация. </w:t>
      </w:r>
      <w:r w:rsidR="007A79A7">
        <w:rPr>
          <w:rFonts w:ascii="Times New Roman" w:hAnsi="Times New Roman" w:cs="Times New Roman"/>
          <w:i/>
          <w:sz w:val="28"/>
          <w:szCs w:val="28"/>
        </w:rPr>
        <w:t>Д</w:t>
      </w:r>
      <w:r w:rsidRPr="007A79A7">
        <w:rPr>
          <w:rFonts w:ascii="Times New Roman" w:hAnsi="Times New Roman" w:cs="Times New Roman"/>
          <w:i/>
          <w:sz w:val="28"/>
          <w:szCs w:val="28"/>
        </w:rPr>
        <w:t>анная работа рассматривает сущность страхования жизни, динамику развития рынка страхования жизни в Российской Федерации и сравнение с динамикой Северо-западного федерального округа. Проведен анализ статистических показателей убыточности премий данного вида страхования, выделены ключевые проблемы развития.</w:t>
      </w:r>
    </w:p>
    <w:p w:rsidR="006D21CF" w:rsidRPr="007A79A7" w:rsidRDefault="007A79A7" w:rsidP="007A79A7">
      <w:pPr>
        <w:spacing w:after="0" w:line="360" w:lineRule="auto"/>
        <w:ind w:firstLine="709"/>
        <w:jc w:val="both"/>
        <w:rPr>
          <w:rFonts w:ascii="Times New Roman" w:hAnsi="Times New Roman" w:cs="Times New Roman"/>
          <w:i/>
          <w:sz w:val="28"/>
          <w:szCs w:val="28"/>
        </w:rPr>
      </w:pPr>
      <w:r w:rsidRPr="007A79A7">
        <w:rPr>
          <w:rFonts w:ascii="Times New Roman" w:hAnsi="Times New Roman" w:cs="Times New Roman"/>
          <w:i/>
          <w:sz w:val="28"/>
          <w:szCs w:val="28"/>
        </w:rPr>
        <w:t>Ключевые слова: страхование, страхование жизни, регион, СЗФО, статистический анализ.</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Рынок страхования жизни играет значимую роль, как для экономики страны, так и для ее граждан, поскольку данный вид страхования направлен на социально-экономическое развитие территорий и защиту населения,  посредством организации комплексной системы материального обеспечения при наступлении страховых случаев.</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Вопросам страхования жизни посвящается множество научных исследовательских работ. Данное внимание, обусловлено тем, что,  во-первых, страхование жизни для экономики страны довольно перспективно, так как оно выступает инструментом ее финансирования. Во-вторых, данный вид страхования является высокорентабельным. Поэтому его развитие наблюдается  целесообразным, как в интересах государства, так и в отдельных субъектах РФ.</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 xml:space="preserve">Отметим, наиболее значимые исследовательские работы в области изучения и развития рынка страхования жизни, ими представляются: А.Н. </w:t>
      </w:r>
      <w:proofErr w:type="spellStart"/>
      <w:r w:rsidRPr="007A79A7">
        <w:rPr>
          <w:rFonts w:ascii="Times New Roman" w:hAnsi="Times New Roman" w:cs="Times New Roman"/>
          <w:sz w:val="28"/>
          <w:szCs w:val="28"/>
        </w:rPr>
        <w:t>Муравецкий</w:t>
      </w:r>
      <w:proofErr w:type="spellEnd"/>
      <w:r w:rsidRPr="007A79A7">
        <w:rPr>
          <w:rFonts w:ascii="Times New Roman" w:hAnsi="Times New Roman" w:cs="Times New Roman"/>
          <w:sz w:val="28"/>
          <w:szCs w:val="28"/>
        </w:rPr>
        <w:t xml:space="preserve"> и Ж.А. Полунина, Н.В. Кириллова, С.А. </w:t>
      </w:r>
      <w:proofErr w:type="spellStart"/>
      <w:r w:rsidRPr="007A79A7">
        <w:rPr>
          <w:rFonts w:ascii="Times New Roman" w:hAnsi="Times New Roman" w:cs="Times New Roman"/>
          <w:sz w:val="28"/>
          <w:szCs w:val="28"/>
        </w:rPr>
        <w:t>Анесянц</w:t>
      </w:r>
      <w:proofErr w:type="spellEnd"/>
      <w:r w:rsidRPr="007A79A7">
        <w:rPr>
          <w:rFonts w:ascii="Times New Roman" w:hAnsi="Times New Roman" w:cs="Times New Roman"/>
          <w:sz w:val="28"/>
          <w:szCs w:val="28"/>
        </w:rPr>
        <w:t xml:space="preserve"> и Ж.Н. Карапетян, Т.В. Гончаренко, В.В. </w:t>
      </w:r>
      <w:proofErr w:type="spellStart"/>
      <w:r w:rsidRPr="007A79A7">
        <w:rPr>
          <w:rFonts w:ascii="Times New Roman" w:hAnsi="Times New Roman" w:cs="Times New Roman"/>
          <w:sz w:val="28"/>
          <w:szCs w:val="28"/>
        </w:rPr>
        <w:t>Деньгов</w:t>
      </w:r>
      <w:proofErr w:type="spellEnd"/>
      <w:r w:rsidRPr="007A79A7">
        <w:rPr>
          <w:rFonts w:ascii="Times New Roman" w:hAnsi="Times New Roman" w:cs="Times New Roman"/>
          <w:sz w:val="28"/>
          <w:szCs w:val="28"/>
        </w:rPr>
        <w:t xml:space="preserve"> и Е.П. Мельникова, А.Ф. </w:t>
      </w:r>
      <w:proofErr w:type="spellStart"/>
      <w:r w:rsidRPr="007A79A7">
        <w:rPr>
          <w:rFonts w:ascii="Times New Roman" w:hAnsi="Times New Roman" w:cs="Times New Roman"/>
          <w:sz w:val="28"/>
          <w:szCs w:val="28"/>
        </w:rPr>
        <w:t>Московцева</w:t>
      </w:r>
      <w:proofErr w:type="spellEnd"/>
      <w:r w:rsidRPr="007A79A7">
        <w:rPr>
          <w:rFonts w:ascii="Times New Roman" w:hAnsi="Times New Roman" w:cs="Times New Roman"/>
          <w:sz w:val="28"/>
          <w:szCs w:val="28"/>
        </w:rPr>
        <w:t xml:space="preserve"> и А.А. </w:t>
      </w:r>
      <w:proofErr w:type="spellStart"/>
      <w:r w:rsidRPr="007A79A7">
        <w:rPr>
          <w:rFonts w:ascii="Times New Roman" w:hAnsi="Times New Roman" w:cs="Times New Roman"/>
          <w:sz w:val="28"/>
          <w:szCs w:val="28"/>
        </w:rPr>
        <w:t>Луцкович</w:t>
      </w:r>
      <w:proofErr w:type="spellEnd"/>
      <w:r w:rsidRPr="007A79A7">
        <w:rPr>
          <w:rFonts w:ascii="Times New Roman" w:hAnsi="Times New Roman" w:cs="Times New Roman"/>
          <w:sz w:val="28"/>
          <w:szCs w:val="28"/>
        </w:rPr>
        <w:t>, А.П. Пантелеева, Е.Л. Прокопьева.</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lastRenderedPageBreak/>
        <w:t>Отметим, что по своим потребительским свойствам, страхование жизни не имеет четких границ и присоединяется к личному страхованию, и к услугам финансовых институтов (банки и пенсионные фонды).</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Так, в правовых актах, которые регулируют страховую деятельность, законодательной трактовки сущности страхования жизни нет, что порождает множество противоречивых суждений, как у страховщиков, так</w:t>
      </w:r>
      <w:r w:rsidR="007A79A7">
        <w:rPr>
          <w:rFonts w:ascii="Times New Roman" w:hAnsi="Times New Roman" w:cs="Times New Roman"/>
          <w:sz w:val="28"/>
          <w:szCs w:val="28"/>
        </w:rPr>
        <w:t xml:space="preserve"> и получателей страховой </w:t>
      </w:r>
      <w:r w:rsidR="007A79A7" w:rsidRPr="007A79A7">
        <w:rPr>
          <w:rFonts w:ascii="Times New Roman" w:hAnsi="Times New Roman" w:cs="Times New Roman"/>
          <w:sz w:val="28"/>
          <w:szCs w:val="28"/>
        </w:rPr>
        <w:t>услуги</w:t>
      </w:r>
      <w:r w:rsidR="007A79A7">
        <w:rPr>
          <w:rFonts w:ascii="Times New Roman" w:hAnsi="Times New Roman" w:cs="Times New Roman"/>
          <w:sz w:val="28"/>
          <w:szCs w:val="28"/>
        </w:rPr>
        <w:t xml:space="preserve"> </w:t>
      </w:r>
      <w:r w:rsidR="007A79A7" w:rsidRPr="007A79A7">
        <w:rPr>
          <w:rFonts w:ascii="Times New Roman" w:hAnsi="Times New Roman" w:cs="Times New Roman"/>
          <w:color w:val="000000"/>
          <w:sz w:val="28"/>
          <w:szCs w:val="28"/>
        </w:rPr>
        <w:t>[1].</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 xml:space="preserve">Рассмотрев подходы к определению различных авторов, мы выявили, что страхование жизни это совокупный вид личного страхования, при котором возникающие отношения между страховщиком и страхователем, по поводу обеспечения страховой защитой второго в случае смерти, потери здоровья, дожития до определенного срока, оказывают благоприятное воздействие на социально-экономическое развитие страны. </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При этом объектами страхования жизни выступают имущественные интересы, связанны с дожитием граждан до определенного возраста или срока, смерти, либо наступлением иных событий установленных договором. Предметами – жизнь, здоровье, трудоспособность и пенсионное обеспечение застрахованного лица.</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Данный вид страхования является наиболее социально значимым, так как с его помощью возможно покрытие социальных рисков (потеря кормильца, нетрудоспособность, инвалидность, смерть и др.). А также страхование жизни обеспечивает развитие экономики страны, поскольку способно создавать математические страховые резервы, способные трансформироваться в долгосрочные инвестиции [</w:t>
      </w:r>
      <w:r w:rsidR="007A79A7">
        <w:rPr>
          <w:rFonts w:ascii="Times New Roman" w:hAnsi="Times New Roman" w:cs="Times New Roman"/>
          <w:sz w:val="28"/>
          <w:szCs w:val="28"/>
        </w:rPr>
        <w:t>2</w:t>
      </w:r>
      <w:r w:rsidRPr="007A79A7">
        <w:rPr>
          <w:rFonts w:ascii="Times New Roman" w:hAnsi="Times New Roman" w:cs="Times New Roman"/>
          <w:sz w:val="28"/>
          <w:szCs w:val="28"/>
        </w:rPr>
        <w:t>-</w:t>
      </w:r>
      <w:r w:rsidR="007A79A7">
        <w:rPr>
          <w:rFonts w:ascii="Times New Roman" w:hAnsi="Times New Roman" w:cs="Times New Roman"/>
          <w:sz w:val="28"/>
          <w:szCs w:val="28"/>
        </w:rPr>
        <w:t>4</w:t>
      </w:r>
      <w:r w:rsidRPr="007A79A7">
        <w:rPr>
          <w:rFonts w:ascii="Times New Roman" w:hAnsi="Times New Roman" w:cs="Times New Roman"/>
          <w:sz w:val="28"/>
          <w:szCs w:val="28"/>
        </w:rPr>
        <w:t>].</w:t>
      </w:r>
    </w:p>
    <w:p w:rsidR="00CC1103" w:rsidRPr="007A79A7" w:rsidRDefault="00CC1103"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Отметим, что при анализе рыночной ситуации страхования жизни в целом по РФ и ее сравнение с СЗФО</w:t>
      </w:r>
      <w:r w:rsidR="006D21CF" w:rsidRPr="007A79A7">
        <w:rPr>
          <w:rFonts w:ascii="Times New Roman" w:hAnsi="Times New Roman" w:cs="Times New Roman"/>
          <w:sz w:val="28"/>
          <w:szCs w:val="28"/>
        </w:rPr>
        <w:t>, было выявлено, что</w:t>
      </w:r>
      <w:r w:rsidRPr="007A79A7">
        <w:rPr>
          <w:rFonts w:ascii="Times New Roman" w:hAnsi="Times New Roman" w:cs="Times New Roman"/>
          <w:sz w:val="28"/>
          <w:szCs w:val="28"/>
        </w:rPr>
        <w:t xml:space="preserve"> страховые премии и выплаты имеют ежегодную динамику роста, как в РФ, так и в СЗФО, за исключением 2019 года, когда отмечался существенный спад страховых премий. Такая динамика может быть связана с замедлением темпов роста кредитования, которое обязательно сопровождается страхованием жизни. Не </w:t>
      </w:r>
      <w:r w:rsidRPr="007A79A7">
        <w:rPr>
          <w:rFonts w:ascii="Times New Roman" w:hAnsi="Times New Roman" w:cs="Times New Roman"/>
          <w:sz w:val="28"/>
          <w:szCs w:val="28"/>
        </w:rPr>
        <w:lastRenderedPageBreak/>
        <w:t xml:space="preserve">стоит забывать о неблагоприятных общеэкономических тенденций на рынке и непростую ситуацию на самом рынке страхования, связанную с ужесточением контроля за деятельностью страховщиков; отзыве лицензий на осуществление страховой деятельности; общее сокращение страховых компаний и коммерческих банков. Данная ситуация приводит в затруднительное положение и вызывает недоверие граждан к данным финансовым институтам, выводу денежных накопленных средств.   </w:t>
      </w:r>
    </w:p>
    <w:p w:rsidR="006D21CF" w:rsidRPr="007A79A7" w:rsidRDefault="006D21CF" w:rsidP="007A79A7">
      <w:pPr>
        <w:spacing w:after="0" w:line="360" w:lineRule="auto"/>
        <w:ind w:firstLine="851"/>
        <w:jc w:val="both"/>
        <w:rPr>
          <w:rFonts w:ascii="Times New Roman" w:hAnsi="Times New Roman" w:cs="Times New Roman"/>
          <w:color w:val="000000" w:themeColor="text1"/>
          <w:sz w:val="28"/>
          <w:szCs w:val="28"/>
        </w:rPr>
      </w:pPr>
      <w:r w:rsidRPr="007A79A7">
        <w:rPr>
          <w:rFonts w:ascii="Times New Roman" w:hAnsi="Times New Roman" w:cs="Times New Roman"/>
          <w:sz w:val="28"/>
          <w:szCs w:val="28"/>
        </w:rPr>
        <w:t xml:space="preserve">При рассмотрения финансового потенциала рынка страхования были рассчитаны статистические показатели, отражающие убыточность страхования в России и СЗФО (табл.1). Анализ расчетных данных показал, что средний уровень убыточности страховой деятельности  целом низкий. В целом по Российской Федерации он составляет 48,20%, по СЗФО – 43,50%, что </w:t>
      </w:r>
      <w:r w:rsidRPr="007A79A7">
        <w:rPr>
          <w:rFonts w:ascii="Times New Roman" w:hAnsi="Times New Roman" w:cs="Times New Roman"/>
          <w:color w:val="000000" w:themeColor="text1"/>
          <w:sz w:val="28"/>
          <w:szCs w:val="28"/>
        </w:rPr>
        <w:t xml:space="preserve">подтверждает сокращение собираемых премий почти в 2 раза, которые идут на выплаты по договорам страхования. При этом, уровень убыточности страхования жизни по России ниже – 35,16%, по СЗФО практически такой же уровень. Данная тенденция говорит о частично завышенных тарифах, что обусловлено низкой конкуренцией региональных рынков страхования. </w:t>
      </w:r>
    </w:p>
    <w:p w:rsidR="006D21CF" w:rsidRPr="007A79A7" w:rsidRDefault="006D21CF" w:rsidP="007A79A7">
      <w:pPr>
        <w:spacing w:after="0" w:line="360" w:lineRule="auto"/>
        <w:ind w:firstLine="851"/>
        <w:jc w:val="both"/>
        <w:rPr>
          <w:rFonts w:ascii="Times New Roman" w:hAnsi="Times New Roman" w:cs="Times New Roman"/>
          <w:color w:val="FF0000"/>
          <w:sz w:val="28"/>
          <w:szCs w:val="28"/>
        </w:rPr>
      </w:pPr>
      <w:r w:rsidRPr="007A79A7">
        <w:rPr>
          <w:rFonts w:ascii="Times New Roman" w:hAnsi="Times New Roman" w:cs="Times New Roman"/>
          <w:color w:val="000000" w:themeColor="text1"/>
          <w:sz w:val="28"/>
          <w:szCs w:val="28"/>
        </w:rPr>
        <w:t xml:space="preserve">Что касается размаха вариации, который исчисляется как разность между максимальным и минимальным значениями убыточности, то скажем о его необъективности вследствие случайных колебаний в некоторых субъектах страны, таких как Республика Саха с убыточностью в 23,10% и Республика Ингушетия - 152,09%;  Ленинградской области с убыточностью по страхованию жизни – 12,38%, Ненецкий автономный округ – 154,7%. Данный разброс говорит о практическом отсутствии единого механизма ценообразования страхования жизни, в то время как в других рисковых видах страхования он более и менее установился. </w:t>
      </w:r>
    </w:p>
    <w:p w:rsidR="006D21CF" w:rsidRPr="007A79A7" w:rsidRDefault="006D21CF" w:rsidP="007A79A7">
      <w:pPr>
        <w:spacing w:after="0" w:line="360" w:lineRule="auto"/>
        <w:jc w:val="both"/>
        <w:rPr>
          <w:rFonts w:ascii="Times New Roman" w:hAnsi="Times New Roman" w:cs="Times New Roman"/>
          <w:i/>
          <w:sz w:val="28"/>
          <w:szCs w:val="28"/>
        </w:rPr>
      </w:pPr>
      <w:r w:rsidRPr="007A79A7">
        <w:rPr>
          <w:rFonts w:ascii="Times New Roman" w:hAnsi="Times New Roman" w:cs="Times New Roman"/>
          <w:sz w:val="28"/>
          <w:szCs w:val="28"/>
        </w:rPr>
        <w:t>Таблица 1</w:t>
      </w:r>
      <w:r w:rsidR="007A79A7" w:rsidRPr="007A79A7">
        <w:rPr>
          <w:rFonts w:ascii="Times New Roman" w:hAnsi="Times New Roman" w:cs="Times New Roman"/>
          <w:sz w:val="28"/>
          <w:szCs w:val="28"/>
        </w:rPr>
        <w:t xml:space="preserve"> - </w:t>
      </w:r>
      <w:r w:rsidRPr="007A79A7">
        <w:rPr>
          <w:rFonts w:ascii="Times New Roman" w:hAnsi="Times New Roman" w:cs="Times New Roman"/>
          <w:sz w:val="28"/>
          <w:szCs w:val="28"/>
        </w:rPr>
        <w:t>Расчет статистических показателей убыточности страховых премий в целом по России и Северо-Западном федеральном округе за 2019 год.</w:t>
      </w:r>
    </w:p>
    <w:tbl>
      <w:tblPr>
        <w:tblW w:w="9442" w:type="dxa"/>
        <w:tblLook w:val="04A0" w:firstRow="1" w:lastRow="0" w:firstColumn="1" w:lastColumn="0" w:noHBand="0" w:noVBand="1"/>
      </w:tblPr>
      <w:tblGrid>
        <w:gridCol w:w="1961"/>
        <w:gridCol w:w="2089"/>
        <w:gridCol w:w="2039"/>
        <w:gridCol w:w="1676"/>
        <w:gridCol w:w="1677"/>
      </w:tblGrid>
      <w:tr w:rsidR="006D21CF" w:rsidRPr="007A79A7" w:rsidTr="00416E81">
        <w:trPr>
          <w:trHeight w:val="293"/>
        </w:trPr>
        <w:tc>
          <w:tcPr>
            <w:tcW w:w="1961"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Показатель</w:t>
            </w:r>
          </w:p>
        </w:tc>
        <w:tc>
          <w:tcPr>
            <w:tcW w:w="4128" w:type="dxa"/>
            <w:gridSpan w:val="2"/>
            <w:tcBorders>
              <w:top w:val="single" w:sz="4" w:space="0" w:color="auto"/>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Страховой рынок</w:t>
            </w:r>
          </w:p>
        </w:tc>
        <w:tc>
          <w:tcPr>
            <w:tcW w:w="3353" w:type="dxa"/>
            <w:gridSpan w:val="2"/>
            <w:tcBorders>
              <w:top w:val="single" w:sz="4" w:space="0" w:color="auto"/>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Рынок страхования жизни</w:t>
            </w:r>
          </w:p>
        </w:tc>
      </w:tr>
      <w:tr w:rsidR="006D21CF" w:rsidRPr="007A79A7" w:rsidTr="00416E81">
        <w:trPr>
          <w:trHeight w:val="498"/>
        </w:trPr>
        <w:tc>
          <w:tcPr>
            <w:tcW w:w="1961" w:type="dxa"/>
            <w:vMerge/>
            <w:tcBorders>
              <w:top w:val="single" w:sz="4" w:space="0" w:color="auto"/>
              <w:left w:val="single" w:sz="4" w:space="0" w:color="auto"/>
              <w:bottom w:val="single" w:sz="4" w:space="0" w:color="000000"/>
              <w:right w:val="single" w:sz="4" w:space="0" w:color="auto"/>
            </w:tcBorders>
            <w:vAlign w:val="center"/>
            <w:hideMark/>
          </w:tcPr>
          <w:p w:rsidR="006D21CF" w:rsidRPr="007A79A7" w:rsidRDefault="006D21CF" w:rsidP="007A79A7">
            <w:pPr>
              <w:spacing w:after="0" w:line="240" w:lineRule="auto"/>
              <w:jc w:val="both"/>
              <w:rPr>
                <w:rFonts w:ascii="Times New Roman" w:eastAsia="Times New Roman" w:hAnsi="Times New Roman" w:cs="Times New Roman"/>
                <w:b/>
                <w:color w:val="000000"/>
                <w:lang w:eastAsia="ru-RU"/>
              </w:rPr>
            </w:pPr>
          </w:p>
        </w:tc>
        <w:tc>
          <w:tcPr>
            <w:tcW w:w="208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РФ</w:t>
            </w:r>
          </w:p>
        </w:tc>
        <w:tc>
          <w:tcPr>
            <w:tcW w:w="203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СЗФО</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РФ</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b/>
                <w:color w:val="000000"/>
                <w:lang w:eastAsia="ru-RU"/>
              </w:rPr>
            </w:pPr>
            <w:r w:rsidRPr="007A79A7">
              <w:rPr>
                <w:rFonts w:ascii="Times New Roman" w:eastAsia="Times New Roman" w:hAnsi="Times New Roman" w:cs="Times New Roman"/>
                <w:b/>
                <w:color w:val="000000"/>
                <w:lang w:eastAsia="ru-RU"/>
              </w:rPr>
              <w:t>СЗФО</w:t>
            </w:r>
          </w:p>
        </w:tc>
      </w:tr>
      <w:tr w:rsidR="006D21CF" w:rsidRPr="007A79A7" w:rsidTr="00416E81">
        <w:trPr>
          <w:trHeight w:val="582"/>
        </w:trPr>
        <w:tc>
          <w:tcPr>
            <w:tcW w:w="1961" w:type="dxa"/>
            <w:tcBorders>
              <w:top w:val="nil"/>
              <w:left w:val="single" w:sz="4" w:space="0" w:color="auto"/>
              <w:bottom w:val="single" w:sz="4" w:space="0" w:color="auto"/>
              <w:right w:val="single" w:sz="4" w:space="0" w:color="auto"/>
            </w:tcBorders>
            <w:shd w:val="clear" w:color="auto" w:fill="auto"/>
            <w:vAlign w:val="center"/>
            <w:hideMark/>
          </w:tcPr>
          <w:p w:rsidR="006D21CF" w:rsidRPr="007A79A7" w:rsidRDefault="006D21CF" w:rsidP="007A79A7">
            <w:pPr>
              <w:spacing w:after="0" w:line="240" w:lineRule="auto"/>
              <w:jc w:val="both"/>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Средний уровень убыточности, %</w:t>
            </w:r>
          </w:p>
        </w:tc>
        <w:tc>
          <w:tcPr>
            <w:tcW w:w="208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48,20</w:t>
            </w:r>
          </w:p>
        </w:tc>
        <w:tc>
          <w:tcPr>
            <w:tcW w:w="203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43,50</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35,16</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42,88</w:t>
            </w:r>
          </w:p>
        </w:tc>
      </w:tr>
      <w:tr w:rsidR="006D21CF" w:rsidRPr="007A79A7" w:rsidTr="00416E81">
        <w:trPr>
          <w:trHeight w:val="397"/>
        </w:trPr>
        <w:tc>
          <w:tcPr>
            <w:tcW w:w="1961" w:type="dxa"/>
            <w:tcBorders>
              <w:top w:val="nil"/>
              <w:left w:val="single" w:sz="4" w:space="0" w:color="auto"/>
              <w:bottom w:val="single" w:sz="4" w:space="0" w:color="auto"/>
              <w:right w:val="single" w:sz="4" w:space="0" w:color="auto"/>
            </w:tcBorders>
            <w:shd w:val="clear" w:color="auto" w:fill="auto"/>
            <w:vAlign w:val="center"/>
            <w:hideMark/>
          </w:tcPr>
          <w:p w:rsidR="006D21CF" w:rsidRPr="007A79A7" w:rsidRDefault="006D21CF" w:rsidP="007A79A7">
            <w:pPr>
              <w:spacing w:after="0" w:line="240" w:lineRule="auto"/>
              <w:jc w:val="both"/>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Размах вариации</w:t>
            </w:r>
          </w:p>
        </w:tc>
        <w:tc>
          <w:tcPr>
            <w:tcW w:w="208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128,99</w:t>
            </w:r>
          </w:p>
        </w:tc>
        <w:tc>
          <w:tcPr>
            <w:tcW w:w="203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28,82</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154,68</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142,33</w:t>
            </w:r>
          </w:p>
        </w:tc>
      </w:tr>
      <w:tr w:rsidR="006D21CF" w:rsidRPr="007A79A7" w:rsidTr="00416E81">
        <w:trPr>
          <w:trHeight w:val="293"/>
        </w:trPr>
        <w:tc>
          <w:tcPr>
            <w:tcW w:w="1961" w:type="dxa"/>
            <w:tcBorders>
              <w:top w:val="nil"/>
              <w:left w:val="single" w:sz="4" w:space="0" w:color="auto"/>
              <w:bottom w:val="single" w:sz="4" w:space="0" w:color="auto"/>
              <w:right w:val="single" w:sz="4" w:space="0" w:color="auto"/>
            </w:tcBorders>
            <w:shd w:val="clear" w:color="auto" w:fill="auto"/>
            <w:vAlign w:val="center"/>
            <w:hideMark/>
          </w:tcPr>
          <w:p w:rsidR="006D21CF" w:rsidRPr="007A79A7" w:rsidRDefault="006D21CF" w:rsidP="007A79A7">
            <w:pPr>
              <w:spacing w:after="0" w:line="240" w:lineRule="auto"/>
              <w:jc w:val="both"/>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Дисперсия</w:t>
            </w:r>
          </w:p>
        </w:tc>
        <w:tc>
          <w:tcPr>
            <w:tcW w:w="208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21,48</w:t>
            </w:r>
          </w:p>
        </w:tc>
        <w:tc>
          <w:tcPr>
            <w:tcW w:w="203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22,27</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15,22</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78,08</w:t>
            </w:r>
          </w:p>
        </w:tc>
      </w:tr>
      <w:tr w:rsidR="006D21CF" w:rsidRPr="007A79A7" w:rsidTr="00416E81">
        <w:trPr>
          <w:trHeight w:val="559"/>
        </w:trPr>
        <w:tc>
          <w:tcPr>
            <w:tcW w:w="1961" w:type="dxa"/>
            <w:tcBorders>
              <w:top w:val="nil"/>
              <w:left w:val="single" w:sz="4" w:space="0" w:color="auto"/>
              <w:bottom w:val="single" w:sz="4" w:space="0" w:color="auto"/>
              <w:right w:val="single" w:sz="4" w:space="0" w:color="auto"/>
            </w:tcBorders>
            <w:shd w:val="clear" w:color="auto" w:fill="auto"/>
            <w:vAlign w:val="center"/>
            <w:hideMark/>
          </w:tcPr>
          <w:p w:rsidR="006D21CF" w:rsidRPr="007A79A7" w:rsidRDefault="006D21CF" w:rsidP="007A79A7">
            <w:pPr>
              <w:spacing w:after="0" w:line="240" w:lineRule="auto"/>
              <w:jc w:val="both"/>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Стандартное отклонение</w:t>
            </w:r>
          </w:p>
        </w:tc>
        <w:tc>
          <w:tcPr>
            <w:tcW w:w="208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4,63</w:t>
            </w:r>
          </w:p>
        </w:tc>
        <w:tc>
          <w:tcPr>
            <w:tcW w:w="203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4,72</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3,90</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8,84</w:t>
            </w:r>
          </w:p>
        </w:tc>
      </w:tr>
      <w:tr w:rsidR="006D21CF" w:rsidRPr="007A79A7" w:rsidTr="00416E81">
        <w:trPr>
          <w:trHeight w:val="586"/>
        </w:trPr>
        <w:tc>
          <w:tcPr>
            <w:tcW w:w="1961" w:type="dxa"/>
            <w:tcBorders>
              <w:top w:val="nil"/>
              <w:left w:val="single" w:sz="4" w:space="0" w:color="auto"/>
              <w:bottom w:val="single" w:sz="4" w:space="0" w:color="auto"/>
              <w:right w:val="single" w:sz="4" w:space="0" w:color="auto"/>
            </w:tcBorders>
            <w:shd w:val="clear" w:color="auto" w:fill="auto"/>
            <w:vAlign w:val="center"/>
            <w:hideMark/>
          </w:tcPr>
          <w:p w:rsidR="006D21CF" w:rsidRPr="007A79A7" w:rsidRDefault="006D21CF" w:rsidP="007A79A7">
            <w:pPr>
              <w:spacing w:after="0" w:line="240" w:lineRule="auto"/>
              <w:jc w:val="both"/>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Коэффициент вариации, %</w:t>
            </w:r>
          </w:p>
        </w:tc>
        <w:tc>
          <w:tcPr>
            <w:tcW w:w="208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6,07</w:t>
            </w:r>
          </w:p>
        </w:tc>
        <w:tc>
          <w:tcPr>
            <w:tcW w:w="2039"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32,95</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7,17</w:t>
            </w:r>
          </w:p>
        </w:tc>
        <w:tc>
          <w:tcPr>
            <w:tcW w:w="1676" w:type="dxa"/>
            <w:tcBorders>
              <w:top w:val="nil"/>
              <w:left w:val="nil"/>
              <w:bottom w:val="single" w:sz="4" w:space="0" w:color="auto"/>
              <w:right w:val="single" w:sz="4" w:space="0" w:color="auto"/>
            </w:tcBorders>
            <w:shd w:val="clear" w:color="auto" w:fill="auto"/>
            <w:noWrap/>
            <w:vAlign w:val="center"/>
            <w:hideMark/>
          </w:tcPr>
          <w:p w:rsidR="006D21CF" w:rsidRPr="007A79A7" w:rsidRDefault="006D21CF" w:rsidP="007A79A7">
            <w:pPr>
              <w:spacing w:after="0" w:line="240" w:lineRule="auto"/>
              <w:jc w:val="center"/>
              <w:rPr>
                <w:rFonts w:ascii="Times New Roman" w:eastAsia="Times New Roman" w:hAnsi="Times New Roman" w:cs="Times New Roman"/>
                <w:color w:val="000000"/>
                <w:lang w:eastAsia="ru-RU"/>
              </w:rPr>
            </w:pPr>
            <w:r w:rsidRPr="007A79A7">
              <w:rPr>
                <w:rFonts w:ascii="Times New Roman" w:eastAsia="Times New Roman" w:hAnsi="Times New Roman" w:cs="Times New Roman"/>
                <w:color w:val="000000"/>
                <w:lang w:eastAsia="ru-RU"/>
              </w:rPr>
              <w:t>51,74</w:t>
            </w:r>
          </w:p>
        </w:tc>
      </w:tr>
    </w:tbl>
    <w:p w:rsidR="006D21CF" w:rsidRPr="007A79A7" w:rsidRDefault="006D21CF" w:rsidP="007A79A7">
      <w:pPr>
        <w:spacing w:after="0" w:line="360" w:lineRule="auto"/>
        <w:jc w:val="both"/>
        <w:rPr>
          <w:rFonts w:ascii="Times New Roman" w:hAnsi="Times New Roman" w:cs="Times New Roman"/>
          <w:sz w:val="28"/>
          <w:szCs w:val="28"/>
        </w:rPr>
      </w:pPr>
    </w:p>
    <w:p w:rsidR="006D21CF" w:rsidRPr="007A79A7" w:rsidRDefault="006D21CF"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 xml:space="preserve">Стандартное отклонение убыточности как  в целом по рынку страхования, так и по СЗФО, менее 10%, отражает степень разброса показателей убыточности относительного среднего значения и сглаживание влияния случайных факторов. </w:t>
      </w:r>
    </w:p>
    <w:p w:rsidR="006D21CF" w:rsidRPr="007A79A7" w:rsidRDefault="006D21CF"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 xml:space="preserve">Если обратиться к рассчитанному коэффициенту вариации, то можем отметить, в целом по страховому рынку совокупность данных является однородной, т.е. средний показатель убыточности объективно отражает ситуацию на рынке. Что нельзя сказать о рынке страхования жизни, в частности СЗФО, где величина данного показателя превышает нормативное значение, подтверждая отсутствие единых тенденций и стоимостных ориентиров данного сектора. </w:t>
      </w:r>
    </w:p>
    <w:p w:rsidR="006D21CF" w:rsidRPr="007A79A7" w:rsidRDefault="006D21CF" w:rsidP="007A79A7">
      <w:pPr>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Подведем итог, выделив основные проблемные моменты развития страхования жизни:</w:t>
      </w:r>
    </w:p>
    <w:p w:rsidR="006D21CF" w:rsidRPr="007A79A7" w:rsidRDefault="006D21CF" w:rsidP="007A79A7">
      <w:pPr>
        <w:pStyle w:val="a5"/>
        <w:numPr>
          <w:ilvl w:val="0"/>
          <w:numId w:val="1"/>
        </w:numPr>
        <w:spacing w:after="0" w:line="360" w:lineRule="auto"/>
        <w:jc w:val="both"/>
        <w:rPr>
          <w:rFonts w:ascii="Times New Roman" w:hAnsi="Times New Roman" w:cs="Times New Roman"/>
          <w:sz w:val="28"/>
          <w:szCs w:val="28"/>
        </w:rPr>
      </w:pPr>
      <w:r w:rsidRPr="007A79A7">
        <w:rPr>
          <w:rFonts w:ascii="Times New Roman" w:hAnsi="Times New Roman" w:cs="Times New Roman"/>
          <w:sz w:val="28"/>
          <w:szCs w:val="28"/>
        </w:rPr>
        <w:t>В Российской Федерации  и ее регионах стабильный спрос на услугу по страхованию жизни – отсутствует. Чаще приобретению данного вида страхования сопутствует оформление договоров других финансовых продуктов, нежели добровольное желание;</w:t>
      </w:r>
    </w:p>
    <w:p w:rsidR="006D21CF" w:rsidRPr="007A79A7" w:rsidRDefault="006D21CF" w:rsidP="007A79A7">
      <w:pPr>
        <w:pStyle w:val="a5"/>
        <w:numPr>
          <w:ilvl w:val="0"/>
          <w:numId w:val="1"/>
        </w:numPr>
        <w:spacing w:after="0" w:line="360" w:lineRule="auto"/>
        <w:jc w:val="both"/>
        <w:rPr>
          <w:rFonts w:ascii="Times New Roman" w:hAnsi="Times New Roman" w:cs="Times New Roman"/>
          <w:sz w:val="28"/>
          <w:szCs w:val="28"/>
        </w:rPr>
      </w:pPr>
      <w:r w:rsidRPr="007A79A7">
        <w:rPr>
          <w:rFonts w:ascii="Times New Roman" w:hAnsi="Times New Roman" w:cs="Times New Roman"/>
          <w:sz w:val="28"/>
          <w:szCs w:val="28"/>
        </w:rPr>
        <w:t>Отсутствие четкой ценовой политики в сфере страхования жизни: нет общих принципов ценообразования, правил формирования тарифной ставки, системы поправочных коэффициентов и др.;</w:t>
      </w:r>
    </w:p>
    <w:p w:rsidR="006D21CF" w:rsidRPr="007A79A7" w:rsidRDefault="006D21CF" w:rsidP="007A79A7">
      <w:pPr>
        <w:pStyle w:val="a5"/>
        <w:numPr>
          <w:ilvl w:val="0"/>
          <w:numId w:val="1"/>
        </w:numPr>
        <w:spacing w:after="0" w:line="360" w:lineRule="auto"/>
        <w:jc w:val="both"/>
        <w:rPr>
          <w:rFonts w:ascii="Times New Roman" w:hAnsi="Times New Roman" w:cs="Times New Roman"/>
          <w:sz w:val="28"/>
          <w:szCs w:val="28"/>
        </w:rPr>
      </w:pPr>
      <w:r w:rsidRPr="007A79A7">
        <w:rPr>
          <w:rFonts w:ascii="Times New Roman" w:hAnsi="Times New Roman" w:cs="Times New Roman"/>
          <w:sz w:val="28"/>
          <w:szCs w:val="28"/>
        </w:rPr>
        <w:t>В СЗФО динамика развития и общая ситуация на рынке страхования жизни идентична общероссийскому;</w:t>
      </w:r>
    </w:p>
    <w:p w:rsidR="006D21CF" w:rsidRPr="007A79A7" w:rsidRDefault="006D21CF" w:rsidP="007A79A7">
      <w:pPr>
        <w:pStyle w:val="a5"/>
        <w:numPr>
          <w:ilvl w:val="0"/>
          <w:numId w:val="1"/>
        </w:numPr>
        <w:spacing w:after="0" w:line="360" w:lineRule="auto"/>
        <w:jc w:val="both"/>
        <w:rPr>
          <w:rFonts w:ascii="Times New Roman" w:hAnsi="Times New Roman" w:cs="Times New Roman"/>
          <w:sz w:val="28"/>
          <w:szCs w:val="28"/>
        </w:rPr>
      </w:pPr>
      <w:r w:rsidRPr="007A79A7">
        <w:rPr>
          <w:rFonts w:ascii="Times New Roman" w:hAnsi="Times New Roman" w:cs="Times New Roman"/>
          <w:sz w:val="28"/>
          <w:szCs w:val="28"/>
        </w:rPr>
        <w:lastRenderedPageBreak/>
        <w:t xml:space="preserve">Проведенный анализ статистических показателей показал отсутствие закономерности вариаций убыточности страхования жизни по территориям РФ. Тем не менее, убыточность данного сегмента страхования гораздо ниже, чем в целом по рынку, что говорит о слабой конкуренции отрасли. </w:t>
      </w:r>
    </w:p>
    <w:p w:rsidR="006D21CF" w:rsidRPr="007A79A7" w:rsidRDefault="006D21CF" w:rsidP="007A79A7">
      <w:pPr>
        <w:spacing w:after="0" w:line="360" w:lineRule="auto"/>
        <w:ind w:firstLine="426"/>
        <w:jc w:val="both"/>
        <w:rPr>
          <w:rFonts w:ascii="Times New Roman" w:hAnsi="Times New Roman" w:cs="Times New Roman"/>
          <w:sz w:val="28"/>
          <w:szCs w:val="28"/>
        </w:rPr>
      </w:pPr>
      <w:r w:rsidRPr="007A79A7">
        <w:rPr>
          <w:rFonts w:ascii="Times New Roman" w:hAnsi="Times New Roman" w:cs="Times New Roman"/>
          <w:sz w:val="28"/>
          <w:szCs w:val="28"/>
        </w:rPr>
        <w:t xml:space="preserve">Учитывая вышеперечисленное и сложившуюся ситуацию на рынке страхования и общеэкономические тенденции, предположим неэффективное развитие страхование жизни на ближайшие несколько лет. Тем не менее, страхование жизни имеет потенциал для повышения финансовой защищенности и культуры сбережений; снижения зависимости от государства в отношении пенсионного и социального обеспечения; создания существенного количества рабочих мест; прямого и косвенного увеличение налоговых поступлений в бюджет РФ. Поэтому предотвращение обозначенных моментов, тормозящих развитие рынка страхования жизни, некоторые изменения в  законодательной базе, по поводу конкретизации и уточнения понятийных аспектов, а также реализация потенциала страхования жизни позволили бы выйти данному виду страховой деятельности на новый этап по достижению социально-экономического развития страны и ее отдельных регионов. </w:t>
      </w:r>
    </w:p>
    <w:p w:rsidR="006D21CF" w:rsidRPr="007A79A7" w:rsidRDefault="006D21CF" w:rsidP="007A79A7">
      <w:pPr>
        <w:spacing w:after="0" w:line="360" w:lineRule="auto"/>
        <w:jc w:val="both"/>
        <w:rPr>
          <w:rFonts w:ascii="Times New Roman" w:hAnsi="Times New Roman" w:cs="Times New Roman"/>
          <w:sz w:val="28"/>
          <w:szCs w:val="28"/>
        </w:rPr>
      </w:pPr>
    </w:p>
    <w:p w:rsidR="006D21CF" w:rsidRPr="007A79A7" w:rsidRDefault="007A79A7" w:rsidP="007A79A7">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Библиографический список</w:t>
      </w:r>
    </w:p>
    <w:p w:rsidR="006D21CF" w:rsidRPr="007A79A7" w:rsidRDefault="006D21CF" w:rsidP="007A79A7">
      <w:pPr>
        <w:pStyle w:val="a5"/>
        <w:numPr>
          <w:ilvl w:val="0"/>
          <w:numId w:val="2"/>
        </w:numPr>
        <w:spacing w:after="0" w:line="360" w:lineRule="auto"/>
        <w:jc w:val="both"/>
        <w:rPr>
          <w:rFonts w:ascii="Times New Roman" w:hAnsi="Times New Roman" w:cs="Times New Roman"/>
          <w:sz w:val="28"/>
          <w:szCs w:val="28"/>
        </w:rPr>
      </w:pPr>
      <w:bookmarkStart w:id="0" w:name="_Ref46320121"/>
      <w:r w:rsidRPr="007A79A7">
        <w:rPr>
          <w:rFonts w:ascii="Times New Roman" w:hAnsi="Times New Roman" w:cs="Times New Roman"/>
          <w:i/>
          <w:color w:val="000000"/>
          <w:sz w:val="28"/>
          <w:szCs w:val="28"/>
        </w:rPr>
        <w:t xml:space="preserve">Васильева, Т.С. </w:t>
      </w:r>
      <w:r w:rsidRPr="007A79A7">
        <w:rPr>
          <w:rFonts w:ascii="Times New Roman" w:hAnsi="Times New Roman" w:cs="Times New Roman"/>
          <w:color w:val="000000"/>
          <w:sz w:val="28"/>
          <w:szCs w:val="28"/>
        </w:rPr>
        <w:t xml:space="preserve">Актуальные вопросы развития регионального рынка страхования и его роль в экономике /Т.С. Васильева // Проблемы развития территории. </w:t>
      </w:r>
      <w:r w:rsidRPr="007A79A7">
        <w:rPr>
          <w:rFonts w:ascii="Times New Roman" w:hAnsi="Times New Roman" w:cs="Times New Roman"/>
          <w:sz w:val="28"/>
          <w:szCs w:val="28"/>
        </w:rPr>
        <w:t xml:space="preserve">– </w:t>
      </w:r>
      <w:r w:rsidRPr="007A79A7">
        <w:rPr>
          <w:rFonts w:ascii="Times New Roman" w:hAnsi="Times New Roman" w:cs="Times New Roman"/>
          <w:color w:val="000000"/>
          <w:sz w:val="28"/>
          <w:szCs w:val="28"/>
        </w:rPr>
        <w:t xml:space="preserve">2020 </w:t>
      </w:r>
      <w:r w:rsidRPr="007A79A7">
        <w:rPr>
          <w:rFonts w:ascii="Times New Roman" w:hAnsi="Times New Roman" w:cs="Times New Roman"/>
          <w:sz w:val="28"/>
          <w:szCs w:val="28"/>
        </w:rPr>
        <w:t xml:space="preserve">– </w:t>
      </w:r>
      <w:r w:rsidRPr="007A79A7">
        <w:rPr>
          <w:rFonts w:ascii="Times New Roman" w:hAnsi="Times New Roman" w:cs="Times New Roman"/>
          <w:color w:val="000000"/>
          <w:sz w:val="28"/>
          <w:szCs w:val="28"/>
        </w:rPr>
        <w:t xml:space="preserve">№ 3 (107). </w:t>
      </w:r>
      <w:r w:rsidRPr="007A79A7">
        <w:rPr>
          <w:rFonts w:ascii="Times New Roman" w:hAnsi="Times New Roman" w:cs="Times New Roman"/>
          <w:sz w:val="28"/>
          <w:szCs w:val="28"/>
        </w:rPr>
        <w:t xml:space="preserve">– </w:t>
      </w:r>
      <w:r w:rsidRPr="007A79A7">
        <w:rPr>
          <w:rFonts w:ascii="Times New Roman" w:hAnsi="Times New Roman" w:cs="Times New Roman"/>
          <w:color w:val="000000"/>
          <w:sz w:val="28"/>
          <w:szCs w:val="28"/>
        </w:rPr>
        <w:t>С. 103–115. DOI: 10.15838/ptd.2020.3.107.7</w:t>
      </w:r>
      <w:bookmarkEnd w:id="0"/>
    </w:p>
    <w:p w:rsidR="006D21CF" w:rsidRPr="007A79A7" w:rsidRDefault="006D21CF" w:rsidP="007A79A7">
      <w:pPr>
        <w:pStyle w:val="a5"/>
        <w:numPr>
          <w:ilvl w:val="0"/>
          <w:numId w:val="2"/>
        </w:numPr>
        <w:spacing w:after="0" w:line="360" w:lineRule="auto"/>
        <w:jc w:val="both"/>
        <w:rPr>
          <w:rFonts w:ascii="Times New Roman" w:hAnsi="Times New Roman" w:cs="Times New Roman"/>
          <w:sz w:val="28"/>
          <w:szCs w:val="28"/>
        </w:rPr>
      </w:pPr>
      <w:r w:rsidRPr="007A79A7">
        <w:rPr>
          <w:rFonts w:ascii="Times New Roman" w:hAnsi="Times New Roman" w:cs="Times New Roman"/>
          <w:i/>
          <w:sz w:val="28"/>
          <w:szCs w:val="28"/>
        </w:rPr>
        <w:t>Кузнецова Н. В.</w:t>
      </w:r>
      <w:r w:rsidRPr="007A79A7">
        <w:rPr>
          <w:rFonts w:ascii="Times New Roman" w:hAnsi="Times New Roman" w:cs="Times New Roman"/>
          <w:sz w:val="28"/>
          <w:szCs w:val="28"/>
        </w:rPr>
        <w:t xml:space="preserve"> </w:t>
      </w:r>
      <w:r w:rsidRPr="007A79A7">
        <w:rPr>
          <w:rFonts w:ascii="Times New Roman" w:hAnsi="Times New Roman" w:cs="Times New Roman"/>
          <w:caps/>
          <w:sz w:val="28"/>
          <w:szCs w:val="28"/>
        </w:rPr>
        <w:t>С</w:t>
      </w:r>
      <w:r w:rsidRPr="007A79A7">
        <w:rPr>
          <w:rFonts w:ascii="Times New Roman" w:hAnsi="Times New Roman" w:cs="Times New Roman"/>
          <w:sz w:val="28"/>
          <w:szCs w:val="28"/>
        </w:rPr>
        <w:t>траховая культура как фактор развития страхового рынка // Бизнес. Образование. Право. – 2020. – №1. – С. 272-276.</w:t>
      </w:r>
    </w:p>
    <w:p w:rsidR="006D21CF" w:rsidRPr="007A79A7" w:rsidRDefault="006D21CF" w:rsidP="007A79A7">
      <w:pPr>
        <w:pStyle w:val="a5"/>
        <w:numPr>
          <w:ilvl w:val="0"/>
          <w:numId w:val="2"/>
        </w:numPr>
        <w:spacing w:after="0" w:line="360" w:lineRule="auto"/>
        <w:jc w:val="both"/>
        <w:rPr>
          <w:rFonts w:ascii="Times New Roman" w:hAnsi="Times New Roman" w:cs="Times New Roman"/>
          <w:sz w:val="28"/>
          <w:szCs w:val="28"/>
        </w:rPr>
      </w:pPr>
      <w:r w:rsidRPr="007A79A7">
        <w:rPr>
          <w:rFonts w:ascii="Times New Roman" w:hAnsi="Times New Roman" w:cs="Times New Roman"/>
          <w:i/>
          <w:sz w:val="28"/>
          <w:szCs w:val="28"/>
        </w:rPr>
        <w:t>Красикова Е. М.</w:t>
      </w:r>
      <w:r w:rsidRPr="007A79A7">
        <w:rPr>
          <w:rFonts w:ascii="Times New Roman" w:hAnsi="Times New Roman" w:cs="Times New Roman"/>
          <w:sz w:val="28"/>
          <w:szCs w:val="28"/>
        </w:rPr>
        <w:t xml:space="preserve"> Страховая культура в </w:t>
      </w:r>
      <w:proofErr w:type="spellStart"/>
      <w:r w:rsidRPr="007A79A7">
        <w:rPr>
          <w:rFonts w:ascii="Times New Roman" w:hAnsi="Times New Roman" w:cs="Times New Roman"/>
          <w:sz w:val="28"/>
          <w:szCs w:val="28"/>
        </w:rPr>
        <w:t>Pоссии</w:t>
      </w:r>
      <w:proofErr w:type="spellEnd"/>
      <w:r w:rsidRPr="007A79A7">
        <w:rPr>
          <w:rFonts w:ascii="Times New Roman" w:hAnsi="Times New Roman" w:cs="Times New Roman"/>
          <w:sz w:val="28"/>
          <w:szCs w:val="28"/>
        </w:rPr>
        <w:t>: пути повышения //Аллея науки. – 2018. – № 5 (21). – С. 590-594.</w:t>
      </w:r>
    </w:p>
    <w:p w:rsidR="006D21CF" w:rsidRPr="007A79A7" w:rsidRDefault="006D21CF" w:rsidP="007A79A7">
      <w:pPr>
        <w:pStyle w:val="a5"/>
        <w:numPr>
          <w:ilvl w:val="0"/>
          <w:numId w:val="2"/>
        </w:numPr>
        <w:spacing w:after="0" w:line="360" w:lineRule="auto"/>
        <w:jc w:val="both"/>
        <w:rPr>
          <w:rFonts w:ascii="Times New Roman" w:hAnsi="Times New Roman" w:cs="Times New Roman"/>
          <w:sz w:val="28"/>
          <w:szCs w:val="28"/>
        </w:rPr>
      </w:pPr>
      <w:r w:rsidRPr="007A79A7">
        <w:rPr>
          <w:rFonts w:ascii="Times New Roman" w:hAnsi="Times New Roman" w:cs="Times New Roman"/>
          <w:i/>
          <w:sz w:val="28"/>
          <w:szCs w:val="28"/>
        </w:rPr>
        <w:lastRenderedPageBreak/>
        <w:t>Степанова М.Н.</w:t>
      </w:r>
      <w:r w:rsidRPr="007A79A7">
        <w:rPr>
          <w:rFonts w:ascii="Times New Roman" w:hAnsi="Times New Roman" w:cs="Times New Roman"/>
          <w:sz w:val="28"/>
          <w:szCs w:val="28"/>
        </w:rPr>
        <w:t xml:space="preserve"> Отрицание необходимости страхования потенциальными потребителями страховых услуг: постановка проблемы // Азимут научных исследований: экономика и управление. – 2020. – №2. – С 328-331.</w:t>
      </w:r>
    </w:p>
    <w:p w:rsidR="00CC1103" w:rsidRPr="007A79A7" w:rsidRDefault="00CC1103" w:rsidP="007A79A7">
      <w:pPr>
        <w:spacing w:after="0" w:line="360" w:lineRule="auto"/>
        <w:ind w:firstLine="709"/>
        <w:jc w:val="both"/>
        <w:rPr>
          <w:rFonts w:ascii="Times New Roman" w:hAnsi="Times New Roman" w:cs="Times New Roman"/>
          <w:sz w:val="28"/>
          <w:szCs w:val="28"/>
        </w:rPr>
      </w:pPr>
    </w:p>
    <w:p w:rsidR="007A79A7" w:rsidRPr="007A79A7" w:rsidRDefault="007A79A7" w:rsidP="007A79A7">
      <w:pPr>
        <w:widowControl w:val="0"/>
        <w:spacing w:after="0" w:line="360" w:lineRule="auto"/>
        <w:ind w:firstLine="709"/>
        <w:jc w:val="both"/>
        <w:rPr>
          <w:rFonts w:ascii="Times New Roman" w:hAnsi="Times New Roman" w:cs="Times New Roman"/>
          <w:sz w:val="28"/>
          <w:szCs w:val="28"/>
        </w:rPr>
      </w:pPr>
      <w:r w:rsidRPr="007A79A7">
        <w:rPr>
          <w:rFonts w:ascii="Times New Roman" w:hAnsi="Times New Roman" w:cs="Times New Roman"/>
          <w:sz w:val="28"/>
          <w:szCs w:val="28"/>
        </w:rPr>
        <w:t xml:space="preserve">Васильева Татьяна Сергеевна (Россия, Вологда) – магистрант 2 курса, инженер-исследователь, отдел проблем социально-экономического развития и управления в территориальных системах, Федеральное государственное бюджетное учреждение науки «Вологодский научный центр Российской академии наук», </w:t>
      </w:r>
      <w:r w:rsidRPr="007A79A7">
        <w:rPr>
          <w:rFonts w:ascii="Times New Roman" w:hAnsi="Times New Roman" w:cs="Times New Roman"/>
          <w:sz w:val="28"/>
          <w:szCs w:val="28"/>
          <w:lang w:val="en-US"/>
        </w:rPr>
        <w:t>e</w:t>
      </w:r>
      <w:r w:rsidRPr="007A79A7">
        <w:rPr>
          <w:rFonts w:ascii="Times New Roman" w:hAnsi="Times New Roman" w:cs="Times New Roman"/>
          <w:sz w:val="28"/>
          <w:szCs w:val="28"/>
        </w:rPr>
        <w:t>-</w:t>
      </w:r>
      <w:r w:rsidRPr="007A79A7">
        <w:rPr>
          <w:rFonts w:ascii="Times New Roman" w:hAnsi="Times New Roman" w:cs="Times New Roman"/>
          <w:sz w:val="28"/>
          <w:szCs w:val="28"/>
          <w:lang w:val="en-US"/>
        </w:rPr>
        <w:t>mail</w:t>
      </w:r>
      <w:r w:rsidRPr="007A79A7">
        <w:rPr>
          <w:rFonts w:ascii="Times New Roman" w:hAnsi="Times New Roman" w:cs="Times New Roman"/>
          <w:sz w:val="28"/>
          <w:szCs w:val="28"/>
        </w:rPr>
        <w:t xml:space="preserve">: </w:t>
      </w:r>
      <w:hyperlink r:id="rId6" w:history="1">
        <w:r w:rsidRPr="007A79A7">
          <w:rPr>
            <w:rStyle w:val="a6"/>
            <w:rFonts w:ascii="Times New Roman" w:hAnsi="Times New Roman" w:cs="Times New Roman"/>
            <w:color w:val="auto"/>
            <w:sz w:val="28"/>
            <w:szCs w:val="28"/>
            <w:u w:val="none"/>
            <w:lang w:val="en-US"/>
          </w:rPr>
          <w:t>vasilievats</w:t>
        </w:r>
        <w:r w:rsidRPr="007A79A7">
          <w:rPr>
            <w:rStyle w:val="a6"/>
            <w:rFonts w:ascii="Times New Roman" w:hAnsi="Times New Roman" w:cs="Times New Roman"/>
            <w:color w:val="auto"/>
            <w:sz w:val="28"/>
            <w:szCs w:val="28"/>
            <w:u w:val="none"/>
          </w:rPr>
          <w:t>@</w:t>
        </w:r>
        <w:r w:rsidRPr="007A79A7">
          <w:rPr>
            <w:rStyle w:val="a6"/>
            <w:rFonts w:ascii="Times New Roman" w:hAnsi="Times New Roman" w:cs="Times New Roman"/>
            <w:color w:val="auto"/>
            <w:sz w:val="28"/>
            <w:szCs w:val="28"/>
            <w:u w:val="none"/>
            <w:lang w:val="en-US"/>
          </w:rPr>
          <w:t>mail</w:t>
        </w:r>
        <w:r w:rsidRPr="007A79A7">
          <w:rPr>
            <w:rStyle w:val="a6"/>
            <w:rFonts w:ascii="Times New Roman" w:hAnsi="Times New Roman" w:cs="Times New Roman"/>
            <w:color w:val="auto"/>
            <w:sz w:val="28"/>
            <w:szCs w:val="28"/>
            <w:u w:val="none"/>
          </w:rPr>
          <w:t>.</w:t>
        </w:r>
        <w:proofErr w:type="spellStart"/>
        <w:r w:rsidRPr="007A79A7">
          <w:rPr>
            <w:rStyle w:val="a6"/>
            <w:rFonts w:ascii="Times New Roman" w:hAnsi="Times New Roman" w:cs="Times New Roman"/>
            <w:color w:val="auto"/>
            <w:sz w:val="28"/>
            <w:szCs w:val="28"/>
            <w:u w:val="none"/>
            <w:lang w:val="en-US"/>
          </w:rPr>
          <w:t>ru</w:t>
        </w:r>
        <w:proofErr w:type="spellEnd"/>
      </w:hyperlink>
      <w:r w:rsidRPr="007A79A7">
        <w:rPr>
          <w:rFonts w:ascii="Times New Roman" w:hAnsi="Times New Roman" w:cs="Times New Roman"/>
          <w:sz w:val="28"/>
          <w:szCs w:val="28"/>
        </w:rPr>
        <w:t>, +7(8172) 59-78-10.</w:t>
      </w:r>
    </w:p>
    <w:p w:rsidR="00CC1103" w:rsidRDefault="00CC1103" w:rsidP="007A79A7">
      <w:pPr>
        <w:jc w:val="both"/>
        <w:rPr>
          <w:rFonts w:ascii="Times New Roman" w:hAnsi="Times New Roman" w:cs="Times New Roman"/>
        </w:rPr>
      </w:pPr>
    </w:p>
    <w:p w:rsidR="007A79A7" w:rsidRPr="007A79A7" w:rsidRDefault="007A79A7" w:rsidP="007A79A7">
      <w:pPr>
        <w:jc w:val="right"/>
        <w:rPr>
          <w:rFonts w:ascii="Times New Roman" w:hAnsi="Times New Roman" w:cs="Times New Roman"/>
          <w:b/>
          <w:lang w:val="en-US"/>
        </w:rPr>
      </w:pPr>
      <w:proofErr w:type="spellStart"/>
      <w:r w:rsidRPr="007A79A7">
        <w:rPr>
          <w:rFonts w:ascii="Times New Roman" w:hAnsi="Times New Roman" w:cs="Times New Roman"/>
          <w:b/>
          <w:lang w:val="en-US"/>
        </w:rPr>
        <w:t>Vasilyeva</w:t>
      </w:r>
      <w:proofErr w:type="spellEnd"/>
      <w:r w:rsidRPr="007A79A7">
        <w:rPr>
          <w:rFonts w:ascii="Times New Roman" w:hAnsi="Times New Roman" w:cs="Times New Roman"/>
          <w:b/>
          <w:lang w:val="en-US"/>
        </w:rPr>
        <w:t xml:space="preserve"> T. S.</w:t>
      </w:r>
    </w:p>
    <w:p w:rsidR="007A79A7" w:rsidRPr="007A79A7" w:rsidRDefault="007A79A7" w:rsidP="007A79A7">
      <w:pPr>
        <w:jc w:val="center"/>
        <w:rPr>
          <w:rFonts w:ascii="Times New Roman" w:hAnsi="Times New Roman" w:cs="Times New Roman"/>
          <w:b/>
          <w:lang w:val="en-US"/>
        </w:rPr>
      </w:pPr>
      <w:r w:rsidRPr="007A79A7">
        <w:rPr>
          <w:rFonts w:ascii="Times New Roman" w:hAnsi="Times New Roman" w:cs="Times New Roman"/>
          <w:b/>
          <w:lang w:val="en-US"/>
        </w:rPr>
        <w:t>CURRENT ISSUES of LIFE INSURANCE DEVELOPMENT IN the RUSSIAN FEDERATION AND its REGIONS (on the example of the northwestern Federal district)</w:t>
      </w:r>
    </w:p>
    <w:p w:rsidR="007A79A7" w:rsidRPr="007A79A7" w:rsidRDefault="007A79A7" w:rsidP="007A79A7">
      <w:pPr>
        <w:spacing w:after="0" w:line="360" w:lineRule="auto"/>
        <w:ind w:firstLine="709"/>
        <w:jc w:val="both"/>
        <w:rPr>
          <w:rFonts w:ascii="Times New Roman" w:hAnsi="Times New Roman" w:cs="Times New Roman"/>
          <w:i/>
          <w:sz w:val="28"/>
          <w:szCs w:val="28"/>
          <w:lang w:val="en-US"/>
        </w:rPr>
      </w:pPr>
      <w:r w:rsidRPr="007A79A7">
        <w:rPr>
          <w:rFonts w:ascii="Times New Roman" w:hAnsi="Times New Roman" w:cs="Times New Roman"/>
          <w:i/>
          <w:sz w:val="28"/>
          <w:szCs w:val="28"/>
          <w:lang w:val="en-US"/>
        </w:rPr>
        <w:t>Abstract. This paper examines the essence of life insurance, the dynamics of the development of the life insurance market in the Russian Federation and the comparison with the dynamics of the North-Western Federal district. The analysis of statistical indicators of unprofitability of premiums of this type of insurance is carried out, the key problems of development are highlighted.</w:t>
      </w:r>
    </w:p>
    <w:p w:rsidR="007A79A7" w:rsidRPr="008E7DC8" w:rsidRDefault="007A79A7" w:rsidP="007A79A7">
      <w:pPr>
        <w:spacing w:after="0" w:line="360" w:lineRule="auto"/>
        <w:ind w:firstLine="709"/>
        <w:jc w:val="both"/>
        <w:rPr>
          <w:rFonts w:ascii="Times New Roman" w:hAnsi="Times New Roman" w:cs="Times New Roman"/>
          <w:i/>
          <w:sz w:val="28"/>
          <w:szCs w:val="28"/>
          <w:lang w:val="en-US"/>
        </w:rPr>
      </w:pPr>
      <w:r w:rsidRPr="007A79A7">
        <w:rPr>
          <w:rFonts w:ascii="Times New Roman" w:hAnsi="Times New Roman" w:cs="Times New Roman"/>
          <w:i/>
          <w:sz w:val="28"/>
          <w:szCs w:val="28"/>
          <w:lang w:val="en-US"/>
        </w:rPr>
        <w:t>Keywords: insurance, life insurance, region, northwestern Federal district, statistical analysis.</w:t>
      </w:r>
    </w:p>
    <w:p w:rsidR="007A79A7" w:rsidRPr="008E7DC8" w:rsidRDefault="007A79A7" w:rsidP="007A79A7">
      <w:pPr>
        <w:spacing w:after="0" w:line="360" w:lineRule="auto"/>
        <w:ind w:firstLine="709"/>
        <w:jc w:val="both"/>
        <w:rPr>
          <w:rFonts w:ascii="Times New Roman" w:hAnsi="Times New Roman" w:cs="Times New Roman"/>
          <w:i/>
          <w:sz w:val="28"/>
          <w:szCs w:val="28"/>
          <w:lang w:val="en-US"/>
        </w:rPr>
      </w:pPr>
    </w:p>
    <w:p w:rsidR="007A79A7" w:rsidRPr="008E7DC8" w:rsidRDefault="007A79A7" w:rsidP="007A79A7">
      <w:pPr>
        <w:spacing w:after="0" w:line="360" w:lineRule="auto"/>
        <w:ind w:firstLine="709"/>
        <w:jc w:val="both"/>
        <w:rPr>
          <w:rFonts w:ascii="Times New Roman" w:hAnsi="Times New Roman" w:cs="Times New Roman"/>
          <w:i/>
          <w:sz w:val="28"/>
          <w:szCs w:val="28"/>
          <w:lang w:val="en-US"/>
        </w:rPr>
      </w:pPr>
      <w:r w:rsidRPr="007A79A7">
        <w:rPr>
          <w:rFonts w:ascii="Times New Roman" w:hAnsi="Times New Roman" w:cs="Times New Roman"/>
          <w:i/>
          <w:sz w:val="28"/>
          <w:szCs w:val="28"/>
          <w:lang w:val="en-US"/>
        </w:rPr>
        <w:t xml:space="preserve">Tatyana </w:t>
      </w:r>
      <w:proofErr w:type="spellStart"/>
      <w:r w:rsidRPr="007A79A7">
        <w:rPr>
          <w:rFonts w:ascii="Times New Roman" w:hAnsi="Times New Roman" w:cs="Times New Roman"/>
          <w:i/>
          <w:sz w:val="28"/>
          <w:szCs w:val="28"/>
          <w:lang w:val="en-US"/>
        </w:rPr>
        <w:t>Vasilyeva</w:t>
      </w:r>
      <w:proofErr w:type="spellEnd"/>
      <w:r w:rsidRPr="007A79A7">
        <w:rPr>
          <w:rFonts w:ascii="Times New Roman" w:hAnsi="Times New Roman" w:cs="Times New Roman"/>
          <w:i/>
          <w:sz w:val="28"/>
          <w:szCs w:val="28"/>
          <w:lang w:val="en-US"/>
        </w:rPr>
        <w:t xml:space="preserve"> (Vologda, Russia) – 2nd year master's student, research engineer, Department of socio-economic development and management in territorial systems, Federal state budgetary institution of science "Vologda scientific center of the Russian Academy of Sciences", e-mail: vasilievats@mail.ru, +7(8172) 59-78-10.</w:t>
      </w:r>
    </w:p>
    <w:p w:rsidR="007A79A7" w:rsidRPr="007A79A7" w:rsidRDefault="007A79A7" w:rsidP="007A79A7">
      <w:pPr>
        <w:spacing w:line="360" w:lineRule="auto"/>
        <w:jc w:val="center"/>
        <w:rPr>
          <w:rFonts w:ascii="Times New Roman" w:hAnsi="Times New Roman" w:cs="Times New Roman"/>
          <w:b/>
          <w:sz w:val="28"/>
          <w:szCs w:val="28"/>
          <w:lang w:val="en-US"/>
        </w:rPr>
      </w:pPr>
      <w:r w:rsidRPr="007A79A7">
        <w:rPr>
          <w:rFonts w:ascii="Times New Roman" w:hAnsi="Times New Roman" w:cs="Times New Roman"/>
          <w:b/>
          <w:sz w:val="28"/>
          <w:szCs w:val="28"/>
          <w:lang w:val="en-US"/>
        </w:rPr>
        <w:t>References</w:t>
      </w:r>
    </w:p>
    <w:p w:rsidR="007A79A7" w:rsidRPr="007A79A7" w:rsidRDefault="007A79A7" w:rsidP="007A79A7">
      <w:pPr>
        <w:spacing w:after="0" w:line="360" w:lineRule="auto"/>
        <w:ind w:firstLine="709"/>
        <w:jc w:val="both"/>
        <w:rPr>
          <w:rFonts w:ascii="Times New Roman" w:hAnsi="Times New Roman" w:cs="Times New Roman"/>
          <w:sz w:val="28"/>
          <w:szCs w:val="28"/>
          <w:lang w:val="en-US"/>
        </w:rPr>
      </w:pPr>
      <w:r w:rsidRPr="007A79A7">
        <w:rPr>
          <w:rFonts w:ascii="Times New Roman" w:hAnsi="Times New Roman" w:cs="Times New Roman"/>
          <w:i/>
          <w:sz w:val="28"/>
          <w:szCs w:val="28"/>
          <w:lang w:val="en-US"/>
        </w:rPr>
        <w:lastRenderedPageBreak/>
        <w:t xml:space="preserve">1. </w:t>
      </w:r>
      <w:proofErr w:type="spellStart"/>
      <w:r w:rsidRPr="007A79A7">
        <w:rPr>
          <w:rFonts w:ascii="Times New Roman" w:hAnsi="Times New Roman" w:cs="Times New Roman"/>
          <w:sz w:val="28"/>
          <w:szCs w:val="28"/>
          <w:lang w:val="en-US"/>
        </w:rPr>
        <w:t>Vasilyeva</w:t>
      </w:r>
      <w:proofErr w:type="spellEnd"/>
      <w:r w:rsidRPr="007A79A7">
        <w:rPr>
          <w:rFonts w:ascii="Times New Roman" w:hAnsi="Times New Roman" w:cs="Times New Roman"/>
          <w:sz w:val="28"/>
          <w:szCs w:val="28"/>
          <w:lang w:val="en-US"/>
        </w:rPr>
        <w:t xml:space="preserve">, T. S. Topical issues of development of the regional insurance market and its role in the economy /T. S. </w:t>
      </w:r>
      <w:proofErr w:type="spellStart"/>
      <w:r w:rsidRPr="007A79A7">
        <w:rPr>
          <w:rFonts w:ascii="Times New Roman" w:hAnsi="Times New Roman" w:cs="Times New Roman"/>
          <w:sz w:val="28"/>
          <w:szCs w:val="28"/>
          <w:lang w:val="en-US"/>
        </w:rPr>
        <w:t>Vasilyeva</w:t>
      </w:r>
      <w:proofErr w:type="spellEnd"/>
      <w:r w:rsidRPr="007A79A7">
        <w:rPr>
          <w:rFonts w:ascii="Times New Roman" w:hAnsi="Times New Roman" w:cs="Times New Roman"/>
          <w:sz w:val="28"/>
          <w:szCs w:val="28"/>
          <w:lang w:val="en-US"/>
        </w:rPr>
        <w:t xml:space="preserve"> // Problems of territory development. – 2020 – № 3 (107). – Pp. 103-115. DOI: 10.15838/ptd.2020.3.107.7</w:t>
      </w:r>
    </w:p>
    <w:p w:rsidR="007A79A7" w:rsidRPr="007A79A7" w:rsidRDefault="007A79A7" w:rsidP="007A79A7">
      <w:pPr>
        <w:spacing w:after="0" w:line="360" w:lineRule="auto"/>
        <w:ind w:firstLine="709"/>
        <w:jc w:val="both"/>
        <w:rPr>
          <w:rFonts w:ascii="Times New Roman" w:hAnsi="Times New Roman" w:cs="Times New Roman"/>
          <w:sz w:val="28"/>
          <w:szCs w:val="28"/>
          <w:lang w:val="en-US"/>
        </w:rPr>
      </w:pPr>
      <w:r w:rsidRPr="007A79A7">
        <w:rPr>
          <w:rFonts w:ascii="Times New Roman" w:hAnsi="Times New Roman" w:cs="Times New Roman"/>
          <w:sz w:val="28"/>
          <w:szCs w:val="28"/>
          <w:lang w:val="en-US"/>
        </w:rPr>
        <w:t xml:space="preserve">2. Kuznetsova N. V. Insurance culture as a factor in the development of the insurance market. Education. </w:t>
      </w:r>
      <w:proofErr w:type="spellStart"/>
      <w:r w:rsidRPr="007A79A7">
        <w:rPr>
          <w:rFonts w:ascii="Times New Roman" w:hAnsi="Times New Roman" w:cs="Times New Roman"/>
          <w:sz w:val="28"/>
          <w:szCs w:val="28"/>
          <w:lang w:val="en-US"/>
        </w:rPr>
        <w:t>Pravo</w:t>
      </w:r>
      <w:proofErr w:type="spellEnd"/>
      <w:r w:rsidRPr="007A79A7">
        <w:rPr>
          <w:rFonts w:ascii="Times New Roman" w:hAnsi="Times New Roman" w:cs="Times New Roman"/>
          <w:sz w:val="28"/>
          <w:szCs w:val="28"/>
          <w:lang w:val="en-US"/>
        </w:rPr>
        <w:t>. - 2020. - No. 1. - Pp. 272-276</w:t>
      </w:r>
    </w:p>
    <w:p w:rsidR="007A79A7" w:rsidRPr="007A79A7" w:rsidRDefault="007A79A7" w:rsidP="007A79A7">
      <w:pPr>
        <w:spacing w:after="0" w:line="360" w:lineRule="auto"/>
        <w:ind w:firstLine="709"/>
        <w:jc w:val="both"/>
        <w:rPr>
          <w:rFonts w:ascii="Times New Roman" w:hAnsi="Times New Roman" w:cs="Times New Roman"/>
          <w:sz w:val="28"/>
          <w:szCs w:val="28"/>
          <w:lang w:val="en-US"/>
        </w:rPr>
      </w:pPr>
      <w:r w:rsidRPr="007A79A7">
        <w:rPr>
          <w:rFonts w:ascii="Times New Roman" w:hAnsi="Times New Roman" w:cs="Times New Roman"/>
          <w:sz w:val="28"/>
          <w:szCs w:val="28"/>
          <w:lang w:val="en-US"/>
        </w:rPr>
        <w:t xml:space="preserve">3. </w:t>
      </w:r>
      <w:proofErr w:type="spellStart"/>
      <w:r w:rsidRPr="007A79A7">
        <w:rPr>
          <w:rFonts w:ascii="Times New Roman" w:hAnsi="Times New Roman" w:cs="Times New Roman"/>
          <w:sz w:val="28"/>
          <w:szCs w:val="28"/>
          <w:lang w:val="en-US"/>
        </w:rPr>
        <w:t>Krasikova</w:t>
      </w:r>
      <w:proofErr w:type="spellEnd"/>
      <w:r w:rsidRPr="007A79A7">
        <w:rPr>
          <w:rFonts w:ascii="Times New Roman" w:hAnsi="Times New Roman" w:cs="Times New Roman"/>
          <w:sz w:val="28"/>
          <w:szCs w:val="28"/>
          <w:lang w:val="en-US"/>
        </w:rPr>
        <w:t xml:space="preserve"> E. M. Insurance culture in Russia: ways to improve / / Alley of science. – 2018. – № 5 (21). – Pp. 590-594.</w:t>
      </w:r>
    </w:p>
    <w:p w:rsidR="007A79A7" w:rsidRPr="007A79A7" w:rsidRDefault="007A79A7" w:rsidP="007A79A7">
      <w:pPr>
        <w:spacing w:after="0" w:line="360" w:lineRule="auto"/>
        <w:ind w:firstLine="709"/>
        <w:jc w:val="both"/>
        <w:rPr>
          <w:rFonts w:ascii="Times New Roman" w:hAnsi="Times New Roman" w:cs="Times New Roman"/>
          <w:sz w:val="28"/>
          <w:szCs w:val="28"/>
          <w:lang w:val="en-US"/>
        </w:rPr>
      </w:pPr>
      <w:r w:rsidRPr="007A79A7">
        <w:rPr>
          <w:rFonts w:ascii="Times New Roman" w:hAnsi="Times New Roman" w:cs="Times New Roman"/>
          <w:sz w:val="28"/>
          <w:szCs w:val="28"/>
          <w:lang w:val="en-US"/>
        </w:rPr>
        <w:t xml:space="preserve">4. </w:t>
      </w:r>
      <w:proofErr w:type="spellStart"/>
      <w:r w:rsidRPr="007A79A7">
        <w:rPr>
          <w:rFonts w:ascii="Times New Roman" w:hAnsi="Times New Roman" w:cs="Times New Roman"/>
          <w:sz w:val="28"/>
          <w:szCs w:val="28"/>
          <w:lang w:val="en-US"/>
        </w:rPr>
        <w:t>Stepanova</w:t>
      </w:r>
      <w:proofErr w:type="spellEnd"/>
      <w:r w:rsidRPr="007A79A7">
        <w:rPr>
          <w:rFonts w:ascii="Times New Roman" w:hAnsi="Times New Roman" w:cs="Times New Roman"/>
          <w:sz w:val="28"/>
          <w:szCs w:val="28"/>
          <w:lang w:val="en-US"/>
        </w:rPr>
        <w:t xml:space="preserve"> M. N. Negation of the need for insurance by potential consumers of insurance services: problem statement // Azimuth of scientific research: Economic</w:t>
      </w:r>
      <w:bookmarkStart w:id="1" w:name="_GoBack"/>
      <w:bookmarkEnd w:id="1"/>
      <w:r w:rsidRPr="007A79A7">
        <w:rPr>
          <w:rFonts w:ascii="Times New Roman" w:hAnsi="Times New Roman" w:cs="Times New Roman"/>
          <w:sz w:val="28"/>
          <w:szCs w:val="28"/>
          <w:lang w:val="en-US"/>
        </w:rPr>
        <w:t>s and management. - 2020. - №2. - From 328-331.</w:t>
      </w:r>
    </w:p>
    <w:sectPr w:rsidR="007A79A7" w:rsidRPr="007A79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B72384B"/>
    <w:multiLevelType w:val="hybridMultilevel"/>
    <w:tmpl w:val="8B3012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40814F48"/>
    <w:multiLevelType w:val="hybridMultilevel"/>
    <w:tmpl w:val="8AC05B24"/>
    <w:lvl w:ilvl="0" w:tplc="53D80E28">
      <w:start w:val="1"/>
      <w:numFmt w:val="decimal"/>
      <w:lvlText w:val="%1."/>
      <w:lvlJc w:val="left"/>
      <w:pPr>
        <w:ind w:left="0" w:firstLine="709"/>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103"/>
    <w:rsid w:val="006D21CF"/>
    <w:rsid w:val="006E427B"/>
    <w:rsid w:val="007A79A7"/>
    <w:rsid w:val="008E7DC8"/>
    <w:rsid w:val="00CC11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C110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C1103"/>
    <w:rPr>
      <w:rFonts w:ascii="Tahoma" w:hAnsi="Tahoma" w:cs="Tahoma"/>
      <w:sz w:val="16"/>
      <w:szCs w:val="16"/>
    </w:rPr>
  </w:style>
  <w:style w:type="paragraph" w:styleId="a5">
    <w:name w:val="List Paragraph"/>
    <w:basedOn w:val="a"/>
    <w:uiPriority w:val="34"/>
    <w:qFormat/>
    <w:rsid w:val="006D21CF"/>
    <w:pPr>
      <w:ind w:left="720"/>
      <w:contextualSpacing/>
    </w:pPr>
  </w:style>
  <w:style w:type="character" w:styleId="a6">
    <w:name w:val="Hyperlink"/>
    <w:basedOn w:val="a0"/>
    <w:uiPriority w:val="99"/>
    <w:unhideWhenUsed/>
    <w:rsid w:val="007A79A7"/>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C110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C1103"/>
    <w:rPr>
      <w:rFonts w:ascii="Tahoma" w:hAnsi="Tahoma" w:cs="Tahoma"/>
      <w:sz w:val="16"/>
      <w:szCs w:val="16"/>
    </w:rPr>
  </w:style>
  <w:style w:type="paragraph" w:styleId="a5">
    <w:name w:val="List Paragraph"/>
    <w:basedOn w:val="a"/>
    <w:uiPriority w:val="34"/>
    <w:qFormat/>
    <w:rsid w:val="006D21CF"/>
    <w:pPr>
      <w:ind w:left="720"/>
      <w:contextualSpacing/>
    </w:pPr>
  </w:style>
  <w:style w:type="character" w:styleId="a6">
    <w:name w:val="Hyperlink"/>
    <w:basedOn w:val="a0"/>
    <w:uiPriority w:val="99"/>
    <w:unhideWhenUsed/>
    <w:rsid w:val="007A79A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asilievats@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7</Pages>
  <Words>1612</Words>
  <Characters>9193</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Татьяна С. Васильева</dc:creator>
  <cp:lastModifiedBy>Татьяна С. Васильева</cp:lastModifiedBy>
  <cp:revision>2</cp:revision>
  <dcterms:created xsi:type="dcterms:W3CDTF">2020-11-25T06:18:00Z</dcterms:created>
  <dcterms:modified xsi:type="dcterms:W3CDTF">2020-11-25T06:51:00Z</dcterms:modified>
</cp:coreProperties>
</file>