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1CF" w:rsidRPr="006D21CF" w:rsidRDefault="006D21CF" w:rsidP="006D21CF">
      <w:pPr>
        <w:spacing w:after="0" w:line="360" w:lineRule="auto"/>
        <w:ind w:firstLine="709"/>
        <w:rPr>
          <w:rFonts w:ascii="Times New Roman" w:hAnsi="Times New Roman" w:cs="Times New Roman"/>
          <w:b/>
          <w:sz w:val="28"/>
          <w:szCs w:val="28"/>
        </w:rPr>
      </w:pPr>
      <w:r w:rsidRPr="006D21CF">
        <w:rPr>
          <w:rFonts w:ascii="Times New Roman" w:hAnsi="Times New Roman" w:cs="Times New Roman"/>
          <w:b/>
          <w:sz w:val="28"/>
          <w:szCs w:val="28"/>
        </w:rPr>
        <w:t>УДК 368.1    ББК 65.271</w:t>
      </w:r>
    </w:p>
    <w:p w:rsidR="006D21CF" w:rsidRPr="006D21CF" w:rsidRDefault="006D21CF" w:rsidP="006D21CF">
      <w:pPr>
        <w:spacing w:after="0" w:line="360" w:lineRule="auto"/>
        <w:ind w:firstLine="709"/>
        <w:jc w:val="right"/>
        <w:rPr>
          <w:rFonts w:ascii="Times New Roman" w:hAnsi="Times New Roman" w:cs="Times New Roman"/>
          <w:b/>
          <w:sz w:val="28"/>
          <w:szCs w:val="28"/>
        </w:rPr>
      </w:pPr>
      <w:r w:rsidRPr="006D21CF">
        <w:rPr>
          <w:b/>
          <w:sz w:val="28"/>
          <w:szCs w:val="28"/>
        </w:rPr>
        <w:t xml:space="preserve">© </w:t>
      </w:r>
      <w:r w:rsidRPr="006D21CF">
        <w:rPr>
          <w:rFonts w:ascii="Times New Roman" w:hAnsi="Times New Roman" w:cs="Times New Roman"/>
          <w:b/>
          <w:sz w:val="28"/>
          <w:szCs w:val="28"/>
        </w:rPr>
        <w:t>Васильева Т.С.</w:t>
      </w:r>
    </w:p>
    <w:p w:rsidR="006D21CF" w:rsidRDefault="006D21CF" w:rsidP="006D21CF">
      <w:pPr>
        <w:spacing w:after="0" w:line="360" w:lineRule="auto"/>
        <w:jc w:val="center"/>
        <w:rPr>
          <w:rFonts w:ascii="Times New Roman" w:hAnsi="Times New Roman" w:cs="Times New Roman"/>
          <w:sz w:val="28"/>
          <w:szCs w:val="28"/>
        </w:rPr>
      </w:pPr>
    </w:p>
    <w:p w:rsidR="006E427B" w:rsidRPr="006D21CF" w:rsidRDefault="00CC1103" w:rsidP="006D21CF">
      <w:pPr>
        <w:spacing w:after="0" w:line="360" w:lineRule="auto"/>
        <w:jc w:val="center"/>
        <w:rPr>
          <w:rFonts w:ascii="Times New Roman Полужирный" w:hAnsi="Times New Roman Полужирный" w:cs="Times New Roman"/>
          <w:b/>
          <w:caps/>
          <w:sz w:val="28"/>
          <w:szCs w:val="28"/>
        </w:rPr>
      </w:pPr>
      <w:r w:rsidRPr="006D21CF">
        <w:rPr>
          <w:rFonts w:ascii="Times New Roman Полужирный" w:hAnsi="Times New Roman Полужирный" w:cs="Times New Roman"/>
          <w:b/>
          <w:caps/>
          <w:sz w:val="28"/>
          <w:szCs w:val="28"/>
        </w:rPr>
        <w:t>Актуальные вопросы развития страхования жизни</w:t>
      </w:r>
      <w:r w:rsidR="006D21CF" w:rsidRPr="006D21CF">
        <w:rPr>
          <w:rFonts w:ascii="Times New Roman Полужирный" w:hAnsi="Times New Roman Полужирный" w:cs="Times New Roman"/>
          <w:b/>
          <w:caps/>
          <w:sz w:val="28"/>
          <w:szCs w:val="28"/>
        </w:rPr>
        <w:t xml:space="preserve"> в Российской Федерации и ее регионах (на примере СЗФО)</w:t>
      </w:r>
    </w:p>
    <w:p w:rsidR="006D21CF" w:rsidRPr="007A79A7" w:rsidRDefault="006D21CF" w:rsidP="007A79A7">
      <w:pPr>
        <w:spacing w:after="0" w:line="360" w:lineRule="auto"/>
        <w:ind w:firstLine="709"/>
        <w:jc w:val="both"/>
        <w:rPr>
          <w:rFonts w:ascii="Times New Roman" w:hAnsi="Times New Roman" w:cs="Times New Roman"/>
          <w:i/>
          <w:sz w:val="28"/>
          <w:szCs w:val="28"/>
        </w:rPr>
      </w:pPr>
      <w:r w:rsidRPr="007A79A7">
        <w:rPr>
          <w:rFonts w:ascii="Times New Roman" w:hAnsi="Times New Roman" w:cs="Times New Roman"/>
          <w:i/>
          <w:sz w:val="28"/>
          <w:szCs w:val="28"/>
        </w:rPr>
        <w:t xml:space="preserve">Аннотация. </w:t>
      </w:r>
      <w:r w:rsidR="007A79A7">
        <w:rPr>
          <w:rFonts w:ascii="Times New Roman" w:hAnsi="Times New Roman" w:cs="Times New Roman"/>
          <w:i/>
          <w:sz w:val="28"/>
          <w:szCs w:val="28"/>
        </w:rPr>
        <w:t>Д</w:t>
      </w:r>
      <w:r w:rsidRPr="007A79A7">
        <w:rPr>
          <w:rFonts w:ascii="Times New Roman" w:hAnsi="Times New Roman" w:cs="Times New Roman"/>
          <w:i/>
          <w:sz w:val="28"/>
          <w:szCs w:val="28"/>
        </w:rPr>
        <w:t>анная работа рассматривает сущность страхования жизни, динамику развития рынка страхования жизни в Российской Федерации и сравнение с динамикой Северо-западного федерального округа. Проведен анализ статистических показателей убыточности премий данного вида страхования, выделены ключевые проблемы развития.</w:t>
      </w:r>
    </w:p>
    <w:p w:rsidR="006D21CF" w:rsidRPr="007A79A7" w:rsidRDefault="007A79A7" w:rsidP="007A79A7">
      <w:pPr>
        <w:spacing w:after="0" w:line="360" w:lineRule="auto"/>
        <w:ind w:firstLine="709"/>
        <w:jc w:val="both"/>
        <w:rPr>
          <w:rFonts w:ascii="Times New Roman" w:hAnsi="Times New Roman" w:cs="Times New Roman"/>
          <w:i/>
          <w:sz w:val="28"/>
          <w:szCs w:val="28"/>
        </w:rPr>
      </w:pPr>
      <w:r w:rsidRPr="007A79A7">
        <w:rPr>
          <w:rFonts w:ascii="Times New Roman" w:hAnsi="Times New Roman" w:cs="Times New Roman"/>
          <w:i/>
          <w:sz w:val="28"/>
          <w:szCs w:val="28"/>
        </w:rPr>
        <w:t>Ключевые слова: страхование, страхование жизни, регион, СЗФО, статистический анализ.</w:t>
      </w:r>
    </w:p>
    <w:p w:rsidR="00CC1103" w:rsidRPr="007A79A7" w:rsidRDefault="00CC1103" w:rsidP="007A79A7">
      <w:pPr>
        <w:spacing w:after="0" w:line="360" w:lineRule="auto"/>
        <w:ind w:firstLine="709"/>
        <w:jc w:val="both"/>
        <w:rPr>
          <w:rFonts w:ascii="Times New Roman" w:hAnsi="Times New Roman" w:cs="Times New Roman"/>
          <w:sz w:val="28"/>
          <w:szCs w:val="28"/>
        </w:rPr>
      </w:pPr>
      <w:r w:rsidRPr="007A79A7">
        <w:rPr>
          <w:rFonts w:ascii="Times New Roman" w:hAnsi="Times New Roman" w:cs="Times New Roman"/>
          <w:sz w:val="28"/>
          <w:szCs w:val="28"/>
        </w:rPr>
        <w:t>Рынок страхования жизни играет значимую роль, как для экономики страны, так и для ее граждан, поскольку данный вид страхования направлен на социально-экономическое развитие территорий и защиту населения,  посредством организации комплексной системы материального обеспечения при наступлении страховых случаев.</w:t>
      </w:r>
    </w:p>
    <w:p w:rsidR="00CC1103" w:rsidRPr="007A79A7" w:rsidRDefault="00CC1103" w:rsidP="007A79A7">
      <w:pPr>
        <w:spacing w:after="0" w:line="360" w:lineRule="auto"/>
        <w:ind w:firstLine="709"/>
        <w:jc w:val="both"/>
        <w:rPr>
          <w:rFonts w:ascii="Times New Roman" w:hAnsi="Times New Roman" w:cs="Times New Roman"/>
          <w:sz w:val="28"/>
          <w:szCs w:val="28"/>
        </w:rPr>
      </w:pPr>
      <w:r w:rsidRPr="007A79A7">
        <w:rPr>
          <w:rFonts w:ascii="Times New Roman" w:hAnsi="Times New Roman" w:cs="Times New Roman"/>
          <w:sz w:val="28"/>
          <w:szCs w:val="28"/>
        </w:rPr>
        <w:t>Вопросам страхования жизни посвящается множество научных исследовательских работ. Данное внимание, обусловлено тем, что,  во-первых, страхование жизни для экономики страны довольно перспективно, так как оно выступает инструментом ее финансирования. Во-вторых, данный вид страхования является высокорентабельным. Поэтому его развитие наблюдается  целесообразным, как в интересах государства, так и в отдельных субъектах РФ.</w:t>
      </w:r>
    </w:p>
    <w:p w:rsidR="00CC1103" w:rsidRPr="007A79A7" w:rsidRDefault="00CC1103" w:rsidP="007A79A7">
      <w:pPr>
        <w:spacing w:after="0" w:line="360" w:lineRule="auto"/>
        <w:ind w:firstLine="709"/>
        <w:jc w:val="both"/>
        <w:rPr>
          <w:rFonts w:ascii="Times New Roman" w:hAnsi="Times New Roman" w:cs="Times New Roman"/>
          <w:sz w:val="28"/>
          <w:szCs w:val="28"/>
        </w:rPr>
      </w:pPr>
      <w:r w:rsidRPr="007A79A7">
        <w:rPr>
          <w:rFonts w:ascii="Times New Roman" w:hAnsi="Times New Roman" w:cs="Times New Roman"/>
          <w:sz w:val="28"/>
          <w:szCs w:val="28"/>
        </w:rPr>
        <w:t xml:space="preserve">Отметим, наиболее значимые исследовательские работы в области изучения и развития рынка страхования жизни, ими представляются: А.Н. </w:t>
      </w:r>
      <w:proofErr w:type="spellStart"/>
      <w:r w:rsidRPr="007A79A7">
        <w:rPr>
          <w:rFonts w:ascii="Times New Roman" w:hAnsi="Times New Roman" w:cs="Times New Roman"/>
          <w:sz w:val="28"/>
          <w:szCs w:val="28"/>
        </w:rPr>
        <w:t>Муравецкий</w:t>
      </w:r>
      <w:proofErr w:type="spellEnd"/>
      <w:r w:rsidRPr="007A79A7">
        <w:rPr>
          <w:rFonts w:ascii="Times New Roman" w:hAnsi="Times New Roman" w:cs="Times New Roman"/>
          <w:sz w:val="28"/>
          <w:szCs w:val="28"/>
        </w:rPr>
        <w:t xml:space="preserve"> и Ж.А. Полунина, Н.В. Кириллова, С.А. </w:t>
      </w:r>
      <w:proofErr w:type="spellStart"/>
      <w:r w:rsidRPr="007A79A7">
        <w:rPr>
          <w:rFonts w:ascii="Times New Roman" w:hAnsi="Times New Roman" w:cs="Times New Roman"/>
          <w:sz w:val="28"/>
          <w:szCs w:val="28"/>
        </w:rPr>
        <w:t>Анесянц</w:t>
      </w:r>
      <w:proofErr w:type="spellEnd"/>
      <w:r w:rsidRPr="007A79A7">
        <w:rPr>
          <w:rFonts w:ascii="Times New Roman" w:hAnsi="Times New Roman" w:cs="Times New Roman"/>
          <w:sz w:val="28"/>
          <w:szCs w:val="28"/>
        </w:rPr>
        <w:t xml:space="preserve"> и Ж.Н. Карапетян, Т.В. Гончаренко, В.В. </w:t>
      </w:r>
      <w:proofErr w:type="spellStart"/>
      <w:r w:rsidRPr="007A79A7">
        <w:rPr>
          <w:rFonts w:ascii="Times New Roman" w:hAnsi="Times New Roman" w:cs="Times New Roman"/>
          <w:sz w:val="28"/>
          <w:szCs w:val="28"/>
        </w:rPr>
        <w:t>Деньгов</w:t>
      </w:r>
      <w:proofErr w:type="spellEnd"/>
      <w:r w:rsidRPr="007A79A7">
        <w:rPr>
          <w:rFonts w:ascii="Times New Roman" w:hAnsi="Times New Roman" w:cs="Times New Roman"/>
          <w:sz w:val="28"/>
          <w:szCs w:val="28"/>
        </w:rPr>
        <w:t xml:space="preserve"> и Е.П. Мельникова, А.Ф. </w:t>
      </w:r>
      <w:proofErr w:type="spellStart"/>
      <w:r w:rsidRPr="007A79A7">
        <w:rPr>
          <w:rFonts w:ascii="Times New Roman" w:hAnsi="Times New Roman" w:cs="Times New Roman"/>
          <w:sz w:val="28"/>
          <w:szCs w:val="28"/>
        </w:rPr>
        <w:t>Московцева</w:t>
      </w:r>
      <w:proofErr w:type="spellEnd"/>
      <w:r w:rsidRPr="007A79A7">
        <w:rPr>
          <w:rFonts w:ascii="Times New Roman" w:hAnsi="Times New Roman" w:cs="Times New Roman"/>
          <w:sz w:val="28"/>
          <w:szCs w:val="28"/>
        </w:rPr>
        <w:t xml:space="preserve"> и А.А. </w:t>
      </w:r>
      <w:proofErr w:type="spellStart"/>
      <w:r w:rsidRPr="007A79A7">
        <w:rPr>
          <w:rFonts w:ascii="Times New Roman" w:hAnsi="Times New Roman" w:cs="Times New Roman"/>
          <w:sz w:val="28"/>
          <w:szCs w:val="28"/>
        </w:rPr>
        <w:t>Луцкович</w:t>
      </w:r>
      <w:proofErr w:type="spellEnd"/>
      <w:r w:rsidRPr="007A79A7">
        <w:rPr>
          <w:rFonts w:ascii="Times New Roman" w:hAnsi="Times New Roman" w:cs="Times New Roman"/>
          <w:sz w:val="28"/>
          <w:szCs w:val="28"/>
        </w:rPr>
        <w:t>, А.П. Пантелеева, Е.Л. Прокопьева.</w:t>
      </w:r>
    </w:p>
    <w:p w:rsidR="00CC1103" w:rsidRPr="007A79A7" w:rsidRDefault="00CC1103" w:rsidP="007A79A7">
      <w:pPr>
        <w:spacing w:after="0" w:line="360" w:lineRule="auto"/>
        <w:ind w:firstLine="709"/>
        <w:jc w:val="both"/>
        <w:rPr>
          <w:rFonts w:ascii="Times New Roman" w:hAnsi="Times New Roman" w:cs="Times New Roman"/>
          <w:sz w:val="28"/>
          <w:szCs w:val="28"/>
        </w:rPr>
      </w:pPr>
      <w:r w:rsidRPr="007A79A7">
        <w:rPr>
          <w:rFonts w:ascii="Times New Roman" w:hAnsi="Times New Roman" w:cs="Times New Roman"/>
          <w:sz w:val="28"/>
          <w:szCs w:val="28"/>
        </w:rPr>
        <w:lastRenderedPageBreak/>
        <w:t>Отметим, что по своим потребительским свойствам, страхование жизни не имеет четких границ и присоединяется к личному страхованию, и к услугам финансовых институтов (банки и пенсионные фонды).</w:t>
      </w:r>
    </w:p>
    <w:p w:rsidR="00CC1103" w:rsidRPr="007A79A7" w:rsidRDefault="00CC1103" w:rsidP="007A79A7">
      <w:pPr>
        <w:spacing w:after="0" w:line="360" w:lineRule="auto"/>
        <w:ind w:firstLine="709"/>
        <w:jc w:val="both"/>
        <w:rPr>
          <w:rFonts w:ascii="Times New Roman" w:hAnsi="Times New Roman" w:cs="Times New Roman"/>
          <w:sz w:val="28"/>
          <w:szCs w:val="28"/>
        </w:rPr>
      </w:pPr>
      <w:r w:rsidRPr="007A79A7">
        <w:rPr>
          <w:rFonts w:ascii="Times New Roman" w:hAnsi="Times New Roman" w:cs="Times New Roman"/>
          <w:sz w:val="28"/>
          <w:szCs w:val="28"/>
        </w:rPr>
        <w:t>Так, в правовых актах, которые регулируют страховую деятельность, законодательной трактовки сущности страхования жизни нет, что порождает множество противоречивых суждений, как у страховщиков, так</w:t>
      </w:r>
      <w:r w:rsidR="007A79A7">
        <w:rPr>
          <w:rFonts w:ascii="Times New Roman" w:hAnsi="Times New Roman" w:cs="Times New Roman"/>
          <w:sz w:val="28"/>
          <w:szCs w:val="28"/>
        </w:rPr>
        <w:t xml:space="preserve"> и получателей страховой </w:t>
      </w:r>
      <w:r w:rsidR="007A79A7" w:rsidRPr="007A79A7">
        <w:rPr>
          <w:rFonts w:ascii="Times New Roman" w:hAnsi="Times New Roman" w:cs="Times New Roman"/>
          <w:sz w:val="28"/>
          <w:szCs w:val="28"/>
        </w:rPr>
        <w:t>услуги</w:t>
      </w:r>
      <w:r w:rsidR="007A79A7">
        <w:rPr>
          <w:rFonts w:ascii="Times New Roman" w:hAnsi="Times New Roman" w:cs="Times New Roman"/>
          <w:sz w:val="28"/>
          <w:szCs w:val="28"/>
        </w:rPr>
        <w:t xml:space="preserve"> </w:t>
      </w:r>
      <w:r w:rsidR="007A79A7" w:rsidRPr="007A79A7">
        <w:rPr>
          <w:rFonts w:ascii="Times New Roman" w:hAnsi="Times New Roman" w:cs="Times New Roman"/>
          <w:color w:val="000000"/>
          <w:sz w:val="28"/>
          <w:szCs w:val="28"/>
        </w:rPr>
        <w:t>[1].</w:t>
      </w:r>
    </w:p>
    <w:p w:rsidR="00CC1103" w:rsidRPr="007A79A7" w:rsidRDefault="00CC1103" w:rsidP="007A79A7">
      <w:pPr>
        <w:spacing w:after="0" w:line="360" w:lineRule="auto"/>
        <w:ind w:firstLine="709"/>
        <w:jc w:val="both"/>
        <w:rPr>
          <w:rFonts w:ascii="Times New Roman" w:hAnsi="Times New Roman" w:cs="Times New Roman"/>
          <w:sz w:val="28"/>
          <w:szCs w:val="28"/>
        </w:rPr>
      </w:pPr>
      <w:r w:rsidRPr="007A79A7">
        <w:rPr>
          <w:rFonts w:ascii="Times New Roman" w:hAnsi="Times New Roman" w:cs="Times New Roman"/>
          <w:sz w:val="28"/>
          <w:szCs w:val="28"/>
        </w:rPr>
        <w:t xml:space="preserve">Рассмотрев подходы к определению различных авторов, мы выявили, что страхование жизни это совокупный вид личного страхования, при котором возникающие отношения между страховщиком и страхователем, по поводу обеспечения страховой защитой второго в случае смерти, потери здоровья, дожития до определенного срока, оказывают благоприятное воздействие на социально-экономическое развитие страны. </w:t>
      </w:r>
    </w:p>
    <w:p w:rsidR="00CC1103" w:rsidRPr="007A79A7" w:rsidRDefault="00CC1103" w:rsidP="007A79A7">
      <w:pPr>
        <w:spacing w:after="0" w:line="360" w:lineRule="auto"/>
        <w:ind w:firstLine="709"/>
        <w:jc w:val="both"/>
        <w:rPr>
          <w:rFonts w:ascii="Times New Roman" w:hAnsi="Times New Roman" w:cs="Times New Roman"/>
          <w:sz w:val="28"/>
          <w:szCs w:val="28"/>
        </w:rPr>
      </w:pPr>
      <w:r w:rsidRPr="007A79A7">
        <w:rPr>
          <w:rFonts w:ascii="Times New Roman" w:hAnsi="Times New Roman" w:cs="Times New Roman"/>
          <w:sz w:val="28"/>
          <w:szCs w:val="28"/>
        </w:rPr>
        <w:t>При этом объектами страхования жизни выступают имущественные интересы, связанны с дожитием граждан до определенного возраста или срока, смерти, либо наступлением иных событий установленных договором. Предметами – жизнь, здоровье, трудоспособность и пенсионное обеспечение застрахованного лица.</w:t>
      </w:r>
    </w:p>
    <w:p w:rsidR="00CC1103" w:rsidRPr="007A79A7" w:rsidRDefault="00CC1103" w:rsidP="007A79A7">
      <w:pPr>
        <w:spacing w:after="0" w:line="360" w:lineRule="auto"/>
        <w:ind w:firstLine="709"/>
        <w:jc w:val="both"/>
        <w:rPr>
          <w:rFonts w:ascii="Times New Roman" w:hAnsi="Times New Roman" w:cs="Times New Roman"/>
          <w:sz w:val="28"/>
          <w:szCs w:val="28"/>
        </w:rPr>
      </w:pPr>
      <w:r w:rsidRPr="007A79A7">
        <w:rPr>
          <w:rFonts w:ascii="Times New Roman" w:hAnsi="Times New Roman" w:cs="Times New Roman"/>
          <w:sz w:val="28"/>
          <w:szCs w:val="28"/>
        </w:rPr>
        <w:t>Данный вид страхования является наиболее социально значимым, так как с его помощью возможно покрытие социальных рисков (потеря кормильца, нетрудоспособность, инвалидность, смерть и др.). А также страхование жизни обеспечивает развитие экономики страны, поскольку способно создавать математические страховые резервы, способные трансформироваться в долгосрочные инвестиции [</w:t>
      </w:r>
      <w:r w:rsidR="007A79A7">
        <w:rPr>
          <w:rFonts w:ascii="Times New Roman" w:hAnsi="Times New Roman" w:cs="Times New Roman"/>
          <w:sz w:val="28"/>
          <w:szCs w:val="28"/>
        </w:rPr>
        <w:t>2</w:t>
      </w:r>
      <w:r w:rsidRPr="007A79A7">
        <w:rPr>
          <w:rFonts w:ascii="Times New Roman" w:hAnsi="Times New Roman" w:cs="Times New Roman"/>
          <w:sz w:val="28"/>
          <w:szCs w:val="28"/>
        </w:rPr>
        <w:t>-</w:t>
      </w:r>
      <w:r w:rsidR="007A79A7">
        <w:rPr>
          <w:rFonts w:ascii="Times New Roman" w:hAnsi="Times New Roman" w:cs="Times New Roman"/>
          <w:sz w:val="28"/>
          <w:szCs w:val="28"/>
        </w:rPr>
        <w:t>4</w:t>
      </w:r>
      <w:r w:rsidRPr="007A79A7">
        <w:rPr>
          <w:rFonts w:ascii="Times New Roman" w:hAnsi="Times New Roman" w:cs="Times New Roman"/>
          <w:sz w:val="28"/>
          <w:szCs w:val="28"/>
        </w:rPr>
        <w:t>].</w:t>
      </w:r>
    </w:p>
    <w:p w:rsidR="00CC1103" w:rsidRPr="007A79A7" w:rsidRDefault="00CC1103" w:rsidP="007A79A7">
      <w:pPr>
        <w:spacing w:after="0" w:line="360" w:lineRule="auto"/>
        <w:ind w:firstLine="709"/>
        <w:jc w:val="both"/>
        <w:rPr>
          <w:rFonts w:ascii="Times New Roman" w:hAnsi="Times New Roman" w:cs="Times New Roman"/>
          <w:sz w:val="28"/>
          <w:szCs w:val="28"/>
        </w:rPr>
      </w:pPr>
      <w:r w:rsidRPr="007A79A7">
        <w:rPr>
          <w:rFonts w:ascii="Times New Roman" w:hAnsi="Times New Roman" w:cs="Times New Roman"/>
          <w:sz w:val="28"/>
          <w:szCs w:val="28"/>
        </w:rPr>
        <w:t>Отметим, что при анализе рыночной ситуации страхования жизни в целом по РФ и ее сравнение с СЗФО</w:t>
      </w:r>
      <w:r w:rsidR="006D21CF" w:rsidRPr="007A79A7">
        <w:rPr>
          <w:rFonts w:ascii="Times New Roman" w:hAnsi="Times New Roman" w:cs="Times New Roman"/>
          <w:sz w:val="28"/>
          <w:szCs w:val="28"/>
        </w:rPr>
        <w:t>, было выявлено, что</w:t>
      </w:r>
      <w:r w:rsidRPr="007A79A7">
        <w:rPr>
          <w:rFonts w:ascii="Times New Roman" w:hAnsi="Times New Roman" w:cs="Times New Roman"/>
          <w:sz w:val="28"/>
          <w:szCs w:val="28"/>
        </w:rPr>
        <w:t xml:space="preserve"> страховые премии и выплаты имеют ежегодную динамику роста, как в РФ, так и в СЗФО, за исключением 2019 года, когда отмечался существенный спад страховых премий. Такая динамика может быть связана с замедлением темпов роста кредитования, которое обязательно сопровождается страхованием жизни. Не </w:t>
      </w:r>
      <w:r w:rsidRPr="007A79A7">
        <w:rPr>
          <w:rFonts w:ascii="Times New Roman" w:hAnsi="Times New Roman" w:cs="Times New Roman"/>
          <w:sz w:val="28"/>
          <w:szCs w:val="28"/>
        </w:rPr>
        <w:lastRenderedPageBreak/>
        <w:t xml:space="preserve">стоит забывать о неблагоприятных общеэкономических тенденций на рынке и непростую ситуацию на самом рынке страхования, связанную с ужесточением контроля за деятельностью страховщиков; отзыве лицензий на осуществление страховой деятельности; общее сокращение страховых компаний и коммерческих банков. Данная ситуация приводит в затруднительное положение и вызывает недоверие граждан к данным финансовым институтам, выводу денежных накопленных средств.   </w:t>
      </w:r>
    </w:p>
    <w:p w:rsidR="006D21CF" w:rsidRPr="007A79A7" w:rsidRDefault="006D21CF" w:rsidP="007A79A7">
      <w:pPr>
        <w:spacing w:after="0" w:line="360" w:lineRule="auto"/>
        <w:ind w:firstLine="851"/>
        <w:jc w:val="both"/>
        <w:rPr>
          <w:rFonts w:ascii="Times New Roman" w:hAnsi="Times New Roman" w:cs="Times New Roman"/>
          <w:color w:val="000000" w:themeColor="text1"/>
          <w:sz w:val="28"/>
          <w:szCs w:val="28"/>
        </w:rPr>
      </w:pPr>
      <w:r w:rsidRPr="007A79A7">
        <w:rPr>
          <w:rFonts w:ascii="Times New Roman" w:hAnsi="Times New Roman" w:cs="Times New Roman"/>
          <w:sz w:val="28"/>
          <w:szCs w:val="28"/>
        </w:rPr>
        <w:t xml:space="preserve">При рассмотрения финансового потенциала рынка страхования были рассчитаны статистические показатели, отражающие убыточность страхования в России и СЗФО (табл.1). Анализ расчетных данных показал, что средний уровень убыточности страховой деятельности  целом низкий. В целом по Российской Федерации он составляет 48,20%, по СЗФО – 43,50%, что </w:t>
      </w:r>
      <w:r w:rsidRPr="007A79A7">
        <w:rPr>
          <w:rFonts w:ascii="Times New Roman" w:hAnsi="Times New Roman" w:cs="Times New Roman"/>
          <w:color w:val="000000" w:themeColor="text1"/>
          <w:sz w:val="28"/>
          <w:szCs w:val="28"/>
        </w:rPr>
        <w:t xml:space="preserve">подтверждает сокращение собираемых премий почти в 2 раза, которые идут на выплаты по договорам страхования. При этом, уровень убыточности страхования жизни по России ниже – 35,16%, по СЗФО практически такой же уровень. Данная тенденция говорит о частично завышенных тарифах, что обусловлено низкой конкуренцией региональных рынков страхования. </w:t>
      </w:r>
    </w:p>
    <w:p w:rsidR="006D21CF" w:rsidRPr="007A79A7" w:rsidRDefault="006D21CF" w:rsidP="007A79A7">
      <w:pPr>
        <w:spacing w:after="0" w:line="360" w:lineRule="auto"/>
        <w:ind w:firstLine="851"/>
        <w:jc w:val="both"/>
        <w:rPr>
          <w:rFonts w:ascii="Times New Roman" w:hAnsi="Times New Roman" w:cs="Times New Roman"/>
          <w:color w:val="FF0000"/>
          <w:sz w:val="28"/>
          <w:szCs w:val="28"/>
        </w:rPr>
      </w:pPr>
      <w:r w:rsidRPr="007A79A7">
        <w:rPr>
          <w:rFonts w:ascii="Times New Roman" w:hAnsi="Times New Roman" w:cs="Times New Roman"/>
          <w:color w:val="000000" w:themeColor="text1"/>
          <w:sz w:val="28"/>
          <w:szCs w:val="28"/>
        </w:rPr>
        <w:t xml:space="preserve">Что касается размаха вариации, который исчисляется как разность между максимальным и минимальным значениями убыточности, то скажем о его необъективности вследствие случайных колебаний в некоторых субъектах страны, таких как Республика Саха с убыточностью в 23,10% и Республика Ингушетия - 152,09%;  Ленинградской области с убыточностью по страхованию жизни – 12,38%, Ненецкий автономный округ – 154,7%. Данный разброс говорит о практическом отсутствии единого механизма ценообразования страхования жизни, в то время как в других рисковых видах страхования он более и менее установился. </w:t>
      </w:r>
    </w:p>
    <w:p w:rsidR="006D21CF" w:rsidRPr="007A79A7" w:rsidRDefault="006D21CF" w:rsidP="007A79A7">
      <w:pPr>
        <w:spacing w:after="0" w:line="360" w:lineRule="auto"/>
        <w:jc w:val="both"/>
        <w:rPr>
          <w:rFonts w:ascii="Times New Roman" w:hAnsi="Times New Roman" w:cs="Times New Roman"/>
          <w:i/>
          <w:sz w:val="28"/>
          <w:szCs w:val="28"/>
        </w:rPr>
      </w:pPr>
      <w:r w:rsidRPr="007A79A7">
        <w:rPr>
          <w:rFonts w:ascii="Times New Roman" w:hAnsi="Times New Roman" w:cs="Times New Roman"/>
          <w:sz w:val="28"/>
          <w:szCs w:val="28"/>
        </w:rPr>
        <w:t>Таблица 1</w:t>
      </w:r>
      <w:r w:rsidR="007A79A7" w:rsidRPr="007A79A7">
        <w:rPr>
          <w:rFonts w:ascii="Times New Roman" w:hAnsi="Times New Roman" w:cs="Times New Roman"/>
          <w:sz w:val="28"/>
          <w:szCs w:val="28"/>
        </w:rPr>
        <w:t xml:space="preserve"> - </w:t>
      </w:r>
      <w:r w:rsidRPr="007A79A7">
        <w:rPr>
          <w:rFonts w:ascii="Times New Roman" w:hAnsi="Times New Roman" w:cs="Times New Roman"/>
          <w:sz w:val="28"/>
          <w:szCs w:val="28"/>
        </w:rPr>
        <w:t>Расчет статистических показателей убыточности страховых премий в целом по России и Северо-Западном федеральном округе за 2019 год.</w:t>
      </w:r>
    </w:p>
    <w:tbl>
      <w:tblPr>
        <w:tblW w:w="9442" w:type="dxa"/>
        <w:tblLook w:val="04A0" w:firstRow="1" w:lastRow="0" w:firstColumn="1" w:lastColumn="0" w:noHBand="0" w:noVBand="1"/>
      </w:tblPr>
      <w:tblGrid>
        <w:gridCol w:w="1961"/>
        <w:gridCol w:w="2089"/>
        <w:gridCol w:w="2039"/>
        <w:gridCol w:w="1676"/>
        <w:gridCol w:w="1677"/>
      </w:tblGrid>
      <w:tr w:rsidR="006D21CF" w:rsidRPr="007A79A7" w:rsidTr="00416E81">
        <w:trPr>
          <w:trHeight w:val="293"/>
        </w:trPr>
        <w:tc>
          <w:tcPr>
            <w:tcW w:w="196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6D21CF" w:rsidRPr="007A79A7" w:rsidRDefault="006D21CF" w:rsidP="007A79A7">
            <w:pPr>
              <w:spacing w:after="0" w:line="240" w:lineRule="auto"/>
              <w:jc w:val="center"/>
              <w:rPr>
                <w:rFonts w:ascii="Times New Roman" w:eastAsia="Times New Roman" w:hAnsi="Times New Roman" w:cs="Times New Roman"/>
                <w:b/>
                <w:color w:val="000000"/>
                <w:lang w:eastAsia="ru-RU"/>
              </w:rPr>
            </w:pPr>
            <w:r w:rsidRPr="007A79A7">
              <w:rPr>
                <w:rFonts w:ascii="Times New Roman" w:eastAsia="Times New Roman" w:hAnsi="Times New Roman" w:cs="Times New Roman"/>
                <w:b/>
                <w:color w:val="000000"/>
                <w:lang w:eastAsia="ru-RU"/>
              </w:rPr>
              <w:t>Показатель</w:t>
            </w:r>
          </w:p>
        </w:tc>
        <w:tc>
          <w:tcPr>
            <w:tcW w:w="4128" w:type="dxa"/>
            <w:gridSpan w:val="2"/>
            <w:tcBorders>
              <w:top w:val="single" w:sz="4" w:space="0" w:color="auto"/>
              <w:left w:val="nil"/>
              <w:bottom w:val="single" w:sz="4" w:space="0" w:color="auto"/>
              <w:right w:val="single" w:sz="4" w:space="0" w:color="auto"/>
            </w:tcBorders>
            <w:shd w:val="clear" w:color="auto" w:fill="auto"/>
            <w:noWrap/>
            <w:vAlign w:val="center"/>
            <w:hideMark/>
          </w:tcPr>
          <w:p w:rsidR="006D21CF" w:rsidRPr="007A79A7" w:rsidRDefault="006D21CF" w:rsidP="007A79A7">
            <w:pPr>
              <w:spacing w:after="0" w:line="240" w:lineRule="auto"/>
              <w:jc w:val="center"/>
              <w:rPr>
                <w:rFonts w:ascii="Times New Roman" w:eastAsia="Times New Roman" w:hAnsi="Times New Roman" w:cs="Times New Roman"/>
                <w:b/>
                <w:color w:val="000000"/>
                <w:lang w:eastAsia="ru-RU"/>
              </w:rPr>
            </w:pPr>
            <w:r w:rsidRPr="007A79A7">
              <w:rPr>
                <w:rFonts w:ascii="Times New Roman" w:eastAsia="Times New Roman" w:hAnsi="Times New Roman" w:cs="Times New Roman"/>
                <w:b/>
                <w:color w:val="000000"/>
                <w:lang w:eastAsia="ru-RU"/>
              </w:rPr>
              <w:t>Страховой рынок</w:t>
            </w:r>
          </w:p>
        </w:tc>
        <w:tc>
          <w:tcPr>
            <w:tcW w:w="3353" w:type="dxa"/>
            <w:gridSpan w:val="2"/>
            <w:tcBorders>
              <w:top w:val="single" w:sz="4" w:space="0" w:color="auto"/>
              <w:left w:val="nil"/>
              <w:bottom w:val="single" w:sz="4" w:space="0" w:color="auto"/>
              <w:right w:val="single" w:sz="4" w:space="0" w:color="auto"/>
            </w:tcBorders>
            <w:shd w:val="clear" w:color="auto" w:fill="auto"/>
            <w:noWrap/>
            <w:vAlign w:val="center"/>
            <w:hideMark/>
          </w:tcPr>
          <w:p w:rsidR="006D21CF" w:rsidRPr="007A79A7" w:rsidRDefault="006D21CF" w:rsidP="007A79A7">
            <w:pPr>
              <w:spacing w:after="0" w:line="240" w:lineRule="auto"/>
              <w:jc w:val="center"/>
              <w:rPr>
                <w:rFonts w:ascii="Times New Roman" w:eastAsia="Times New Roman" w:hAnsi="Times New Roman" w:cs="Times New Roman"/>
                <w:b/>
                <w:color w:val="000000"/>
                <w:lang w:eastAsia="ru-RU"/>
              </w:rPr>
            </w:pPr>
            <w:r w:rsidRPr="007A79A7">
              <w:rPr>
                <w:rFonts w:ascii="Times New Roman" w:eastAsia="Times New Roman" w:hAnsi="Times New Roman" w:cs="Times New Roman"/>
                <w:b/>
                <w:color w:val="000000"/>
                <w:lang w:eastAsia="ru-RU"/>
              </w:rPr>
              <w:t>Рынок страхования жизни</w:t>
            </w:r>
          </w:p>
        </w:tc>
      </w:tr>
      <w:tr w:rsidR="006D21CF" w:rsidRPr="007A79A7" w:rsidTr="00416E81">
        <w:trPr>
          <w:trHeight w:val="498"/>
        </w:trPr>
        <w:tc>
          <w:tcPr>
            <w:tcW w:w="1961" w:type="dxa"/>
            <w:vMerge/>
            <w:tcBorders>
              <w:top w:val="single" w:sz="4" w:space="0" w:color="auto"/>
              <w:left w:val="single" w:sz="4" w:space="0" w:color="auto"/>
              <w:bottom w:val="single" w:sz="4" w:space="0" w:color="000000"/>
              <w:right w:val="single" w:sz="4" w:space="0" w:color="auto"/>
            </w:tcBorders>
            <w:vAlign w:val="center"/>
            <w:hideMark/>
          </w:tcPr>
          <w:p w:rsidR="006D21CF" w:rsidRPr="007A79A7" w:rsidRDefault="006D21CF" w:rsidP="007A79A7">
            <w:pPr>
              <w:spacing w:after="0" w:line="240" w:lineRule="auto"/>
              <w:jc w:val="both"/>
              <w:rPr>
                <w:rFonts w:ascii="Times New Roman" w:eastAsia="Times New Roman" w:hAnsi="Times New Roman" w:cs="Times New Roman"/>
                <w:b/>
                <w:color w:val="000000"/>
                <w:lang w:eastAsia="ru-RU"/>
              </w:rPr>
            </w:pPr>
          </w:p>
        </w:tc>
        <w:tc>
          <w:tcPr>
            <w:tcW w:w="2089" w:type="dxa"/>
            <w:tcBorders>
              <w:top w:val="nil"/>
              <w:left w:val="nil"/>
              <w:bottom w:val="single" w:sz="4" w:space="0" w:color="auto"/>
              <w:right w:val="single" w:sz="4" w:space="0" w:color="auto"/>
            </w:tcBorders>
            <w:shd w:val="clear" w:color="auto" w:fill="auto"/>
            <w:noWrap/>
            <w:vAlign w:val="center"/>
            <w:hideMark/>
          </w:tcPr>
          <w:p w:rsidR="006D21CF" w:rsidRPr="007A79A7" w:rsidRDefault="006D21CF" w:rsidP="007A79A7">
            <w:pPr>
              <w:spacing w:after="0" w:line="240" w:lineRule="auto"/>
              <w:jc w:val="center"/>
              <w:rPr>
                <w:rFonts w:ascii="Times New Roman" w:eastAsia="Times New Roman" w:hAnsi="Times New Roman" w:cs="Times New Roman"/>
                <w:b/>
                <w:color w:val="000000"/>
                <w:lang w:eastAsia="ru-RU"/>
              </w:rPr>
            </w:pPr>
            <w:r w:rsidRPr="007A79A7">
              <w:rPr>
                <w:rFonts w:ascii="Times New Roman" w:eastAsia="Times New Roman" w:hAnsi="Times New Roman" w:cs="Times New Roman"/>
                <w:b/>
                <w:color w:val="000000"/>
                <w:lang w:eastAsia="ru-RU"/>
              </w:rPr>
              <w:t>РФ</w:t>
            </w:r>
          </w:p>
        </w:tc>
        <w:tc>
          <w:tcPr>
            <w:tcW w:w="2039" w:type="dxa"/>
            <w:tcBorders>
              <w:top w:val="nil"/>
              <w:left w:val="nil"/>
              <w:bottom w:val="single" w:sz="4" w:space="0" w:color="auto"/>
              <w:right w:val="single" w:sz="4" w:space="0" w:color="auto"/>
            </w:tcBorders>
            <w:shd w:val="clear" w:color="auto" w:fill="auto"/>
            <w:noWrap/>
            <w:vAlign w:val="center"/>
            <w:hideMark/>
          </w:tcPr>
          <w:p w:rsidR="006D21CF" w:rsidRPr="007A79A7" w:rsidRDefault="006D21CF" w:rsidP="007A79A7">
            <w:pPr>
              <w:spacing w:after="0" w:line="240" w:lineRule="auto"/>
              <w:jc w:val="center"/>
              <w:rPr>
                <w:rFonts w:ascii="Times New Roman" w:eastAsia="Times New Roman" w:hAnsi="Times New Roman" w:cs="Times New Roman"/>
                <w:b/>
                <w:color w:val="000000"/>
                <w:lang w:eastAsia="ru-RU"/>
              </w:rPr>
            </w:pPr>
            <w:r w:rsidRPr="007A79A7">
              <w:rPr>
                <w:rFonts w:ascii="Times New Roman" w:eastAsia="Times New Roman" w:hAnsi="Times New Roman" w:cs="Times New Roman"/>
                <w:b/>
                <w:color w:val="000000"/>
                <w:lang w:eastAsia="ru-RU"/>
              </w:rPr>
              <w:t>СЗФО</w:t>
            </w:r>
          </w:p>
        </w:tc>
        <w:tc>
          <w:tcPr>
            <w:tcW w:w="1676" w:type="dxa"/>
            <w:tcBorders>
              <w:top w:val="nil"/>
              <w:left w:val="nil"/>
              <w:bottom w:val="single" w:sz="4" w:space="0" w:color="auto"/>
              <w:right w:val="single" w:sz="4" w:space="0" w:color="auto"/>
            </w:tcBorders>
            <w:shd w:val="clear" w:color="auto" w:fill="auto"/>
            <w:noWrap/>
            <w:vAlign w:val="center"/>
            <w:hideMark/>
          </w:tcPr>
          <w:p w:rsidR="006D21CF" w:rsidRPr="007A79A7" w:rsidRDefault="006D21CF" w:rsidP="007A79A7">
            <w:pPr>
              <w:spacing w:after="0" w:line="240" w:lineRule="auto"/>
              <w:jc w:val="center"/>
              <w:rPr>
                <w:rFonts w:ascii="Times New Roman" w:eastAsia="Times New Roman" w:hAnsi="Times New Roman" w:cs="Times New Roman"/>
                <w:b/>
                <w:color w:val="000000"/>
                <w:lang w:eastAsia="ru-RU"/>
              </w:rPr>
            </w:pPr>
            <w:r w:rsidRPr="007A79A7">
              <w:rPr>
                <w:rFonts w:ascii="Times New Roman" w:eastAsia="Times New Roman" w:hAnsi="Times New Roman" w:cs="Times New Roman"/>
                <w:b/>
                <w:color w:val="000000"/>
                <w:lang w:eastAsia="ru-RU"/>
              </w:rPr>
              <w:t>РФ</w:t>
            </w:r>
          </w:p>
        </w:tc>
        <w:tc>
          <w:tcPr>
            <w:tcW w:w="1676" w:type="dxa"/>
            <w:tcBorders>
              <w:top w:val="nil"/>
              <w:left w:val="nil"/>
              <w:bottom w:val="single" w:sz="4" w:space="0" w:color="auto"/>
              <w:right w:val="single" w:sz="4" w:space="0" w:color="auto"/>
            </w:tcBorders>
            <w:shd w:val="clear" w:color="auto" w:fill="auto"/>
            <w:noWrap/>
            <w:vAlign w:val="center"/>
            <w:hideMark/>
          </w:tcPr>
          <w:p w:rsidR="006D21CF" w:rsidRPr="007A79A7" w:rsidRDefault="006D21CF" w:rsidP="007A79A7">
            <w:pPr>
              <w:spacing w:after="0" w:line="240" w:lineRule="auto"/>
              <w:jc w:val="center"/>
              <w:rPr>
                <w:rFonts w:ascii="Times New Roman" w:eastAsia="Times New Roman" w:hAnsi="Times New Roman" w:cs="Times New Roman"/>
                <w:b/>
                <w:color w:val="000000"/>
                <w:lang w:eastAsia="ru-RU"/>
              </w:rPr>
            </w:pPr>
            <w:r w:rsidRPr="007A79A7">
              <w:rPr>
                <w:rFonts w:ascii="Times New Roman" w:eastAsia="Times New Roman" w:hAnsi="Times New Roman" w:cs="Times New Roman"/>
                <w:b/>
                <w:color w:val="000000"/>
                <w:lang w:eastAsia="ru-RU"/>
              </w:rPr>
              <w:t>СЗФО</w:t>
            </w:r>
          </w:p>
        </w:tc>
      </w:tr>
      <w:tr w:rsidR="006D21CF" w:rsidRPr="007A79A7" w:rsidTr="00416E81">
        <w:trPr>
          <w:trHeight w:val="582"/>
        </w:trPr>
        <w:tc>
          <w:tcPr>
            <w:tcW w:w="1961" w:type="dxa"/>
            <w:tcBorders>
              <w:top w:val="nil"/>
              <w:left w:val="single" w:sz="4" w:space="0" w:color="auto"/>
              <w:bottom w:val="single" w:sz="4" w:space="0" w:color="auto"/>
              <w:right w:val="single" w:sz="4" w:space="0" w:color="auto"/>
            </w:tcBorders>
            <w:shd w:val="clear" w:color="auto" w:fill="auto"/>
            <w:vAlign w:val="center"/>
            <w:hideMark/>
          </w:tcPr>
          <w:p w:rsidR="006D21CF" w:rsidRPr="007A79A7" w:rsidRDefault="006D21CF" w:rsidP="007A79A7">
            <w:pPr>
              <w:spacing w:after="0" w:line="240" w:lineRule="auto"/>
              <w:jc w:val="both"/>
              <w:rPr>
                <w:rFonts w:ascii="Times New Roman" w:eastAsia="Times New Roman" w:hAnsi="Times New Roman" w:cs="Times New Roman"/>
                <w:color w:val="000000"/>
                <w:lang w:eastAsia="ru-RU"/>
              </w:rPr>
            </w:pPr>
            <w:r w:rsidRPr="007A79A7">
              <w:rPr>
                <w:rFonts w:ascii="Times New Roman" w:eastAsia="Times New Roman" w:hAnsi="Times New Roman" w:cs="Times New Roman"/>
                <w:color w:val="000000"/>
                <w:lang w:eastAsia="ru-RU"/>
              </w:rPr>
              <w:t>Средний уровень убыточности, %</w:t>
            </w:r>
          </w:p>
        </w:tc>
        <w:tc>
          <w:tcPr>
            <w:tcW w:w="2089" w:type="dxa"/>
            <w:tcBorders>
              <w:top w:val="nil"/>
              <w:left w:val="nil"/>
              <w:bottom w:val="single" w:sz="4" w:space="0" w:color="auto"/>
              <w:right w:val="single" w:sz="4" w:space="0" w:color="auto"/>
            </w:tcBorders>
            <w:shd w:val="clear" w:color="auto" w:fill="auto"/>
            <w:noWrap/>
            <w:vAlign w:val="center"/>
            <w:hideMark/>
          </w:tcPr>
          <w:p w:rsidR="006D21CF" w:rsidRPr="007A79A7" w:rsidRDefault="006D21CF" w:rsidP="007A79A7">
            <w:pPr>
              <w:spacing w:after="0" w:line="240" w:lineRule="auto"/>
              <w:jc w:val="center"/>
              <w:rPr>
                <w:rFonts w:ascii="Times New Roman" w:eastAsia="Times New Roman" w:hAnsi="Times New Roman" w:cs="Times New Roman"/>
                <w:color w:val="000000"/>
                <w:lang w:eastAsia="ru-RU"/>
              </w:rPr>
            </w:pPr>
            <w:r w:rsidRPr="007A79A7">
              <w:rPr>
                <w:rFonts w:ascii="Times New Roman" w:eastAsia="Times New Roman" w:hAnsi="Times New Roman" w:cs="Times New Roman"/>
                <w:color w:val="000000"/>
                <w:lang w:eastAsia="ru-RU"/>
              </w:rPr>
              <w:t>48,20</w:t>
            </w:r>
          </w:p>
        </w:tc>
        <w:tc>
          <w:tcPr>
            <w:tcW w:w="2039" w:type="dxa"/>
            <w:tcBorders>
              <w:top w:val="nil"/>
              <w:left w:val="nil"/>
              <w:bottom w:val="single" w:sz="4" w:space="0" w:color="auto"/>
              <w:right w:val="single" w:sz="4" w:space="0" w:color="auto"/>
            </w:tcBorders>
            <w:shd w:val="clear" w:color="auto" w:fill="auto"/>
            <w:noWrap/>
            <w:vAlign w:val="center"/>
            <w:hideMark/>
          </w:tcPr>
          <w:p w:rsidR="006D21CF" w:rsidRPr="007A79A7" w:rsidRDefault="006D21CF" w:rsidP="007A79A7">
            <w:pPr>
              <w:spacing w:after="0" w:line="240" w:lineRule="auto"/>
              <w:jc w:val="center"/>
              <w:rPr>
                <w:rFonts w:ascii="Times New Roman" w:eastAsia="Times New Roman" w:hAnsi="Times New Roman" w:cs="Times New Roman"/>
                <w:color w:val="000000"/>
                <w:lang w:eastAsia="ru-RU"/>
              </w:rPr>
            </w:pPr>
            <w:r w:rsidRPr="007A79A7">
              <w:rPr>
                <w:rFonts w:ascii="Times New Roman" w:eastAsia="Times New Roman" w:hAnsi="Times New Roman" w:cs="Times New Roman"/>
                <w:color w:val="000000"/>
                <w:lang w:eastAsia="ru-RU"/>
              </w:rPr>
              <w:t>43,50</w:t>
            </w:r>
          </w:p>
        </w:tc>
        <w:tc>
          <w:tcPr>
            <w:tcW w:w="1676" w:type="dxa"/>
            <w:tcBorders>
              <w:top w:val="nil"/>
              <w:left w:val="nil"/>
              <w:bottom w:val="single" w:sz="4" w:space="0" w:color="auto"/>
              <w:right w:val="single" w:sz="4" w:space="0" w:color="auto"/>
            </w:tcBorders>
            <w:shd w:val="clear" w:color="auto" w:fill="auto"/>
            <w:noWrap/>
            <w:vAlign w:val="center"/>
            <w:hideMark/>
          </w:tcPr>
          <w:p w:rsidR="006D21CF" w:rsidRPr="007A79A7" w:rsidRDefault="006D21CF" w:rsidP="007A79A7">
            <w:pPr>
              <w:spacing w:after="0" w:line="240" w:lineRule="auto"/>
              <w:jc w:val="center"/>
              <w:rPr>
                <w:rFonts w:ascii="Times New Roman" w:eastAsia="Times New Roman" w:hAnsi="Times New Roman" w:cs="Times New Roman"/>
                <w:color w:val="000000"/>
                <w:lang w:eastAsia="ru-RU"/>
              </w:rPr>
            </w:pPr>
            <w:r w:rsidRPr="007A79A7">
              <w:rPr>
                <w:rFonts w:ascii="Times New Roman" w:eastAsia="Times New Roman" w:hAnsi="Times New Roman" w:cs="Times New Roman"/>
                <w:color w:val="000000"/>
                <w:lang w:eastAsia="ru-RU"/>
              </w:rPr>
              <w:t>35,16</w:t>
            </w:r>
          </w:p>
        </w:tc>
        <w:tc>
          <w:tcPr>
            <w:tcW w:w="1676" w:type="dxa"/>
            <w:tcBorders>
              <w:top w:val="nil"/>
              <w:left w:val="nil"/>
              <w:bottom w:val="single" w:sz="4" w:space="0" w:color="auto"/>
              <w:right w:val="single" w:sz="4" w:space="0" w:color="auto"/>
            </w:tcBorders>
            <w:shd w:val="clear" w:color="auto" w:fill="auto"/>
            <w:noWrap/>
            <w:vAlign w:val="center"/>
            <w:hideMark/>
          </w:tcPr>
          <w:p w:rsidR="006D21CF" w:rsidRPr="007A79A7" w:rsidRDefault="006D21CF" w:rsidP="007A79A7">
            <w:pPr>
              <w:spacing w:after="0" w:line="240" w:lineRule="auto"/>
              <w:jc w:val="center"/>
              <w:rPr>
                <w:rFonts w:ascii="Times New Roman" w:eastAsia="Times New Roman" w:hAnsi="Times New Roman" w:cs="Times New Roman"/>
                <w:color w:val="000000"/>
                <w:lang w:eastAsia="ru-RU"/>
              </w:rPr>
            </w:pPr>
            <w:r w:rsidRPr="007A79A7">
              <w:rPr>
                <w:rFonts w:ascii="Times New Roman" w:eastAsia="Times New Roman" w:hAnsi="Times New Roman" w:cs="Times New Roman"/>
                <w:color w:val="000000"/>
                <w:lang w:eastAsia="ru-RU"/>
              </w:rPr>
              <w:t>42,88</w:t>
            </w:r>
          </w:p>
        </w:tc>
      </w:tr>
      <w:tr w:rsidR="006D21CF" w:rsidRPr="007A79A7" w:rsidTr="00416E81">
        <w:trPr>
          <w:trHeight w:val="397"/>
        </w:trPr>
        <w:tc>
          <w:tcPr>
            <w:tcW w:w="1961" w:type="dxa"/>
            <w:tcBorders>
              <w:top w:val="nil"/>
              <w:left w:val="single" w:sz="4" w:space="0" w:color="auto"/>
              <w:bottom w:val="single" w:sz="4" w:space="0" w:color="auto"/>
              <w:right w:val="single" w:sz="4" w:space="0" w:color="auto"/>
            </w:tcBorders>
            <w:shd w:val="clear" w:color="auto" w:fill="auto"/>
            <w:vAlign w:val="center"/>
            <w:hideMark/>
          </w:tcPr>
          <w:p w:rsidR="006D21CF" w:rsidRPr="007A79A7" w:rsidRDefault="006D21CF" w:rsidP="007A79A7">
            <w:pPr>
              <w:spacing w:after="0" w:line="240" w:lineRule="auto"/>
              <w:jc w:val="both"/>
              <w:rPr>
                <w:rFonts w:ascii="Times New Roman" w:eastAsia="Times New Roman" w:hAnsi="Times New Roman" w:cs="Times New Roman"/>
                <w:color w:val="000000"/>
                <w:lang w:eastAsia="ru-RU"/>
              </w:rPr>
            </w:pPr>
            <w:r w:rsidRPr="007A79A7">
              <w:rPr>
                <w:rFonts w:ascii="Times New Roman" w:eastAsia="Times New Roman" w:hAnsi="Times New Roman" w:cs="Times New Roman"/>
                <w:color w:val="000000"/>
                <w:lang w:eastAsia="ru-RU"/>
              </w:rPr>
              <w:t>Размах вариации</w:t>
            </w:r>
          </w:p>
        </w:tc>
        <w:tc>
          <w:tcPr>
            <w:tcW w:w="2089" w:type="dxa"/>
            <w:tcBorders>
              <w:top w:val="nil"/>
              <w:left w:val="nil"/>
              <w:bottom w:val="single" w:sz="4" w:space="0" w:color="auto"/>
              <w:right w:val="single" w:sz="4" w:space="0" w:color="auto"/>
            </w:tcBorders>
            <w:shd w:val="clear" w:color="auto" w:fill="auto"/>
            <w:noWrap/>
            <w:vAlign w:val="center"/>
            <w:hideMark/>
          </w:tcPr>
          <w:p w:rsidR="006D21CF" w:rsidRPr="007A79A7" w:rsidRDefault="006D21CF" w:rsidP="007A79A7">
            <w:pPr>
              <w:spacing w:after="0" w:line="240" w:lineRule="auto"/>
              <w:jc w:val="center"/>
              <w:rPr>
                <w:rFonts w:ascii="Times New Roman" w:eastAsia="Times New Roman" w:hAnsi="Times New Roman" w:cs="Times New Roman"/>
                <w:color w:val="000000"/>
                <w:lang w:eastAsia="ru-RU"/>
              </w:rPr>
            </w:pPr>
            <w:r w:rsidRPr="007A79A7">
              <w:rPr>
                <w:rFonts w:ascii="Times New Roman" w:eastAsia="Times New Roman" w:hAnsi="Times New Roman" w:cs="Times New Roman"/>
                <w:color w:val="000000"/>
                <w:lang w:eastAsia="ru-RU"/>
              </w:rPr>
              <w:t>128,99</w:t>
            </w:r>
          </w:p>
        </w:tc>
        <w:tc>
          <w:tcPr>
            <w:tcW w:w="2039" w:type="dxa"/>
            <w:tcBorders>
              <w:top w:val="nil"/>
              <w:left w:val="nil"/>
              <w:bottom w:val="single" w:sz="4" w:space="0" w:color="auto"/>
              <w:right w:val="single" w:sz="4" w:space="0" w:color="auto"/>
            </w:tcBorders>
            <w:shd w:val="clear" w:color="auto" w:fill="auto"/>
            <w:noWrap/>
            <w:vAlign w:val="center"/>
            <w:hideMark/>
          </w:tcPr>
          <w:p w:rsidR="006D21CF" w:rsidRPr="007A79A7" w:rsidRDefault="006D21CF" w:rsidP="007A79A7">
            <w:pPr>
              <w:spacing w:after="0" w:line="240" w:lineRule="auto"/>
              <w:jc w:val="center"/>
              <w:rPr>
                <w:rFonts w:ascii="Times New Roman" w:eastAsia="Times New Roman" w:hAnsi="Times New Roman" w:cs="Times New Roman"/>
                <w:color w:val="000000"/>
                <w:lang w:eastAsia="ru-RU"/>
              </w:rPr>
            </w:pPr>
            <w:r w:rsidRPr="007A79A7">
              <w:rPr>
                <w:rFonts w:ascii="Times New Roman" w:eastAsia="Times New Roman" w:hAnsi="Times New Roman" w:cs="Times New Roman"/>
                <w:color w:val="000000"/>
                <w:lang w:eastAsia="ru-RU"/>
              </w:rPr>
              <w:t>28,82</w:t>
            </w:r>
          </w:p>
        </w:tc>
        <w:tc>
          <w:tcPr>
            <w:tcW w:w="1676" w:type="dxa"/>
            <w:tcBorders>
              <w:top w:val="nil"/>
              <w:left w:val="nil"/>
              <w:bottom w:val="single" w:sz="4" w:space="0" w:color="auto"/>
              <w:right w:val="single" w:sz="4" w:space="0" w:color="auto"/>
            </w:tcBorders>
            <w:shd w:val="clear" w:color="auto" w:fill="auto"/>
            <w:noWrap/>
            <w:vAlign w:val="center"/>
            <w:hideMark/>
          </w:tcPr>
          <w:p w:rsidR="006D21CF" w:rsidRPr="007A79A7" w:rsidRDefault="006D21CF" w:rsidP="007A79A7">
            <w:pPr>
              <w:spacing w:after="0" w:line="240" w:lineRule="auto"/>
              <w:jc w:val="center"/>
              <w:rPr>
                <w:rFonts w:ascii="Times New Roman" w:eastAsia="Times New Roman" w:hAnsi="Times New Roman" w:cs="Times New Roman"/>
                <w:color w:val="000000"/>
                <w:lang w:eastAsia="ru-RU"/>
              </w:rPr>
            </w:pPr>
            <w:r w:rsidRPr="007A79A7">
              <w:rPr>
                <w:rFonts w:ascii="Times New Roman" w:eastAsia="Times New Roman" w:hAnsi="Times New Roman" w:cs="Times New Roman"/>
                <w:color w:val="000000"/>
                <w:lang w:eastAsia="ru-RU"/>
              </w:rPr>
              <w:t>154,68</w:t>
            </w:r>
          </w:p>
        </w:tc>
        <w:tc>
          <w:tcPr>
            <w:tcW w:w="1676" w:type="dxa"/>
            <w:tcBorders>
              <w:top w:val="nil"/>
              <w:left w:val="nil"/>
              <w:bottom w:val="single" w:sz="4" w:space="0" w:color="auto"/>
              <w:right w:val="single" w:sz="4" w:space="0" w:color="auto"/>
            </w:tcBorders>
            <w:shd w:val="clear" w:color="auto" w:fill="auto"/>
            <w:noWrap/>
            <w:vAlign w:val="center"/>
            <w:hideMark/>
          </w:tcPr>
          <w:p w:rsidR="006D21CF" w:rsidRPr="007A79A7" w:rsidRDefault="006D21CF" w:rsidP="007A79A7">
            <w:pPr>
              <w:spacing w:after="0" w:line="240" w:lineRule="auto"/>
              <w:jc w:val="center"/>
              <w:rPr>
                <w:rFonts w:ascii="Times New Roman" w:eastAsia="Times New Roman" w:hAnsi="Times New Roman" w:cs="Times New Roman"/>
                <w:color w:val="000000"/>
                <w:lang w:eastAsia="ru-RU"/>
              </w:rPr>
            </w:pPr>
            <w:r w:rsidRPr="007A79A7">
              <w:rPr>
                <w:rFonts w:ascii="Times New Roman" w:eastAsia="Times New Roman" w:hAnsi="Times New Roman" w:cs="Times New Roman"/>
                <w:color w:val="000000"/>
                <w:lang w:eastAsia="ru-RU"/>
              </w:rPr>
              <w:t>142,33</w:t>
            </w:r>
          </w:p>
        </w:tc>
      </w:tr>
      <w:tr w:rsidR="006D21CF" w:rsidRPr="007A79A7" w:rsidTr="00416E81">
        <w:trPr>
          <w:trHeight w:val="293"/>
        </w:trPr>
        <w:tc>
          <w:tcPr>
            <w:tcW w:w="1961" w:type="dxa"/>
            <w:tcBorders>
              <w:top w:val="nil"/>
              <w:left w:val="single" w:sz="4" w:space="0" w:color="auto"/>
              <w:bottom w:val="single" w:sz="4" w:space="0" w:color="auto"/>
              <w:right w:val="single" w:sz="4" w:space="0" w:color="auto"/>
            </w:tcBorders>
            <w:shd w:val="clear" w:color="auto" w:fill="auto"/>
            <w:vAlign w:val="center"/>
            <w:hideMark/>
          </w:tcPr>
          <w:p w:rsidR="006D21CF" w:rsidRPr="007A79A7" w:rsidRDefault="006D21CF" w:rsidP="007A79A7">
            <w:pPr>
              <w:spacing w:after="0" w:line="240" w:lineRule="auto"/>
              <w:jc w:val="both"/>
              <w:rPr>
                <w:rFonts w:ascii="Times New Roman" w:eastAsia="Times New Roman" w:hAnsi="Times New Roman" w:cs="Times New Roman"/>
                <w:color w:val="000000"/>
                <w:lang w:eastAsia="ru-RU"/>
              </w:rPr>
            </w:pPr>
            <w:r w:rsidRPr="007A79A7">
              <w:rPr>
                <w:rFonts w:ascii="Times New Roman" w:eastAsia="Times New Roman" w:hAnsi="Times New Roman" w:cs="Times New Roman"/>
                <w:color w:val="000000"/>
                <w:lang w:eastAsia="ru-RU"/>
              </w:rPr>
              <w:t>Дисперсия</w:t>
            </w:r>
          </w:p>
        </w:tc>
        <w:tc>
          <w:tcPr>
            <w:tcW w:w="2089" w:type="dxa"/>
            <w:tcBorders>
              <w:top w:val="nil"/>
              <w:left w:val="nil"/>
              <w:bottom w:val="single" w:sz="4" w:space="0" w:color="auto"/>
              <w:right w:val="single" w:sz="4" w:space="0" w:color="auto"/>
            </w:tcBorders>
            <w:shd w:val="clear" w:color="auto" w:fill="auto"/>
            <w:noWrap/>
            <w:vAlign w:val="center"/>
            <w:hideMark/>
          </w:tcPr>
          <w:p w:rsidR="006D21CF" w:rsidRPr="007A79A7" w:rsidRDefault="006D21CF" w:rsidP="007A79A7">
            <w:pPr>
              <w:spacing w:after="0" w:line="240" w:lineRule="auto"/>
              <w:jc w:val="center"/>
              <w:rPr>
                <w:rFonts w:ascii="Times New Roman" w:eastAsia="Times New Roman" w:hAnsi="Times New Roman" w:cs="Times New Roman"/>
                <w:color w:val="000000"/>
                <w:lang w:eastAsia="ru-RU"/>
              </w:rPr>
            </w:pPr>
            <w:r w:rsidRPr="007A79A7">
              <w:rPr>
                <w:rFonts w:ascii="Times New Roman" w:eastAsia="Times New Roman" w:hAnsi="Times New Roman" w:cs="Times New Roman"/>
                <w:color w:val="000000"/>
                <w:lang w:eastAsia="ru-RU"/>
              </w:rPr>
              <w:t>21,48</w:t>
            </w:r>
          </w:p>
        </w:tc>
        <w:tc>
          <w:tcPr>
            <w:tcW w:w="2039" w:type="dxa"/>
            <w:tcBorders>
              <w:top w:val="nil"/>
              <w:left w:val="nil"/>
              <w:bottom w:val="single" w:sz="4" w:space="0" w:color="auto"/>
              <w:right w:val="single" w:sz="4" w:space="0" w:color="auto"/>
            </w:tcBorders>
            <w:shd w:val="clear" w:color="auto" w:fill="auto"/>
            <w:noWrap/>
            <w:vAlign w:val="center"/>
            <w:hideMark/>
          </w:tcPr>
          <w:p w:rsidR="006D21CF" w:rsidRPr="007A79A7" w:rsidRDefault="006D21CF" w:rsidP="007A79A7">
            <w:pPr>
              <w:spacing w:after="0" w:line="240" w:lineRule="auto"/>
              <w:jc w:val="center"/>
              <w:rPr>
                <w:rFonts w:ascii="Times New Roman" w:eastAsia="Times New Roman" w:hAnsi="Times New Roman" w:cs="Times New Roman"/>
                <w:color w:val="000000"/>
                <w:lang w:eastAsia="ru-RU"/>
              </w:rPr>
            </w:pPr>
            <w:r w:rsidRPr="007A79A7">
              <w:rPr>
                <w:rFonts w:ascii="Times New Roman" w:eastAsia="Times New Roman" w:hAnsi="Times New Roman" w:cs="Times New Roman"/>
                <w:color w:val="000000"/>
                <w:lang w:eastAsia="ru-RU"/>
              </w:rPr>
              <w:t>22,27</w:t>
            </w:r>
          </w:p>
        </w:tc>
        <w:tc>
          <w:tcPr>
            <w:tcW w:w="1676" w:type="dxa"/>
            <w:tcBorders>
              <w:top w:val="nil"/>
              <w:left w:val="nil"/>
              <w:bottom w:val="single" w:sz="4" w:space="0" w:color="auto"/>
              <w:right w:val="single" w:sz="4" w:space="0" w:color="auto"/>
            </w:tcBorders>
            <w:shd w:val="clear" w:color="auto" w:fill="auto"/>
            <w:noWrap/>
            <w:vAlign w:val="center"/>
            <w:hideMark/>
          </w:tcPr>
          <w:p w:rsidR="006D21CF" w:rsidRPr="007A79A7" w:rsidRDefault="006D21CF" w:rsidP="007A79A7">
            <w:pPr>
              <w:spacing w:after="0" w:line="240" w:lineRule="auto"/>
              <w:jc w:val="center"/>
              <w:rPr>
                <w:rFonts w:ascii="Times New Roman" w:eastAsia="Times New Roman" w:hAnsi="Times New Roman" w:cs="Times New Roman"/>
                <w:color w:val="000000"/>
                <w:lang w:eastAsia="ru-RU"/>
              </w:rPr>
            </w:pPr>
            <w:r w:rsidRPr="007A79A7">
              <w:rPr>
                <w:rFonts w:ascii="Times New Roman" w:eastAsia="Times New Roman" w:hAnsi="Times New Roman" w:cs="Times New Roman"/>
                <w:color w:val="000000"/>
                <w:lang w:eastAsia="ru-RU"/>
              </w:rPr>
              <w:t>15,22</w:t>
            </w:r>
          </w:p>
        </w:tc>
        <w:tc>
          <w:tcPr>
            <w:tcW w:w="1676" w:type="dxa"/>
            <w:tcBorders>
              <w:top w:val="nil"/>
              <w:left w:val="nil"/>
              <w:bottom w:val="single" w:sz="4" w:space="0" w:color="auto"/>
              <w:right w:val="single" w:sz="4" w:space="0" w:color="auto"/>
            </w:tcBorders>
            <w:shd w:val="clear" w:color="auto" w:fill="auto"/>
            <w:noWrap/>
            <w:vAlign w:val="center"/>
            <w:hideMark/>
          </w:tcPr>
          <w:p w:rsidR="006D21CF" w:rsidRPr="007A79A7" w:rsidRDefault="006D21CF" w:rsidP="007A79A7">
            <w:pPr>
              <w:spacing w:after="0" w:line="240" w:lineRule="auto"/>
              <w:jc w:val="center"/>
              <w:rPr>
                <w:rFonts w:ascii="Times New Roman" w:eastAsia="Times New Roman" w:hAnsi="Times New Roman" w:cs="Times New Roman"/>
                <w:color w:val="000000"/>
                <w:lang w:eastAsia="ru-RU"/>
              </w:rPr>
            </w:pPr>
            <w:r w:rsidRPr="007A79A7">
              <w:rPr>
                <w:rFonts w:ascii="Times New Roman" w:eastAsia="Times New Roman" w:hAnsi="Times New Roman" w:cs="Times New Roman"/>
                <w:color w:val="000000"/>
                <w:lang w:eastAsia="ru-RU"/>
              </w:rPr>
              <w:t>78,08</w:t>
            </w:r>
          </w:p>
        </w:tc>
      </w:tr>
      <w:tr w:rsidR="006D21CF" w:rsidRPr="007A79A7" w:rsidTr="00416E81">
        <w:trPr>
          <w:trHeight w:val="559"/>
        </w:trPr>
        <w:tc>
          <w:tcPr>
            <w:tcW w:w="1961" w:type="dxa"/>
            <w:tcBorders>
              <w:top w:val="nil"/>
              <w:left w:val="single" w:sz="4" w:space="0" w:color="auto"/>
              <w:bottom w:val="single" w:sz="4" w:space="0" w:color="auto"/>
              <w:right w:val="single" w:sz="4" w:space="0" w:color="auto"/>
            </w:tcBorders>
            <w:shd w:val="clear" w:color="auto" w:fill="auto"/>
            <w:vAlign w:val="center"/>
            <w:hideMark/>
          </w:tcPr>
          <w:p w:rsidR="006D21CF" w:rsidRPr="007A79A7" w:rsidRDefault="006D21CF" w:rsidP="007A79A7">
            <w:pPr>
              <w:spacing w:after="0" w:line="240" w:lineRule="auto"/>
              <w:jc w:val="both"/>
              <w:rPr>
                <w:rFonts w:ascii="Times New Roman" w:eastAsia="Times New Roman" w:hAnsi="Times New Roman" w:cs="Times New Roman"/>
                <w:color w:val="000000"/>
                <w:lang w:eastAsia="ru-RU"/>
              </w:rPr>
            </w:pPr>
            <w:r w:rsidRPr="007A79A7">
              <w:rPr>
                <w:rFonts w:ascii="Times New Roman" w:eastAsia="Times New Roman" w:hAnsi="Times New Roman" w:cs="Times New Roman"/>
                <w:color w:val="000000"/>
                <w:lang w:eastAsia="ru-RU"/>
              </w:rPr>
              <w:t>Стандартное отклонение</w:t>
            </w:r>
          </w:p>
        </w:tc>
        <w:tc>
          <w:tcPr>
            <w:tcW w:w="2089" w:type="dxa"/>
            <w:tcBorders>
              <w:top w:val="nil"/>
              <w:left w:val="nil"/>
              <w:bottom w:val="single" w:sz="4" w:space="0" w:color="auto"/>
              <w:right w:val="single" w:sz="4" w:space="0" w:color="auto"/>
            </w:tcBorders>
            <w:shd w:val="clear" w:color="auto" w:fill="auto"/>
            <w:noWrap/>
            <w:vAlign w:val="center"/>
            <w:hideMark/>
          </w:tcPr>
          <w:p w:rsidR="006D21CF" w:rsidRPr="007A79A7" w:rsidRDefault="006D21CF" w:rsidP="007A79A7">
            <w:pPr>
              <w:spacing w:after="0" w:line="240" w:lineRule="auto"/>
              <w:jc w:val="center"/>
              <w:rPr>
                <w:rFonts w:ascii="Times New Roman" w:eastAsia="Times New Roman" w:hAnsi="Times New Roman" w:cs="Times New Roman"/>
                <w:color w:val="000000"/>
                <w:lang w:eastAsia="ru-RU"/>
              </w:rPr>
            </w:pPr>
            <w:r w:rsidRPr="007A79A7">
              <w:rPr>
                <w:rFonts w:ascii="Times New Roman" w:eastAsia="Times New Roman" w:hAnsi="Times New Roman" w:cs="Times New Roman"/>
                <w:color w:val="000000"/>
                <w:lang w:eastAsia="ru-RU"/>
              </w:rPr>
              <w:t>4,63</w:t>
            </w:r>
          </w:p>
        </w:tc>
        <w:tc>
          <w:tcPr>
            <w:tcW w:w="2039" w:type="dxa"/>
            <w:tcBorders>
              <w:top w:val="nil"/>
              <w:left w:val="nil"/>
              <w:bottom w:val="single" w:sz="4" w:space="0" w:color="auto"/>
              <w:right w:val="single" w:sz="4" w:space="0" w:color="auto"/>
            </w:tcBorders>
            <w:shd w:val="clear" w:color="auto" w:fill="auto"/>
            <w:noWrap/>
            <w:vAlign w:val="center"/>
            <w:hideMark/>
          </w:tcPr>
          <w:p w:rsidR="006D21CF" w:rsidRPr="007A79A7" w:rsidRDefault="006D21CF" w:rsidP="007A79A7">
            <w:pPr>
              <w:spacing w:after="0" w:line="240" w:lineRule="auto"/>
              <w:jc w:val="center"/>
              <w:rPr>
                <w:rFonts w:ascii="Times New Roman" w:eastAsia="Times New Roman" w:hAnsi="Times New Roman" w:cs="Times New Roman"/>
                <w:color w:val="000000"/>
                <w:lang w:eastAsia="ru-RU"/>
              </w:rPr>
            </w:pPr>
            <w:r w:rsidRPr="007A79A7">
              <w:rPr>
                <w:rFonts w:ascii="Times New Roman" w:eastAsia="Times New Roman" w:hAnsi="Times New Roman" w:cs="Times New Roman"/>
                <w:color w:val="000000"/>
                <w:lang w:eastAsia="ru-RU"/>
              </w:rPr>
              <w:t>4,72</w:t>
            </w:r>
          </w:p>
        </w:tc>
        <w:tc>
          <w:tcPr>
            <w:tcW w:w="1676" w:type="dxa"/>
            <w:tcBorders>
              <w:top w:val="nil"/>
              <w:left w:val="nil"/>
              <w:bottom w:val="single" w:sz="4" w:space="0" w:color="auto"/>
              <w:right w:val="single" w:sz="4" w:space="0" w:color="auto"/>
            </w:tcBorders>
            <w:shd w:val="clear" w:color="auto" w:fill="auto"/>
            <w:noWrap/>
            <w:vAlign w:val="center"/>
            <w:hideMark/>
          </w:tcPr>
          <w:p w:rsidR="006D21CF" w:rsidRPr="007A79A7" w:rsidRDefault="006D21CF" w:rsidP="007A79A7">
            <w:pPr>
              <w:spacing w:after="0" w:line="240" w:lineRule="auto"/>
              <w:jc w:val="center"/>
              <w:rPr>
                <w:rFonts w:ascii="Times New Roman" w:eastAsia="Times New Roman" w:hAnsi="Times New Roman" w:cs="Times New Roman"/>
                <w:color w:val="000000"/>
                <w:lang w:eastAsia="ru-RU"/>
              </w:rPr>
            </w:pPr>
            <w:r w:rsidRPr="007A79A7">
              <w:rPr>
                <w:rFonts w:ascii="Times New Roman" w:eastAsia="Times New Roman" w:hAnsi="Times New Roman" w:cs="Times New Roman"/>
                <w:color w:val="000000"/>
                <w:lang w:eastAsia="ru-RU"/>
              </w:rPr>
              <w:t>3,90</w:t>
            </w:r>
          </w:p>
        </w:tc>
        <w:tc>
          <w:tcPr>
            <w:tcW w:w="1676" w:type="dxa"/>
            <w:tcBorders>
              <w:top w:val="nil"/>
              <w:left w:val="nil"/>
              <w:bottom w:val="single" w:sz="4" w:space="0" w:color="auto"/>
              <w:right w:val="single" w:sz="4" w:space="0" w:color="auto"/>
            </w:tcBorders>
            <w:shd w:val="clear" w:color="auto" w:fill="auto"/>
            <w:noWrap/>
            <w:vAlign w:val="center"/>
            <w:hideMark/>
          </w:tcPr>
          <w:p w:rsidR="006D21CF" w:rsidRPr="007A79A7" w:rsidRDefault="006D21CF" w:rsidP="007A79A7">
            <w:pPr>
              <w:spacing w:after="0" w:line="240" w:lineRule="auto"/>
              <w:jc w:val="center"/>
              <w:rPr>
                <w:rFonts w:ascii="Times New Roman" w:eastAsia="Times New Roman" w:hAnsi="Times New Roman" w:cs="Times New Roman"/>
                <w:color w:val="000000"/>
                <w:lang w:eastAsia="ru-RU"/>
              </w:rPr>
            </w:pPr>
            <w:r w:rsidRPr="007A79A7">
              <w:rPr>
                <w:rFonts w:ascii="Times New Roman" w:eastAsia="Times New Roman" w:hAnsi="Times New Roman" w:cs="Times New Roman"/>
                <w:color w:val="000000"/>
                <w:lang w:eastAsia="ru-RU"/>
              </w:rPr>
              <w:t>8,84</w:t>
            </w:r>
          </w:p>
        </w:tc>
      </w:tr>
      <w:tr w:rsidR="006D21CF" w:rsidRPr="007A79A7" w:rsidTr="00416E81">
        <w:trPr>
          <w:trHeight w:val="586"/>
        </w:trPr>
        <w:tc>
          <w:tcPr>
            <w:tcW w:w="1961" w:type="dxa"/>
            <w:tcBorders>
              <w:top w:val="nil"/>
              <w:left w:val="single" w:sz="4" w:space="0" w:color="auto"/>
              <w:bottom w:val="single" w:sz="4" w:space="0" w:color="auto"/>
              <w:right w:val="single" w:sz="4" w:space="0" w:color="auto"/>
            </w:tcBorders>
            <w:shd w:val="clear" w:color="auto" w:fill="auto"/>
            <w:vAlign w:val="center"/>
            <w:hideMark/>
          </w:tcPr>
          <w:p w:rsidR="006D21CF" w:rsidRPr="007A79A7" w:rsidRDefault="006D21CF" w:rsidP="007A79A7">
            <w:pPr>
              <w:spacing w:after="0" w:line="240" w:lineRule="auto"/>
              <w:jc w:val="both"/>
              <w:rPr>
                <w:rFonts w:ascii="Times New Roman" w:eastAsia="Times New Roman" w:hAnsi="Times New Roman" w:cs="Times New Roman"/>
                <w:color w:val="000000"/>
                <w:lang w:eastAsia="ru-RU"/>
              </w:rPr>
            </w:pPr>
            <w:r w:rsidRPr="007A79A7">
              <w:rPr>
                <w:rFonts w:ascii="Times New Roman" w:eastAsia="Times New Roman" w:hAnsi="Times New Roman" w:cs="Times New Roman"/>
                <w:color w:val="000000"/>
                <w:lang w:eastAsia="ru-RU"/>
              </w:rPr>
              <w:t>Коэффициент вариации, %</w:t>
            </w:r>
          </w:p>
        </w:tc>
        <w:tc>
          <w:tcPr>
            <w:tcW w:w="2089" w:type="dxa"/>
            <w:tcBorders>
              <w:top w:val="nil"/>
              <w:left w:val="nil"/>
              <w:bottom w:val="single" w:sz="4" w:space="0" w:color="auto"/>
              <w:right w:val="single" w:sz="4" w:space="0" w:color="auto"/>
            </w:tcBorders>
            <w:shd w:val="clear" w:color="auto" w:fill="auto"/>
            <w:noWrap/>
            <w:vAlign w:val="center"/>
            <w:hideMark/>
          </w:tcPr>
          <w:p w:rsidR="006D21CF" w:rsidRPr="007A79A7" w:rsidRDefault="006D21CF" w:rsidP="007A79A7">
            <w:pPr>
              <w:spacing w:after="0" w:line="240" w:lineRule="auto"/>
              <w:jc w:val="center"/>
              <w:rPr>
                <w:rFonts w:ascii="Times New Roman" w:eastAsia="Times New Roman" w:hAnsi="Times New Roman" w:cs="Times New Roman"/>
                <w:color w:val="000000"/>
                <w:lang w:eastAsia="ru-RU"/>
              </w:rPr>
            </w:pPr>
            <w:r w:rsidRPr="007A79A7">
              <w:rPr>
                <w:rFonts w:ascii="Times New Roman" w:eastAsia="Times New Roman" w:hAnsi="Times New Roman" w:cs="Times New Roman"/>
                <w:color w:val="000000"/>
                <w:lang w:eastAsia="ru-RU"/>
              </w:rPr>
              <w:t>6,07</w:t>
            </w:r>
          </w:p>
        </w:tc>
        <w:tc>
          <w:tcPr>
            <w:tcW w:w="2039" w:type="dxa"/>
            <w:tcBorders>
              <w:top w:val="nil"/>
              <w:left w:val="nil"/>
              <w:bottom w:val="single" w:sz="4" w:space="0" w:color="auto"/>
              <w:right w:val="single" w:sz="4" w:space="0" w:color="auto"/>
            </w:tcBorders>
            <w:shd w:val="clear" w:color="auto" w:fill="auto"/>
            <w:noWrap/>
            <w:vAlign w:val="center"/>
            <w:hideMark/>
          </w:tcPr>
          <w:p w:rsidR="006D21CF" w:rsidRPr="007A79A7" w:rsidRDefault="006D21CF" w:rsidP="007A79A7">
            <w:pPr>
              <w:spacing w:after="0" w:line="240" w:lineRule="auto"/>
              <w:jc w:val="center"/>
              <w:rPr>
                <w:rFonts w:ascii="Times New Roman" w:eastAsia="Times New Roman" w:hAnsi="Times New Roman" w:cs="Times New Roman"/>
                <w:color w:val="000000"/>
                <w:lang w:eastAsia="ru-RU"/>
              </w:rPr>
            </w:pPr>
            <w:r w:rsidRPr="007A79A7">
              <w:rPr>
                <w:rFonts w:ascii="Times New Roman" w:eastAsia="Times New Roman" w:hAnsi="Times New Roman" w:cs="Times New Roman"/>
                <w:color w:val="000000"/>
                <w:lang w:eastAsia="ru-RU"/>
              </w:rPr>
              <w:t>32,95</w:t>
            </w:r>
          </w:p>
        </w:tc>
        <w:tc>
          <w:tcPr>
            <w:tcW w:w="1676" w:type="dxa"/>
            <w:tcBorders>
              <w:top w:val="nil"/>
              <w:left w:val="nil"/>
              <w:bottom w:val="single" w:sz="4" w:space="0" w:color="auto"/>
              <w:right w:val="single" w:sz="4" w:space="0" w:color="auto"/>
            </w:tcBorders>
            <w:shd w:val="clear" w:color="auto" w:fill="auto"/>
            <w:noWrap/>
            <w:vAlign w:val="center"/>
            <w:hideMark/>
          </w:tcPr>
          <w:p w:rsidR="006D21CF" w:rsidRPr="007A79A7" w:rsidRDefault="006D21CF" w:rsidP="007A79A7">
            <w:pPr>
              <w:spacing w:after="0" w:line="240" w:lineRule="auto"/>
              <w:jc w:val="center"/>
              <w:rPr>
                <w:rFonts w:ascii="Times New Roman" w:eastAsia="Times New Roman" w:hAnsi="Times New Roman" w:cs="Times New Roman"/>
                <w:color w:val="000000"/>
                <w:lang w:eastAsia="ru-RU"/>
              </w:rPr>
            </w:pPr>
            <w:r w:rsidRPr="007A79A7">
              <w:rPr>
                <w:rFonts w:ascii="Times New Roman" w:eastAsia="Times New Roman" w:hAnsi="Times New Roman" w:cs="Times New Roman"/>
                <w:color w:val="000000"/>
                <w:lang w:eastAsia="ru-RU"/>
              </w:rPr>
              <w:t>7,17</w:t>
            </w:r>
          </w:p>
        </w:tc>
        <w:tc>
          <w:tcPr>
            <w:tcW w:w="1676" w:type="dxa"/>
            <w:tcBorders>
              <w:top w:val="nil"/>
              <w:left w:val="nil"/>
              <w:bottom w:val="single" w:sz="4" w:space="0" w:color="auto"/>
              <w:right w:val="single" w:sz="4" w:space="0" w:color="auto"/>
            </w:tcBorders>
            <w:shd w:val="clear" w:color="auto" w:fill="auto"/>
            <w:noWrap/>
            <w:vAlign w:val="center"/>
            <w:hideMark/>
          </w:tcPr>
          <w:p w:rsidR="006D21CF" w:rsidRPr="007A79A7" w:rsidRDefault="006D21CF" w:rsidP="007A79A7">
            <w:pPr>
              <w:spacing w:after="0" w:line="240" w:lineRule="auto"/>
              <w:jc w:val="center"/>
              <w:rPr>
                <w:rFonts w:ascii="Times New Roman" w:eastAsia="Times New Roman" w:hAnsi="Times New Roman" w:cs="Times New Roman"/>
                <w:color w:val="000000"/>
                <w:lang w:eastAsia="ru-RU"/>
              </w:rPr>
            </w:pPr>
            <w:r w:rsidRPr="007A79A7">
              <w:rPr>
                <w:rFonts w:ascii="Times New Roman" w:eastAsia="Times New Roman" w:hAnsi="Times New Roman" w:cs="Times New Roman"/>
                <w:color w:val="000000"/>
                <w:lang w:eastAsia="ru-RU"/>
              </w:rPr>
              <w:t>51,74</w:t>
            </w:r>
          </w:p>
        </w:tc>
      </w:tr>
    </w:tbl>
    <w:p w:rsidR="006D21CF" w:rsidRPr="007A79A7" w:rsidRDefault="006D21CF" w:rsidP="007A79A7">
      <w:pPr>
        <w:spacing w:after="0" w:line="360" w:lineRule="auto"/>
        <w:jc w:val="both"/>
        <w:rPr>
          <w:rFonts w:ascii="Times New Roman" w:hAnsi="Times New Roman" w:cs="Times New Roman"/>
          <w:sz w:val="28"/>
          <w:szCs w:val="28"/>
        </w:rPr>
      </w:pPr>
    </w:p>
    <w:p w:rsidR="006D21CF" w:rsidRPr="007A79A7" w:rsidRDefault="006D21CF" w:rsidP="007A79A7">
      <w:pPr>
        <w:spacing w:after="0" w:line="360" w:lineRule="auto"/>
        <w:ind w:firstLine="709"/>
        <w:jc w:val="both"/>
        <w:rPr>
          <w:rFonts w:ascii="Times New Roman" w:hAnsi="Times New Roman" w:cs="Times New Roman"/>
          <w:sz w:val="28"/>
          <w:szCs w:val="28"/>
        </w:rPr>
      </w:pPr>
      <w:r w:rsidRPr="007A79A7">
        <w:rPr>
          <w:rFonts w:ascii="Times New Roman" w:hAnsi="Times New Roman" w:cs="Times New Roman"/>
          <w:sz w:val="28"/>
          <w:szCs w:val="28"/>
        </w:rPr>
        <w:t xml:space="preserve">Стандартное отклонение убыточности как  в целом по рынку страхования, так и по СЗФО, менее 10%, отражает степень разброса показателей убыточности относительного среднего значения и сглаживание влияния случайных факторов. </w:t>
      </w:r>
    </w:p>
    <w:p w:rsidR="006D21CF" w:rsidRPr="007A79A7" w:rsidRDefault="006D21CF" w:rsidP="007A79A7">
      <w:pPr>
        <w:spacing w:after="0" w:line="360" w:lineRule="auto"/>
        <w:ind w:firstLine="709"/>
        <w:jc w:val="both"/>
        <w:rPr>
          <w:rFonts w:ascii="Times New Roman" w:hAnsi="Times New Roman" w:cs="Times New Roman"/>
          <w:sz w:val="28"/>
          <w:szCs w:val="28"/>
        </w:rPr>
      </w:pPr>
      <w:r w:rsidRPr="007A79A7">
        <w:rPr>
          <w:rFonts w:ascii="Times New Roman" w:hAnsi="Times New Roman" w:cs="Times New Roman"/>
          <w:sz w:val="28"/>
          <w:szCs w:val="28"/>
        </w:rPr>
        <w:t xml:space="preserve">Если обратиться к рассчитанному коэффициенту вариации, то можем отметить, в целом по страховому рынку совокупность данных является однородной, т.е. средний показатель убыточности объективно отражает ситуацию на рынке. Что нельзя сказать о рынке страхования жизни, в частности СЗФО, где величина данного показателя превышает нормативное значение, подтверждая отсутствие единых тенденций и стоимостных ориентиров данного сектора. </w:t>
      </w:r>
    </w:p>
    <w:p w:rsidR="006D21CF" w:rsidRPr="007A79A7" w:rsidRDefault="006D21CF" w:rsidP="007A79A7">
      <w:pPr>
        <w:spacing w:after="0" w:line="360" w:lineRule="auto"/>
        <w:ind w:firstLine="709"/>
        <w:jc w:val="both"/>
        <w:rPr>
          <w:rFonts w:ascii="Times New Roman" w:hAnsi="Times New Roman" w:cs="Times New Roman"/>
          <w:sz w:val="28"/>
          <w:szCs w:val="28"/>
        </w:rPr>
      </w:pPr>
      <w:r w:rsidRPr="007A79A7">
        <w:rPr>
          <w:rFonts w:ascii="Times New Roman" w:hAnsi="Times New Roman" w:cs="Times New Roman"/>
          <w:sz w:val="28"/>
          <w:szCs w:val="28"/>
        </w:rPr>
        <w:t>Подведем итог, выделив основные проблемные моменты развития страхования жизни:</w:t>
      </w:r>
    </w:p>
    <w:p w:rsidR="006D21CF" w:rsidRPr="007A79A7" w:rsidRDefault="006D21CF" w:rsidP="007A79A7">
      <w:pPr>
        <w:pStyle w:val="a5"/>
        <w:numPr>
          <w:ilvl w:val="0"/>
          <w:numId w:val="1"/>
        </w:numPr>
        <w:spacing w:after="0" w:line="360" w:lineRule="auto"/>
        <w:jc w:val="both"/>
        <w:rPr>
          <w:rFonts w:ascii="Times New Roman" w:hAnsi="Times New Roman" w:cs="Times New Roman"/>
          <w:sz w:val="28"/>
          <w:szCs w:val="28"/>
        </w:rPr>
      </w:pPr>
      <w:r w:rsidRPr="007A79A7">
        <w:rPr>
          <w:rFonts w:ascii="Times New Roman" w:hAnsi="Times New Roman" w:cs="Times New Roman"/>
          <w:sz w:val="28"/>
          <w:szCs w:val="28"/>
        </w:rPr>
        <w:t>В Российской Федерации  и ее регионах стабильный спрос на услугу по страхованию жизни – отсутствует. Чаще приобретению данного вида страхования сопутствует оформление договоров других финансовых продуктов, нежели добровольное желание;</w:t>
      </w:r>
    </w:p>
    <w:p w:rsidR="006D21CF" w:rsidRPr="007A79A7" w:rsidRDefault="006D21CF" w:rsidP="007A79A7">
      <w:pPr>
        <w:pStyle w:val="a5"/>
        <w:numPr>
          <w:ilvl w:val="0"/>
          <w:numId w:val="1"/>
        </w:numPr>
        <w:spacing w:after="0" w:line="360" w:lineRule="auto"/>
        <w:jc w:val="both"/>
        <w:rPr>
          <w:rFonts w:ascii="Times New Roman" w:hAnsi="Times New Roman" w:cs="Times New Roman"/>
          <w:sz w:val="28"/>
          <w:szCs w:val="28"/>
        </w:rPr>
      </w:pPr>
      <w:r w:rsidRPr="007A79A7">
        <w:rPr>
          <w:rFonts w:ascii="Times New Roman" w:hAnsi="Times New Roman" w:cs="Times New Roman"/>
          <w:sz w:val="28"/>
          <w:szCs w:val="28"/>
        </w:rPr>
        <w:t>Отсутствие четкой ценовой политики в сфере страхования жизни: нет общих принципов ценообразования, правил формирования тарифной ставки, системы поправочных коэффициентов и др.;</w:t>
      </w:r>
    </w:p>
    <w:p w:rsidR="006D21CF" w:rsidRPr="007A79A7" w:rsidRDefault="006D21CF" w:rsidP="007A79A7">
      <w:pPr>
        <w:pStyle w:val="a5"/>
        <w:numPr>
          <w:ilvl w:val="0"/>
          <w:numId w:val="1"/>
        </w:numPr>
        <w:spacing w:after="0" w:line="360" w:lineRule="auto"/>
        <w:jc w:val="both"/>
        <w:rPr>
          <w:rFonts w:ascii="Times New Roman" w:hAnsi="Times New Roman" w:cs="Times New Roman"/>
          <w:sz w:val="28"/>
          <w:szCs w:val="28"/>
        </w:rPr>
      </w:pPr>
      <w:r w:rsidRPr="007A79A7">
        <w:rPr>
          <w:rFonts w:ascii="Times New Roman" w:hAnsi="Times New Roman" w:cs="Times New Roman"/>
          <w:sz w:val="28"/>
          <w:szCs w:val="28"/>
        </w:rPr>
        <w:t>В СЗФО динамика развития и общая ситуация на рынке страхования жизни идентична общероссийскому;</w:t>
      </w:r>
    </w:p>
    <w:p w:rsidR="006D21CF" w:rsidRPr="007A79A7" w:rsidRDefault="006D21CF" w:rsidP="007A79A7">
      <w:pPr>
        <w:pStyle w:val="a5"/>
        <w:numPr>
          <w:ilvl w:val="0"/>
          <w:numId w:val="1"/>
        </w:numPr>
        <w:spacing w:after="0" w:line="360" w:lineRule="auto"/>
        <w:jc w:val="both"/>
        <w:rPr>
          <w:rFonts w:ascii="Times New Roman" w:hAnsi="Times New Roman" w:cs="Times New Roman"/>
          <w:sz w:val="28"/>
          <w:szCs w:val="28"/>
        </w:rPr>
      </w:pPr>
      <w:r w:rsidRPr="007A79A7">
        <w:rPr>
          <w:rFonts w:ascii="Times New Roman" w:hAnsi="Times New Roman" w:cs="Times New Roman"/>
          <w:sz w:val="28"/>
          <w:szCs w:val="28"/>
        </w:rPr>
        <w:lastRenderedPageBreak/>
        <w:t xml:space="preserve">Проведенный анализ статистических показателей показал отсутствие закономерности вариаций убыточности страхования жизни по территориям РФ. Тем не менее, убыточность данного сегмента страхования гораздо ниже, чем в целом по рынку, что говорит о слабой конкуренции отрасли. </w:t>
      </w:r>
    </w:p>
    <w:p w:rsidR="006D21CF" w:rsidRPr="007A79A7" w:rsidRDefault="006D21CF" w:rsidP="007A79A7">
      <w:pPr>
        <w:spacing w:after="0" w:line="360" w:lineRule="auto"/>
        <w:ind w:firstLine="426"/>
        <w:jc w:val="both"/>
        <w:rPr>
          <w:rFonts w:ascii="Times New Roman" w:hAnsi="Times New Roman" w:cs="Times New Roman"/>
          <w:sz w:val="28"/>
          <w:szCs w:val="28"/>
        </w:rPr>
      </w:pPr>
      <w:r w:rsidRPr="007A79A7">
        <w:rPr>
          <w:rFonts w:ascii="Times New Roman" w:hAnsi="Times New Roman" w:cs="Times New Roman"/>
          <w:sz w:val="28"/>
          <w:szCs w:val="28"/>
        </w:rPr>
        <w:t xml:space="preserve">Учитывая вышеперечисленное и сложившуюся ситуацию на рынке страхования и общеэкономические тенденции, предположим неэффективное развитие страхование жизни на ближайшие несколько лет. Тем не менее, страхование жизни имеет потенциал для повышения финансовой защищенности и культуры сбережений; снижения зависимости от государства в отношении пенсионного и социального обеспечения; создания существенного количества рабочих мест; прямого и косвенного увеличение налоговых поступлений в бюджет РФ. Поэтому предотвращение обозначенных моментов, тормозящих развитие рынка страхования жизни, некоторые изменения в  законодательной базе, по поводу конкретизации и уточнения понятийных аспектов, а также реализация потенциала страхования жизни позволили бы выйти данному виду страховой деятельности на новый этап по достижению социально-экономического развития страны и ее отдельных регионов. </w:t>
      </w:r>
    </w:p>
    <w:p w:rsidR="006D21CF" w:rsidRPr="007A79A7" w:rsidRDefault="006D21CF" w:rsidP="007A79A7">
      <w:pPr>
        <w:spacing w:after="0" w:line="360" w:lineRule="auto"/>
        <w:jc w:val="both"/>
        <w:rPr>
          <w:rFonts w:ascii="Times New Roman" w:hAnsi="Times New Roman" w:cs="Times New Roman"/>
          <w:sz w:val="28"/>
          <w:szCs w:val="28"/>
        </w:rPr>
      </w:pPr>
    </w:p>
    <w:p w:rsidR="006D21CF" w:rsidRPr="007A79A7" w:rsidRDefault="007A79A7" w:rsidP="007A79A7">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Библиографический список</w:t>
      </w:r>
    </w:p>
    <w:p w:rsidR="006D21CF" w:rsidRPr="007A79A7" w:rsidRDefault="006D21CF" w:rsidP="007A79A7">
      <w:pPr>
        <w:pStyle w:val="a5"/>
        <w:numPr>
          <w:ilvl w:val="0"/>
          <w:numId w:val="2"/>
        </w:numPr>
        <w:spacing w:after="0" w:line="360" w:lineRule="auto"/>
        <w:jc w:val="both"/>
        <w:rPr>
          <w:rFonts w:ascii="Times New Roman" w:hAnsi="Times New Roman" w:cs="Times New Roman"/>
          <w:sz w:val="28"/>
          <w:szCs w:val="28"/>
        </w:rPr>
      </w:pPr>
      <w:bookmarkStart w:id="0" w:name="_Ref46320121"/>
      <w:r w:rsidRPr="007A79A7">
        <w:rPr>
          <w:rFonts w:ascii="Times New Roman" w:hAnsi="Times New Roman" w:cs="Times New Roman"/>
          <w:i/>
          <w:color w:val="000000"/>
          <w:sz w:val="28"/>
          <w:szCs w:val="28"/>
        </w:rPr>
        <w:t xml:space="preserve">Васильева, Т.С. </w:t>
      </w:r>
      <w:r w:rsidRPr="007A79A7">
        <w:rPr>
          <w:rFonts w:ascii="Times New Roman" w:hAnsi="Times New Roman" w:cs="Times New Roman"/>
          <w:color w:val="000000"/>
          <w:sz w:val="28"/>
          <w:szCs w:val="28"/>
        </w:rPr>
        <w:t xml:space="preserve">Актуальные вопросы развития регионального рынка страхования и его роль в экономике /Т.С. Васильева // Проблемы развития территории. </w:t>
      </w:r>
      <w:r w:rsidRPr="007A79A7">
        <w:rPr>
          <w:rFonts w:ascii="Times New Roman" w:hAnsi="Times New Roman" w:cs="Times New Roman"/>
          <w:sz w:val="28"/>
          <w:szCs w:val="28"/>
        </w:rPr>
        <w:t xml:space="preserve">– </w:t>
      </w:r>
      <w:r w:rsidRPr="007A79A7">
        <w:rPr>
          <w:rFonts w:ascii="Times New Roman" w:hAnsi="Times New Roman" w:cs="Times New Roman"/>
          <w:color w:val="000000"/>
          <w:sz w:val="28"/>
          <w:szCs w:val="28"/>
        </w:rPr>
        <w:t xml:space="preserve">2020 </w:t>
      </w:r>
      <w:r w:rsidRPr="007A79A7">
        <w:rPr>
          <w:rFonts w:ascii="Times New Roman" w:hAnsi="Times New Roman" w:cs="Times New Roman"/>
          <w:sz w:val="28"/>
          <w:szCs w:val="28"/>
        </w:rPr>
        <w:t xml:space="preserve">– </w:t>
      </w:r>
      <w:r w:rsidRPr="007A79A7">
        <w:rPr>
          <w:rFonts w:ascii="Times New Roman" w:hAnsi="Times New Roman" w:cs="Times New Roman"/>
          <w:color w:val="000000"/>
          <w:sz w:val="28"/>
          <w:szCs w:val="28"/>
        </w:rPr>
        <w:t xml:space="preserve">№ 3 (107). </w:t>
      </w:r>
      <w:r w:rsidRPr="007A79A7">
        <w:rPr>
          <w:rFonts w:ascii="Times New Roman" w:hAnsi="Times New Roman" w:cs="Times New Roman"/>
          <w:sz w:val="28"/>
          <w:szCs w:val="28"/>
        </w:rPr>
        <w:t xml:space="preserve">– </w:t>
      </w:r>
      <w:r w:rsidRPr="007A79A7">
        <w:rPr>
          <w:rFonts w:ascii="Times New Roman" w:hAnsi="Times New Roman" w:cs="Times New Roman"/>
          <w:color w:val="000000"/>
          <w:sz w:val="28"/>
          <w:szCs w:val="28"/>
        </w:rPr>
        <w:t>С. 103–115. DOI: 10.15838/ptd.2020.3.107.7</w:t>
      </w:r>
      <w:bookmarkEnd w:id="0"/>
    </w:p>
    <w:p w:rsidR="006D21CF" w:rsidRPr="007A79A7" w:rsidRDefault="006D21CF" w:rsidP="007A79A7">
      <w:pPr>
        <w:pStyle w:val="a5"/>
        <w:numPr>
          <w:ilvl w:val="0"/>
          <w:numId w:val="2"/>
        </w:numPr>
        <w:spacing w:after="0" w:line="360" w:lineRule="auto"/>
        <w:jc w:val="both"/>
        <w:rPr>
          <w:rFonts w:ascii="Times New Roman" w:hAnsi="Times New Roman" w:cs="Times New Roman"/>
          <w:sz w:val="28"/>
          <w:szCs w:val="28"/>
        </w:rPr>
      </w:pPr>
      <w:r w:rsidRPr="007A79A7">
        <w:rPr>
          <w:rFonts w:ascii="Times New Roman" w:hAnsi="Times New Roman" w:cs="Times New Roman"/>
          <w:i/>
          <w:sz w:val="28"/>
          <w:szCs w:val="28"/>
        </w:rPr>
        <w:t>Кузнецова Н. В.</w:t>
      </w:r>
      <w:r w:rsidRPr="007A79A7">
        <w:rPr>
          <w:rFonts w:ascii="Times New Roman" w:hAnsi="Times New Roman" w:cs="Times New Roman"/>
          <w:sz w:val="28"/>
          <w:szCs w:val="28"/>
        </w:rPr>
        <w:t xml:space="preserve"> </w:t>
      </w:r>
      <w:r w:rsidRPr="007A79A7">
        <w:rPr>
          <w:rFonts w:ascii="Times New Roman" w:hAnsi="Times New Roman" w:cs="Times New Roman"/>
          <w:caps/>
          <w:sz w:val="28"/>
          <w:szCs w:val="28"/>
        </w:rPr>
        <w:t>С</w:t>
      </w:r>
      <w:r w:rsidRPr="007A79A7">
        <w:rPr>
          <w:rFonts w:ascii="Times New Roman" w:hAnsi="Times New Roman" w:cs="Times New Roman"/>
          <w:sz w:val="28"/>
          <w:szCs w:val="28"/>
        </w:rPr>
        <w:t>траховая культура как фактор развития страхового рынка // Бизнес. Образование. Право. – 2020. – №1. – С. 272-276.</w:t>
      </w:r>
    </w:p>
    <w:p w:rsidR="006D21CF" w:rsidRPr="007A79A7" w:rsidRDefault="006D21CF" w:rsidP="007A79A7">
      <w:pPr>
        <w:pStyle w:val="a5"/>
        <w:numPr>
          <w:ilvl w:val="0"/>
          <w:numId w:val="2"/>
        </w:numPr>
        <w:spacing w:after="0" w:line="360" w:lineRule="auto"/>
        <w:jc w:val="both"/>
        <w:rPr>
          <w:rFonts w:ascii="Times New Roman" w:hAnsi="Times New Roman" w:cs="Times New Roman"/>
          <w:sz w:val="28"/>
          <w:szCs w:val="28"/>
        </w:rPr>
      </w:pPr>
      <w:r w:rsidRPr="007A79A7">
        <w:rPr>
          <w:rFonts w:ascii="Times New Roman" w:hAnsi="Times New Roman" w:cs="Times New Roman"/>
          <w:i/>
          <w:sz w:val="28"/>
          <w:szCs w:val="28"/>
        </w:rPr>
        <w:t>Красикова Е. М.</w:t>
      </w:r>
      <w:r w:rsidRPr="007A79A7">
        <w:rPr>
          <w:rFonts w:ascii="Times New Roman" w:hAnsi="Times New Roman" w:cs="Times New Roman"/>
          <w:sz w:val="28"/>
          <w:szCs w:val="28"/>
        </w:rPr>
        <w:t xml:space="preserve"> Страховая культура в </w:t>
      </w:r>
      <w:proofErr w:type="spellStart"/>
      <w:r w:rsidRPr="007A79A7">
        <w:rPr>
          <w:rFonts w:ascii="Times New Roman" w:hAnsi="Times New Roman" w:cs="Times New Roman"/>
          <w:sz w:val="28"/>
          <w:szCs w:val="28"/>
        </w:rPr>
        <w:t>Pоссии</w:t>
      </w:r>
      <w:proofErr w:type="spellEnd"/>
      <w:r w:rsidRPr="007A79A7">
        <w:rPr>
          <w:rFonts w:ascii="Times New Roman" w:hAnsi="Times New Roman" w:cs="Times New Roman"/>
          <w:sz w:val="28"/>
          <w:szCs w:val="28"/>
        </w:rPr>
        <w:t>: пути повышения //Аллея науки. – 2018. – № 5 (21). – С. 590-594.</w:t>
      </w:r>
    </w:p>
    <w:p w:rsidR="006D21CF" w:rsidRPr="007A79A7" w:rsidRDefault="006D21CF" w:rsidP="007A79A7">
      <w:pPr>
        <w:pStyle w:val="a5"/>
        <w:numPr>
          <w:ilvl w:val="0"/>
          <w:numId w:val="2"/>
        </w:numPr>
        <w:spacing w:after="0" w:line="360" w:lineRule="auto"/>
        <w:jc w:val="both"/>
        <w:rPr>
          <w:rFonts w:ascii="Times New Roman" w:hAnsi="Times New Roman" w:cs="Times New Roman"/>
          <w:sz w:val="28"/>
          <w:szCs w:val="28"/>
        </w:rPr>
      </w:pPr>
      <w:r w:rsidRPr="007A79A7">
        <w:rPr>
          <w:rFonts w:ascii="Times New Roman" w:hAnsi="Times New Roman" w:cs="Times New Roman"/>
          <w:i/>
          <w:sz w:val="28"/>
          <w:szCs w:val="28"/>
        </w:rPr>
        <w:lastRenderedPageBreak/>
        <w:t>Степанова М.Н.</w:t>
      </w:r>
      <w:r w:rsidRPr="007A79A7">
        <w:rPr>
          <w:rFonts w:ascii="Times New Roman" w:hAnsi="Times New Roman" w:cs="Times New Roman"/>
          <w:sz w:val="28"/>
          <w:szCs w:val="28"/>
        </w:rPr>
        <w:t xml:space="preserve"> Отрицание необходимости страхования потенциальными потребителями страховых услуг: постановка проблемы // Азимут научных исследований: экономика и управление. – 2020. – №2. – С 328-331.</w:t>
      </w:r>
    </w:p>
    <w:p w:rsidR="00CC1103" w:rsidRPr="007A79A7" w:rsidRDefault="00CC1103" w:rsidP="007A79A7">
      <w:pPr>
        <w:spacing w:after="0" w:line="360" w:lineRule="auto"/>
        <w:ind w:firstLine="709"/>
        <w:jc w:val="both"/>
        <w:rPr>
          <w:rFonts w:ascii="Times New Roman" w:hAnsi="Times New Roman" w:cs="Times New Roman"/>
          <w:sz w:val="28"/>
          <w:szCs w:val="28"/>
        </w:rPr>
      </w:pPr>
    </w:p>
    <w:p w:rsidR="007A79A7" w:rsidRPr="007A79A7" w:rsidRDefault="007A79A7" w:rsidP="007A79A7">
      <w:pPr>
        <w:widowControl w:val="0"/>
        <w:spacing w:after="0" w:line="360" w:lineRule="auto"/>
        <w:ind w:firstLine="709"/>
        <w:jc w:val="both"/>
        <w:rPr>
          <w:rFonts w:ascii="Times New Roman" w:hAnsi="Times New Roman" w:cs="Times New Roman"/>
          <w:sz w:val="28"/>
          <w:szCs w:val="28"/>
        </w:rPr>
      </w:pPr>
      <w:r w:rsidRPr="007A79A7">
        <w:rPr>
          <w:rFonts w:ascii="Times New Roman" w:hAnsi="Times New Roman" w:cs="Times New Roman"/>
          <w:sz w:val="28"/>
          <w:szCs w:val="28"/>
        </w:rPr>
        <w:t xml:space="preserve">Васильева Татьяна Сергеевна (Россия, Вологда) – магистрант 2 курса, инженер-исследователь, отдел проблем социально-экономического развития и управления в территориальных системах, Федеральное государственное бюджетное учреждение науки «Вологодский научный центр Российской академии наук», </w:t>
      </w:r>
      <w:r w:rsidRPr="007A79A7">
        <w:rPr>
          <w:rFonts w:ascii="Times New Roman" w:hAnsi="Times New Roman" w:cs="Times New Roman"/>
          <w:sz w:val="28"/>
          <w:szCs w:val="28"/>
          <w:lang w:val="en-US"/>
        </w:rPr>
        <w:t>e</w:t>
      </w:r>
      <w:r w:rsidRPr="007A79A7">
        <w:rPr>
          <w:rFonts w:ascii="Times New Roman" w:hAnsi="Times New Roman" w:cs="Times New Roman"/>
          <w:sz w:val="28"/>
          <w:szCs w:val="28"/>
        </w:rPr>
        <w:t>-</w:t>
      </w:r>
      <w:r w:rsidRPr="007A79A7">
        <w:rPr>
          <w:rFonts w:ascii="Times New Roman" w:hAnsi="Times New Roman" w:cs="Times New Roman"/>
          <w:sz w:val="28"/>
          <w:szCs w:val="28"/>
          <w:lang w:val="en-US"/>
        </w:rPr>
        <w:t>mail</w:t>
      </w:r>
      <w:r w:rsidRPr="007A79A7">
        <w:rPr>
          <w:rFonts w:ascii="Times New Roman" w:hAnsi="Times New Roman" w:cs="Times New Roman"/>
          <w:sz w:val="28"/>
          <w:szCs w:val="28"/>
        </w:rPr>
        <w:t xml:space="preserve">: </w:t>
      </w:r>
      <w:hyperlink r:id="rId6" w:history="1">
        <w:r w:rsidRPr="007A79A7">
          <w:rPr>
            <w:rStyle w:val="a6"/>
            <w:rFonts w:ascii="Times New Roman" w:hAnsi="Times New Roman" w:cs="Times New Roman"/>
            <w:color w:val="auto"/>
            <w:sz w:val="28"/>
            <w:szCs w:val="28"/>
            <w:u w:val="none"/>
            <w:lang w:val="en-US"/>
          </w:rPr>
          <w:t>vasilievats</w:t>
        </w:r>
        <w:r w:rsidRPr="007A79A7">
          <w:rPr>
            <w:rStyle w:val="a6"/>
            <w:rFonts w:ascii="Times New Roman" w:hAnsi="Times New Roman" w:cs="Times New Roman"/>
            <w:color w:val="auto"/>
            <w:sz w:val="28"/>
            <w:szCs w:val="28"/>
            <w:u w:val="none"/>
          </w:rPr>
          <w:t>@</w:t>
        </w:r>
        <w:r w:rsidRPr="007A79A7">
          <w:rPr>
            <w:rStyle w:val="a6"/>
            <w:rFonts w:ascii="Times New Roman" w:hAnsi="Times New Roman" w:cs="Times New Roman"/>
            <w:color w:val="auto"/>
            <w:sz w:val="28"/>
            <w:szCs w:val="28"/>
            <w:u w:val="none"/>
            <w:lang w:val="en-US"/>
          </w:rPr>
          <w:t>mail</w:t>
        </w:r>
        <w:r w:rsidRPr="007A79A7">
          <w:rPr>
            <w:rStyle w:val="a6"/>
            <w:rFonts w:ascii="Times New Roman" w:hAnsi="Times New Roman" w:cs="Times New Roman"/>
            <w:color w:val="auto"/>
            <w:sz w:val="28"/>
            <w:szCs w:val="28"/>
            <w:u w:val="none"/>
          </w:rPr>
          <w:t>.</w:t>
        </w:r>
        <w:proofErr w:type="spellStart"/>
        <w:r w:rsidRPr="007A79A7">
          <w:rPr>
            <w:rStyle w:val="a6"/>
            <w:rFonts w:ascii="Times New Roman" w:hAnsi="Times New Roman" w:cs="Times New Roman"/>
            <w:color w:val="auto"/>
            <w:sz w:val="28"/>
            <w:szCs w:val="28"/>
            <w:u w:val="none"/>
            <w:lang w:val="en-US"/>
          </w:rPr>
          <w:t>ru</w:t>
        </w:r>
        <w:proofErr w:type="spellEnd"/>
      </w:hyperlink>
      <w:r w:rsidRPr="007A79A7">
        <w:rPr>
          <w:rFonts w:ascii="Times New Roman" w:hAnsi="Times New Roman" w:cs="Times New Roman"/>
          <w:sz w:val="28"/>
          <w:szCs w:val="28"/>
        </w:rPr>
        <w:t>, +7(8172) 59-78-10.</w:t>
      </w:r>
    </w:p>
    <w:p w:rsidR="00CC1103" w:rsidRDefault="00CC1103" w:rsidP="007A79A7">
      <w:pPr>
        <w:jc w:val="both"/>
        <w:rPr>
          <w:rFonts w:ascii="Times New Roman" w:hAnsi="Times New Roman" w:cs="Times New Roman"/>
        </w:rPr>
      </w:pPr>
    </w:p>
    <w:p w:rsidR="007A79A7" w:rsidRPr="007A79A7" w:rsidRDefault="007A79A7" w:rsidP="007A79A7">
      <w:pPr>
        <w:jc w:val="right"/>
        <w:rPr>
          <w:rFonts w:ascii="Times New Roman" w:hAnsi="Times New Roman" w:cs="Times New Roman"/>
          <w:b/>
          <w:lang w:val="en-US"/>
        </w:rPr>
      </w:pPr>
      <w:proofErr w:type="spellStart"/>
      <w:r w:rsidRPr="007A79A7">
        <w:rPr>
          <w:rFonts w:ascii="Times New Roman" w:hAnsi="Times New Roman" w:cs="Times New Roman"/>
          <w:b/>
          <w:lang w:val="en-US"/>
        </w:rPr>
        <w:t>Vasilyeva</w:t>
      </w:r>
      <w:proofErr w:type="spellEnd"/>
      <w:r w:rsidRPr="007A79A7">
        <w:rPr>
          <w:rFonts w:ascii="Times New Roman" w:hAnsi="Times New Roman" w:cs="Times New Roman"/>
          <w:b/>
          <w:lang w:val="en-US"/>
        </w:rPr>
        <w:t xml:space="preserve"> T. S.</w:t>
      </w:r>
    </w:p>
    <w:p w:rsidR="007A79A7" w:rsidRPr="007A79A7" w:rsidRDefault="007A79A7" w:rsidP="007A79A7">
      <w:pPr>
        <w:jc w:val="center"/>
        <w:rPr>
          <w:rFonts w:ascii="Times New Roman" w:hAnsi="Times New Roman" w:cs="Times New Roman"/>
          <w:b/>
          <w:lang w:val="en-US"/>
        </w:rPr>
      </w:pPr>
      <w:r w:rsidRPr="007A79A7">
        <w:rPr>
          <w:rFonts w:ascii="Times New Roman" w:hAnsi="Times New Roman" w:cs="Times New Roman"/>
          <w:b/>
          <w:lang w:val="en-US"/>
        </w:rPr>
        <w:t>CURRENT ISSUES of LIFE INSURANCE DEVELOPMENT IN the RUSSIAN FEDERATION AND its REGIONS (on the example of the northwestern Federal district)</w:t>
      </w:r>
    </w:p>
    <w:p w:rsidR="007A79A7" w:rsidRPr="007A79A7" w:rsidRDefault="007A79A7" w:rsidP="007A79A7">
      <w:pPr>
        <w:spacing w:after="0" w:line="360" w:lineRule="auto"/>
        <w:ind w:firstLine="709"/>
        <w:jc w:val="both"/>
        <w:rPr>
          <w:rFonts w:ascii="Times New Roman" w:hAnsi="Times New Roman" w:cs="Times New Roman"/>
          <w:i/>
          <w:sz w:val="28"/>
          <w:szCs w:val="28"/>
          <w:lang w:val="en-US"/>
        </w:rPr>
      </w:pPr>
      <w:r w:rsidRPr="007A79A7">
        <w:rPr>
          <w:rFonts w:ascii="Times New Roman" w:hAnsi="Times New Roman" w:cs="Times New Roman"/>
          <w:i/>
          <w:sz w:val="28"/>
          <w:szCs w:val="28"/>
          <w:lang w:val="en-US"/>
        </w:rPr>
        <w:t>Abstract. This paper examines the essence of life insurance, the dynamics of the development of the life insurance market in the Russian Federation and the comparison with the dynamics of the North-Western Federal district. The analysis of statistical indicators of unprofitability of premiums of this type of insurance is carried out, the key problems of development are highlighted.</w:t>
      </w:r>
    </w:p>
    <w:p w:rsidR="007A79A7" w:rsidRPr="008E7DC8" w:rsidRDefault="007A79A7" w:rsidP="007A79A7">
      <w:pPr>
        <w:spacing w:after="0" w:line="360" w:lineRule="auto"/>
        <w:ind w:firstLine="709"/>
        <w:jc w:val="both"/>
        <w:rPr>
          <w:rFonts w:ascii="Times New Roman" w:hAnsi="Times New Roman" w:cs="Times New Roman"/>
          <w:i/>
          <w:sz w:val="28"/>
          <w:szCs w:val="28"/>
          <w:lang w:val="en-US"/>
        </w:rPr>
      </w:pPr>
      <w:r w:rsidRPr="007A79A7">
        <w:rPr>
          <w:rFonts w:ascii="Times New Roman" w:hAnsi="Times New Roman" w:cs="Times New Roman"/>
          <w:i/>
          <w:sz w:val="28"/>
          <w:szCs w:val="28"/>
          <w:lang w:val="en-US"/>
        </w:rPr>
        <w:t>Keywords: insurance, life insurance, region, northwestern Federal district, statistical analysis.</w:t>
      </w:r>
    </w:p>
    <w:p w:rsidR="007A79A7" w:rsidRPr="008E7DC8" w:rsidRDefault="007A79A7" w:rsidP="007A79A7">
      <w:pPr>
        <w:spacing w:after="0" w:line="360" w:lineRule="auto"/>
        <w:ind w:firstLine="709"/>
        <w:jc w:val="both"/>
        <w:rPr>
          <w:rFonts w:ascii="Times New Roman" w:hAnsi="Times New Roman" w:cs="Times New Roman"/>
          <w:i/>
          <w:sz w:val="28"/>
          <w:szCs w:val="28"/>
          <w:lang w:val="en-US"/>
        </w:rPr>
      </w:pPr>
    </w:p>
    <w:p w:rsidR="007A79A7" w:rsidRPr="008E7DC8" w:rsidRDefault="007A79A7" w:rsidP="007A79A7">
      <w:pPr>
        <w:spacing w:after="0" w:line="360" w:lineRule="auto"/>
        <w:ind w:firstLine="709"/>
        <w:jc w:val="both"/>
        <w:rPr>
          <w:rFonts w:ascii="Times New Roman" w:hAnsi="Times New Roman" w:cs="Times New Roman"/>
          <w:i/>
          <w:sz w:val="28"/>
          <w:szCs w:val="28"/>
          <w:lang w:val="en-US"/>
        </w:rPr>
      </w:pPr>
      <w:r w:rsidRPr="007A79A7">
        <w:rPr>
          <w:rFonts w:ascii="Times New Roman" w:hAnsi="Times New Roman" w:cs="Times New Roman"/>
          <w:i/>
          <w:sz w:val="28"/>
          <w:szCs w:val="28"/>
          <w:lang w:val="en-US"/>
        </w:rPr>
        <w:t xml:space="preserve">Tatyana </w:t>
      </w:r>
      <w:proofErr w:type="spellStart"/>
      <w:r w:rsidRPr="007A79A7">
        <w:rPr>
          <w:rFonts w:ascii="Times New Roman" w:hAnsi="Times New Roman" w:cs="Times New Roman"/>
          <w:i/>
          <w:sz w:val="28"/>
          <w:szCs w:val="28"/>
          <w:lang w:val="en-US"/>
        </w:rPr>
        <w:t>Vasilyeva</w:t>
      </w:r>
      <w:proofErr w:type="spellEnd"/>
      <w:r w:rsidRPr="007A79A7">
        <w:rPr>
          <w:rFonts w:ascii="Times New Roman" w:hAnsi="Times New Roman" w:cs="Times New Roman"/>
          <w:i/>
          <w:sz w:val="28"/>
          <w:szCs w:val="28"/>
          <w:lang w:val="en-US"/>
        </w:rPr>
        <w:t xml:space="preserve"> (Vologda, Russia) – 2nd year master's student, research engineer, Department of socio-economic development and management in territorial systems, Federal state budgetary institution of science "Vologda scientific center of the Russian Academy of Sciences", e-mail: vasilievats@mail.ru, +7(8172) 59-78-10.</w:t>
      </w:r>
    </w:p>
    <w:p w:rsidR="007A79A7" w:rsidRPr="007A79A7" w:rsidRDefault="007A79A7" w:rsidP="007A79A7">
      <w:pPr>
        <w:spacing w:line="360" w:lineRule="auto"/>
        <w:jc w:val="center"/>
        <w:rPr>
          <w:rFonts w:ascii="Times New Roman" w:hAnsi="Times New Roman" w:cs="Times New Roman"/>
          <w:b/>
          <w:sz w:val="28"/>
          <w:szCs w:val="28"/>
          <w:lang w:val="en-US"/>
        </w:rPr>
      </w:pPr>
      <w:r w:rsidRPr="007A79A7">
        <w:rPr>
          <w:rFonts w:ascii="Times New Roman" w:hAnsi="Times New Roman" w:cs="Times New Roman"/>
          <w:b/>
          <w:sz w:val="28"/>
          <w:szCs w:val="28"/>
          <w:lang w:val="en-US"/>
        </w:rPr>
        <w:t>References</w:t>
      </w:r>
    </w:p>
    <w:p w:rsidR="007A79A7" w:rsidRPr="007A79A7" w:rsidRDefault="007A79A7" w:rsidP="007A79A7">
      <w:pPr>
        <w:spacing w:after="0" w:line="360" w:lineRule="auto"/>
        <w:ind w:firstLine="709"/>
        <w:jc w:val="both"/>
        <w:rPr>
          <w:rFonts w:ascii="Times New Roman" w:hAnsi="Times New Roman" w:cs="Times New Roman"/>
          <w:sz w:val="28"/>
          <w:szCs w:val="28"/>
          <w:lang w:val="en-US"/>
        </w:rPr>
      </w:pPr>
      <w:r w:rsidRPr="007A79A7">
        <w:rPr>
          <w:rFonts w:ascii="Times New Roman" w:hAnsi="Times New Roman" w:cs="Times New Roman"/>
          <w:i/>
          <w:sz w:val="28"/>
          <w:szCs w:val="28"/>
          <w:lang w:val="en-US"/>
        </w:rPr>
        <w:lastRenderedPageBreak/>
        <w:t xml:space="preserve">1. </w:t>
      </w:r>
      <w:proofErr w:type="spellStart"/>
      <w:r w:rsidRPr="007A79A7">
        <w:rPr>
          <w:rFonts w:ascii="Times New Roman" w:hAnsi="Times New Roman" w:cs="Times New Roman"/>
          <w:sz w:val="28"/>
          <w:szCs w:val="28"/>
          <w:lang w:val="en-US"/>
        </w:rPr>
        <w:t>Vasilyeva</w:t>
      </w:r>
      <w:proofErr w:type="spellEnd"/>
      <w:r w:rsidRPr="007A79A7">
        <w:rPr>
          <w:rFonts w:ascii="Times New Roman" w:hAnsi="Times New Roman" w:cs="Times New Roman"/>
          <w:sz w:val="28"/>
          <w:szCs w:val="28"/>
          <w:lang w:val="en-US"/>
        </w:rPr>
        <w:t xml:space="preserve">, T. S. Topical issues of development of the regional insurance market and its role in the economy /T. S. </w:t>
      </w:r>
      <w:proofErr w:type="spellStart"/>
      <w:r w:rsidRPr="007A79A7">
        <w:rPr>
          <w:rFonts w:ascii="Times New Roman" w:hAnsi="Times New Roman" w:cs="Times New Roman"/>
          <w:sz w:val="28"/>
          <w:szCs w:val="28"/>
          <w:lang w:val="en-US"/>
        </w:rPr>
        <w:t>Vasilyeva</w:t>
      </w:r>
      <w:proofErr w:type="spellEnd"/>
      <w:r w:rsidRPr="007A79A7">
        <w:rPr>
          <w:rFonts w:ascii="Times New Roman" w:hAnsi="Times New Roman" w:cs="Times New Roman"/>
          <w:sz w:val="28"/>
          <w:szCs w:val="28"/>
          <w:lang w:val="en-US"/>
        </w:rPr>
        <w:t xml:space="preserve"> // Problems of territory development. – 2020 – № 3 (107). – Pp. 103-115. DOI: 10.15838/ptd.2020.3.107.7</w:t>
      </w:r>
    </w:p>
    <w:p w:rsidR="007A79A7" w:rsidRPr="007A79A7" w:rsidRDefault="007A79A7" w:rsidP="007A79A7">
      <w:pPr>
        <w:spacing w:after="0" w:line="360" w:lineRule="auto"/>
        <w:ind w:firstLine="709"/>
        <w:jc w:val="both"/>
        <w:rPr>
          <w:rFonts w:ascii="Times New Roman" w:hAnsi="Times New Roman" w:cs="Times New Roman"/>
          <w:sz w:val="28"/>
          <w:szCs w:val="28"/>
          <w:lang w:val="en-US"/>
        </w:rPr>
      </w:pPr>
      <w:r w:rsidRPr="007A79A7">
        <w:rPr>
          <w:rFonts w:ascii="Times New Roman" w:hAnsi="Times New Roman" w:cs="Times New Roman"/>
          <w:sz w:val="28"/>
          <w:szCs w:val="28"/>
          <w:lang w:val="en-US"/>
        </w:rPr>
        <w:t xml:space="preserve">2. Kuznetsova N. V. Insurance culture as a factor in the development of the insurance market. Education. </w:t>
      </w:r>
      <w:proofErr w:type="spellStart"/>
      <w:r w:rsidRPr="007A79A7">
        <w:rPr>
          <w:rFonts w:ascii="Times New Roman" w:hAnsi="Times New Roman" w:cs="Times New Roman"/>
          <w:sz w:val="28"/>
          <w:szCs w:val="28"/>
          <w:lang w:val="en-US"/>
        </w:rPr>
        <w:t>Pravo</w:t>
      </w:r>
      <w:proofErr w:type="spellEnd"/>
      <w:r w:rsidRPr="007A79A7">
        <w:rPr>
          <w:rFonts w:ascii="Times New Roman" w:hAnsi="Times New Roman" w:cs="Times New Roman"/>
          <w:sz w:val="28"/>
          <w:szCs w:val="28"/>
          <w:lang w:val="en-US"/>
        </w:rPr>
        <w:t>. - 2020. - No. 1. - Pp. 272-276</w:t>
      </w:r>
    </w:p>
    <w:p w:rsidR="007A79A7" w:rsidRPr="007A79A7" w:rsidRDefault="007A79A7" w:rsidP="007A79A7">
      <w:pPr>
        <w:spacing w:after="0" w:line="360" w:lineRule="auto"/>
        <w:ind w:firstLine="709"/>
        <w:jc w:val="both"/>
        <w:rPr>
          <w:rFonts w:ascii="Times New Roman" w:hAnsi="Times New Roman" w:cs="Times New Roman"/>
          <w:sz w:val="28"/>
          <w:szCs w:val="28"/>
          <w:lang w:val="en-US"/>
        </w:rPr>
      </w:pPr>
      <w:r w:rsidRPr="007A79A7">
        <w:rPr>
          <w:rFonts w:ascii="Times New Roman" w:hAnsi="Times New Roman" w:cs="Times New Roman"/>
          <w:sz w:val="28"/>
          <w:szCs w:val="28"/>
          <w:lang w:val="en-US"/>
        </w:rPr>
        <w:t xml:space="preserve">3. </w:t>
      </w:r>
      <w:proofErr w:type="spellStart"/>
      <w:r w:rsidRPr="007A79A7">
        <w:rPr>
          <w:rFonts w:ascii="Times New Roman" w:hAnsi="Times New Roman" w:cs="Times New Roman"/>
          <w:sz w:val="28"/>
          <w:szCs w:val="28"/>
          <w:lang w:val="en-US"/>
        </w:rPr>
        <w:t>Krasikova</w:t>
      </w:r>
      <w:proofErr w:type="spellEnd"/>
      <w:r w:rsidRPr="007A79A7">
        <w:rPr>
          <w:rFonts w:ascii="Times New Roman" w:hAnsi="Times New Roman" w:cs="Times New Roman"/>
          <w:sz w:val="28"/>
          <w:szCs w:val="28"/>
          <w:lang w:val="en-US"/>
        </w:rPr>
        <w:t xml:space="preserve"> E. M. Insurance culture in Russia: ways to improve / / Alley of science. – 2018. – № 5 (21). – Pp. 590-594.</w:t>
      </w:r>
    </w:p>
    <w:p w:rsidR="007A79A7" w:rsidRPr="007A79A7" w:rsidRDefault="007A79A7" w:rsidP="007A79A7">
      <w:pPr>
        <w:spacing w:after="0" w:line="360" w:lineRule="auto"/>
        <w:ind w:firstLine="709"/>
        <w:jc w:val="both"/>
        <w:rPr>
          <w:rFonts w:ascii="Times New Roman" w:hAnsi="Times New Roman" w:cs="Times New Roman"/>
          <w:sz w:val="28"/>
          <w:szCs w:val="28"/>
          <w:lang w:val="en-US"/>
        </w:rPr>
      </w:pPr>
      <w:r w:rsidRPr="007A79A7">
        <w:rPr>
          <w:rFonts w:ascii="Times New Roman" w:hAnsi="Times New Roman" w:cs="Times New Roman"/>
          <w:sz w:val="28"/>
          <w:szCs w:val="28"/>
          <w:lang w:val="en-US"/>
        </w:rPr>
        <w:t xml:space="preserve">4. </w:t>
      </w:r>
      <w:proofErr w:type="spellStart"/>
      <w:r w:rsidRPr="007A79A7">
        <w:rPr>
          <w:rFonts w:ascii="Times New Roman" w:hAnsi="Times New Roman" w:cs="Times New Roman"/>
          <w:sz w:val="28"/>
          <w:szCs w:val="28"/>
          <w:lang w:val="en-US"/>
        </w:rPr>
        <w:t>Stepanova</w:t>
      </w:r>
      <w:proofErr w:type="spellEnd"/>
      <w:r w:rsidRPr="007A79A7">
        <w:rPr>
          <w:rFonts w:ascii="Times New Roman" w:hAnsi="Times New Roman" w:cs="Times New Roman"/>
          <w:sz w:val="28"/>
          <w:szCs w:val="28"/>
          <w:lang w:val="en-US"/>
        </w:rPr>
        <w:t xml:space="preserve"> M. N. Negation of the need for insurance by potential consumers of insurance services: problem statement // Azimuth of scientific research: Economic</w:t>
      </w:r>
      <w:bookmarkStart w:id="1" w:name="_GoBack"/>
      <w:bookmarkEnd w:id="1"/>
      <w:r w:rsidRPr="007A79A7">
        <w:rPr>
          <w:rFonts w:ascii="Times New Roman" w:hAnsi="Times New Roman" w:cs="Times New Roman"/>
          <w:sz w:val="28"/>
          <w:szCs w:val="28"/>
          <w:lang w:val="en-US"/>
        </w:rPr>
        <w:t>s and management. - 2020. - №2. - From 328-331.</w:t>
      </w:r>
    </w:p>
    <w:sectPr w:rsidR="007A79A7" w:rsidRPr="007A79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Полужирный">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72384B"/>
    <w:multiLevelType w:val="hybridMultilevel"/>
    <w:tmpl w:val="8B3012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40814F48"/>
    <w:multiLevelType w:val="hybridMultilevel"/>
    <w:tmpl w:val="8AC05B24"/>
    <w:lvl w:ilvl="0" w:tplc="53D80E28">
      <w:start w:val="1"/>
      <w:numFmt w:val="decimal"/>
      <w:lvlText w:val="%1."/>
      <w:lvlJc w:val="left"/>
      <w:pPr>
        <w:ind w:left="0" w:firstLine="709"/>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103"/>
    <w:rsid w:val="006D21CF"/>
    <w:rsid w:val="006E427B"/>
    <w:rsid w:val="007A79A7"/>
    <w:rsid w:val="008E7DC8"/>
    <w:rsid w:val="00CC11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C110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C1103"/>
    <w:rPr>
      <w:rFonts w:ascii="Tahoma" w:hAnsi="Tahoma" w:cs="Tahoma"/>
      <w:sz w:val="16"/>
      <w:szCs w:val="16"/>
    </w:rPr>
  </w:style>
  <w:style w:type="paragraph" w:styleId="a5">
    <w:name w:val="List Paragraph"/>
    <w:basedOn w:val="a"/>
    <w:uiPriority w:val="34"/>
    <w:qFormat/>
    <w:rsid w:val="006D21CF"/>
    <w:pPr>
      <w:ind w:left="720"/>
      <w:contextualSpacing/>
    </w:pPr>
  </w:style>
  <w:style w:type="character" w:styleId="a6">
    <w:name w:val="Hyperlink"/>
    <w:basedOn w:val="a0"/>
    <w:uiPriority w:val="99"/>
    <w:unhideWhenUsed/>
    <w:rsid w:val="007A79A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C110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C1103"/>
    <w:rPr>
      <w:rFonts w:ascii="Tahoma" w:hAnsi="Tahoma" w:cs="Tahoma"/>
      <w:sz w:val="16"/>
      <w:szCs w:val="16"/>
    </w:rPr>
  </w:style>
  <w:style w:type="paragraph" w:styleId="a5">
    <w:name w:val="List Paragraph"/>
    <w:basedOn w:val="a"/>
    <w:uiPriority w:val="34"/>
    <w:qFormat/>
    <w:rsid w:val="006D21CF"/>
    <w:pPr>
      <w:ind w:left="720"/>
      <w:contextualSpacing/>
    </w:pPr>
  </w:style>
  <w:style w:type="character" w:styleId="a6">
    <w:name w:val="Hyperlink"/>
    <w:basedOn w:val="a0"/>
    <w:uiPriority w:val="99"/>
    <w:unhideWhenUsed/>
    <w:rsid w:val="007A79A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asilievats@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7</Pages>
  <Words>1612</Words>
  <Characters>9193</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С. Васильева</dc:creator>
  <cp:lastModifiedBy>Татьяна С. Васильева</cp:lastModifiedBy>
  <cp:revision>2</cp:revision>
  <dcterms:created xsi:type="dcterms:W3CDTF">2020-11-25T06:18:00Z</dcterms:created>
  <dcterms:modified xsi:type="dcterms:W3CDTF">2020-11-25T06:51:00Z</dcterms:modified>
</cp:coreProperties>
</file>