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D0" w:rsidRPr="009C7297" w:rsidRDefault="002E02D0" w:rsidP="002E02D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9C7297">
        <w:rPr>
          <w:sz w:val="28"/>
          <w:szCs w:val="28"/>
        </w:rPr>
        <w:t>УДК 330.354</w:t>
      </w:r>
      <w:r>
        <w:rPr>
          <w:sz w:val="28"/>
          <w:szCs w:val="28"/>
        </w:rPr>
        <w:t>/</w:t>
      </w:r>
      <w:r w:rsidRPr="009C7297">
        <w:rPr>
          <w:sz w:val="28"/>
          <w:szCs w:val="28"/>
        </w:rPr>
        <w:t>ББК 65.37</w:t>
      </w:r>
    </w:p>
    <w:p w:rsidR="002E02D0" w:rsidRPr="009C7297" w:rsidRDefault="002E02D0" w:rsidP="002E02D0">
      <w:pPr>
        <w:pStyle w:val="a4"/>
        <w:widowControl w:val="0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9C7297">
        <w:rPr>
          <w:b/>
          <w:sz w:val="28"/>
          <w:szCs w:val="28"/>
        </w:rPr>
        <w:t>Лебедева Н. А.</w:t>
      </w:r>
    </w:p>
    <w:p w:rsidR="002E02D0" w:rsidRPr="00A0564F" w:rsidRDefault="00E737A6" w:rsidP="00E737A6">
      <w:pPr>
        <w:pStyle w:val="pboth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E737A6">
        <w:rPr>
          <w:b/>
          <w:bCs/>
          <w:sz w:val="28"/>
          <w:szCs w:val="28"/>
          <w:shd w:val="clear" w:color="auto" w:fill="FFFFFF"/>
        </w:rPr>
        <w:t>ОЦЕНКА ОБЕСПЕЧЕННОСТИ ТРАНСПОРТНОЙ ИНФРАСТРУКТУРОЙ РЕГИОНОВ СЗФО</w:t>
      </w:r>
    </w:p>
    <w:bookmarkEnd w:id="0"/>
    <w:p w:rsidR="00E737A6" w:rsidRPr="00A0564F" w:rsidRDefault="00E737A6" w:rsidP="00E737A6">
      <w:pPr>
        <w:pStyle w:val="pboth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2E02D0" w:rsidRPr="00AE24B9" w:rsidRDefault="002E02D0" w:rsidP="00FC314A">
      <w:pPr>
        <w:pStyle w:val="pboth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2E02D0">
        <w:rPr>
          <w:b/>
          <w:bCs/>
          <w:sz w:val="28"/>
          <w:szCs w:val="28"/>
          <w:shd w:val="clear" w:color="auto" w:fill="FFFFFF"/>
        </w:rPr>
        <w:t>Аннотация:</w:t>
      </w:r>
      <w:r w:rsidRPr="009C7297">
        <w:rPr>
          <w:bCs/>
          <w:sz w:val="28"/>
          <w:szCs w:val="28"/>
          <w:shd w:val="clear" w:color="auto" w:fill="FFFFFF"/>
        </w:rPr>
        <w:t xml:space="preserve"> </w:t>
      </w:r>
      <w:r w:rsidRPr="00AE24B9">
        <w:rPr>
          <w:bCs/>
          <w:i/>
          <w:sz w:val="28"/>
          <w:szCs w:val="28"/>
          <w:shd w:val="clear" w:color="auto" w:fill="FFFFFF"/>
        </w:rPr>
        <w:t xml:space="preserve">В статье </w:t>
      </w:r>
      <w:r w:rsidR="00AE24B9">
        <w:rPr>
          <w:bCs/>
          <w:i/>
          <w:sz w:val="28"/>
          <w:szCs w:val="28"/>
          <w:shd w:val="clear" w:color="auto" w:fill="FFFFFF"/>
        </w:rPr>
        <w:t xml:space="preserve">проведена оценка обеспеченности транспортной инфраструктурой Северо-Западного федерального округа. Выявлены основные проблемы транспортной системы (износ основных фондов, недостаточная пропускная способность транспортных магистралей) и предложены меры </w:t>
      </w:r>
      <w:r w:rsidRPr="00AE24B9">
        <w:rPr>
          <w:i/>
          <w:sz w:val="28"/>
        </w:rPr>
        <w:t>по их решению.</w:t>
      </w:r>
      <w:r w:rsidR="00AE24B9">
        <w:rPr>
          <w:i/>
          <w:sz w:val="28"/>
        </w:rPr>
        <w:t xml:space="preserve"> </w:t>
      </w:r>
      <w:r w:rsidRPr="00AE24B9">
        <w:rPr>
          <w:i/>
          <w:sz w:val="28"/>
        </w:rPr>
        <w:t xml:space="preserve"> </w:t>
      </w:r>
    </w:p>
    <w:p w:rsidR="002E02D0" w:rsidRPr="00AE24B9" w:rsidRDefault="002E02D0" w:rsidP="002E02D0">
      <w:pPr>
        <w:pStyle w:val="pboth"/>
        <w:widowControl w:val="0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9C7297">
        <w:rPr>
          <w:b/>
          <w:bCs/>
          <w:sz w:val="28"/>
          <w:szCs w:val="28"/>
          <w:shd w:val="clear" w:color="auto" w:fill="FFFFFF"/>
        </w:rPr>
        <w:t>Ключевые слова:</w:t>
      </w:r>
      <w:r w:rsidRPr="009C7297">
        <w:rPr>
          <w:bCs/>
          <w:sz w:val="28"/>
          <w:szCs w:val="28"/>
          <w:shd w:val="clear" w:color="auto" w:fill="FFFFFF"/>
        </w:rPr>
        <w:t xml:space="preserve"> </w:t>
      </w:r>
      <w:r w:rsidRPr="00AE24B9">
        <w:rPr>
          <w:bCs/>
          <w:i/>
          <w:sz w:val="28"/>
          <w:szCs w:val="28"/>
          <w:shd w:val="clear" w:color="auto" w:fill="FFFFFF"/>
        </w:rPr>
        <w:t>транспорт, транспортная система, Северо-Западный федеральный округ, экономическое развитие, обеспеченность, транспортная обеспеченность.</w:t>
      </w:r>
    </w:p>
    <w:p w:rsidR="002E02D0" w:rsidRPr="009C7297" w:rsidRDefault="002E02D0" w:rsidP="002E02D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E02D0" w:rsidRDefault="002E02D0" w:rsidP="002E02D0">
      <w:pPr>
        <w:pStyle w:val="af1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Экономическое пространство региона выступает как поле взаимоотношений экономических субъектов, расположенных на его территории. </w:t>
      </w:r>
      <w:r>
        <w:rPr>
          <w:b w:val="0"/>
          <w:sz w:val="28"/>
          <w:szCs w:val="28"/>
        </w:rPr>
        <w:t xml:space="preserve">Неоднородность экономического пространства является следствием дифференциации экономического развития страны в целом и ее отдельных регионов. Это влечет за собой снижение темпов экономического развития периферийных территорий регионов, ослабление механизмов межрегионального экономического взаимодействия. Важным свойством экономического пространства, показывающим </w:t>
      </w:r>
      <w:r>
        <w:rPr>
          <w:b w:val="0"/>
          <w:sz w:val="28"/>
          <w:szCs w:val="24"/>
        </w:rPr>
        <w:t>интенсивность экономических связей, создающих условия для осуществления эффективного (своевременного и экономически выгодного) перемещения людей, грузов, информации посредством развитой транспортной и иной инфраструктуры, является связность</w:t>
      </w:r>
      <w:r w:rsidR="00B95C8F">
        <w:rPr>
          <w:b w:val="0"/>
          <w:sz w:val="28"/>
          <w:szCs w:val="24"/>
        </w:rPr>
        <w:t xml:space="preserve"> </w:t>
      </w:r>
      <w:r w:rsidR="00B95C8F" w:rsidRPr="00B95C8F">
        <w:rPr>
          <w:b w:val="0"/>
          <w:sz w:val="28"/>
          <w:szCs w:val="24"/>
        </w:rPr>
        <w:t>[1]</w:t>
      </w:r>
      <w:r>
        <w:rPr>
          <w:b w:val="0"/>
          <w:sz w:val="28"/>
          <w:szCs w:val="24"/>
        </w:rPr>
        <w:t>.</w:t>
      </w:r>
      <w:r>
        <w:rPr>
          <w:b w:val="0"/>
          <w:sz w:val="28"/>
          <w:szCs w:val="28"/>
        </w:rPr>
        <w:t xml:space="preserve"> </w:t>
      </w:r>
    </w:p>
    <w:p w:rsidR="002E02D0" w:rsidRDefault="002E02D0" w:rsidP="002E02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0">
        <w:rPr>
          <w:rFonts w:ascii="Times New Roman" w:hAnsi="Times New Roman" w:cs="Times New Roman"/>
          <w:sz w:val="28"/>
          <w:szCs w:val="28"/>
        </w:rPr>
        <w:t>Значительная дифференциация в развитии российских регионов, в том числе</w:t>
      </w:r>
      <w:r>
        <w:rPr>
          <w:rFonts w:ascii="Times New Roman" w:hAnsi="Times New Roman" w:cs="Times New Roman"/>
          <w:sz w:val="28"/>
          <w:szCs w:val="28"/>
        </w:rPr>
        <w:t>, обеспеченности их инфраструктурой</w:t>
      </w:r>
      <w:r w:rsidRPr="002E02D0">
        <w:rPr>
          <w:rFonts w:ascii="Times New Roman" w:hAnsi="Times New Roman" w:cs="Times New Roman"/>
          <w:sz w:val="28"/>
          <w:szCs w:val="28"/>
        </w:rPr>
        <w:t>, является существенным препятствием для повышения связности экономического пространства страны.</w:t>
      </w:r>
      <w:r>
        <w:rPr>
          <w:rFonts w:ascii="Times New Roman" w:hAnsi="Times New Roman" w:cs="Times New Roman"/>
          <w:sz w:val="28"/>
          <w:szCs w:val="28"/>
        </w:rPr>
        <w:t xml:space="preserve"> Целью данной работы является оценка обеспеченности регионов </w:t>
      </w:r>
      <w:r w:rsidR="0049030B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49030B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инфраструктурой. </w:t>
      </w:r>
      <w:r w:rsidR="0049030B" w:rsidRPr="009C7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оценку предлагается произвести с помощью коэффициентов Энгеля (формула(1)), Гольца (формула (2)) и Успенского (формула (3)) [</w:t>
      </w:r>
      <w:r w:rsidR="00FC31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30B" w:rsidRPr="009C7297">
        <w:rPr>
          <w:rFonts w:ascii="Times New Roman" w:eastAsia="Times New Roman" w:hAnsi="Times New Roman" w:cs="Times New Roman"/>
          <w:sz w:val="28"/>
          <w:szCs w:val="28"/>
          <w:lang w:eastAsia="ru-RU"/>
        </w:rPr>
        <w:t>], а также показателя густоты сети (формула (4))</w:t>
      </w:r>
      <w:r w:rsidR="00490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30B" w:rsidRPr="009C7297" w:rsidRDefault="00DF00DC" w:rsidP="0049030B">
      <w:pPr>
        <w:widowControl w:val="0"/>
        <w:spacing w:after="0" w:line="360" w:lineRule="auto"/>
        <w:ind w:left="4247" w:firstLine="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28"/>
                <w:lang w:val="en-US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28"/>
                  </w:rPr>
                  <m:t>S∙H</m:t>
                </m:r>
              </m:e>
            </m:rad>
          </m:den>
        </m:f>
      </m:oMath>
      <w:r w:rsidR="0049030B" w:rsidRPr="009C7297">
        <w:rPr>
          <w:rFonts w:ascii="Times New Roman" w:hAnsi="Times New Roman" w:cs="Times New Roman"/>
          <w:sz w:val="28"/>
          <w:szCs w:val="28"/>
        </w:rPr>
        <w:t xml:space="preserve"> </w:t>
      </w:r>
      <w:r w:rsidR="0049030B" w:rsidRPr="009C7297">
        <w:rPr>
          <w:rFonts w:ascii="Times New Roman" w:hAnsi="Times New Roman" w:cs="Times New Roman"/>
          <w:sz w:val="28"/>
          <w:szCs w:val="28"/>
        </w:rPr>
        <w:tab/>
      </w:r>
      <w:r w:rsidR="0049030B" w:rsidRPr="009C7297">
        <w:rPr>
          <w:rFonts w:ascii="Times New Roman" w:hAnsi="Times New Roman" w:cs="Times New Roman"/>
          <w:sz w:val="28"/>
          <w:szCs w:val="28"/>
        </w:rPr>
        <w:tab/>
      </w:r>
      <w:r w:rsidR="0049030B" w:rsidRPr="009C7297">
        <w:rPr>
          <w:rFonts w:ascii="Times New Roman" w:hAnsi="Times New Roman" w:cs="Times New Roman"/>
          <w:sz w:val="28"/>
          <w:szCs w:val="28"/>
        </w:rPr>
        <w:tab/>
      </w:r>
      <w:r w:rsidR="0049030B" w:rsidRPr="009C7297">
        <w:rPr>
          <w:rFonts w:ascii="Times New Roman" w:hAnsi="Times New Roman" w:cs="Times New Roman"/>
          <w:sz w:val="28"/>
          <w:szCs w:val="28"/>
        </w:rPr>
        <w:tab/>
      </w:r>
      <w:r w:rsidR="0049030B" w:rsidRPr="009C7297">
        <w:rPr>
          <w:rFonts w:ascii="Times New Roman" w:hAnsi="Times New Roman" w:cs="Times New Roman"/>
          <w:sz w:val="28"/>
          <w:szCs w:val="28"/>
        </w:rPr>
        <w:tab/>
        <w:t>(1)</w:t>
      </w:r>
    </w:p>
    <w:p w:rsidR="0049030B" w:rsidRPr="0049030B" w:rsidRDefault="0049030B" w:rsidP="0049030B">
      <w:pPr>
        <w:widowControl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9030B">
        <w:rPr>
          <w:rFonts w:ascii="Times New Roman" w:hAnsi="Times New Roman" w:cs="Times New Roman"/>
          <w:sz w:val="24"/>
          <w:szCs w:val="28"/>
        </w:rPr>
        <w:t xml:space="preserve">где: Кэ – коэффициент Энгеля; </w:t>
      </w:r>
    </w:p>
    <w:p w:rsidR="0049030B" w:rsidRPr="0049030B" w:rsidRDefault="0049030B" w:rsidP="0049030B">
      <w:pPr>
        <w:widowControl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9030B">
        <w:rPr>
          <w:rFonts w:ascii="Times New Roman" w:hAnsi="Times New Roman" w:cs="Times New Roman"/>
          <w:sz w:val="24"/>
          <w:szCs w:val="28"/>
        </w:rPr>
        <w:t xml:space="preserve">L – общая длина транспортных путей; </w:t>
      </w:r>
    </w:p>
    <w:p w:rsidR="0049030B" w:rsidRPr="0049030B" w:rsidRDefault="0049030B" w:rsidP="0049030B">
      <w:pPr>
        <w:widowControl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9030B">
        <w:rPr>
          <w:rFonts w:ascii="Times New Roman" w:hAnsi="Times New Roman" w:cs="Times New Roman"/>
          <w:sz w:val="24"/>
          <w:szCs w:val="28"/>
        </w:rPr>
        <w:t xml:space="preserve">S – площадь территории (страны, региона); </w:t>
      </w:r>
    </w:p>
    <w:p w:rsidR="0049030B" w:rsidRPr="0049030B" w:rsidRDefault="0049030B" w:rsidP="0049030B">
      <w:pPr>
        <w:widowControl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9030B">
        <w:rPr>
          <w:rFonts w:ascii="Times New Roman" w:hAnsi="Times New Roman" w:cs="Times New Roman"/>
          <w:sz w:val="24"/>
          <w:szCs w:val="28"/>
        </w:rPr>
        <w:t xml:space="preserve">H – численность населения территории [6]. </w:t>
      </w:r>
    </w:p>
    <w:p w:rsidR="0049030B" w:rsidRPr="009C7297" w:rsidRDefault="00DF00DC" w:rsidP="0049030B">
      <w:pPr>
        <w:widowControl w:val="0"/>
        <w:spacing w:after="0" w:line="360" w:lineRule="auto"/>
        <w:ind w:left="3540" w:firstLine="708"/>
        <w:jc w:val="center"/>
        <w:textAlignment w:val="baseline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г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</w:rPr>
                  <m:t>S∙П</m:t>
                </m:r>
              </m:e>
            </m:rad>
          </m:den>
        </m:f>
      </m:oMath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  <w:t>(2)</w:t>
      </w:r>
    </w:p>
    <w:p w:rsidR="0049030B" w:rsidRPr="0049030B" w:rsidRDefault="0049030B" w:rsidP="0049030B">
      <w:pPr>
        <w:widowControl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9030B">
        <w:rPr>
          <w:rFonts w:ascii="Times New Roman" w:hAnsi="Times New Roman" w:cs="Times New Roman"/>
          <w:sz w:val="24"/>
          <w:szCs w:val="28"/>
        </w:rPr>
        <w:t>где: К</w:t>
      </w:r>
      <w:r w:rsidRPr="0049030B">
        <w:rPr>
          <w:rFonts w:ascii="Times New Roman" w:hAnsi="Times New Roman" w:cs="Times New Roman"/>
          <w:sz w:val="24"/>
          <w:szCs w:val="28"/>
          <w:vertAlign w:val="subscript"/>
        </w:rPr>
        <w:t>Г</w:t>
      </w:r>
      <w:r w:rsidRPr="0049030B">
        <w:rPr>
          <w:rFonts w:ascii="Times New Roman" w:hAnsi="Times New Roman" w:cs="Times New Roman"/>
          <w:sz w:val="24"/>
          <w:szCs w:val="28"/>
        </w:rPr>
        <w:t xml:space="preserve"> – коэффициент Гольца;</w:t>
      </w:r>
    </w:p>
    <w:p w:rsidR="0049030B" w:rsidRPr="0049030B" w:rsidRDefault="0049030B" w:rsidP="0049030B">
      <w:pPr>
        <w:widowControl w:val="0"/>
        <w:spacing w:after="0" w:line="360" w:lineRule="auto"/>
        <w:ind w:left="426" w:firstLine="141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49030B">
        <w:rPr>
          <w:rFonts w:ascii="Times New Roman" w:hAnsi="Times New Roman" w:cs="Times New Roman"/>
          <w:sz w:val="24"/>
          <w:szCs w:val="28"/>
        </w:rPr>
        <w:t>П – число населенных пунктов / предприятий [6].</w:t>
      </w:r>
    </w:p>
    <w:p w:rsidR="0049030B" w:rsidRPr="009C7297" w:rsidRDefault="00DF00DC" w:rsidP="0049030B">
      <w:pPr>
        <w:widowControl w:val="0"/>
        <w:spacing w:after="0" w:line="360" w:lineRule="auto"/>
        <w:ind w:left="3966" w:firstLine="282"/>
        <w:jc w:val="center"/>
        <w:textAlignment w:val="baseline"/>
        <w:rPr>
          <w:rFonts w:ascii="Cambria Math" w:hAnsi="Cambria Math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S∙H∙t</m:t>
                </m:r>
              </m:e>
            </m:rad>
          </m:den>
        </m:f>
      </m:oMath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</w:r>
      <w:r w:rsidR="0049030B" w:rsidRPr="009C7297">
        <w:rPr>
          <w:rFonts w:ascii="Times New Roman" w:eastAsiaTheme="minorEastAsia" w:hAnsi="Times New Roman" w:cs="Times New Roman"/>
          <w:sz w:val="28"/>
          <w:szCs w:val="28"/>
        </w:rPr>
        <w:tab/>
        <w:t xml:space="preserve"> (3)</w:t>
      </w:r>
    </w:p>
    <w:p w:rsidR="0049030B" w:rsidRPr="0049030B" w:rsidRDefault="0049030B" w:rsidP="0049030B">
      <w:pPr>
        <w:widowControl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9030B">
        <w:rPr>
          <w:rFonts w:ascii="Times New Roman" w:hAnsi="Times New Roman" w:cs="Times New Roman"/>
          <w:sz w:val="24"/>
        </w:rPr>
        <w:t xml:space="preserve">где: Ку – коэффициент Успенского; </w:t>
      </w:r>
    </w:p>
    <w:p w:rsidR="0049030B" w:rsidRPr="0049030B" w:rsidRDefault="0049030B" w:rsidP="0049030B">
      <w:pPr>
        <w:widowControl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</w:rPr>
      </w:pPr>
      <w:r w:rsidRPr="0049030B">
        <w:rPr>
          <w:rFonts w:ascii="Times New Roman" w:hAnsi="Times New Roman" w:cs="Times New Roman"/>
          <w:sz w:val="24"/>
        </w:rPr>
        <w:t>t – общий вес отпр</w:t>
      </w:r>
      <w:r w:rsidR="00A0564F">
        <w:rPr>
          <w:rFonts w:ascii="Times New Roman" w:hAnsi="Times New Roman" w:cs="Times New Roman"/>
          <w:sz w:val="24"/>
        </w:rPr>
        <w:t>авляемых на территории грузов [2</w:t>
      </w:r>
      <w:r w:rsidRPr="0049030B">
        <w:rPr>
          <w:rFonts w:ascii="Times New Roman" w:hAnsi="Times New Roman" w:cs="Times New Roman"/>
          <w:sz w:val="24"/>
        </w:rPr>
        <w:t>].</w:t>
      </w:r>
    </w:p>
    <w:p w:rsidR="0049030B" w:rsidRPr="009C7297" w:rsidRDefault="0049030B" w:rsidP="0049030B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297">
        <w:rPr>
          <w:rFonts w:ascii="Times New Roman" w:hAnsi="Times New Roman" w:cs="Times New Roman"/>
          <w:color w:val="000000"/>
          <w:sz w:val="28"/>
          <w:szCs w:val="28"/>
        </w:rPr>
        <w:t>Различия в обеспечении путями сообщения регионов характеризуются показателем густоты сети d</w:t>
      </w:r>
      <w:r w:rsidRPr="009C729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S</w:t>
      </w:r>
      <w:r w:rsidRPr="009C7297">
        <w:rPr>
          <w:rFonts w:ascii="Times New Roman" w:hAnsi="Times New Roman" w:cs="Times New Roman"/>
          <w:color w:val="000000"/>
          <w:sz w:val="28"/>
          <w:szCs w:val="28"/>
        </w:rPr>
        <w:t>, км/100 км</w:t>
      </w:r>
      <w:r w:rsidRPr="009C729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C7297">
        <w:rPr>
          <w:rFonts w:ascii="Times New Roman" w:hAnsi="Times New Roman" w:cs="Times New Roman"/>
          <w:color w:val="000000"/>
          <w:sz w:val="28"/>
          <w:szCs w:val="28"/>
        </w:rPr>
        <w:t xml:space="preserve">, измеряемым отношением протяженности эксплуатационной длины сети L к площади территории S: </w:t>
      </w:r>
    </w:p>
    <w:p w:rsidR="0049030B" w:rsidRPr="0049030B" w:rsidRDefault="00DF00DC" w:rsidP="0049030B">
      <w:pPr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m:t>S</m:t>
            </m:r>
          </m:sub>
        </m:sSub>
        <m:r>
          <m:rPr>
            <m:nor/>
          </m:rPr>
          <w:rPr>
            <w:rFonts w:ascii="Times New Roman" w:hAnsi="Times New Roman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m:t>L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m:t>S</m:t>
            </m:r>
          </m:den>
        </m:f>
      </m:oMath>
      <w:r w:rsidR="0049030B" w:rsidRPr="0049030B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49030B" w:rsidRPr="004903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30B" w:rsidRPr="004903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30B" w:rsidRPr="004903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030B" w:rsidRPr="004903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49030B" w:rsidRPr="0049030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(4)</w:t>
      </w:r>
    </w:p>
    <w:p w:rsidR="002E02D0" w:rsidRPr="009C7297" w:rsidRDefault="002E02D0" w:rsidP="002E02D0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9C7297">
        <w:rPr>
          <w:rFonts w:ascii="Times New Roman" w:hAnsi="Times New Roman" w:cs="Times New Roman"/>
          <w:sz w:val="28"/>
        </w:rPr>
        <w:t xml:space="preserve">В качестве объекта исследования в данной работе используется транспортная система Северо-Западного федерального округа (СЗФО). </w:t>
      </w:r>
      <w:r w:rsidR="0049030B">
        <w:rPr>
          <w:rFonts w:ascii="Times New Roman" w:hAnsi="Times New Roman" w:cs="Times New Roman"/>
          <w:sz w:val="28"/>
        </w:rPr>
        <w:t>Результаты расчета представлены в таблице 1.</w:t>
      </w:r>
    </w:p>
    <w:p w:rsidR="002E02D0" w:rsidRPr="0049030B" w:rsidRDefault="002E02D0" w:rsidP="0049030B">
      <w:pPr>
        <w:widowControl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729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</w:t>
      </w:r>
      <w:r w:rsidRPr="004903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903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49030B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Обеспеченность населения и предприятий транспортом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77"/>
        <w:gridCol w:w="867"/>
        <w:gridCol w:w="992"/>
        <w:gridCol w:w="848"/>
        <w:gridCol w:w="993"/>
        <w:gridCol w:w="567"/>
        <w:gridCol w:w="568"/>
        <w:gridCol w:w="708"/>
        <w:gridCol w:w="674"/>
      </w:tblGrid>
      <w:tr w:rsidR="0049030B" w:rsidRPr="0049030B" w:rsidTr="0049030B">
        <w:trPr>
          <w:trHeight w:val="1282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100860"/>
            <w:bookmarkStart w:id="2" w:name="100862"/>
            <w:bookmarkEnd w:id="1"/>
            <w:bookmarkEnd w:id="2"/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длина транспортных путей (L),тыс. км</w:t>
            </w:r>
          </w:p>
        </w:tc>
        <w:tc>
          <w:tcPr>
            <w:tcW w:w="439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территории. тыс. км</w:t>
            </w:r>
            <w:r w:rsidRPr="0049030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4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населения, тыс. чел.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 населенных пунктов, ед.</w:t>
            </w:r>
          </w:p>
        </w:tc>
        <w:tc>
          <w:tcPr>
            <w:tcW w:w="504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Общий вес отправляемого груза, т</w:t>
            </w:r>
          </w:p>
        </w:tc>
        <w:tc>
          <w:tcPr>
            <w:tcW w:w="287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Коэф. Энгеля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Коэф. Гольца</w:t>
            </w:r>
          </w:p>
        </w:tc>
        <w:tc>
          <w:tcPr>
            <w:tcW w:w="359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Коэф Успенского</w:t>
            </w:r>
          </w:p>
        </w:tc>
        <w:tc>
          <w:tcPr>
            <w:tcW w:w="342" w:type="pct"/>
            <w:shd w:val="clear" w:color="auto" w:fill="auto"/>
            <w:textDirection w:val="btLr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Густота сети по площади</w:t>
            </w:r>
          </w:p>
        </w:tc>
      </w:tr>
      <w:tr w:rsidR="0049030B" w:rsidRPr="0049030B" w:rsidTr="00272C27">
        <w:trPr>
          <w:trHeight w:val="240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1719,6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17125,2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146780,7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156757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126531,3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9030B" w:rsidRPr="0049030B" w:rsidTr="0049030B">
        <w:trPr>
          <w:trHeight w:val="491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Северо-Западный федеральный округ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13972,1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30128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18014,7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9030B" w:rsidRPr="0049030B" w:rsidTr="00272C27">
        <w:trPr>
          <w:trHeight w:val="80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1144,1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2716,3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49030B" w:rsidRPr="0049030B" w:rsidTr="00272C27">
        <w:trPr>
          <w:trHeight w:val="240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1847,9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5894,9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49030B" w:rsidRPr="0049030B" w:rsidTr="00272C27">
        <w:trPr>
          <w:trHeight w:val="130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144,5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1167,7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8212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8213,3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9030B" w:rsidRPr="0049030B" w:rsidTr="00272C27">
        <w:trPr>
          <w:trHeight w:val="161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416,8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49030B" w:rsidRPr="0049030B" w:rsidTr="00272C27">
        <w:trPr>
          <w:trHeight w:val="194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144,9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748,1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49030B" w:rsidRPr="0049030B" w:rsidTr="00272C27">
        <w:trPr>
          <w:trHeight w:val="225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955,8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49030B" w:rsidRPr="0049030B" w:rsidTr="00A0564F">
        <w:trPr>
          <w:trHeight w:val="92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5383,9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2,79</w:t>
            </w:r>
          </w:p>
        </w:tc>
      </w:tr>
      <w:tr w:rsidR="0049030B" w:rsidRPr="0049030B" w:rsidTr="00272C27">
        <w:trPr>
          <w:trHeight w:val="43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49030B" w:rsidRPr="0049030B" w:rsidTr="00272C27">
        <w:trPr>
          <w:trHeight w:val="43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1002,2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0,69</w:t>
            </w:r>
          </w:p>
        </w:tc>
      </w:tr>
      <w:tr w:rsidR="0049030B" w:rsidRPr="0049030B" w:rsidTr="00272C27">
        <w:trPr>
          <w:trHeight w:val="199"/>
        </w:trPr>
        <w:tc>
          <w:tcPr>
            <w:tcW w:w="1350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629,7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8383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2E02D0" w:rsidRPr="0049030B" w:rsidRDefault="002E02D0" w:rsidP="004903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0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2E02D0" w:rsidRPr="0049030B" w:rsidTr="00272C27">
        <w:trPr>
          <w:trHeight w:val="6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E02D0" w:rsidRPr="00A0564F" w:rsidRDefault="002E02D0" w:rsidP="00A056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A0564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Составлено автором</w:t>
            </w:r>
            <w:r w:rsidR="00A0564F" w:rsidRPr="00A0564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по данными Росстат</w:t>
            </w:r>
          </w:p>
        </w:tc>
      </w:tr>
    </w:tbl>
    <w:p w:rsidR="002E02D0" w:rsidRPr="009C7297" w:rsidRDefault="002E02D0" w:rsidP="002E02D0">
      <w:pPr>
        <w:pStyle w:val="pboth"/>
        <w:widowControl w:val="0"/>
        <w:spacing w:before="0" w:beforeAutospacing="0" w:after="0" w:afterAutospacing="0" w:line="360" w:lineRule="auto"/>
        <w:ind w:firstLine="567"/>
        <w:jc w:val="both"/>
      </w:pPr>
      <w:r w:rsidRPr="009C7297">
        <w:t>*ранжировано по коэффициенту Успенского</w:t>
      </w:r>
    </w:p>
    <w:p w:rsidR="002E02D0" w:rsidRPr="009C7297" w:rsidRDefault="00A0564F" w:rsidP="002E02D0">
      <w:pPr>
        <w:pStyle w:val="pboth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Данные коэффициенты не имеют нормативных значений, и ч</w:t>
      </w:r>
      <w:r w:rsidR="00802162">
        <w:rPr>
          <w:sz w:val="28"/>
        </w:rPr>
        <w:t>ем выше значение данных коэффициентов, тем регион более о</w:t>
      </w:r>
      <w:r>
        <w:rPr>
          <w:sz w:val="28"/>
        </w:rPr>
        <w:t xml:space="preserve">беспечен транспортной инфраструктурой </w:t>
      </w:r>
      <w:r w:rsidRPr="009C7297">
        <w:rPr>
          <w:sz w:val="28"/>
        </w:rPr>
        <w:t>[</w:t>
      </w:r>
      <w:r>
        <w:rPr>
          <w:sz w:val="28"/>
        </w:rPr>
        <w:t>2</w:t>
      </w:r>
      <w:r w:rsidRPr="009C7297">
        <w:rPr>
          <w:sz w:val="28"/>
        </w:rPr>
        <w:t>]</w:t>
      </w:r>
      <w:r>
        <w:rPr>
          <w:sz w:val="28"/>
        </w:rPr>
        <w:t xml:space="preserve">. </w:t>
      </w:r>
      <w:r w:rsidR="002E02D0" w:rsidRPr="009C7297">
        <w:rPr>
          <w:sz w:val="28"/>
        </w:rPr>
        <w:t xml:space="preserve">Данные показатели предназначены для выстраивания рейтингов по обеспеченности территорий транспортной инфраструктурой. </w:t>
      </w:r>
    </w:p>
    <w:p w:rsidR="002E02D0" w:rsidRPr="009C7297" w:rsidRDefault="002E02D0" w:rsidP="002E02D0">
      <w:pPr>
        <w:pStyle w:val="pboth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C7297">
        <w:rPr>
          <w:sz w:val="28"/>
        </w:rPr>
        <w:t>Из полученных результатов следует, что наибольший уровень обеспеченности транспортными путями по значению коэффициента Гольца имеет г. Санкт-Петербург, Калининградская и Ленинградская области. Обеспеченность путями по показателю коэффициента Энгеля выше в Новгородской, Псковск</w:t>
      </w:r>
      <w:r w:rsidR="00A0564F">
        <w:rPr>
          <w:sz w:val="28"/>
        </w:rPr>
        <w:t>ой и Калининградской областях. В то же время</w:t>
      </w:r>
      <w:r w:rsidRPr="009C7297">
        <w:rPr>
          <w:sz w:val="28"/>
        </w:rPr>
        <w:t xml:space="preserve"> обеспеченность путями по величине коэффициента Успенского выше в Калининградской и Псковской областях. Наиболее высокие показатели густоты транспортной сети у г. Санкт-Петербург, Калининградской и Псковской областях. </w:t>
      </w:r>
    </w:p>
    <w:p w:rsidR="002E02D0" w:rsidRPr="009C7297" w:rsidRDefault="002548E3" w:rsidP="002E02D0">
      <w:pPr>
        <w:pStyle w:val="pboth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100881"/>
      <w:bookmarkStart w:id="4" w:name="100882"/>
      <w:bookmarkStart w:id="5" w:name="100883"/>
      <w:bookmarkStart w:id="6" w:name="100884"/>
      <w:bookmarkEnd w:id="3"/>
      <w:bookmarkEnd w:id="4"/>
      <w:bookmarkEnd w:id="5"/>
      <w:bookmarkEnd w:id="6"/>
      <w:r>
        <w:rPr>
          <w:sz w:val="28"/>
          <w:szCs w:val="28"/>
        </w:rPr>
        <w:t>Главными</w:t>
      </w:r>
      <w:r w:rsidR="00FC314A">
        <w:rPr>
          <w:sz w:val="28"/>
          <w:szCs w:val="28"/>
        </w:rPr>
        <w:t xml:space="preserve"> проблемами транспортной системы </w:t>
      </w:r>
      <w:r w:rsidR="00675D2D">
        <w:rPr>
          <w:sz w:val="28"/>
          <w:szCs w:val="28"/>
        </w:rPr>
        <w:t>СЗФО</w:t>
      </w:r>
      <w:r w:rsidR="00FC314A">
        <w:rPr>
          <w:sz w:val="28"/>
          <w:szCs w:val="28"/>
        </w:rPr>
        <w:t xml:space="preserve"> </w:t>
      </w:r>
      <w:r w:rsidR="002E02D0" w:rsidRPr="009C7297">
        <w:rPr>
          <w:sz w:val="28"/>
          <w:szCs w:val="28"/>
        </w:rPr>
        <w:t>являются:</w:t>
      </w:r>
      <w:bookmarkStart w:id="7" w:name="100875"/>
      <w:bookmarkEnd w:id="7"/>
      <w:r w:rsidR="002E02D0" w:rsidRPr="009C7297">
        <w:rPr>
          <w:sz w:val="28"/>
          <w:szCs w:val="28"/>
        </w:rPr>
        <w:t xml:space="preserve"> недостаточная пропускная способность</w:t>
      </w:r>
      <w:r w:rsidR="00675D2D">
        <w:rPr>
          <w:sz w:val="28"/>
          <w:szCs w:val="28"/>
        </w:rPr>
        <w:t xml:space="preserve"> магистралей</w:t>
      </w:r>
      <w:r w:rsidR="002E02D0" w:rsidRPr="009C7297">
        <w:rPr>
          <w:sz w:val="28"/>
          <w:szCs w:val="28"/>
        </w:rPr>
        <w:t xml:space="preserve"> и высокая степень износа основных ф</w:t>
      </w:r>
      <w:r w:rsidR="00FC314A">
        <w:rPr>
          <w:sz w:val="28"/>
          <w:szCs w:val="28"/>
        </w:rPr>
        <w:t>ондов транспортного комплекса.</w:t>
      </w:r>
    </w:p>
    <w:p w:rsidR="002E02D0" w:rsidRPr="002548E3" w:rsidRDefault="00FC314A" w:rsidP="00675D2D">
      <w:pPr>
        <w:pStyle w:val="pboth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транспортной системы СЗФО </w:t>
      </w:r>
      <w:r w:rsidR="002E02D0" w:rsidRPr="009C7297">
        <w:rPr>
          <w:sz w:val="28"/>
          <w:szCs w:val="28"/>
        </w:rPr>
        <w:t xml:space="preserve">не </w:t>
      </w:r>
      <w:r w:rsidR="00675D2D">
        <w:rPr>
          <w:sz w:val="28"/>
          <w:szCs w:val="28"/>
        </w:rPr>
        <w:t>позволяет</w:t>
      </w:r>
      <w:r w:rsidR="002E02D0" w:rsidRPr="009C7297">
        <w:rPr>
          <w:sz w:val="28"/>
          <w:szCs w:val="28"/>
        </w:rPr>
        <w:t xml:space="preserve"> </w:t>
      </w:r>
      <w:r w:rsidR="00675D2D">
        <w:rPr>
          <w:sz w:val="28"/>
          <w:szCs w:val="28"/>
        </w:rPr>
        <w:t xml:space="preserve">использовать весь потенциал транспортной системы для </w:t>
      </w:r>
      <w:r w:rsidR="002E02D0" w:rsidRPr="009C7297">
        <w:rPr>
          <w:sz w:val="28"/>
          <w:szCs w:val="28"/>
        </w:rPr>
        <w:t>удовлетвор</w:t>
      </w:r>
      <w:r w:rsidR="00802162">
        <w:rPr>
          <w:sz w:val="28"/>
          <w:szCs w:val="28"/>
        </w:rPr>
        <w:t>ения</w:t>
      </w:r>
      <w:r w:rsidR="002E02D0" w:rsidRPr="009C7297">
        <w:rPr>
          <w:sz w:val="28"/>
          <w:szCs w:val="28"/>
        </w:rPr>
        <w:t xml:space="preserve"> потребности населения и экономики.</w:t>
      </w:r>
      <w:bookmarkStart w:id="8" w:name="100885"/>
      <w:bookmarkStart w:id="9" w:name="100886"/>
      <w:bookmarkStart w:id="10" w:name="100893"/>
      <w:bookmarkStart w:id="11" w:name="100894"/>
      <w:bookmarkStart w:id="12" w:name="100896"/>
      <w:bookmarkStart w:id="13" w:name="100903"/>
      <w:bookmarkStart w:id="14" w:name="100904"/>
      <w:bookmarkEnd w:id="8"/>
      <w:bookmarkEnd w:id="9"/>
      <w:bookmarkEnd w:id="10"/>
      <w:bookmarkEnd w:id="11"/>
      <w:bookmarkEnd w:id="12"/>
      <w:bookmarkEnd w:id="13"/>
      <w:bookmarkEnd w:id="14"/>
      <w:r w:rsidR="002E02D0" w:rsidRPr="009C7297">
        <w:rPr>
          <w:sz w:val="28"/>
          <w:szCs w:val="28"/>
        </w:rPr>
        <w:t xml:space="preserve"> </w:t>
      </w:r>
      <w:r w:rsidR="00675D2D">
        <w:rPr>
          <w:sz w:val="28"/>
          <w:szCs w:val="28"/>
        </w:rPr>
        <w:t xml:space="preserve">Поэтому увеличение пропускной способности транспортных систем, а также обновление основных фондов являются наиболее перспективными путями устранения проблем транспортной инфраструктуры СЗФО. </w:t>
      </w:r>
      <w:bookmarkStart w:id="15" w:name="100927"/>
      <w:bookmarkEnd w:id="15"/>
    </w:p>
    <w:p w:rsidR="00B95C8F" w:rsidRPr="00B95C8F" w:rsidRDefault="002E02D0" w:rsidP="002E02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913"/>
      <w:bookmarkStart w:id="17" w:name="100914"/>
      <w:bookmarkStart w:id="18" w:name="100915"/>
      <w:bookmarkStart w:id="19" w:name="100922"/>
      <w:bookmarkStart w:id="20" w:name="100923"/>
      <w:bookmarkStart w:id="21" w:name="100930"/>
      <w:bookmarkStart w:id="22" w:name="100934"/>
      <w:bookmarkEnd w:id="16"/>
      <w:bookmarkEnd w:id="17"/>
      <w:bookmarkEnd w:id="18"/>
      <w:bookmarkEnd w:id="19"/>
      <w:bookmarkEnd w:id="20"/>
      <w:bookmarkEnd w:id="21"/>
      <w:bookmarkEnd w:id="22"/>
      <w:r w:rsidRPr="009C7297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проведенной работы можно сделать вывод о том, что в настоящее время </w:t>
      </w:r>
      <w:r w:rsidR="00802162">
        <w:rPr>
          <w:rFonts w:ascii="Times New Roman" w:hAnsi="Times New Roman" w:cs="Times New Roman"/>
          <w:sz w:val="28"/>
          <w:szCs w:val="28"/>
        </w:rPr>
        <w:t>регионы</w:t>
      </w:r>
      <w:r w:rsidR="00675D2D">
        <w:rPr>
          <w:rFonts w:ascii="Times New Roman" w:hAnsi="Times New Roman" w:cs="Times New Roman"/>
          <w:sz w:val="28"/>
          <w:szCs w:val="28"/>
        </w:rPr>
        <w:t xml:space="preserve"> </w:t>
      </w:r>
      <w:r w:rsidRPr="009C7297">
        <w:rPr>
          <w:rFonts w:ascii="Times New Roman" w:hAnsi="Times New Roman" w:cs="Times New Roman"/>
          <w:sz w:val="28"/>
          <w:szCs w:val="28"/>
        </w:rPr>
        <w:t xml:space="preserve">Северо-Западного федерального округа </w:t>
      </w:r>
      <w:r w:rsidR="00802162">
        <w:rPr>
          <w:rFonts w:ascii="Times New Roman" w:hAnsi="Times New Roman" w:cs="Times New Roman"/>
          <w:sz w:val="28"/>
          <w:szCs w:val="28"/>
        </w:rPr>
        <w:t xml:space="preserve">не недостаточно обеспечены транспортной инфраструктурой, что создает проблемы для экономического развития. </w:t>
      </w:r>
      <w:r w:rsidR="00B95C8F">
        <w:rPr>
          <w:rFonts w:ascii="Times New Roman" w:hAnsi="Times New Roman" w:cs="Times New Roman"/>
          <w:sz w:val="28"/>
          <w:szCs w:val="28"/>
        </w:rPr>
        <w:t xml:space="preserve">Среди Северо-Западного федерального округа наиболее обеспечены транспортной инфраструктурой </w:t>
      </w:r>
      <w:r w:rsidR="00B95C8F">
        <w:rPr>
          <w:rFonts w:ascii="Times New Roman" w:hAnsi="Times New Roman" w:cs="Times New Roman"/>
          <w:sz w:val="28"/>
          <w:szCs w:val="28"/>
        </w:rPr>
        <w:lastRenderedPageBreak/>
        <w:t>следующие регионы:</w:t>
      </w:r>
      <w:r w:rsidR="00B95C8F" w:rsidRPr="00B95C8F">
        <w:rPr>
          <w:rFonts w:ascii="Times New Roman" w:hAnsi="Times New Roman" w:cs="Times New Roman"/>
          <w:sz w:val="28"/>
          <w:szCs w:val="28"/>
        </w:rPr>
        <w:t xml:space="preserve"> </w:t>
      </w:r>
      <w:r w:rsidR="00B95C8F">
        <w:rPr>
          <w:rFonts w:ascii="Times New Roman" w:hAnsi="Times New Roman" w:cs="Times New Roman"/>
          <w:sz w:val="28"/>
          <w:szCs w:val="28"/>
        </w:rPr>
        <w:t>Калининградская и Псковская области, а также город Санкт-Петербург.</w:t>
      </w:r>
    </w:p>
    <w:p w:rsidR="002E02D0" w:rsidRPr="009C7297" w:rsidRDefault="00FC314A" w:rsidP="002E02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развития транспортной системы является </w:t>
      </w:r>
      <w:r w:rsidR="00B95C8F">
        <w:rPr>
          <w:rFonts w:ascii="Times New Roman" w:hAnsi="Times New Roman" w:cs="Times New Roman"/>
          <w:sz w:val="28"/>
          <w:szCs w:val="28"/>
        </w:rPr>
        <w:t xml:space="preserve">низкое техническое обслуживание, износ основных фондов и недостаточная пропускная способность. </w:t>
      </w:r>
      <w:r w:rsidR="002E02D0" w:rsidRPr="009C7297">
        <w:rPr>
          <w:rFonts w:ascii="Times New Roman" w:hAnsi="Times New Roman" w:cs="Times New Roman"/>
          <w:sz w:val="28"/>
          <w:szCs w:val="28"/>
        </w:rPr>
        <w:t>Необходимость решения этих проблем в СЗФО обусловлена наличием крупных транспортных узлов (Архангельск, Санкт-Петербург, Мурманск, Калининград), обеспечивающие основное сообщение между регионами и странами Европы.</w:t>
      </w:r>
    </w:p>
    <w:p w:rsidR="002E02D0" w:rsidRPr="009C7297" w:rsidRDefault="002E02D0" w:rsidP="002E02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2E02D0" w:rsidRPr="009C7297" w:rsidRDefault="002E02D0" w:rsidP="002E02D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2E02D0" w:rsidRPr="009C7297" w:rsidRDefault="002E02D0" w:rsidP="002E02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C7297">
        <w:rPr>
          <w:rFonts w:ascii="Times New Roman" w:hAnsi="Times New Roman" w:cs="Times New Roman"/>
          <w:sz w:val="28"/>
        </w:rPr>
        <w:t>Статья подготовлена в соответствии с государственным заданием для ФГБУН «Вологодский научный центр РАН» по теме НИР № 0168-2019-0004 «Совершенствование механизмов развития и эффективного использования потенциала социально-экономических систем»</w:t>
      </w:r>
    </w:p>
    <w:p w:rsidR="002E02D0" w:rsidRPr="009C7297" w:rsidRDefault="002E02D0" w:rsidP="002E02D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highlight w:val="cyan"/>
          <w:lang w:eastAsia="ru-RU"/>
        </w:rPr>
      </w:pPr>
    </w:p>
    <w:p w:rsidR="002E02D0" w:rsidRPr="009C7297" w:rsidRDefault="002E02D0" w:rsidP="002E02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C7297">
        <w:rPr>
          <w:rFonts w:ascii="Times New Roman" w:hAnsi="Times New Roman" w:cs="Times New Roman"/>
          <w:b/>
          <w:sz w:val="28"/>
          <w:lang w:eastAsia="ru-RU"/>
        </w:rPr>
        <w:t>Список литературы</w:t>
      </w:r>
    </w:p>
    <w:p w:rsidR="008170E5" w:rsidRPr="002548E3" w:rsidRDefault="002548E3" w:rsidP="002548E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48E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70E5" w:rsidRPr="002548E3">
        <w:rPr>
          <w:rFonts w:ascii="Times New Roman" w:eastAsia="Calibri" w:hAnsi="Times New Roman" w:cs="Times New Roman"/>
          <w:sz w:val="28"/>
          <w:szCs w:val="28"/>
          <w:lang w:eastAsia="ru-RU"/>
        </w:rPr>
        <w:t>Ускова Т.В., Лукин Е.В., Воронцова Т.В., Смирнова Т.Г. Проблемы экономического роста территорий. Вологда: ИСЭРТ РАН, 2013. 170 с.</w:t>
      </w:r>
    </w:p>
    <w:p w:rsidR="002E02D0" w:rsidRPr="002548E3" w:rsidRDefault="002548E3" w:rsidP="002548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02D0" w:rsidRPr="002548E3">
        <w:rPr>
          <w:rFonts w:ascii="Times New Roman" w:hAnsi="Times New Roman" w:cs="Times New Roman"/>
          <w:sz w:val="28"/>
          <w:szCs w:val="28"/>
        </w:rPr>
        <w:t xml:space="preserve">Кожевников С. А., </w:t>
      </w:r>
      <w:r w:rsidR="002E02D0" w:rsidRPr="002548E3">
        <w:rPr>
          <w:rFonts w:ascii="Times New Roman" w:hAnsi="Times New Roman" w:cs="Times New Roman"/>
          <w:bCs/>
          <w:sz w:val="28"/>
          <w:szCs w:val="32"/>
        </w:rPr>
        <w:t>Пространственное и территориальное развитие Европейского Севера России: тенденции и приоритеты трансформации // Экономические и социальные перемены: факты, тенденции, прогноз. 2019.  Т12. №6. С. 91-109.</w:t>
      </w:r>
    </w:p>
    <w:p w:rsidR="00B95C8F" w:rsidRPr="002548E3" w:rsidRDefault="00B95C8F" w:rsidP="00AE24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E02D0" w:rsidRPr="002548E3" w:rsidRDefault="00AE24B9" w:rsidP="00AE24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548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Информация об авторе:</w:t>
      </w:r>
    </w:p>
    <w:p w:rsidR="002E02D0" w:rsidRPr="006E54E3" w:rsidRDefault="002E02D0" w:rsidP="002E02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Лебедева Надежда Анатольевна – инженер исследователь отдела проблем социально-экономического развития и управления в территориальных системах. Федеральное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государственное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бюджетное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науки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Вологодский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научный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академии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наук</w:t>
      </w:r>
      <w:r w:rsidRPr="006E54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</w:p>
    <w:p w:rsidR="002E02D0" w:rsidRPr="00A0564F" w:rsidRDefault="002E02D0" w:rsidP="0049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e-mail</w:t>
      </w:r>
      <w:r w:rsidRPr="00D47D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hyperlink r:id="rId8" w:history="1">
        <w:r w:rsidR="00FC314A" w:rsidRPr="00A0564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nadezhdalebedeva1@mail.ru</w:t>
        </w:r>
      </w:hyperlink>
    </w:p>
    <w:p w:rsidR="00FC314A" w:rsidRPr="00A0564F" w:rsidRDefault="00FC314A" w:rsidP="00490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FC314A" w:rsidRPr="00FC314A" w:rsidRDefault="00FC314A" w:rsidP="00FC314A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FC31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lastRenderedPageBreak/>
        <w:t>N. A. Lebedeva</w:t>
      </w:r>
    </w:p>
    <w:p w:rsidR="002E02D0" w:rsidRPr="00A0564F" w:rsidRDefault="00E737A6" w:rsidP="00E737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E737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ASSESSMENT OF TRANSPORT INFRAST</w:t>
      </w:r>
      <w:r w:rsidR="00BA20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RUCTURE AVAILABILITY IN THE </w:t>
      </w:r>
      <w:r w:rsidR="00DF00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NORTH-WESTERN FEDERAL DISTRICT`S</w:t>
      </w:r>
      <w:r w:rsidRPr="00E737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REGIONS</w:t>
      </w:r>
    </w:p>
    <w:p w:rsidR="002E02D0" w:rsidRPr="00FC314A" w:rsidRDefault="002E02D0" w:rsidP="00AE24B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24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Abstract: </w:t>
      </w:r>
      <w:r w:rsidR="00AE24B9" w:rsidRPr="00FC31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The article assesses the availability of transport infrastructure in the North-Western Federal district. The main problems of the transport system (depreciation of fixed assets, insufficient capacity of transport highways) are identified and measures to solve them are proposed.</w:t>
      </w:r>
    </w:p>
    <w:p w:rsidR="002E02D0" w:rsidRDefault="002E02D0" w:rsidP="008170E5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9C72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Keywords:</w:t>
      </w:r>
      <w:r w:rsidRPr="009C72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FC314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>transport, transport system, Northwestern Federal District, economic development, provision of a transport network</w:t>
      </w:r>
      <w:r w:rsidRPr="009C72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  <w:r w:rsidRPr="00D47D8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2E02D0" w:rsidRPr="00D47D8A" w:rsidRDefault="002E02D0" w:rsidP="008170E5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</w:p>
    <w:p w:rsidR="002E02D0" w:rsidRPr="00D47D8A" w:rsidRDefault="002E02D0" w:rsidP="00817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" w:eastAsia="ru-RU"/>
        </w:rPr>
      </w:pPr>
      <w:r w:rsidRPr="00D47D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" w:eastAsia="ru-RU"/>
        </w:rPr>
        <w:t>Information about authors:</w:t>
      </w:r>
    </w:p>
    <w:p w:rsidR="00FC314A" w:rsidRPr="00A0564F" w:rsidRDefault="002E02D0" w:rsidP="00F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D47D8A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>Lebedeva Nadezhda Anatolyevna - engineer researcher of the department of socio-economic development and management of territorial systems. Federal State Budgetary Institution of Science "Vologda Scientific Center of the Russian Academy of Sciences".</w:t>
      </w:r>
      <w:r w:rsidR="00FC314A" w:rsidRPr="00FC31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</w:p>
    <w:p w:rsidR="002E02D0" w:rsidRPr="00D47D8A" w:rsidRDefault="002E02D0" w:rsidP="00F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e-mail</w:t>
      </w:r>
      <w:r w:rsidRPr="00D47D8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nadezhdalebedeva1@mail.ru</w:t>
      </w:r>
    </w:p>
    <w:p w:rsidR="002E02D0" w:rsidRPr="00D47D8A" w:rsidRDefault="002E02D0" w:rsidP="002E02D0">
      <w:pPr>
        <w:pStyle w:val="HTML"/>
        <w:widowControl w:val="0"/>
        <w:spacing w:line="360" w:lineRule="auto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2E02D0" w:rsidRPr="002548E3" w:rsidRDefault="002E02D0" w:rsidP="008170E5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2548E3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References</w:t>
      </w:r>
    </w:p>
    <w:p w:rsidR="00B95C8F" w:rsidRPr="002548E3" w:rsidRDefault="002548E3" w:rsidP="002548E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548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1.</w:t>
      </w:r>
      <w:r>
        <w:rPr>
          <w:rFonts w:ascii="Times New Roman" w:eastAsia="Calibri" w:hAnsi="Times New Roman" w:cs="Times New Roman"/>
          <w:sz w:val="28"/>
          <w:szCs w:val="24"/>
          <w:lang w:val="en-US" w:eastAsia="ru-RU"/>
        </w:rPr>
        <w:t xml:space="preserve"> </w:t>
      </w:r>
      <w:r w:rsidR="008170E5" w:rsidRPr="002548E3">
        <w:rPr>
          <w:rFonts w:ascii="Times New Roman" w:eastAsia="Calibri" w:hAnsi="Times New Roman" w:cs="Times New Roman"/>
          <w:sz w:val="28"/>
          <w:szCs w:val="24"/>
          <w:lang w:val="en-US" w:eastAsia="ru-RU"/>
        </w:rPr>
        <w:t xml:space="preserve">Uskova T. V., Lukin E. V., Vorontsova T. V., Smirnova T. G. Problems of </w:t>
      </w:r>
      <w:r w:rsidR="008170E5" w:rsidRPr="002548E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economic growth of the territory. Vologda: ISERT RAS, 2013. 170 p.</w:t>
      </w:r>
    </w:p>
    <w:p w:rsidR="00E737A6" w:rsidRPr="002548E3" w:rsidRDefault="002548E3" w:rsidP="002548E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2548E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737A6" w:rsidRPr="002548E3">
        <w:rPr>
          <w:rFonts w:ascii="Times New Roman" w:hAnsi="Times New Roman" w:cs="Times New Roman"/>
          <w:sz w:val="28"/>
          <w:szCs w:val="28"/>
          <w:lang w:val="en-US"/>
        </w:rPr>
        <w:t>Kozhevnikov S. A., Spatial and territorial development of the European North of Russia: trends and priorities of transformation. Economic and social changes: facts, trends, forecast. 2019. T12. no. 6. 91-109 pp.</w:t>
      </w:r>
    </w:p>
    <w:p w:rsidR="002E02D0" w:rsidRPr="002548E3" w:rsidRDefault="002E02D0" w:rsidP="00E737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</w:p>
    <w:p w:rsidR="00802162" w:rsidRPr="002548E3" w:rsidRDefault="008021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</w:p>
    <w:sectPr w:rsidR="00802162" w:rsidRPr="002548E3" w:rsidSect="00E737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BC" w:rsidRDefault="00802162">
      <w:pPr>
        <w:spacing w:after="0" w:line="240" w:lineRule="auto"/>
      </w:pPr>
      <w:r>
        <w:separator/>
      </w:r>
    </w:p>
  </w:endnote>
  <w:endnote w:type="continuationSeparator" w:id="0">
    <w:p w:rsidR="00A35CBC" w:rsidRDefault="0080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6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C23C5" w:rsidRPr="006F33B3" w:rsidRDefault="008170E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F33B3">
          <w:rPr>
            <w:rFonts w:ascii="Times New Roman" w:hAnsi="Times New Roman" w:cs="Times New Roman"/>
            <w:sz w:val="28"/>
          </w:rPr>
          <w:fldChar w:fldCharType="begin"/>
        </w:r>
        <w:r w:rsidRPr="006F33B3">
          <w:rPr>
            <w:rFonts w:ascii="Times New Roman" w:hAnsi="Times New Roman" w:cs="Times New Roman"/>
            <w:sz w:val="28"/>
          </w:rPr>
          <w:instrText>PAGE   \* MERGEFORMAT</w:instrText>
        </w:r>
        <w:r w:rsidRPr="006F33B3">
          <w:rPr>
            <w:rFonts w:ascii="Times New Roman" w:hAnsi="Times New Roman" w:cs="Times New Roman"/>
            <w:sz w:val="28"/>
          </w:rPr>
          <w:fldChar w:fldCharType="separate"/>
        </w:r>
        <w:r w:rsidR="00DF00DC">
          <w:rPr>
            <w:rFonts w:ascii="Times New Roman" w:hAnsi="Times New Roman" w:cs="Times New Roman"/>
            <w:noProof/>
            <w:sz w:val="28"/>
          </w:rPr>
          <w:t>1</w:t>
        </w:r>
        <w:r w:rsidRPr="006F33B3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BC" w:rsidRDefault="00802162">
      <w:pPr>
        <w:spacing w:after="0" w:line="240" w:lineRule="auto"/>
      </w:pPr>
      <w:r>
        <w:separator/>
      </w:r>
    </w:p>
  </w:footnote>
  <w:footnote w:type="continuationSeparator" w:id="0">
    <w:p w:rsidR="00A35CBC" w:rsidRDefault="0080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53F"/>
    <w:multiLevelType w:val="hybridMultilevel"/>
    <w:tmpl w:val="BAD29BC2"/>
    <w:lvl w:ilvl="0" w:tplc="8B1411F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A7481"/>
    <w:multiLevelType w:val="hybridMultilevel"/>
    <w:tmpl w:val="3CAAB2AA"/>
    <w:lvl w:ilvl="0" w:tplc="8F7C051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A26C43"/>
    <w:multiLevelType w:val="hybridMultilevel"/>
    <w:tmpl w:val="7CCAD7C6"/>
    <w:lvl w:ilvl="0" w:tplc="7EBA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494CD5"/>
    <w:multiLevelType w:val="hybridMultilevel"/>
    <w:tmpl w:val="4DE4762E"/>
    <w:lvl w:ilvl="0" w:tplc="221AA4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6861"/>
    <w:multiLevelType w:val="hybridMultilevel"/>
    <w:tmpl w:val="2222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C38F4"/>
    <w:multiLevelType w:val="hybridMultilevel"/>
    <w:tmpl w:val="7CCAD7C6"/>
    <w:lvl w:ilvl="0" w:tplc="7EBA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31771"/>
    <w:multiLevelType w:val="hybridMultilevel"/>
    <w:tmpl w:val="7CCAD7C6"/>
    <w:lvl w:ilvl="0" w:tplc="7EBA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A0500"/>
    <w:multiLevelType w:val="hybridMultilevel"/>
    <w:tmpl w:val="1D882C7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49B2"/>
    <w:multiLevelType w:val="hybridMultilevel"/>
    <w:tmpl w:val="97E82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D39E7"/>
    <w:multiLevelType w:val="hybridMultilevel"/>
    <w:tmpl w:val="B10244C4"/>
    <w:lvl w:ilvl="0" w:tplc="221AA45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67178"/>
    <w:multiLevelType w:val="hybridMultilevel"/>
    <w:tmpl w:val="FE3CED04"/>
    <w:lvl w:ilvl="0" w:tplc="3AFA092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032332"/>
    <w:multiLevelType w:val="hybridMultilevel"/>
    <w:tmpl w:val="7CCAD7C6"/>
    <w:lvl w:ilvl="0" w:tplc="7EBA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F0997"/>
    <w:multiLevelType w:val="hybridMultilevel"/>
    <w:tmpl w:val="7CCAD7C6"/>
    <w:lvl w:ilvl="0" w:tplc="7EBA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01A63"/>
    <w:multiLevelType w:val="hybridMultilevel"/>
    <w:tmpl w:val="E9A4C1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6F765FB"/>
    <w:multiLevelType w:val="hybridMultilevel"/>
    <w:tmpl w:val="5A8C48D2"/>
    <w:lvl w:ilvl="0" w:tplc="2208D6E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575C"/>
    <w:multiLevelType w:val="hybridMultilevel"/>
    <w:tmpl w:val="51E08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B87C4B"/>
    <w:multiLevelType w:val="hybridMultilevel"/>
    <w:tmpl w:val="67D0F4B8"/>
    <w:lvl w:ilvl="0" w:tplc="8C54F9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445264"/>
    <w:multiLevelType w:val="hybridMultilevel"/>
    <w:tmpl w:val="4A04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D7F4E"/>
    <w:multiLevelType w:val="hybridMultilevel"/>
    <w:tmpl w:val="26F0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7B54"/>
    <w:multiLevelType w:val="multilevel"/>
    <w:tmpl w:val="52EE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33044"/>
    <w:multiLevelType w:val="multilevel"/>
    <w:tmpl w:val="C84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178D7"/>
    <w:multiLevelType w:val="hybridMultilevel"/>
    <w:tmpl w:val="2216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777912"/>
    <w:multiLevelType w:val="multilevel"/>
    <w:tmpl w:val="E6B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D1E4E"/>
    <w:multiLevelType w:val="hybridMultilevel"/>
    <w:tmpl w:val="893E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113E4"/>
    <w:multiLevelType w:val="hybridMultilevel"/>
    <w:tmpl w:val="79D67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B629B"/>
    <w:multiLevelType w:val="hybridMultilevel"/>
    <w:tmpl w:val="FE3CED04"/>
    <w:lvl w:ilvl="0" w:tplc="3AFA092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AE4CEF"/>
    <w:multiLevelType w:val="hybridMultilevel"/>
    <w:tmpl w:val="210C25CA"/>
    <w:lvl w:ilvl="0" w:tplc="D94CB7FE">
      <w:start w:val="2"/>
      <w:numFmt w:val="decimal"/>
      <w:lvlText w:val="%1."/>
      <w:lvlJc w:val="left"/>
      <w:pPr>
        <w:ind w:left="19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7">
    <w:nsid w:val="66B91CC4"/>
    <w:multiLevelType w:val="hybridMultilevel"/>
    <w:tmpl w:val="9796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159AA"/>
    <w:multiLevelType w:val="hybridMultilevel"/>
    <w:tmpl w:val="286E7F30"/>
    <w:lvl w:ilvl="0" w:tplc="95F453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4D37E1"/>
    <w:multiLevelType w:val="hybridMultilevel"/>
    <w:tmpl w:val="C13A84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F15371E"/>
    <w:multiLevelType w:val="hybridMultilevel"/>
    <w:tmpl w:val="5EB8244A"/>
    <w:lvl w:ilvl="0" w:tplc="8B1411F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39358F"/>
    <w:multiLevelType w:val="hybridMultilevel"/>
    <w:tmpl w:val="948A1786"/>
    <w:lvl w:ilvl="0" w:tplc="DA00C8BE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436AF2"/>
    <w:multiLevelType w:val="hybridMultilevel"/>
    <w:tmpl w:val="FE3CED04"/>
    <w:lvl w:ilvl="0" w:tplc="3AFA092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615338"/>
    <w:multiLevelType w:val="hybridMultilevel"/>
    <w:tmpl w:val="B1F21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A7020F"/>
    <w:multiLevelType w:val="hybridMultilevel"/>
    <w:tmpl w:val="7CCAD7C6"/>
    <w:lvl w:ilvl="0" w:tplc="7EBA1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21"/>
  </w:num>
  <w:num w:numId="5">
    <w:abstractNumId w:val="4"/>
  </w:num>
  <w:num w:numId="6">
    <w:abstractNumId w:val="8"/>
  </w:num>
  <w:num w:numId="7">
    <w:abstractNumId w:val="13"/>
  </w:num>
  <w:num w:numId="8">
    <w:abstractNumId w:val="3"/>
  </w:num>
  <w:num w:numId="9">
    <w:abstractNumId w:val="16"/>
  </w:num>
  <w:num w:numId="10">
    <w:abstractNumId w:val="15"/>
  </w:num>
  <w:num w:numId="11">
    <w:abstractNumId w:val="1"/>
  </w:num>
  <w:num w:numId="12">
    <w:abstractNumId w:val="6"/>
  </w:num>
  <w:num w:numId="13">
    <w:abstractNumId w:val="34"/>
  </w:num>
  <w:num w:numId="14">
    <w:abstractNumId w:val="5"/>
  </w:num>
  <w:num w:numId="15">
    <w:abstractNumId w:val="11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30"/>
  </w:num>
  <w:num w:numId="21">
    <w:abstractNumId w:val="7"/>
  </w:num>
  <w:num w:numId="22">
    <w:abstractNumId w:val="20"/>
  </w:num>
  <w:num w:numId="23">
    <w:abstractNumId w:val="32"/>
  </w:num>
  <w:num w:numId="24">
    <w:abstractNumId w:val="10"/>
  </w:num>
  <w:num w:numId="25">
    <w:abstractNumId w:val="25"/>
  </w:num>
  <w:num w:numId="26">
    <w:abstractNumId w:val="23"/>
  </w:num>
  <w:num w:numId="27">
    <w:abstractNumId w:val="33"/>
  </w:num>
  <w:num w:numId="28">
    <w:abstractNumId w:val="29"/>
  </w:num>
  <w:num w:numId="29">
    <w:abstractNumId w:val="14"/>
  </w:num>
  <w:num w:numId="30">
    <w:abstractNumId w:val="27"/>
  </w:num>
  <w:num w:numId="31">
    <w:abstractNumId w:val="17"/>
  </w:num>
  <w:num w:numId="32">
    <w:abstractNumId w:val="24"/>
  </w:num>
  <w:num w:numId="33">
    <w:abstractNumId w:val="18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D0"/>
    <w:rsid w:val="002548E3"/>
    <w:rsid w:val="002E02D0"/>
    <w:rsid w:val="0049030B"/>
    <w:rsid w:val="00675D2D"/>
    <w:rsid w:val="00802162"/>
    <w:rsid w:val="008170E5"/>
    <w:rsid w:val="009B35BA"/>
    <w:rsid w:val="00A0564F"/>
    <w:rsid w:val="00A35CBC"/>
    <w:rsid w:val="00AE24B9"/>
    <w:rsid w:val="00B95C8F"/>
    <w:rsid w:val="00BA2062"/>
    <w:rsid w:val="00DF00DC"/>
    <w:rsid w:val="00E737A6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D0"/>
  </w:style>
  <w:style w:type="paragraph" w:styleId="1">
    <w:name w:val="heading 1"/>
    <w:basedOn w:val="a"/>
    <w:next w:val="a"/>
    <w:link w:val="10"/>
    <w:uiPriority w:val="9"/>
    <w:qFormat/>
    <w:rsid w:val="002E0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2D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E02D0"/>
    <w:pPr>
      <w:spacing w:line="22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2E02D0"/>
    <w:pPr>
      <w:ind w:left="720"/>
      <w:contextualSpacing/>
    </w:pPr>
  </w:style>
  <w:style w:type="character" w:styleId="a6">
    <w:name w:val="Strong"/>
    <w:basedOn w:val="a0"/>
    <w:uiPriority w:val="22"/>
    <w:qFormat/>
    <w:rsid w:val="002E02D0"/>
    <w:rPr>
      <w:b/>
      <w:bCs/>
    </w:rPr>
  </w:style>
  <w:style w:type="paragraph" w:styleId="a7">
    <w:name w:val="header"/>
    <w:basedOn w:val="a"/>
    <w:link w:val="a8"/>
    <w:uiPriority w:val="99"/>
    <w:unhideWhenUsed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2D0"/>
  </w:style>
  <w:style w:type="paragraph" w:styleId="a9">
    <w:name w:val="footer"/>
    <w:basedOn w:val="a"/>
    <w:link w:val="aa"/>
    <w:uiPriority w:val="99"/>
    <w:unhideWhenUsed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2D0"/>
  </w:style>
  <w:style w:type="character" w:styleId="ab">
    <w:name w:val="Hyperlink"/>
    <w:basedOn w:val="a0"/>
    <w:uiPriority w:val="99"/>
    <w:unhideWhenUsed/>
    <w:rsid w:val="002E02D0"/>
    <w:rPr>
      <w:color w:val="0000FF"/>
      <w:u w:val="single"/>
    </w:rPr>
  </w:style>
  <w:style w:type="paragraph" w:customStyle="1" w:styleId="pboth">
    <w:name w:val="pboth"/>
    <w:basedOn w:val="a"/>
    <w:rsid w:val="002E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E02D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2D0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2E02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E02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02D0"/>
    <w:pPr>
      <w:spacing w:after="100"/>
    </w:pPr>
  </w:style>
  <w:style w:type="paragraph" w:styleId="HTML">
    <w:name w:val="HTML Preformatted"/>
    <w:basedOn w:val="a"/>
    <w:link w:val="HTML0"/>
    <w:uiPriority w:val="99"/>
    <w:unhideWhenUsed/>
    <w:rsid w:val="002E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2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E02D0"/>
    <w:rPr>
      <w:i/>
      <w:iCs/>
    </w:rPr>
  </w:style>
  <w:style w:type="paragraph" w:customStyle="1" w:styleId="af1">
    <w:name w:val="Подпись рис"/>
    <w:rsid w:val="002E02D0"/>
    <w:pPr>
      <w:spacing w:after="0" w:line="216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D0"/>
  </w:style>
  <w:style w:type="paragraph" w:styleId="1">
    <w:name w:val="heading 1"/>
    <w:basedOn w:val="a"/>
    <w:next w:val="a"/>
    <w:link w:val="10"/>
    <w:uiPriority w:val="9"/>
    <w:qFormat/>
    <w:rsid w:val="002E0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02D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E02D0"/>
    <w:pPr>
      <w:spacing w:line="22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2E02D0"/>
    <w:pPr>
      <w:ind w:left="720"/>
      <w:contextualSpacing/>
    </w:pPr>
  </w:style>
  <w:style w:type="character" w:styleId="a6">
    <w:name w:val="Strong"/>
    <w:basedOn w:val="a0"/>
    <w:uiPriority w:val="22"/>
    <w:qFormat/>
    <w:rsid w:val="002E02D0"/>
    <w:rPr>
      <w:b/>
      <w:bCs/>
    </w:rPr>
  </w:style>
  <w:style w:type="paragraph" w:styleId="a7">
    <w:name w:val="header"/>
    <w:basedOn w:val="a"/>
    <w:link w:val="a8"/>
    <w:uiPriority w:val="99"/>
    <w:unhideWhenUsed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2D0"/>
  </w:style>
  <w:style w:type="paragraph" w:styleId="a9">
    <w:name w:val="footer"/>
    <w:basedOn w:val="a"/>
    <w:link w:val="aa"/>
    <w:uiPriority w:val="99"/>
    <w:unhideWhenUsed/>
    <w:rsid w:val="002E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2D0"/>
  </w:style>
  <w:style w:type="character" w:styleId="ab">
    <w:name w:val="Hyperlink"/>
    <w:basedOn w:val="a0"/>
    <w:uiPriority w:val="99"/>
    <w:unhideWhenUsed/>
    <w:rsid w:val="002E02D0"/>
    <w:rPr>
      <w:color w:val="0000FF"/>
      <w:u w:val="single"/>
    </w:rPr>
  </w:style>
  <w:style w:type="paragraph" w:customStyle="1" w:styleId="pboth">
    <w:name w:val="pboth"/>
    <w:basedOn w:val="a"/>
    <w:rsid w:val="002E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2E02D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E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2D0"/>
    <w:rPr>
      <w:rFonts w:ascii="Tahoma" w:hAnsi="Tahoma" w:cs="Tahoma"/>
      <w:sz w:val="16"/>
      <w:szCs w:val="16"/>
    </w:rPr>
  </w:style>
  <w:style w:type="paragraph" w:customStyle="1" w:styleId="32">
    <w:name w:val="Основной текст 32"/>
    <w:basedOn w:val="a"/>
    <w:rsid w:val="002E02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E02D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02D0"/>
    <w:pPr>
      <w:spacing w:after="100"/>
    </w:pPr>
  </w:style>
  <w:style w:type="paragraph" w:styleId="HTML">
    <w:name w:val="HTML Preformatted"/>
    <w:basedOn w:val="a"/>
    <w:link w:val="HTML0"/>
    <w:uiPriority w:val="99"/>
    <w:unhideWhenUsed/>
    <w:rsid w:val="002E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2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E02D0"/>
    <w:rPr>
      <w:i/>
      <w:iCs/>
    </w:rPr>
  </w:style>
  <w:style w:type="paragraph" w:customStyle="1" w:styleId="af1">
    <w:name w:val="Подпись рис"/>
    <w:rsid w:val="002E02D0"/>
    <w:pPr>
      <w:spacing w:after="0" w:line="216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lebedeva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Надежда Анатольевна Лебедева</cp:lastModifiedBy>
  <cp:revision>2</cp:revision>
  <dcterms:created xsi:type="dcterms:W3CDTF">2020-11-26T10:54:00Z</dcterms:created>
  <dcterms:modified xsi:type="dcterms:W3CDTF">2020-11-26T10:54:00Z</dcterms:modified>
</cp:coreProperties>
</file>