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4C9" w:rsidRPr="00362CFE" w:rsidRDefault="00AC14C9" w:rsidP="00362CFE">
      <w:pPr>
        <w:pStyle w:val="1"/>
        <w:spacing w:before="0" w:after="0"/>
        <w:jc w:val="both"/>
        <w:rPr>
          <w:rFonts w:ascii="Times New Roman" w:hAnsi="Times New Roman" w:cs="Times New Roman"/>
          <w:color w:val="000000"/>
          <w:sz w:val="24"/>
          <w:szCs w:val="24"/>
        </w:rPr>
      </w:pPr>
      <w:bookmarkStart w:id="0" w:name="_Toc66903598"/>
      <w:bookmarkStart w:id="1" w:name="_Toc66907629"/>
      <w:r w:rsidRPr="00362CFE">
        <w:rPr>
          <w:rFonts w:ascii="Times New Roman" w:hAnsi="Times New Roman" w:cs="Times New Roman"/>
          <w:color w:val="000000"/>
          <w:sz w:val="24"/>
          <w:szCs w:val="24"/>
        </w:rPr>
        <w:t>338.27</w:t>
      </w:r>
    </w:p>
    <w:p w:rsidR="00AC14C9" w:rsidRPr="00362CFE" w:rsidRDefault="00AC14C9" w:rsidP="00362CFE">
      <w:pPr>
        <w:jc w:val="right"/>
        <w:rPr>
          <w:rFonts w:ascii="Times New Roman" w:hAnsi="Times New Roman" w:cs="Times New Roman"/>
          <w:b/>
          <w:sz w:val="24"/>
        </w:rPr>
      </w:pPr>
      <w:r w:rsidRPr="00362CFE">
        <w:rPr>
          <w:rFonts w:ascii="Times New Roman" w:hAnsi="Times New Roman" w:cs="Times New Roman"/>
          <w:b/>
          <w:sz w:val="24"/>
        </w:rPr>
        <w:t>Чикина В.А.</w:t>
      </w:r>
    </w:p>
    <w:p w:rsidR="006401D9" w:rsidRPr="00362CFE" w:rsidRDefault="006401D9" w:rsidP="00362CFE">
      <w:pPr>
        <w:pStyle w:val="1"/>
        <w:spacing w:before="0" w:after="0"/>
        <w:jc w:val="center"/>
        <w:rPr>
          <w:rFonts w:ascii="Times New Roman" w:hAnsi="Times New Roman" w:cs="Times New Roman"/>
          <w:sz w:val="24"/>
          <w:szCs w:val="24"/>
        </w:rPr>
      </w:pPr>
      <w:bookmarkStart w:id="2" w:name="_Toc66903600"/>
      <w:bookmarkStart w:id="3" w:name="_Toc66907631"/>
      <w:bookmarkEnd w:id="0"/>
      <w:bookmarkEnd w:id="1"/>
      <w:r w:rsidRPr="00362CFE">
        <w:rPr>
          <w:rFonts w:ascii="Times New Roman" w:hAnsi="Times New Roman" w:cs="Times New Roman"/>
          <w:sz w:val="24"/>
          <w:szCs w:val="24"/>
        </w:rPr>
        <w:t>ЭМПИРИЧЕСКИЕ ЭКОНОМИЧЕСКИЕ ПРОГНОЗЫ</w:t>
      </w:r>
      <w:bookmarkEnd w:id="2"/>
      <w:bookmarkEnd w:id="3"/>
      <w:r w:rsidRPr="00362CFE">
        <w:rPr>
          <w:rFonts w:ascii="Times New Roman" w:hAnsi="Times New Roman" w:cs="Times New Roman"/>
          <w:sz w:val="24"/>
          <w:szCs w:val="24"/>
        </w:rPr>
        <w:t xml:space="preserve"> </w:t>
      </w:r>
      <w:r w:rsidR="00362CFE" w:rsidRPr="00362CFE">
        <w:rPr>
          <w:rFonts w:ascii="Times New Roman" w:hAnsi="Times New Roman" w:cs="Times New Roman"/>
          <w:sz w:val="24"/>
          <w:szCs w:val="24"/>
        </w:rPr>
        <w:t xml:space="preserve">МИРОВОЙ ЭКОНОМИКИ В РЕЗУЛЬТАТЕ ПОСЛЕДСТВИЙ </w:t>
      </w:r>
      <w:r w:rsidR="00362CFE" w:rsidRPr="00362CFE">
        <w:rPr>
          <w:rFonts w:ascii="Times New Roman" w:hAnsi="Times New Roman" w:cs="Times New Roman"/>
          <w:sz w:val="24"/>
          <w:szCs w:val="24"/>
          <w:lang w:val="en-US"/>
        </w:rPr>
        <w:t>COVID</w:t>
      </w:r>
      <w:r w:rsidR="00362CFE" w:rsidRPr="00362CFE">
        <w:rPr>
          <w:rFonts w:ascii="Times New Roman" w:hAnsi="Times New Roman" w:cs="Times New Roman"/>
          <w:sz w:val="24"/>
          <w:szCs w:val="24"/>
        </w:rPr>
        <w:t>-19</w:t>
      </w:r>
    </w:p>
    <w:p w:rsidR="006274FC" w:rsidRPr="00362CFE" w:rsidRDefault="006274FC" w:rsidP="00362CFE">
      <w:pPr>
        <w:jc w:val="both"/>
        <w:rPr>
          <w:rFonts w:ascii="Times New Roman" w:hAnsi="Times New Roman" w:cs="Times New Roman"/>
          <w:sz w:val="24"/>
        </w:rPr>
      </w:pPr>
    </w:p>
    <w:p w:rsidR="006274FC" w:rsidRPr="00362CFE" w:rsidRDefault="006274FC" w:rsidP="00362CFE">
      <w:pPr>
        <w:jc w:val="both"/>
        <w:rPr>
          <w:rFonts w:ascii="Times New Roman" w:hAnsi="Times New Roman" w:cs="Times New Roman"/>
          <w:b/>
          <w:sz w:val="24"/>
        </w:rPr>
      </w:pPr>
      <w:r w:rsidRPr="00362CFE">
        <w:rPr>
          <w:rFonts w:ascii="Times New Roman" w:hAnsi="Times New Roman" w:cs="Times New Roman"/>
          <w:b/>
          <w:sz w:val="24"/>
        </w:rPr>
        <w:t>Аннотация статьи на русском языке</w:t>
      </w:r>
      <w:r w:rsidRPr="00362CFE">
        <w:rPr>
          <w:rFonts w:ascii="Times New Roman" w:hAnsi="Times New Roman" w:cs="Times New Roman"/>
          <w:b/>
          <w:sz w:val="24"/>
        </w:rPr>
        <w:t>:</w:t>
      </w:r>
      <w:r w:rsidR="00362CFE" w:rsidRPr="00362CFE">
        <w:rPr>
          <w:rFonts w:ascii="Times New Roman" w:hAnsi="Times New Roman" w:cs="Times New Roman"/>
          <w:b/>
          <w:sz w:val="24"/>
        </w:rPr>
        <w:t xml:space="preserve"> </w:t>
      </w:r>
      <w:r w:rsidR="00362CFE" w:rsidRPr="00362CFE">
        <w:rPr>
          <w:rFonts w:ascii="Times New Roman" w:hAnsi="Times New Roman" w:cs="Times New Roman"/>
          <w:sz w:val="24"/>
        </w:rPr>
        <w:t>В начале 2020 года многие государства оказались в состоянии неопределенности. Изначально никто не понимал, как вести себя в новых условиях, продиктованных не системными изменениями, а корректировками, вызванными пандемией COVID-19. Прошел год с начала пандемии и пора делать экономические прогнозы. В этом документе представлены эмпирические экономические прогнозы после пандемии.</w:t>
      </w:r>
    </w:p>
    <w:p w:rsidR="006274FC" w:rsidRPr="00362CFE" w:rsidRDefault="006274FC" w:rsidP="00362CFE">
      <w:pPr>
        <w:jc w:val="both"/>
        <w:rPr>
          <w:rFonts w:ascii="Times New Roman" w:hAnsi="Times New Roman" w:cs="Times New Roman"/>
          <w:b/>
          <w:sz w:val="24"/>
        </w:rPr>
      </w:pPr>
      <w:r w:rsidRPr="00362CFE">
        <w:rPr>
          <w:rFonts w:ascii="Times New Roman" w:hAnsi="Times New Roman" w:cs="Times New Roman"/>
          <w:b/>
          <w:sz w:val="24"/>
        </w:rPr>
        <w:t>Ключевые слова на русском языке</w:t>
      </w:r>
      <w:r w:rsidRPr="00362CFE">
        <w:rPr>
          <w:rFonts w:ascii="Times New Roman" w:hAnsi="Times New Roman" w:cs="Times New Roman"/>
          <w:b/>
          <w:sz w:val="24"/>
        </w:rPr>
        <w:t>:</w:t>
      </w:r>
      <w:r w:rsidR="00362CFE" w:rsidRPr="00362CFE">
        <w:rPr>
          <w:rFonts w:ascii="Times New Roman" w:hAnsi="Times New Roman" w:cs="Times New Roman"/>
          <w:b/>
          <w:sz w:val="24"/>
        </w:rPr>
        <w:t xml:space="preserve"> </w:t>
      </w:r>
      <w:r w:rsidR="00362CFE" w:rsidRPr="00362CFE">
        <w:rPr>
          <w:rFonts w:ascii="Times New Roman" w:hAnsi="Times New Roman" w:cs="Times New Roman"/>
          <w:color w:val="000000"/>
          <w:sz w:val="24"/>
        </w:rPr>
        <w:t>COVID-19, пандемия, экономические прогнозы, ВВП, мировая экономика, экономическая динамика.</w:t>
      </w:r>
    </w:p>
    <w:p w:rsidR="006274FC" w:rsidRPr="00362CFE" w:rsidRDefault="006274FC" w:rsidP="00362CFE">
      <w:pPr>
        <w:jc w:val="both"/>
        <w:rPr>
          <w:rFonts w:ascii="Times New Roman" w:hAnsi="Times New Roman" w:cs="Times New Roman"/>
          <w:b/>
          <w:sz w:val="24"/>
        </w:rPr>
      </w:pP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 xml:space="preserve">В начале 2020 года весь мир оказался в состоянии неопределенности, нестабильности и даже шока. Изначально никому не было </w:t>
      </w:r>
      <w:r w:rsidR="000D4A85" w:rsidRPr="00362CFE">
        <w:rPr>
          <w:rFonts w:ascii="Times New Roman" w:hAnsi="Times New Roman" w:cs="Times New Roman"/>
          <w:sz w:val="24"/>
        </w:rPr>
        <w:t>понятно,</w:t>
      </w:r>
      <w:r w:rsidRPr="00362CFE">
        <w:rPr>
          <w:rFonts w:ascii="Times New Roman" w:hAnsi="Times New Roman" w:cs="Times New Roman"/>
          <w:sz w:val="24"/>
        </w:rPr>
        <w:t xml:space="preserve"> как необходимо вести себя в новых условиях, продиктованных ни системными изменениями, а коррективами, вызванными пандемией </w:t>
      </w:r>
      <w:r w:rsidRPr="00362CFE">
        <w:rPr>
          <w:rFonts w:ascii="Times New Roman" w:hAnsi="Times New Roman" w:cs="Times New Roman"/>
          <w:sz w:val="24"/>
          <w:lang w:val="en-US"/>
        </w:rPr>
        <w:t>COVID</w:t>
      </w:r>
      <w:r w:rsidRPr="00362CFE">
        <w:rPr>
          <w:rFonts w:ascii="Times New Roman" w:hAnsi="Times New Roman" w:cs="Times New Roman"/>
          <w:sz w:val="24"/>
        </w:rPr>
        <w:t xml:space="preserve">-19. На сегодняшний день многие государства, в том числе наша страна, уже адаптировались работать в новых условиях, некоторым они понравились даже больше, чем работа в «офлайн». Особенный стресс испытали органы власти, которым необходимо было удержать экономику государства, не допустить ее краха, а также исчезновения некоторых секторов: туризма, гостиничного бизнеса, сферы общепита, досуга, развлечений и др. </w:t>
      </w:r>
      <w:r w:rsidR="000D4A85" w:rsidRPr="00362CFE">
        <w:rPr>
          <w:rFonts w:ascii="Times New Roman" w:hAnsi="Times New Roman" w:cs="Times New Roman"/>
          <w:sz w:val="24"/>
        </w:rPr>
        <w:t xml:space="preserve">Уже прошел год с момента начала пандемии, и многие исследователи делают первые прогнозы. </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После вялого роста глобального реального валового внутреннего продукта (ВВП) на 2,9% в 2019 году экономические прогнозы на следующий год выглядели многообещающими. Международный валютный фонд (МВФ) прогнозировал рост мирового реального ВВП на 3,4% к 2020 году. Однако вспышка COVID-19 в конце 2019 года и быстрое распространение вируса в начале 2020 года поставили под угрозу экономики всего мира. COVID-19 в первые месяцы своего существования стал одним из самых влиятельных факторов в экономической сфере каждого государства. В апреле 2020 года МВФ пересмотрел свой прогноз до -3,0% на 2020 год. Это резкое падение отражает самый большой спад в мировой экономике со времен большой рецессии 2008 года</w:t>
      </w:r>
      <w:r w:rsidR="00725577" w:rsidRPr="00362CFE">
        <w:rPr>
          <w:rFonts w:ascii="Times New Roman" w:hAnsi="Times New Roman" w:cs="Times New Roman"/>
          <w:sz w:val="24"/>
        </w:rPr>
        <w:t xml:space="preserve"> </w:t>
      </w:r>
      <w:r w:rsidR="00725577" w:rsidRPr="00362CFE">
        <w:rPr>
          <w:rFonts w:ascii="Times New Roman" w:hAnsi="Times New Roman" w:cs="Times New Roman"/>
          <w:sz w:val="24"/>
        </w:rPr>
        <w:t>[</w:t>
      </w:r>
      <w:r w:rsidR="00725577" w:rsidRPr="00362CFE">
        <w:rPr>
          <w:rFonts w:ascii="Times New Roman" w:hAnsi="Times New Roman" w:cs="Times New Roman"/>
          <w:sz w:val="24"/>
        </w:rPr>
        <w:t>1</w:t>
      </w:r>
      <w:r w:rsidR="00725577" w:rsidRPr="00362CFE">
        <w:rPr>
          <w:rFonts w:ascii="Times New Roman" w:hAnsi="Times New Roman" w:cs="Times New Roman"/>
          <w:sz w:val="24"/>
        </w:rPr>
        <w:t>]</w:t>
      </w:r>
      <w:r w:rsidRPr="00362CFE">
        <w:rPr>
          <w:rFonts w:ascii="Times New Roman" w:hAnsi="Times New Roman" w:cs="Times New Roman"/>
          <w:sz w:val="24"/>
        </w:rPr>
        <w:t>.</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Пандемии, подобные COVID-19, - это редкие события, которые могут затронуть всю экономическую сферу. Общенациональное закрытие, подобное объявленному многими странами мира, является попыткой исторического масштаба контролировать распространение нового коронавируса. Поэтому в ежедневно меняющейся ситуации все прогнозисты отмечают высокую неопределенность своих прогнозов, и все</w:t>
      </w:r>
      <w:r w:rsidR="000D4A85" w:rsidRPr="00362CFE">
        <w:rPr>
          <w:rFonts w:ascii="Times New Roman" w:hAnsi="Times New Roman" w:cs="Times New Roman"/>
          <w:sz w:val="24"/>
        </w:rPr>
        <w:t xml:space="preserve"> данные,</w:t>
      </w:r>
      <w:r w:rsidRPr="00362CFE">
        <w:rPr>
          <w:rFonts w:ascii="Times New Roman" w:hAnsi="Times New Roman" w:cs="Times New Roman"/>
          <w:sz w:val="24"/>
        </w:rPr>
        <w:t xml:space="preserve"> несомненно, являются сегодня только прогнозами, которые, вероятно, изменятся по мере изменения ситуации с COVID-19</w:t>
      </w:r>
      <w:r w:rsidR="00725577" w:rsidRPr="00362CFE">
        <w:rPr>
          <w:rFonts w:ascii="Times New Roman" w:hAnsi="Times New Roman" w:cs="Times New Roman"/>
          <w:sz w:val="24"/>
        </w:rPr>
        <w:t xml:space="preserve"> </w:t>
      </w:r>
      <w:r w:rsidR="00725577" w:rsidRPr="00362CFE">
        <w:rPr>
          <w:rFonts w:ascii="Times New Roman" w:hAnsi="Times New Roman" w:cs="Times New Roman"/>
          <w:sz w:val="24"/>
        </w:rPr>
        <w:t>[</w:t>
      </w:r>
      <w:r w:rsidR="00725577" w:rsidRPr="00362CFE">
        <w:rPr>
          <w:rFonts w:ascii="Times New Roman" w:hAnsi="Times New Roman" w:cs="Times New Roman"/>
          <w:sz w:val="24"/>
        </w:rPr>
        <w:t>5</w:t>
      </w:r>
      <w:r w:rsidR="00725577" w:rsidRPr="00362CFE">
        <w:rPr>
          <w:rFonts w:ascii="Times New Roman" w:hAnsi="Times New Roman" w:cs="Times New Roman"/>
          <w:sz w:val="24"/>
        </w:rPr>
        <w:t>]</w:t>
      </w:r>
      <w:r w:rsidRPr="00362CFE">
        <w:rPr>
          <w:rFonts w:ascii="Times New Roman" w:hAnsi="Times New Roman" w:cs="Times New Roman"/>
          <w:sz w:val="24"/>
        </w:rPr>
        <w:t>.</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Правительства постоянно расширяют меры своей налогово-бюджетной политики для борьбы с серьезными последствиями экономических последствий.</w:t>
      </w:r>
      <w:r w:rsidR="005B210C" w:rsidRPr="00362CFE">
        <w:rPr>
          <w:rFonts w:ascii="Times New Roman" w:hAnsi="Times New Roman" w:cs="Times New Roman"/>
          <w:sz w:val="24"/>
        </w:rPr>
        <w:t xml:space="preserve"> </w:t>
      </w:r>
      <w:r w:rsidRPr="00362CFE">
        <w:rPr>
          <w:rFonts w:ascii="Times New Roman" w:hAnsi="Times New Roman" w:cs="Times New Roman"/>
          <w:sz w:val="24"/>
        </w:rPr>
        <w:t>Все это оставляет нам два основных вопроса: насколько глубока рецессия? И сколько времени потребуется, чтобы оправиться от этого?</w:t>
      </w:r>
    </w:p>
    <w:p w:rsidR="006401D9" w:rsidRPr="00362CFE" w:rsidRDefault="005B210C" w:rsidP="00362CFE">
      <w:pPr>
        <w:ind w:firstLine="708"/>
        <w:jc w:val="both"/>
        <w:rPr>
          <w:rFonts w:ascii="Times New Roman" w:hAnsi="Times New Roman" w:cs="Times New Roman"/>
          <w:sz w:val="24"/>
        </w:rPr>
      </w:pPr>
      <w:r w:rsidRPr="00362CFE">
        <w:rPr>
          <w:rFonts w:ascii="Times New Roman" w:hAnsi="Times New Roman" w:cs="Times New Roman"/>
          <w:sz w:val="24"/>
        </w:rPr>
        <w:t>В этой статье</w:t>
      </w:r>
      <w:r w:rsidR="006401D9" w:rsidRPr="00362CFE">
        <w:rPr>
          <w:rFonts w:ascii="Times New Roman" w:hAnsi="Times New Roman" w:cs="Times New Roman"/>
          <w:sz w:val="24"/>
        </w:rPr>
        <w:t xml:space="preserve"> мы рассмотрим прогнозы по мировой экономике. </w:t>
      </w:r>
      <w:r w:rsidRPr="00362CFE">
        <w:rPr>
          <w:rFonts w:ascii="Times New Roman" w:hAnsi="Times New Roman" w:cs="Times New Roman"/>
          <w:sz w:val="24"/>
        </w:rPr>
        <w:t>О</w:t>
      </w:r>
      <w:r w:rsidR="006401D9" w:rsidRPr="00362CFE">
        <w:rPr>
          <w:rFonts w:ascii="Times New Roman" w:hAnsi="Times New Roman" w:cs="Times New Roman"/>
          <w:sz w:val="24"/>
        </w:rPr>
        <w:t xml:space="preserve">бсудим шесть основных показателей: рост реального ВВП, уровень безработицы, процентные ставки, государственный долг, торговлю и цены на акции. Кроме того, </w:t>
      </w:r>
      <w:r w:rsidRPr="00362CFE">
        <w:rPr>
          <w:rFonts w:ascii="Times New Roman" w:hAnsi="Times New Roman" w:cs="Times New Roman"/>
          <w:sz w:val="24"/>
        </w:rPr>
        <w:t>рассмотрим</w:t>
      </w:r>
      <w:r w:rsidR="006401D9" w:rsidRPr="00362CFE">
        <w:rPr>
          <w:rFonts w:ascii="Times New Roman" w:hAnsi="Times New Roman" w:cs="Times New Roman"/>
          <w:sz w:val="24"/>
        </w:rPr>
        <w:t xml:space="preserve"> совокупные шоки предложения, а также шоки совокупного спроса в качестве индикатора глубины текущей рецессии. Шок предложения можно определить по нарушенным цепочкам поставок, закрытым границам и фабрикам. Шок спроса может наблюдаться из-за закрытия предприятий и магазинов, а также из-за падения потребительских расходов. Чтобы оценить продолжительность рецессии, мы обращаемся к данным по безработице и добавляем прогнозы банкротства, а также цены на акции, чтобы учесть неопределенность. В конце концов, мы получим более широкий взгляд на будущее экономики.</w:t>
      </w:r>
    </w:p>
    <w:p w:rsidR="006401D9" w:rsidRPr="00362CFE" w:rsidRDefault="00362CFE" w:rsidP="00362CFE">
      <w:pPr>
        <w:ind w:firstLine="708"/>
        <w:jc w:val="both"/>
        <w:rPr>
          <w:rFonts w:ascii="Times New Roman" w:hAnsi="Times New Roman" w:cs="Times New Roman"/>
          <w:sz w:val="24"/>
        </w:rPr>
      </w:pPr>
      <w:r w:rsidRPr="00362CFE">
        <w:rPr>
          <w:rFonts w:ascii="Times New Roman" w:hAnsi="Times New Roman" w:cs="Times New Roman"/>
          <w:noProof/>
          <w:sz w:val="24"/>
          <w:lang w:eastAsia="ru-RU" w:bidi="ar-SA"/>
        </w:rPr>
        <w:lastRenderedPageBreak/>
        <mc:AlternateContent>
          <mc:Choice Requires="wpg">
            <w:drawing>
              <wp:anchor distT="0" distB="0" distL="114300" distR="114300" simplePos="0" relativeHeight="251670528" behindDoc="0" locked="0" layoutInCell="1" allowOverlap="1" wp14:anchorId="53AEBAF8" wp14:editId="7147A00C">
                <wp:simplePos x="0" y="0"/>
                <wp:positionH relativeFrom="column">
                  <wp:posOffset>241935</wp:posOffset>
                </wp:positionH>
                <wp:positionV relativeFrom="paragraph">
                  <wp:posOffset>805815</wp:posOffset>
                </wp:positionV>
                <wp:extent cx="5653405" cy="6172200"/>
                <wp:effectExtent l="0" t="0" r="0" b="0"/>
                <wp:wrapTopAndBottom/>
                <wp:docPr id="175" name="Группа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3404" cy="6172200"/>
                          <a:chOff x="0" y="-32777"/>
                          <a:chExt cx="5653520" cy="4833377"/>
                        </a:xfrm>
                      </wpg:grpSpPr>
                      <wps:wsp>
                        <wps:cNvPr id="176" name="Textfeld 8"/>
                        <wps:cNvSpPr txBox="1"/>
                        <wps:spPr>
                          <a:xfrm>
                            <a:off x="95250" y="-32777"/>
                            <a:ext cx="5372100" cy="569609"/>
                          </a:xfrm>
                          <a:prstGeom prst="rect">
                            <a:avLst/>
                          </a:prstGeom>
                          <a:noFill/>
                          <a:ln w="6350">
                            <a:noFill/>
                          </a:ln>
                        </wps:spPr>
                        <wps:txbx>
                          <w:txbxContent>
                            <w:p w:rsidR="006401D9" w:rsidRPr="00DB5258" w:rsidRDefault="00DB5258" w:rsidP="006401D9">
                              <w:pPr>
                                <w:rPr>
                                  <w:rFonts w:ascii="Times New Roman" w:hAnsi="Times New Roman" w:cs="Times New Roman"/>
                                  <w:szCs w:val="20"/>
                                </w:rPr>
                              </w:pPr>
                              <w:r>
                                <w:rPr>
                                  <w:rFonts w:ascii="Times New Roman" w:hAnsi="Times New Roman" w:cs="Times New Roman"/>
                                  <w:szCs w:val="20"/>
                                </w:rPr>
                                <w:t>Таблица 1</w:t>
                              </w:r>
                              <w:r w:rsidR="006401D9" w:rsidRPr="00DB5258">
                                <w:rPr>
                                  <w:rFonts w:ascii="Times New Roman" w:hAnsi="Times New Roman" w:cs="Times New Roman"/>
                                  <w:szCs w:val="20"/>
                                </w:rPr>
                                <w:t>: Прогнозы роста МВФ «Перспективы развития мировой экономики»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7" name="Textfeld 13"/>
                        <wps:cNvSpPr txBox="1"/>
                        <wps:spPr>
                          <a:xfrm>
                            <a:off x="281420" y="3823342"/>
                            <a:ext cx="5372100" cy="498763"/>
                          </a:xfrm>
                          <a:prstGeom prst="rect">
                            <a:avLst/>
                          </a:prstGeom>
                          <a:noFill/>
                          <a:ln w="6350">
                            <a:noFill/>
                          </a:ln>
                        </wps:spPr>
                        <wps:txbx>
                          <w:txbxContent>
                            <w:p w:rsidR="006401D9" w:rsidRPr="00DB5258" w:rsidRDefault="006401D9" w:rsidP="006401D9">
                              <w:pPr>
                                <w:rPr>
                                  <w:rFonts w:ascii="Times New Roman" w:hAnsi="Times New Roman" w:cs="Times New Roman"/>
                                  <w:szCs w:val="20"/>
                                </w:rPr>
                              </w:pPr>
                              <w:r w:rsidRPr="00DB5258">
                                <w:rPr>
                                  <w:rFonts w:ascii="Times New Roman" w:hAnsi="Times New Roman" w:cs="Times New Roman"/>
                                  <w:i/>
                                  <w:iCs/>
                                  <w:szCs w:val="20"/>
                                </w:rPr>
                                <w:t>Примечание. В этой таблице представлены прогнозы годового процентного изменения реального ВВП отдельных стран; Источник: Обновление прогнозов развития мировой экономики МВФ (июнь 2020 г.).</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8" name="Textfeld 14"/>
                        <wps:cNvSpPr txBox="1"/>
                        <wps:spPr>
                          <a:xfrm>
                            <a:off x="0" y="228600"/>
                            <a:ext cx="5600065" cy="4572000"/>
                          </a:xfrm>
                          <a:prstGeom prst="rect">
                            <a:avLst/>
                          </a:prstGeom>
                          <a:noFill/>
                          <a:ln w="6350">
                            <a:noFill/>
                          </a:ln>
                        </wps:spPr>
                        <wps:txbx>
                          <w:txbxContent>
                            <w:tbl>
                              <w:tblPr>
                                <w:tblW w:w="4988" w:type="pct"/>
                                <w:tblBorders>
                                  <w:top w:val="single" w:sz="4" w:space="0" w:color="auto"/>
                                  <w:bottom w:val="single" w:sz="4" w:space="0" w:color="auto"/>
                                </w:tblBorders>
                                <w:tblLook w:val="04A0" w:firstRow="1" w:lastRow="0" w:firstColumn="1" w:lastColumn="0" w:noHBand="0" w:noVBand="1"/>
                              </w:tblPr>
                              <w:tblGrid>
                                <w:gridCol w:w="4271"/>
                                <w:gridCol w:w="1411"/>
                                <w:gridCol w:w="1411"/>
                                <w:gridCol w:w="1408"/>
                              </w:tblGrid>
                              <w:tr w:rsidR="006401D9" w:rsidRPr="00DB5258" w:rsidTr="00146430">
                                <w:trPr>
                                  <w:trHeight w:val="216"/>
                                </w:trPr>
                                <w:tc>
                                  <w:tcPr>
                                    <w:tcW w:w="2512" w:type="pct"/>
                                    <w:tcBorders>
                                      <w:top w:val="single" w:sz="12" w:space="0" w:color="auto"/>
                                      <w:left w:val="nil"/>
                                      <w:bottom w:val="nil"/>
                                      <w:right w:val="nil"/>
                                    </w:tcBorders>
                                    <w:shd w:val="clear" w:color="auto" w:fill="auto"/>
                                  </w:tcPr>
                                  <w:p w:rsidR="006401D9" w:rsidRPr="00DB5258" w:rsidRDefault="006401D9">
                                    <w:pPr>
                                      <w:rPr>
                                        <w:rFonts w:ascii="Times New Roman" w:eastAsia="Times New Roman" w:hAnsi="Times New Roman" w:cs="Times New Roman"/>
                                        <w:szCs w:val="20"/>
                                        <w:lang w:val="de-DE" w:eastAsia="de-DE"/>
                                      </w:rPr>
                                    </w:pPr>
                                  </w:p>
                                </w:tc>
                                <w:tc>
                                  <w:tcPr>
                                    <w:tcW w:w="830" w:type="pct"/>
                                    <w:tcBorders>
                                      <w:top w:val="single" w:sz="12" w:space="0" w:color="auto"/>
                                      <w:left w:val="nil"/>
                                      <w:bottom w:val="nil"/>
                                      <w:right w:val="nil"/>
                                    </w:tcBorders>
                                    <w:shd w:val="clear" w:color="auto" w:fill="auto"/>
                                  </w:tcPr>
                                  <w:p w:rsidR="006401D9" w:rsidRPr="00DB5258" w:rsidRDefault="006401D9">
                                    <w:pPr>
                                      <w:rPr>
                                        <w:rFonts w:ascii="Times New Roman" w:eastAsia="Times New Roman" w:hAnsi="Times New Roman" w:cs="Times New Roman"/>
                                        <w:szCs w:val="20"/>
                                        <w:lang w:val="de-DE" w:eastAsia="de-DE"/>
                                      </w:rPr>
                                    </w:pPr>
                                  </w:p>
                                </w:tc>
                                <w:tc>
                                  <w:tcPr>
                                    <w:tcW w:w="1658" w:type="pct"/>
                                    <w:gridSpan w:val="2"/>
                                    <w:tcBorders>
                                      <w:top w:val="single" w:sz="12" w:space="0" w:color="auto"/>
                                      <w:left w:val="nil"/>
                                      <w:bottom w:val="single" w:sz="4" w:space="0" w:color="auto"/>
                                      <w:right w:val="nil"/>
                                    </w:tcBorders>
                                    <w:shd w:val="clear" w:color="auto" w:fill="auto"/>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Projections</w:t>
                                    </w:r>
                                  </w:p>
                                </w:tc>
                              </w:tr>
                              <w:tr w:rsidR="006401D9" w:rsidRPr="00DB5258" w:rsidTr="00146430">
                                <w:trPr>
                                  <w:trHeight w:val="216"/>
                                </w:trPr>
                                <w:tc>
                                  <w:tcPr>
                                    <w:tcW w:w="2512" w:type="pct"/>
                                    <w:tcBorders>
                                      <w:top w:val="nil"/>
                                      <w:left w:val="nil"/>
                                      <w:bottom w:val="single" w:sz="4" w:space="0" w:color="auto"/>
                                      <w:right w:val="nil"/>
                                    </w:tcBorders>
                                    <w:shd w:val="clear" w:color="auto" w:fill="auto"/>
                                  </w:tcPr>
                                  <w:p w:rsidR="006401D9" w:rsidRPr="00DB5258" w:rsidRDefault="006401D9">
                                    <w:pPr>
                                      <w:rPr>
                                        <w:rFonts w:ascii="Times New Roman" w:eastAsia="Times New Roman" w:hAnsi="Times New Roman" w:cs="Times New Roman"/>
                                        <w:szCs w:val="20"/>
                                        <w:lang w:val="de-DE" w:eastAsia="de-DE"/>
                                      </w:rPr>
                                    </w:pPr>
                                  </w:p>
                                </w:tc>
                                <w:tc>
                                  <w:tcPr>
                                    <w:tcW w:w="830" w:type="pct"/>
                                    <w:tcBorders>
                                      <w:top w:val="nil"/>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2019</w:t>
                                    </w:r>
                                  </w:p>
                                </w:tc>
                                <w:tc>
                                  <w:tcPr>
                                    <w:tcW w:w="830" w:type="pct"/>
                                    <w:tcBorders>
                                      <w:top w:val="single" w:sz="4" w:space="0" w:color="auto"/>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2020</w:t>
                                    </w:r>
                                  </w:p>
                                </w:tc>
                                <w:tc>
                                  <w:tcPr>
                                    <w:tcW w:w="828" w:type="pct"/>
                                    <w:tcBorders>
                                      <w:top w:val="single" w:sz="4" w:space="0" w:color="auto"/>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2021</w:t>
                                    </w:r>
                                  </w:p>
                                </w:tc>
                              </w:tr>
                              <w:tr w:rsidR="006401D9" w:rsidRPr="00DB5258" w:rsidTr="00146430">
                                <w:trPr>
                                  <w:trHeight w:val="234"/>
                                </w:trPr>
                                <w:tc>
                                  <w:tcPr>
                                    <w:tcW w:w="2512" w:type="pct"/>
                                    <w:tcBorders>
                                      <w:top w:val="single" w:sz="4" w:space="0" w:color="auto"/>
                                      <w:left w:val="nil"/>
                                      <w:bottom w:val="single" w:sz="4" w:space="0" w:color="auto"/>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World output</w:t>
                                    </w:r>
                                  </w:p>
                                </w:tc>
                                <w:tc>
                                  <w:tcPr>
                                    <w:tcW w:w="830" w:type="pct"/>
                                    <w:tcBorders>
                                      <w:top w:val="single" w:sz="4" w:space="0" w:color="auto"/>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2.9</w:t>
                                    </w:r>
                                  </w:p>
                                </w:tc>
                                <w:tc>
                                  <w:tcPr>
                                    <w:tcW w:w="830" w:type="pct"/>
                                    <w:tcBorders>
                                      <w:top w:val="single" w:sz="4" w:space="0" w:color="auto"/>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-4.9</w:t>
                                    </w:r>
                                  </w:p>
                                </w:tc>
                                <w:tc>
                                  <w:tcPr>
                                    <w:tcW w:w="828" w:type="pct"/>
                                    <w:tcBorders>
                                      <w:top w:val="single" w:sz="4" w:space="0" w:color="auto"/>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5.4</w:t>
                                    </w:r>
                                  </w:p>
                                </w:tc>
                              </w:tr>
                              <w:tr w:rsidR="006401D9" w:rsidRPr="00DB5258" w:rsidTr="00146430">
                                <w:trPr>
                                  <w:trHeight w:val="216"/>
                                </w:trPr>
                                <w:tc>
                                  <w:tcPr>
                                    <w:tcW w:w="2512" w:type="pct"/>
                                    <w:tcBorders>
                                      <w:top w:val="single" w:sz="4" w:space="0" w:color="auto"/>
                                      <w:left w:val="nil"/>
                                      <w:bottom w:val="dashSmallGap" w:sz="4" w:space="0" w:color="auto"/>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Advanced economies</w:t>
                                    </w:r>
                                  </w:p>
                                </w:tc>
                                <w:tc>
                                  <w:tcPr>
                                    <w:tcW w:w="830" w:type="pct"/>
                                    <w:tcBorders>
                                      <w:top w:val="single" w:sz="4" w:space="0" w:color="auto"/>
                                      <w:left w:val="nil"/>
                                      <w:bottom w:val="dashSmallGap"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1.7</w:t>
                                    </w:r>
                                  </w:p>
                                </w:tc>
                                <w:tc>
                                  <w:tcPr>
                                    <w:tcW w:w="830" w:type="pct"/>
                                    <w:tcBorders>
                                      <w:top w:val="single" w:sz="4" w:space="0" w:color="auto"/>
                                      <w:left w:val="nil"/>
                                      <w:bottom w:val="dashSmallGap"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-8.0</w:t>
                                    </w:r>
                                  </w:p>
                                </w:tc>
                                <w:tc>
                                  <w:tcPr>
                                    <w:tcW w:w="828" w:type="pct"/>
                                    <w:tcBorders>
                                      <w:top w:val="single" w:sz="4" w:space="0" w:color="auto"/>
                                      <w:left w:val="nil"/>
                                      <w:bottom w:val="dashSmallGap"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4.8</w:t>
                                    </w:r>
                                  </w:p>
                                </w:tc>
                              </w:tr>
                              <w:tr w:rsidR="006401D9" w:rsidRPr="00DB5258" w:rsidTr="00146430">
                                <w:trPr>
                                  <w:trHeight w:val="234"/>
                                </w:trPr>
                                <w:tc>
                                  <w:tcPr>
                                    <w:tcW w:w="2512" w:type="pct"/>
                                    <w:tcBorders>
                                      <w:top w:val="dashSmallGap" w:sz="4" w:space="0" w:color="auto"/>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United States</w:t>
                                    </w:r>
                                  </w:p>
                                </w:tc>
                                <w:tc>
                                  <w:tcPr>
                                    <w:tcW w:w="830" w:type="pct"/>
                                    <w:tcBorders>
                                      <w:top w:val="dashSmallGap" w:sz="4" w:space="0" w:color="auto"/>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2.3</w:t>
                                    </w:r>
                                  </w:p>
                                </w:tc>
                                <w:tc>
                                  <w:tcPr>
                                    <w:tcW w:w="830" w:type="pct"/>
                                    <w:tcBorders>
                                      <w:top w:val="dashSmallGap" w:sz="4" w:space="0" w:color="auto"/>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-8.0</w:t>
                                    </w:r>
                                  </w:p>
                                </w:tc>
                                <w:tc>
                                  <w:tcPr>
                                    <w:tcW w:w="828" w:type="pct"/>
                                    <w:tcBorders>
                                      <w:top w:val="dashSmallGap" w:sz="4" w:space="0" w:color="auto"/>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4.5</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Euro Area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1.3</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-10.2</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6.0</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Germany</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0.6</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-7.8</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5.4</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France</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1.5</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-12.5</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7.3</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Italy</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0.3</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-12.8</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6.3</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Spain</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2.0</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-12.8</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6.3</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Japan</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0.7</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-5.8</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2.4</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United Kingdom</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1.4</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-10.2</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6.3</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Canada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1.7</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-8.4</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4.9</w:t>
                                    </w:r>
                                  </w:p>
                                </w:tc>
                              </w:tr>
                              <w:tr w:rsidR="006401D9" w:rsidRPr="00DB5258" w:rsidTr="00146430">
                                <w:trPr>
                                  <w:trHeight w:val="216"/>
                                </w:trPr>
                                <w:tc>
                                  <w:tcPr>
                                    <w:tcW w:w="2512" w:type="pct"/>
                                    <w:tcBorders>
                                      <w:top w:val="nil"/>
                                      <w:left w:val="nil"/>
                                      <w:bottom w:val="single" w:sz="4" w:space="0" w:color="auto"/>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Other advanced economies</w:t>
                                    </w:r>
                                  </w:p>
                                </w:tc>
                                <w:tc>
                                  <w:tcPr>
                                    <w:tcW w:w="830" w:type="pct"/>
                                    <w:tcBorders>
                                      <w:top w:val="nil"/>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1.7</w:t>
                                    </w:r>
                                  </w:p>
                                </w:tc>
                                <w:tc>
                                  <w:tcPr>
                                    <w:tcW w:w="830" w:type="pct"/>
                                    <w:tcBorders>
                                      <w:top w:val="nil"/>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-4.8</w:t>
                                    </w:r>
                                  </w:p>
                                </w:tc>
                                <w:tc>
                                  <w:tcPr>
                                    <w:tcW w:w="828" w:type="pct"/>
                                    <w:tcBorders>
                                      <w:top w:val="nil"/>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4.2</w:t>
                                    </w:r>
                                  </w:p>
                                </w:tc>
                              </w:tr>
                              <w:tr w:rsidR="006401D9" w:rsidRPr="00DB5258" w:rsidTr="00146430">
                                <w:trPr>
                                  <w:trHeight w:val="234"/>
                                </w:trPr>
                                <w:tc>
                                  <w:tcPr>
                                    <w:tcW w:w="2512" w:type="pct"/>
                                    <w:tcBorders>
                                      <w:top w:val="single" w:sz="4" w:space="0" w:color="auto"/>
                                      <w:left w:val="nil"/>
                                      <w:bottom w:val="dashSmallGap" w:sz="4" w:space="0" w:color="auto"/>
                                      <w:right w:val="nil"/>
                                    </w:tcBorders>
                                    <w:shd w:val="clear" w:color="auto" w:fill="auto"/>
                                    <w:hideMark/>
                                  </w:tcPr>
                                  <w:p w:rsidR="006401D9" w:rsidRPr="00DB5258" w:rsidRDefault="006401D9">
                                    <w:pPr>
                                      <w:rPr>
                                        <w:rFonts w:ascii="Times New Roman" w:eastAsia="Times New Roman" w:hAnsi="Times New Roman" w:cs="Times New Roman"/>
                                        <w:szCs w:val="20"/>
                                        <w:lang w:val="en-US" w:eastAsia="de-DE"/>
                                      </w:rPr>
                                    </w:pPr>
                                    <w:r w:rsidRPr="00DB5258">
                                      <w:rPr>
                                        <w:rFonts w:ascii="Times New Roman" w:hAnsi="Times New Roman" w:cs="Times New Roman"/>
                                        <w:szCs w:val="20"/>
                                        <w:lang w:val="en-US"/>
                                      </w:rPr>
                                      <w:t>Emerging markets and developing countries</w:t>
                                    </w:r>
                                  </w:p>
                                </w:tc>
                                <w:tc>
                                  <w:tcPr>
                                    <w:tcW w:w="830" w:type="pct"/>
                                    <w:tcBorders>
                                      <w:top w:val="single" w:sz="4" w:space="0" w:color="auto"/>
                                      <w:left w:val="nil"/>
                                      <w:bottom w:val="dashSmallGap"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3.7</w:t>
                                    </w:r>
                                  </w:p>
                                </w:tc>
                                <w:tc>
                                  <w:tcPr>
                                    <w:tcW w:w="830" w:type="pct"/>
                                    <w:tcBorders>
                                      <w:top w:val="single" w:sz="4" w:space="0" w:color="auto"/>
                                      <w:left w:val="nil"/>
                                      <w:bottom w:val="dashSmallGap"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-3.0</w:t>
                                    </w:r>
                                  </w:p>
                                </w:tc>
                                <w:tc>
                                  <w:tcPr>
                                    <w:tcW w:w="828" w:type="pct"/>
                                    <w:tcBorders>
                                      <w:top w:val="single" w:sz="4" w:space="0" w:color="auto"/>
                                      <w:left w:val="nil"/>
                                      <w:bottom w:val="dashSmallGap"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5.9</w:t>
                                    </w:r>
                                  </w:p>
                                </w:tc>
                              </w:tr>
                              <w:tr w:rsidR="006401D9" w:rsidRPr="00DB5258" w:rsidTr="00146430">
                                <w:trPr>
                                  <w:trHeight w:val="216"/>
                                </w:trPr>
                                <w:tc>
                                  <w:tcPr>
                                    <w:tcW w:w="2512" w:type="pct"/>
                                    <w:tcBorders>
                                      <w:top w:val="dashSmallGap" w:sz="4" w:space="0" w:color="auto"/>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Emerging and developing Asia </w:t>
                                    </w:r>
                                  </w:p>
                                </w:tc>
                                <w:tc>
                                  <w:tcPr>
                                    <w:tcW w:w="830" w:type="pct"/>
                                    <w:tcBorders>
                                      <w:top w:val="dashSmallGap" w:sz="4" w:space="0" w:color="auto"/>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5.5</w:t>
                                    </w:r>
                                  </w:p>
                                </w:tc>
                                <w:tc>
                                  <w:tcPr>
                                    <w:tcW w:w="830" w:type="pct"/>
                                    <w:tcBorders>
                                      <w:top w:val="dashSmallGap" w:sz="4" w:space="0" w:color="auto"/>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-0.8</w:t>
                                    </w:r>
                                  </w:p>
                                </w:tc>
                                <w:tc>
                                  <w:tcPr>
                                    <w:tcW w:w="828" w:type="pct"/>
                                    <w:tcBorders>
                                      <w:top w:val="dashSmallGap" w:sz="4" w:space="0" w:color="auto"/>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7.4</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China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6.1</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1.0</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8.2</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India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4.2</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-4.5</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6.0</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ASEAN-5</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4.9</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-2.0</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6.2</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Emerging and developing Europe</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2.1</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-5.8</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4.3</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Russia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1.3</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-6.6</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4.1</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en-US" w:eastAsia="de-DE"/>
                                      </w:rPr>
                                    </w:pPr>
                                    <w:r w:rsidRPr="00DB5258">
                                      <w:rPr>
                                        <w:rFonts w:ascii="Times New Roman" w:hAnsi="Times New Roman" w:cs="Times New Roman"/>
                                        <w:szCs w:val="20"/>
                                        <w:lang w:val="en-US"/>
                                      </w:rPr>
                                      <w:t xml:space="preserve">   Latin America and the Caribbean</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0.1</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-9.4</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3.7</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Brazil</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1.1</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-9.1</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3.6</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Mexico</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-0.3</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-10.5</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3.3</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en-US" w:eastAsia="de-DE"/>
                                      </w:rPr>
                                    </w:pPr>
                                    <w:r w:rsidRPr="00DB5258">
                                      <w:rPr>
                                        <w:rFonts w:ascii="Times New Roman" w:hAnsi="Times New Roman" w:cs="Times New Roman"/>
                                        <w:szCs w:val="20"/>
                                        <w:lang w:val="en-US"/>
                                      </w:rPr>
                                      <w:t xml:space="preserve">   Middle East and Central Asia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1.0</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-4.7</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3.3</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Saudi Arabia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0.3</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-6.8</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3.1</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Sub-Saharan Africa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3.1</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-3.2</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3.4</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Nigeria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2.2</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-5.4</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2.6</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South Africa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0.2</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-8.0</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3.5</w:t>
                                    </w:r>
                                  </w:p>
                                </w:tc>
                              </w:tr>
                              <w:tr w:rsidR="006401D9" w:rsidRPr="00DB5258" w:rsidTr="00146430">
                                <w:trPr>
                                  <w:trHeight w:val="216"/>
                                </w:trPr>
                                <w:tc>
                                  <w:tcPr>
                                    <w:tcW w:w="2512" w:type="pct"/>
                                    <w:tcBorders>
                                      <w:top w:val="nil"/>
                                      <w:left w:val="nil"/>
                                      <w:bottom w:val="single" w:sz="12" w:space="0" w:color="auto"/>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Low-Income developing countries</w:t>
                                    </w:r>
                                  </w:p>
                                </w:tc>
                                <w:tc>
                                  <w:tcPr>
                                    <w:tcW w:w="830" w:type="pct"/>
                                    <w:tcBorders>
                                      <w:top w:val="nil"/>
                                      <w:left w:val="nil"/>
                                      <w:bottom w:val="single" w:sz="12"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5.2</w:t>
                                    </w:r>
                                  </w:p>
                                </w:tc>
                                <w:tc>
                                  <w:tcPr>
                                    <w:tcW w:w="830" w:type="pct"/>
                                    <w:tcBorders>
                                      <w:top w:val="nil"/>
                                      <w:left w:val="nil"/>
                                      <w:bottom w:val="single" w:sz="12"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-1.0</w:t>
                                    </w:r>
                                  </w:p>
                                </w:tc>
                                <w:tc>
                                  <w:tcPr>
                                    <w:tcW w:w="828" w:type="pct"/>
                                    <w:tcBorders>
                                      <w:top w:val="nil"/>
                                      <w:left w:val="nil"/>
                                      <w:bottom w:val="single" w:sz="12"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5.2</w:t>
                                    </w:r>
                                  </w:p>
                                </w:tc>
                              </w:tr>
                            </w:tbl>
                            <w:p w:rsidR="006401D9" w:rsidRPr="00DB5258" w:rsidRDefault="006401D9" w:rsidP="006401D9">
                              <w:pPr>
                                <w:rPr>
                                  <w:rFonts w:ascii="Times New Roman" w:eastAsia="Times New Roman" w:hAnsi="Times New Roman" w:cs="Times New Roman"/>
                                  <w:szCs w:val="20"/>
                                  <w:lang w:val="de-DE" w:eastAsia="de-DE"/>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3AEBAF8" id="Группа 175" o:spid="_x0000_s1026" style="position:absolute;left:0;text-align:left;margin-left:19.05pt;margin-top:63.45pt;width:445.15pt;height:486pt;z-index:251670528" coordorigin=",-327" coordsize="56535,48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qOJwMAANIKAAAOAAAAZHJzL2Uyb0RvYy54bWzsVt1O2zAUvp+0d7ByD2n+24gUdTDQJMSQ&#10;YOLadZw2WhJ7tkvCribtEfYie4O9ArzRju0m7couBpPGLlCkyPY5Pvb5vs/HPjjs6grdUCFL1mSO&#10;tz9yEG0Iy8tmkTkfrk72xg6SCjc5rlhDM+eWSudw+vrVQctT6rMlq3IqEARpZNryzFkqxVPXlWRJ&#10;ayz3GacNGAsmaqygKxZuLnAL0evK9Uej2G2ZyLlghEoJo8fW6ExN/KKgRL0vCkkVqjIH9qbMX5j/&#10;XP/d6QFOFwLzZUnW28BP2EWNywYWHUIdY4XRSpQPQtUlEUyyQu0TVrusKEpCTQ6QjTfayeZUsBU3&#10;uSzSdsEHmADaHZyeHJac31wIVObAXRI5qME1kHT37f7L/de7H/B9R3ocUGr5IgXnU8Ev+YWwqULz&#10;jJGPEszurl33FxvnrhC1ngQZo87AfzvATzuFCAxGcRSEo9BBBGyxl/hAsCWILIHFzby9wE+SpDe9&#10;3Zoe+UCynh6OgyCwPi5O7epmj8OeWg6KkxtQ5d+BernEnBqupMZpADXuQb2CNAta5Whs4TRuGkuk&#10;ujcM0vf6cbkGeAezSeRHkB0kt53/AF6Q+B7gZbKP4kk8muh4Q/I45UKqU8pqpBuZI+BsGMnimzOp&#10;rGvvoplq2ElZVTCO06pBLTASwPK/WCB41RjuZWo3rUFV3byDabo5Z/ktJCiYPXeSk5MSFj/DUl1g&#10;AQcN9gvFA6xLJj47qIWDmDny0woL6qDqXQOkTLwwBDdlOmGUaIbFtmW+bWlW9RGDs+5B2eHENLW/&#10;qvpmIVh9DTVjplcFE24IrJ05qm8eKVseoOYQOpsZJzirHKuz5pITHVqDoKG66q6x4Gs8FTBxznoZ&#10;4HQHVutr4ZutFCtKg/kGpTWOIEmL3T/QZvJAm17QixA0/Bhx+mMv1MyAOoOxHwShrwPh9LfyDCfj&#10;JDYrPZM8bcHrU31RqakTG0X/XyqFF4S9loYK6oU9dY9UqRWo74/j/mYZ9AkjoxhuQHN56CpjPZ5T&#10;oOYIbQrESxkdSu4fCtRc+PBwMvJeP/L0y2y7b8ru5ik6/QkAAP//AwBQSwMEFAAGAAgAAAAhAMVd&#10;nFThAAAACwEAAA8AAABkcnMvZG93bnJldi54bWxMj8FKw0AQhu+C77CM4M1ukmpJYjalFPVUBFtB&#10;vE2z0yQ0uxuy2yR9e8eTHuefj3++Kdaz6cRIg2+dVRAvIhBkK6dbWyv4PLw+pCB8QKuxc5YUXMnD&#10;ury9KTDXbrIfNO5DLbjE+hwVNCH0uZS+asigX7ieLO9ObjAYeBxqqQecuNx0MomilTTYWr7QYE/b&#10;hqrz/mIUvE04bZbxy7g7n7bX78PT+9cuJqXu7+bNM4hAc/iD4Vef1aFkp6O7WO1Fp2CZxkxynqwy&#10;EAxkSfoI4shJlKUZyLKQ/38ofwAAAP//AwBQSwECLQAUAAYACAAAACEAtoM4kv4AAADhAQAAEwAA&#10;AAAAAAAAAAAAAAAAAAAAW0NvbnRlbnRfVHlwZXNdLnhtbFBLAQItABQABgAIAAAAIQA4/SH/1gAA&#10;AJQBAAALAAAAAAAAAAAAAAAAAC8BAABfcmVscy8ucmVsc1BLAQItABQABgAIAAAAIQA1baqOJwMA&#10;ANIKAAAOAAAAAAAAAAAAAAAAAC4CAABkcnMvZTJvRG9jLnhtbFBLAQItABQABgAIAAAAIQDFXZxU&#10;4QAAAAsBAAAPAAAAAAAAAAAAAAAAAIEFAABkcnMvZG93bnJldi54bWxQSwUGAAAAAAQABADzAAAA&#10;jwYAAAAA&#10;">
                <v:shapetype id="_x0000_t202" coordsize="21600,21600" o:spt="202" path="m,l,21600r21600,l21600,xe">
                  <v:stroke joinstyle="miter"/>
                  <v:path gradientshapeok="t" o:connecttype="rect"/>
                </v:shapetype>
                <v:shape id="Textfeld 8" o:spid="_x0000_s1027" type="#_x0000_t202" style="position:absolute;left:952;top:-327;width:53721;height:5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SRwwAAANwAAAAPAAAAZHJzL2Rvd25yZXYueG1sRE9Li8Iw&#10;EL4L/ocwgjdNFXRL1yhSEEXWg4+Lt7EZ27LNpDZRu/vrN8KCt/n4njNbtKYSD2pcaVnBaBiBIM6s&#10;LjlXcDquBjEI55E1VpZJwQ85WMy7nRkm2j55T4+Dz0UIYZeggsL7OpHSZQUZdENbEwfuahuDPsAm&#10;l7rBZwg3lRxH0VQaLDk0FFhTWlD2fbgbBdt0tcP9ZWzi3ypdf12X9e10nijV77XLTxCeWv8W/7s3&#10;Osz/mMLrmXCBnP8BAAD//wMAUEsBAi0AFAAGAAgAAAAhANvh9svuAAAAhQEAABMAAAAAAAAAAAAA&#10;AAAAAAAAAFtDb250ZW50X1R5cGVzXS54bWxQSwECLQAUAAYACAAAACEAWvQsW78AAAAVAQAACwAA&#10;AAAAAAAAAAAAAAAfAQAAX3JlbHMvLnJlbHNQSwECLQAUAAYACAAAACEA0TdEkcMAAADcAAAADwAA&#10;AAAAAAAAAAAAAAAHAgAAZHJzL2Rvd25yZXYueG1sUEsFBgAAAAADAAMAtwAAAPcCAAAAAA==&#10;" filled="f" stroked="f" strokeweight=".5pt">
                  <v:textbox>
                    <w:txbxContent>
                      <w:p w:rsidR="006401D9" w:rsidRPr="00DB5258" w:rsidRDefault="00DB5258" w:rsidP="006401D9">
                        <w:pPr>
                          <w:rPr>
                            <w:rFonts w:ascii="Times New Roman" w:hAnsi="Times New Roman" w:cs="Times New Roman"/>
                            <w:szCs w:val="20"/>
                          </w:rPr>
                        </w:pPr>
                        <w:r>
                          <w:rPr>
                            <w:rFonts w:ascii="Times New Roman" w:hAnsi="Times New Roman" w:cs="Times New Roman"/>
                            <w:szCs w:val="20"/>
                          </w:rPr>
                          <w:t>Таблица 1</w:t>
                        </w:r>
                        <w:r w:rsidR="006401D9" w:rsidRPr="00DB5258">
                          <w:rPr>
                            <w:rFonts w:ascii="Times New Roman" w:hAnsi="Times New Roman" w:cs="Times New Roman"/>
                            <w:szCs w:val="20"/>
                          </w:rPr>
                          <w:t>: Прогнозы роста МВФ «Перспективы развития мировой экономики»</w:t>
                        </w:r>
                      </w:p>
                    </w:txbxContent>
                  </v:textbox>
                </v:shape>
                <v:shape id="Textfeld 13" o:spid="_x0000_s1028" type="#_x0000_t202" style="position:absolute;left:2814;top:38233;width:53721;height:4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xQAAANwAAAAPAAAAZHJzL2Rvd25yZXYueG1sRE9La8JA&#10;EL4X/A/LFHqrmwaqIXUVCYil1IOPS2/T7JiE7s7G7BpTf71bKHibj+85s8Vgjeip841jBS/jBARx&#10;6XTDlYLDfvWcgfABWaNxTAp+ycNiPnqYYa7dhbfU70IlYgj7HBXUIbS5lL6syaIfu5Y4ckfXWQwR&#10;dpXUHV5iuDUyTZKJtNhwbKixpaKm8md3tgo+itUGt9+pza6mWH8el+3p8PWq1NPjsHwDEWgId/G/&#10;+13H+dMp/D0TL5DzGwAAAP//AwBQSwECLQAUAAYACAAAACEA2+H2y+4AAACFAQAAEwAAAAAAAAAA&#10;AAAAAAAAAAAAW0NvbnRlbnRfVHlwZXNdLnhtbFBLAQItABQABgAIAAAAIQBa9CxbvwAAABUBAAAL&#10;AAAAAAAAAAAAAAAAAB8BAABfcmVscy8ucmVsc1BLAQItABQABgAIAAAAIQC+e+EKxQAAANwAAAAP&#10;AAAAAAAAAAAAAAAAAAcCAABkcnMvZG93bnJldi54bWxQSwUGAAAAAAMAAwC3AAAA+QIAAAAA&#10;" filled="f" stroked="f" strokeweight=".5pt">
                  <v:textbox>
                    <w:txbxContent>
                      <w:p w:rsidR="006401D9" w:rsidRPr="00DB5258" w:rsidRDefault="006401D9" w:rsidP="006401D9">
                        <w:pPr>
                          <w:rPr>
                            <w:rFonts w:ascii="Times New Roman" w:hAnsi="Times New Roman" w:cs="Times New Roman"/>
                            <w:szCs w:val="20"/>
                          </w:rPr>
                        </w:pPr>
                        <w:r w:rsidRPr="00DB5258">
                          <w:rPr>
                            <w:rFonts w:ascii="Times New Roman" w:hAnsi="Times New Roman" w:cs="Times New Roman"/>
                            <w:i/>
                            <w:iCs/>
                            <w:szCs w:val="20"/>
                          </w:rPr>
                          <w:t>Примечание. В этой таблице представлены прогнозы годового процентного изменения реального ВВП отдельных стран; Источник: Обновление прогнозов развития мировой экономики МВФ (июнь 2020 г.).</w:t>
                        </w:r>
                      </w:p>
                    </w:txbxContent>
                  </v:textbox>
                </v:shape>
                <v:shape id="Textfeld 14" o:spid="_x0000_s1029" type="#_x0000_t202" style="position:absolute;top:2286;width:56000;height:4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V4xgAAANwAAAAPAAAAZHJzL2Rvd25yZXYueG1sRI9Ba8JA&#10;EIXvBf/DMoK3ulHQSnQVCUhF2oPWi7cxOybB7GzMbjX113cOhd5meG/e+2ax6lyt7tSGyrOB0TAB&#10;RZx7W3Fh4Pi1eZ2BChHZYu2ZDPxQgNWy97LA1PoH7+l+iIWSEA4pGihjbFKtQ16SwzD0DbFoF986&#10;jLK2hbYtPiTc1XqcJFPtsGJpKLGhrKT8evh2BnbZ5hP357GbPevs/eOybm7H08SYQb9bz0FF6uK/&#10;+e96awX/TWjlGZlAL38BAAD//wMAUEsBAi0AFAAGAAgAAAAhANvh9svuAAAAhQEAABMAAAAAAAAA&#10;AAAAAAAAAAAAAFtDb250ZW50X1R5cGVzXS54bWxQSwECLQAUAAYACAAAACEAWvQsW78AAAAVAQAA&#10;CwAAAAAAAAAAAAAAAAAfAQAAX3JlbHMvLnJlbHNQSwECLQAUAAYACAAAACEAz+R1eMYAAADcAAAA&#10;DwAAAAAAAAAAAAAAAAAHAgAAZHJzL2Rvd25yZXYueG1sUEsFBgAAAAADAAMAtwAAAPoCAAAAAA==&#10;" filled="f" stroked="f" strokeweight=".5pt">
                  <v:textbox>
                    <w:txbxContent>
                      <w:tbl>
                        <w:tblPr>
                          <w:tblW w:w="4988" w:type="pct"/>
                          <w:tblBorders>
                            <w:top w:val="single" w:sz="4" w:space="0" w:color="auto"/>
                            <w:bottom w:val="single" w:sz="4" w:space="0" w:color="auto"/>
                          </w:tblBorders>
                          <w:tblLook w:val="04A0" w:firstRow="1" w:lastRow="0" w:firstColumn="1" w:lastColumn="0" w:noHBand="0" w:noVBand="1"/>
                        </w:tblPr>
                        <w:tblGrid>
                          <w:gridCol w:w="4271"/>
                          <w:gridCol w:w="1411"/>
                          <w:gridCol w:w="1411"/>
                          <w:gridCol w:w="1408"/>
                        </w:tblGrid>
                        <w:tr w:rsidR="006401D9" w:rsidRPr="00DB5258" w:rsidTr="00146430">
                          <w:trPr>
                            <w:trHeight w:val="216"/>
                          </w:trPr>
                          <w:tc>
                            <w:tcPr>
                              <w:tcW w:w="2512" w:type="pct"/>
                              <w:tcBorders>
                                <w:top w:val="single" w:sz="12" w:space="0" w:color="auto"/>
                                <w:left w:val="nil"/>
                                <w:bottom w:val="nil"/>
                                <w:right w:val="nil"/>
                              </w:tcBorders>
                              <w:shd w:val="clear" w:color="auto" w:fill="auto"/>
                            </w:tcPr>
                            <w:p w:rsidR="006401D9" w:rsidRPr="00DB5258" w:rsidRDefault="006401D9">
                              <w:pPr>
                                <w:rPr>
                                  <w:rFonts w:ascii="Times New Roman" w:eastAsia="Times New Roman" w:hAnsi="Times New Roman" w:cs="Times New Roman"/>
                                  <w:szCs w:val="20"/>
                                  <w:lang w:val="de-DE" w:eastAsia="de-DE"/>
                                </w:rPr>
                              </w:pPr>
                            </w:p>
                          </w:tc>
                          <w:tc>
                            <w:tcPr>
                              <w:tcW w:w="830" w:type="pct"/>
                              <w:tcBorders>
                                <w:top w:val="single" w:sz="12" w:space="0" w:color="auto"/>
                                <w:left w:val="nil"/>
                                <w:bottom w:val="nil"/>
                                <w:right w:val="nil"/>
                              </w:tcBorders>
                              <w:shd w:val="clear" w:color="auto" w:fill="auto"/>
                            </w:tcPr>
                            <w:p w:rsidR="006401D9" w:rsidRPr="00DB5258" w:rsidRDefault="006401D9">
                              <w:pPr>
                                <w:rPr>
                                  <w:rFonts w:ascii="Times New Roman" w:eastAsia="Times New Roman" w:hAnsi="Times New Roman" w:cs="Times New Roman"/>
                                  <w:szCs w:val="20"/>
                                  <w:lang w:val="de-DE" w:eastAsia="de-DE"/>
                                </w:rPr>
                              </w:pPr>
                            </w:p>
                          </w:tc>
                          <w:tc>
                            <w:tcPr>
                              <w:tcW w:w="1658" w:type="pct"/>
                              <w:gridSpan w:val="2"/>
                              <w:tcBorders>
                                <w:top w:val="single" w:sz="12" w:space="0" w:color="auto"/>
                                <w:left w:val="nil"/>
                                <w:bottom w:val="single" w:sz="4" w:space="0" w:color="auto"/>
                                <w:right w:val="nil"/>
                              </w:tcBorders>
                              <w:shd w:val="clear" w:color="auto" w:fill="auto"/>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Projections</w:t>
                              </w:r>
                            </w:p>
                          </w:tc>
                        </w:tr>
                        <w:tr w:rsidR="006401D9" w:rsidRPr="00DB5258" w:rsidTr="00146430">
                          <w:trPr>
                            <w:trHeight w:val="216"/>
                          </w:trPr>
                          <w:tc>
                            <w:tcPr>
                              <w:tcW w:w="2512" w:type="pct"/>
                              <w:tcBorders>
                                <w:top w:val="nil"/>
                                <w:left w:val="nil"/>
                                <w:bottom w:val="single" w:sz="4" w:space="0" w:color="auto"/>
                                <w:right w:val="nil"/>
                              </w:tcBorders>
                              <w:shd w:val="clear" w:color="auto" w:fill="auto"/>
                            </w:tcPr>
                            <w:p w:rsidR="006401D9" w:rsidRPr="00DB5258" w:rsidRDefault="006401D9">
                              <w:pPr>
                                <w:rPr>
                                  <w:rFonts w:ascii="Times New Roman" w:eastAsia="Times New Roman" w:hAnsi="Times New Roman" w:cs="Times New Roman"/>
                                  <w:szCs w:val="20"/>
                                  <w:lang w:val="de-DE" w:eastAsia="de-DE"/>
                                </w:rPr>
                              </w:pPr>
                            </w:p>
                          </w:tc>
                          <w:tc>
                            <w:tcPr>
                              <w:tcW w:w="830" w:type="pct"/>
                              <w:tcBorders>
                                <w:top w:val="nil"/>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2019</w:t>
                              </w:r>
                            </w:p>
                          </w:tc>
                          <w:tc>
                            <w:tcPr>
                              <w:tcW w:w="830" w:type="pct"/>
                              <w:tcBorders>
                                <w:top w:val="single" w:sz="4" w:space="0" w:color="auto"/>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2020</w:t>
                              </w:r>
                            </w:p>
                          </w:tc>
                          <w:tc>
                            <w:tcPr>
                              <w:tcW w:w="828" w:type="pct"/>
                              <w:tcBorders>
                                <w:top w:val="single" w:sz="4" w:space="0" w:color="auto"/>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2021</w:t>
                              </w:r>
                            </w:p>
                          </w:tc>
                        </w:tr>
                        <w:tr w:rsidR="006401D9" w:rsidRPr="00DB5258" w:rsidTr="00146430">
                          <w:trPr>
                            <w:trHeight w:val="234"/>
                          </w:trPr>
                          <w:tc>
                            <w:tcPr>
                              <w:tcW w:w="2512" w:type="pct"/>
                              <w:tcBorders>
                                <w:top w:val="single" w:sz="4" w:space="0" w:color="auto"/>
                                <w:left w:val="nil"/>
                                <w:bottom w:val="single" w:sz="4" w:space="0" w:color="auto"/>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World output</w:t>
                              </w:r>
                            </w:p>
                          </w:tc>
                          <w:tc>
                            <w:tcPr>
                              <w:tcW w:w="830" w:type="pct"/>
                              <w:tcBorders>
                                <w:top w:val="single" w:sz="4" w:space="0" w:color="auto"/>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2.9</w:t>
                              </w:r>
                            </w:p>
                          </w:tc>
                          <w:tc>
                            <w:tcPr>
                              <w:tcW w:w="830" w:type="pct"/>
                              <w:tcBorders>
                                <w:top w:val="single" w:sz="4" w:space="0" w:color="auto"/>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-4.9</w:t>
                              </w:r>
                            </w:p>
                          </w:tc>
                          <w:tc>
                            <w:tcPr>
                              <w:tcW w:w="828" w:type="pct"/>
                              <w:tcBorders>
                                <w:top w:val="single" w:sz="4" w:space="0" w:color="auto"/>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5.4</w:t>
                              </w:r>
                            </w:p>
                          </w:tc>
                        </w:tr>
                        <w:tr w:rsidR="006401D9" w:rsidRPr="00DB5258" w:rsidTr="00146430">
                          <w:trPr>
                            <w:trHeight w:val="216"/>
                          </w:trPr>
                          <w:tc>
                            <w:tcPr>
                              <w:tcW w:w="2512" w:type="pct"/>
                              <w:tcBorders>
                                <w:top w:val="single" w:sz="4" w:space="0" w:color="auto"/>
                                <w:left w:val="nil"/>
                                <w:bottom w:val="dashSmallGap" w:sz="4" w:space="0" w:color="auto"/>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Advanced economies</w:t>
                              </w:r>
                            </w:p>
                          </w:tc>
                          <w:tc>
                            <w:tcPr>
                              <w:tcW w:w="830" w:type="pct"/>
                              <w:tcBorders>
                                <w:top w:val="single" w:sz="4" w:space="0" w:color="auto"/>
                                <w:left w:val="nil"/>
                                <w:bottom w:val="dashSmallGap"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1.7</w:t>
                              </w:r>
                            </w:p>
                          </w:tc>
                          <w:tc>
                            <w:tcPr>
                              <w:tcW w:w="830" w:type="pct"/>
                              <w:tcBorders>
                                <w:top w:val="single" w:sz="4" w:space="0" w:color="auto"/>
                                <w:left w:val="nil"/>
                                <w:bottom w:val="dashSmallGap"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-8.0</w:t>
                              </w:r>
                            </w:p>
                          </w:tc>
                          <w:tc>
                            <w:tcPr>
                              <w:tcW w:w="828" w:type="pct"/>
                              <w:tcBorders>
                                <w:top w:val="single" w:sz="4" w:space="0" w:color="auto"/>
                                <w:left w:val="nil"/>
                                <w:bottom w:val="dashSmallGap"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4.8</w:t>
                              </w:r>
                            </w:p>
                          </w:tc>
                        </w:tr>
                        <w:tr w:rsidR="006401D9" w:rsidRPr="00DB5258" w:rsidTr="00146430">
                          <w:trPr>
                            <w:trHeight w:val="234"/>
                          </w:trPr>
                          <w:tc>
                            <w:tcPr>
                              <w:tcW w:w="2512" w:type="pct"/>
                              <w:tcBorders>
                                <w:top w:val="dashSmallGap" w:sz="4" w:space="0" w:color="auto"/>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United States</w:t>
                              </w:r>
                            </w:p>
                          </w:tc>
                          <w:tc>
                            <w:tcPr>
                              <w:tcW w:w="830" w:type="pct"/>
                              <w:tcBorders>
                                <w:top w:val="dashSmallGap" w:sz="4" w:space="0" w:color="auto"/>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2.3</w:t>
                              </w:r>
                            </w:p>
                          </w:tc>
                          <w:tc>
                            <w:tcPr>
                              <w:tcW w:w="830" w:type="pct"/>
                              <w:tcBorders>
                                <w:top w:val="dashSmallGap" w:sz="4" w:space="0" w:color="auto"/>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-8.0</w:t>
                              </w:r>
                            </w:p>
                          </w:tc>
                          <w:tc>
                            <w:tcPr>
                              <w:tcW w:w="828" w:type="pct"/>
                              <w:tcBorders>
                                <w:top w:val="dashSmallGap" w:sz="4" w:space="0" w:color="auto"/>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4.5</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Euro Area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1.3</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-10.2</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6.0</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Germany</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0.6</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-7.8</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5.4</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France</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1.5</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-12.5</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7.3</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Italy</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0.3</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-12.8</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6.3</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Spain</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2.0</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-12.8</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6.3</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Japan</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0.7</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-5.8</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2.4</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United Kingdom</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1.4</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-10.2</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6.3</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Canada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1.7</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-8.4</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4.9</w:t>
                              </w:r>
                            </w:p>
                          </w:tc>
                        </w:tr>
                        <w:tr w:rsidR="006401D9" w:rsidRPr="00DB5258" w:rsidTr="00146430">
                          <w:trPr>
                            <w:trHeight w:val="216"/>
                          </w:trPr>
                          <w:tc>
                            <w:tcPr>
                              <w:tcW w:w="2512" w:type="pct"/>
                              <w:tcBorders>
                                <w:top w:val="nil"/>
                                <w:left w:val="nil"/>
                                <w:bottom w:val="single" w:sz="4" w:space="0" w:color="auto"/>
                                <w:right w:val="nil"/>
                              </w:tcBorders>
                              <w:shd w:val="clear" w:color="auto" w:fill="auto"/>
                              <w:hideMark/>
                            </w:tcPr>
                            <w:p w:rsidR="006401D9" w:rsidRPr="00DB5258" w:rsidRDefault="006401D9">
                              <w:pPr>
                                <w:rPr>
                                  <w:rFonts w:ascii="Times New Roman" w:eastAsia="Times New Roman" w:hAnsi="Times New Roman" w:cs="Times New Roman"/>
                                  <w:szCs w:val="20"/>
                                  <w:lang w:val="de-DE" w:eastAsia="de-DE"/>
                                </w:rPr>
                              </w:pPr>
                              <w:r w:rsidRPr="00DB5258">
                                <w:rPr>
                                  <w:rFonts w:ascii="Times New Roman" w:hAnsi="Times New Roman" w:cs="Times New Roman"/>
                                  <w:szCs w:val="20"/>
                                </w:rPr>
                                <w:t xml:space="preserve">   Other advanced economies</w:t>
                              </w:r>
                            </w:p>
                          </w:tc>
                          <w:tc>
                            <w:tcPr>
                              <w:tcW w:w="830" w:type="pct"/>
                              <w:tcBorders>
                                <w:top w:val="nil"/>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1.7</w:t>
                              </w:r>
                            </w:p>
                          </w:tc>
                          <w:tc>
                            <w:tcPr>
                              <w:tcW w:w="830" w:type="pct"/>
                              <w:tcBorders>
                                <w:top w:val="nil"/>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-4.8</w:t>
                              </w:r>
                            </w:p>
                          </w:tc>
                          <w:tc>
                            <w:tcPr>
                              <w:tcW w:w="828" w:type="pct"/>
                              <w:tcBorders>
                                <w:top w:val="nil"/>
                                <w:left w:val="nil"/>
                                <w:bottom w:val="single"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val="de-DE" w:eastAsia="de-DE"/>
                                </w:rPr>
                              </w:pPr>
                              <w:r w:rsidRPr="00DB5258">
                                <w:rPr>
                                  <w:rFonts w:ascii="Times New Roman" w:hAnsi="Times New Roman" w:cs="Times New Roman"/>
                                  <w:szCs w:val="20"/>
                                </w:rPr>
                                <w:t>4.2</w:t>
                              </w:r>
                            </w:p>
                          </w:tc>
                        </w:tr>
                        <w:tr w:rsidR="006401D9" w:rsidRPr="00DB5258" w:rsidTr="00146430">
                          <w:trPr>
                            <w:trHeight w:val="234"/>
                          </w:trPr>
                          <w:tc>
                            <w:tcPr>
                              <w:tcW w:w="2512" w:type="pct"/>
                              <w:tcBorders>
                                <w:top w:val="single" w:sz="4" w:space="0" w:color="auto"/>
                                <w:left w:val="nil"/>
                                <w:bottom w:val="dashSmallGap" w:sz="4" w:space="0" w:color="auto"/>
                                <w:right w:val="nil"/>
                              </w:tcBorders>
                              <w:shd w:val="clear" w:color="auto" w:fill="auto"/>
                              <w:hideMark/>
                            </w:tcPr>
                            <w:p w:rsidR="006401D9" w:rsidRPr="00DB5258" w:rsidRDefault="006401D9">
                              <w:pPr>
                                <w:rPr>
                                  <w:rFonts w:ascii="Times New Roman" w:eastAsia="Times New Roman" w:hAnsi="Times New Roman" w:cs="Times New Roman"/>
                                  <w:szCs w:val="20"/>
                                  <w:lang w:val="en-US" w:eastAsia="de-DE"/>
                                </w:rPr>
                              </w:pPr>
                              <w:r w:rsidRPr="00DB5258">
                                <w:rPr>
                                  <w:rFonts w:ascii="Times New Roman" w:hAnsi="Times New Roman" w:cs="Times New Roman"/>
                                  <w:szCs w:val="20"/>
                                  <w:lang w:val="en-US"/>
                                </w:rPr>
                                <w:t>Emerging markets and developing countries</w:t>
                              </w:r>
                            </w:p>
                          </w:tc>
                          <w:tc>
                            <w:tcPr>
                              <w:tcW w:w="830" w:type="pct"/>
                              <w:tcBorders>
                                <w:top w:val="single" w:sz="4" w:space="0" w:color="auto"/>
                                <w:left w:val="nil"/>
                                <w:bottom w:val="dashSmallGap"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3.7</w:t>
                              </w:r>
                            </w:p>
                          </w:tc>
                          <w:tc>
                            <w:tcPr>
                              <w:tcW w:w="830" w:type="pct"/>
                              <w:tcBorders>
                                <w:top w:val="single" w:sz="4" w:space="0" w:color="auto"/>
                                <w:left w:val="nil"/>
                                <w:bottom w:val="dashSmallGap"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-3.0</w:t>
                              </w:r>
                            </w:p>
                          </w:tc>
                          <w:tc>
                            <w:tcPr>
                              <w:tcW w:w="828" w:type="pct"/>
                              <w:tcBorders>
                                <w:top w:val="single" w:sz="4" w:space="0" w:color="auto"/>
                                <w:left w:val="nil"/>
                                <w:bottom w:val="dashSmallGap" w:sz="4"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5.9</w:t>
                              </w:r>
                            </w:p>
                          </w:tc>
                        </w:tr>
                        <w:tr w:rsidR="006401D9" w:rsidRPr="00DB5258" w:rsidTr="00146430">
                          <w:trPr>
                            <w:trHeight w:val="216"/>
                          </w:trPr>
                          <w:tc>
                            <w:tcPr>
                              <w:tcW w:w="2512" w:type="pct"/>
                              <w:tcBorders>
                                <w:top w:val="dashSmallGap" w:sz="4" w:space="0" w:color="auto"/>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Emerging and developing Asia </w:t>
                              </w:r>
                            </w:p>
                          </w:tc>
                          <w:tc>
                            <w:tcPr>
                              <w:tcW w:w="830" w:type="pct"/>
                              <w:tcBorders>
                                <w:top w:val="dashSmallGap" w:sz="4" w:space="0" w:color="auto"/>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5.5</w:t>
                              </w:r>
                            </w:p>
                          </w:tc>
                          <w:tc>
                            <w:tcPr>
                              <w:tcW w:w="830" w:type="pct"/>
                              <w:tcBorders>
                                <w:top w:val="dashSmallGap" w:sz="4" w:space="0" w:color="auto"/>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-0.8</w:t>
                              </w:r>
                            </w:p>
                          </w:tc>
                          <w:tc>
                            <w:tcPr>
                              <w:tcW w:w="828" w:type="pct"/>
                              <w:tcBorders>
                                <w:top w:val="dashSmallGap" w:sz="4" w:space="0" w:color="auto"/>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7.4</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China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6.1</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1.0</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8.2</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India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4.2</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-4.5</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6.0</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ASEAN-5</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4.9</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-2.0</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6.2</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Emerging and developing Europe</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2.1</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-5.8</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4.3</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Russia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1.3</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-6.6</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4.1</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en-US" w:eastAsia="de-DE"/>
                                </w:rPr>
                              </w:pPr>
                              <w:r w:rsidRPr="00DB5258">
                                <w:rPr>
                                  <w:rFonts w:ascii="Times New Roman" w:hAnsi="Times New Roman" w:cs="Times New Roman"/>
                                  <w:szCs w:val="20"/>
                                  <w:lang w:val="en-US"/>
                                </w:rPr>
                                <w:t xml:space="preserve">   Latin America and the Caribbean</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0.1</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-9.4</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3.7</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Brazil</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1.1</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-9.1</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3.6</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Mexico</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-0.3</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-10.5</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3.3</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val="en-US" w:eastAsia="de-DE"/>
                                </w:rPr>
                              </w:pPr>
                              <w:r w:rsidRPr="00DB5258">
                                <w:rPr>
                                  <w:rFonts w:ascii="Times New Roman" w:hAnsi="Times New Roman" w:cs="Times New Roman"/>
                                  <w:szCs w:val="20"/>
                                  <w:lang w:val="en-US"/>
                                </w:rPr>
                                <w:t xml:space="preserve">   Middle East and Central Asia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1.0</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-4.7</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3.3</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Saudi Arabia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0.3</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-6.8</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3.1</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Sub-Saharan Africa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3.1</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-3.2</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3.4</w:t>
                              </w:r>
                            </w:p>
                          </w:tc>
                        </w:tr>
                        <w:tr w:rsidR="006401D9" w:rsidRPr="00DB5258" w:rsidTr="00146430">
                          <w:trPr>
                            <w:trHeight w:val="216"/>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Nigeria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2.2</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-5.4</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2.6</w:t>
                              </w:r>
                            </w:p>
                          </w:tc>
                        </w:tr>
                        <w:tr w:rsidR="006401D9" w:rsidRPr="00DB5258" w:rsidTr="00146430">
                          <w:trPr>
                            <w:trHeight w:val="234"/>
                          </w:trPr>
                          <w:tc>
                            <w:tcPr>
                              <w:tcW w:w="2512" w:type="pct"/>
                              <w:tcBorders>
                                <w:top w:val="nil"/>
                                <w:left w:val="nil"/>
                                <w:bottom w:val="nil"/>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South Africa</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0.2</w:t>
                              </w:r>
                            </w:p>
                          </w:tc>
                          <w:tc>
                            <w:tcPr>
                              <w:tcW w:w="830"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-8.0</w:t>
                              </w:r>
                            </w:p>
                          </w:tc>
                          <w:tc>
                            <w:tcPr>
                              <w:tcW w:w="828" w:type="pct"/>
                              <w:tcBorders>
                                <w:top w:val="nil"/>
                                <w:left w:val="nil"/>
                                <w:bottom w:val="nil"/>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3.5</w:t>
                              </w:r>
                            </w:p>
                          </w:tc>
                        </w:tr>
                        <w:tr w:rsidR="006401D9" w:rsidRPr="00DB5258" w:rsidTr="00146430">
                          <w:trPr>
                            <w:trHeight w:val="216"/>
                          </w:trPr>
                          <w:tc>
                            <w:tcPr>
                              <w:tcW w:w="2512" w:type="pct"/>
                              <w:tcBorders>
                                <w:top w:val="nil"/>
                                <w:left w:val="nil"/>
                                <w:bottom w:val="single" w:sz="12" w:space="0" w:color="auto"/>
                                <w:right w:val="nil"/>
                              </w:tcBorders>
                              <w:shd w:val="clear" w:color="auto" w:fill="auto"/>
                              <w:hideMark/>
                            </w:tcPr>
                            <w:p w:rsidR="006401D9" w:rsidRPr="00DB5258" w:rsidRDefault="006401D9">
                              <w:pPr>
                                <w:rPr>
                                  <w:rFonts w:ascii="Times New Roman" w:eastAsia="Times New Roman" w:hAnsi="Times New Roman" w:cs="Times New Roman"/>
                                  <w:szCs w:val="20"/>
                                  <w:lang w:eastAsia="de-DE"/>
                                </w:rPr>
                              </w:pPr>
                              <w:r w:rsidRPr="00DB5258">
                                <w:rPr>
                                  <w:rFonts w:ascii="Times New Roman" w:hAnsi="Times New Roman" w:cs="Times New Roman"/>
                                  <w:szCs w:val="20"/>
                                </w:rPr>
                                <w:t xml:space="preserve">   Low-Income developing countries</w:t>
                              </w:r>
                            </w:p>
                          </w:tc>
                          <w:tc>
                            <w:tcPr>
                              <w:tcW w:w="830" w:type="pct"/>
                              <w:tcBorders>
                                <w:top w:val="nil"/>
                                <w:left w:val="nil"/>
                                <w:bottom w:val="single" w:sz="12"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5.2</w:t>
                              </w:r>
                            </w:p>
                          </w:tc>
                          <w:tc>
                            <w:tcPr>
                              <w:tcW w:w="830" w:type="pct"/>
                              <w:tcBorders>
                                <w:top w:val="nil"/>
                                <w:left w:val="nil"/>
                                <w:bottom w:val="single" w:sz="12"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-1.0</w:t>
                              </w:r>
                            </w:p>
                          </w:tc>
                          <w:tc>
                            <w:tcPr>
                              <w:tcW w:w="828" w:type="pct"/>
                              <w:tcBorders>
                                <w:top w:val="nil"/>
                                <w:left w:val="nil"/>
                                <w:bottom w:val="single" w:sz="12" w:space="0" w:color="auto"/>
                                <w:right w:val="nil"/>
                              </w:tcBorders>
                              <w:shd w:val="clear" w:color="auto" w:fill="auto"/>
                              <w:vAlign w:val="center"/>
                              <w:hideMark/>
                            </w:tcPr>
                            <w:p w:rsidR="006401D9" w:rsidRPr="00DB5258" w:rsidRDefault="006401D9" w:rsidP="00146430">
                              <w:pPr>
                                <w:jc w:val="center"/>
                                <w:rPr>
                                  <w:rFonts w:ascii="Times New Roman" w:eastAsia="Times New Roman" w:hAnsi="Times New Roman" w:cs="Times New Roman"/>
                                  <w:szCs w:val="20"/>
                                  <w:lang w:eastAsia="de-DE"/>
                                </w:rPr>
                              </w:pPr>
                              <w:r w:rsidRPr="00DB5258">
                                <w:rPr>
                                  <w:rFonts w:ascii="Times New Roman" w:hAnsi="Times New Roman" w:cs="Times New Roman"/>
                                  <w:szCs w:val="20"/>
                                </w:rPr>
                                <w:t>5.2</w:t>
                              </w:r>
                            </w:p>
                          </w:tc>
                        </w:tr>
                      </w:tbl>
                      <w:p w:rsidR="006401D9" w:rsidRPr="00DB5258" w:rsidRDefault="006401D9" w:rsidP="006401D9">
                        <w:pPr>
                          <w:rPr>
                            <w:rFonts w:ascii="Times New Roman" w:eastAsia="Times New Roman" w:hAnsi="Times New Roman" w:cs="Times New Roman"/>
                            <w:szCs w:val="20"/>
                            <w:lang w:val="de-DE" w:eastAsia="de-DE"/>
                          </w:rPr>
                        </w:pPr>
                      </w:p>
                    </w:txbxContent>
                  </v:textbox>
                </v:shape>
                <w10:wrap type="topAndBottom"/>
              </v:group>
            </w:pict>
          </mc:Fallback>
        </mc:AlternateContent>
      </w:r>
      <w:r w:rsidR="006401D9" w:rsidRPr="00362CFE">
        <w:rPr>
          <w:rFonts w:ascii="Times New Roman" w:hAnsi="Times New Roman" w:cs="Times New Roman"/>
          <w:sz w:val="24"/>
        </w:rPr>
        <w:t xml:space="preserve">Нам кажется важным отметить, что делать прогнозы на основе опыта прошлого (кризис 2008 года, последствия первой и второй мировых войн, лихорадка Эбола) в большинстве случаев невозможно. Это очень важный момент при проведении данного исследования. </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В связи с пандемией коронавируса многие эксперты считают, что в этом году мировую экономику ждет рецессия. В январе МВФ по-прежнему прогнозировал рост мировой экономики на уровне 3,3% на 2020 год. Согласно последнему прогнозу от июня 2020 года, мировая экономика сократи</w:t>
      </w:r>
      <w:r w:rsidR="005B210C" w:rsidRPr="00362CFE">
        <w:rPr>
          <w:rFonts w:ascii="Times New Roman" w:hAnsi="Times New Roman" w:cs="Times New Roman"/>
          <w:sz w:val="24"/>
        </w:rPr>
        <w:t>лась</w:t>
      </w:r>
      <w:r w:rsidRPr="00362CFE">
        <w:rPr>
          <w:rFonts w:ascii="Times New Roman" w:hAnsi="Times New Roman" w:cs="Times New Roman"/>
          <w:sz w:val="24"/>
        </w:rPr>
        <w:t xml:space="preserve"> на 4,9% в 2020 году, что </w:t>
      </w:r>
      <w:r w:rsidR="005B210C" w:rsidRPr="00362CFE">
        <w:rPr>
          <w:rFonts w:ascii="Times New Roman" w:hAnsi="Times New Roman" w:cs="Times New Roman"/>
          <w:sz w:val="24"/>
        </w:rPr>
        <w:t>стало</w:t>
      </w:r>
      <w:r w:rsidRPr="00362CFE">
        <w:rPr>
          <w:rFonts w:ascii="Times New Roman" w:hAnsi="Times New Roman" w:cs="Times New Roman"/>
          <w:sz w:val="24"/>
        </w:rPr>
        <w:t xml:space="preserve"> даже хуже, чем после мирового финансового кризиса 2008-2009 годов</w:t>
      </w:r>
      <w:r w:rsidR="00725577" w:rsidRPr="00362CFE">
        <w:rPr>
          <w:rFonts w:ascii="Times New Roman" w:hAnsi="Times New Roman" w:cs="Times New Roman"/>
          <w:sz w:val="24"/>
        </w:rPr>
        <w:t xml:space="preserve"> </w:t>
      </w:r>
      <w:r w:rsidR="00725577" w:rsidRPr="00362CFE">
        <w:rPr>
          <w:rFonts w:ascii="Times New Roman" w:hAnsi="Times New Roman" w:cs="Times New Roman"/>
          <w:sz w:val="24"/>
        </w:rPr>
        <w:t>[1]</w:t>
      </w:r>
      <w:r w:rsidRPr="00362CFE">
        <w:rPr>
          <w:rFonts w:ascii="Times New Roman" w:hAnsi="Times New Roman" w:cs="Times New Roman"/>
          <w:sz w:val="24"/>
        </w:rPr>
        <w:t>. Более того, МВФ ожидает значительного восстановления мировой экономики в следующем году, по его расчетам, экономический рост в 2021 году составит 5,4% по сравнению с 2020 годом. Однако экономисты МВФ называют условием реализации этого прогноза то, что во втором полугодии текущего года можно будет в значительной степени взять под контроль пандемию и восстановить экономическую активность.</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В еврозоне МВФ прогнозирует снижение ВВП на 10,2%, в Германии - 7,8%, а в Италии - 12,8%. В 2021 году экономика еврозоны вырастет на 6%, Германии - на 5,4%. Ожидаемое снижение темпов роста в других</w:t>
      </w:r>
      <w:r w:rsidR="00DB5258" w:rsidRPr="00362CFE">
        <w:rPr>
          <w:rFonts w:ascii="Times New Roman" w:hAnsi="Times New Roman" w:cs="Times New Roman"/>
          <w:sz w:val="24"/>
        </w:rPr>
        <w:t xml:space="preserve"> странах можно найти в Таблице 1</w:t>
      </w:r>
      <w:r w:rsidR="00725577" w:rsidRPr="00362CFE">
        <w:rPr>
          <w:rFonts w:ascii="Times New Roman" w:hAnsi="Times New Roman" w:cs="Times New Roman"/>
          <w:sz w:val="24"/>
        </w:rPr>
        <w:t xml:space="preserve"> </w:t>
      </w:r>
      <w:r w:rsidR="00725577" w:rsidRPr="00362CFE">
        <w:rPr>
          <w:rFonts w:ascii="Times New Roman" w:hAnsi="Times New Roman" w:cs="Times New Roman"/>
          <w:sz w:val="24"/>
        </w:rPr>
        <w:t>[</w:t>
      </w:r>
      <w:r w:rsidR="00725577" w:rsidRPr="00362CFE">
        <w:rPr>
          <w:rFonts w:ascii="Times New Roman" w:hAnsi="Times New Roman" w:cs="Times New Roman"/>
          <w:sz w:val="24"/>
        </w:rPr>
        <w:t>5</w:t>
      </w:r>
      <w:r w:rsidR="00725577" w:rsidRPr="00362CFE">
        <w:rPr>
          <w:rFonts w:ascii="Times New Roman" w:hAnsi="Times New Roman" w:cs="Times New Roman"/>
          <w:sz w:val="24"/>
        </w:rPr>
        <w:t>]</w:t>
      </w:r>
      <w:r w:rsidRPr="00362CFE">
        <w:rPr>
          <w:rFonts w:ascii="Times New Roman" w:hAnsi="Times New Roman" w:cs="Times New Roman"/>
          <w:sz w:val="24"/>
        </w:rPr>
        <w:t>.</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lastRenderedPageBreak/>
        <w:t>Отмечается, что экономики многих государств могут пострадать из-за самоизоляции. Эксперты Европейской комиссии уже оценивают снижение мировой торговли на 9,7% к 2020 году. Для ЕС-27 прогнозируемый экономический спад, связанный с COVID-19, приведет к сокращению экспорта товаров и услуг за пределы ЕС на 9,2% и на 8,8%. % снижение импорта в страны ЕС-27 в 2020 году.</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Здесь стоит подчеркнуть, что влияние коронавируса на торговлю и, как следствие, на экономику в целом действительно будет большим. Ожидается, что это сократит экспорт примерно на 285 миллиардов евро и импорт на 240 миллиардов евро со странами, не входящими в ЕС, согласно отчету Европейской комиссии. В этих расчетах мы обращаемся как к услугам, так и к товарам.</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Всемирная торговая организация (ВТО) недавно опубликовала свои прогнозы относительно экономических последствий пандемии COVID-19. ВТО признает, что мировая торговля упадет до 32% в этом году из-за пандемии коронавируса. Прогнозы ВТО показывают, что в нынешних условиях европейский экспорт упадет на 12–33%, а импорт - на 10–25%</w:t>
      </w:r>
      <w:r w:rsidR="00725577" w:rsidRPr="00362CFE">
        <w:rPr>
          <w:rFonts w:ascii="Times New Roman" w:hAnsi="Times New Roman" w:cs="Times New Roman"/>
          <w:sz w:val="24"/>
        </w:rPr>
        <w:t xml:space="preserve"> </w:t>
      </w:r>
      <w:r w:rsidR="00725577" w:rsidRPr="00362CFE">
        <w:rPr>
          <w:rFonts w:ascii="Times New Roman" w:hAnsi="Times New Roman" w:cs="Times New Roman"/>
          <w:sz w:val="24"/>
        </w:rPr>
        <w:t>[</w:t>
      </w:r>
      <w:r w:rsidR="00725577" w:rsidRPr="00362CFE">
        <w:rPr>
          <w:rFonts w:ascii="Times New Roman" w:hAnsi="Times New Roman" w:cs="Times New Roman"/>
          <w:sz w:val="24"/>
        </w:rPr>
        <w:t>5]</w:t>
      </w:r>
      <w:r w:rsidRPr="00362CFE">
        <w:rPr>
          <w:rFonts w:ascii="Times New Roman" w:hAnsi="Times New Roman" w:cs="Times New Roman"/>
          <w:sz w:val="24"/>
        </w:rPr>
        <w:t>.</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В целом отмечается, что в первую очередь пострадают ВВП каждой страны в отдельности, человеческий капитал (рабочая сила), а также уровень экономического благосостояния граждан. Например, экономика Китая резко упала в январе и феврале 2020 года впервые за многие десятилетия, когда объем промышленного производства сократился на 13,5%.</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 xml:space="preserve">С конца февраля 2020 года поступают сообщения об инфекциях в крупных странах. На финансовых рынках начали понимать, что может случиться что-то плохое, и неопределенность нарастала. Таким образом, цены на фондовом рынке сильно упали. Кроме того, доходность казначейских облигаций США упала до рекордно низкого уровня. Эта неопределенность также важна для потребительских расходов. </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Многие американские эксперты и бизнесмены утверждают, что многие компании сообщают о сбоях в своей работе и, соответственно, теряют стабильность</w:t>
      </w:r>
      <w:r w:rsidR="00725577" w:rsidRPr="00362CFE">
        <w:rPr>
          <w:rStyle w:val="ac"/>
          <w:rFonts w:ascii="Times New Roman" w:hAnsi="Times New Roman" w:cs="Times New Roman"/>
          <w:sz w:val="24"/>
        </w:rPr>
        <w:t xml:space="preserve"> </w:t>
      </w:r>
      <w:r w:rsidR="00725577" w:rsidRPr="00362CFE">
        <w:rPr>
          <w:rFonts w:ascii="Times New Roman" w:hAnsi="Times New Roman" w:cs="Times New Roman"/>
          <w:sz w:val="24"/>
        </w:rPr>
        <w:t>[</w:t>
      </w:r>
      <w:r w:rsidR="00725577" w:rsidRPr="00362CFE">
        <w:rPr>
          <w:rFonts w:ascii="Times New Roman" w:hAnsi="Times New Roman" w:cs="Times New Roman"/>
          <w:sz w:val="24"/>
        </w:rPr>
        <w:t>2</w:t>
      </w:r>
      <w:r w:rsidR="00725577" w:rsidRPr="00362CFE">
        <w:rPr>
          <w:rFonts w:ascii="Times New Roman" w:hAnsi="Times New Roman" w:cs="Times New Roman"/>
          <w:sz w:val="24"/>
        </w:rPr>
        <w:t>]</w:t>
      </w:r>
      <w:r w:rsidR="00725577" w:rsidRPr="00362CFE">
        <w:rPr>
          <w:rFonts w:ascii="Times New Roman" w:hAnsi="Times New Roman" w:cs="Times New Roman"/>
          <w:sz w:val="24"/>
        </w:rPr>
        <w:t>.</w:t>
      </w:r>
      <w:r w:rsidRPr="00362CFE">
        <w:rPr>
          <w:rFonts w:ascii="Times New Roman" w:hAnsi="Times New Roman" w:cs="Times New Roman"/>
          <w:sz w:val="24"/>
        </w:rPr>
        <w:t xml:space="preserve"> Поставки товаров сейчас отмечены перебоями, что сильно влияет на эмоциональное состояние людей, приводя к паническим покупкам. Сроки выполнения заказа во многих магазинах удвоились. Не хватает сырья и ресурсов. Правительства пытаются решить эти и другие проблемы, вводя различные меры помощи гражданам.</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Ожидается большое влияние на экономику</w:t>
      </w:r>
      <w:r w:rsidR="00725577" w:rsidRPr="00362CFE">
        <w:rPr>
          <w:rFonts w:ascii="Times New Roman" w:hAnsi="Times New Roman" w:cs="Times New Roman"/>
          <w:sz w:val="24"/>
        </w:rPr>
        <w:t xml:space="preserve"> </w:t>
      </w:r>
      <w:r w:rsidR="00725577" w:rsidRPr="00362CFE">
        <w:rPr>
          <w:rFonts w:ascii="Times New Roman" w:hAnsi="Times New Roman" w:cs="Times New Roman"/>
          <w:sz w:val="24"/>
        </w:rPr>
        <w:t>[</w:t>
      </w:r>
      <w:r w:rsidR="00725577" w:rsidRPr="00362CFE">
        <w:rPr>
          <w:rFonts w:ascii="Times New Roman" w:hAnsi="Times New Roman" w:cs="Times New Roman"/>
          <w:sz w:val="24"/>
        </w:rPr>
        <w:t>2</w:t>
      </w:r>
      <w:r w:rsidR="00725577" w:rsidRPr="00362CFE">
        <w:rPr>
          <w:rFonts w:ascii="Times New Roman" w:hAnsi="Times New Roman" w:cs="Times New Roman"/>
          <w:sz w:val="24"/>
        </w:rPr>
        <w:t>]</w:t>
      </w:r>
      <w:r w:rsidRPr="00362CFE">
        <w:rPr>
          <w:rFonts w:ascii="Times New Roman" w:hAnsi="Times New Roman" w:cs="Times New Roman"/>
          <w:sz w:val="24"/>
        </w:rPr>
        <w:t xml:space="preserve">, и снижение ВВП варьируется от 3,5 до 6% в зависимости от страны и ее основных видов деятельности и доходов. Ожидается, что во многих странах средний экономический эффект составит -4,5% ВВП. Например, МВФ заявляет, что в США кризис приведет к снижению ВВП на 5,9%. Здесь нужно иметь в виду, что, например, если государство сильно зависит от туристического сектора, влияние на ВВП будет намного сильнее, чем для другого государства. В определенной </w:t>
      </w:r>
      <w:r w:rsidR="0087694C" w:rsidRPr="00362CFE">
        <w:rPr>
          <w:rFonts w:ascii="Times New Roman" w:hAnsi="Times New Roman" w:cs="Times New Roman"/>
          <w:sz w:val="24"/>
        </w:rPr>
        <w:t>степени — это</w:t>
      </w:r>
      <w:r w:rsidRPr="00362CFE">
        <w:rPr>
          <w:rFonts w:ascii="Times New Roman" w:hAnsi="Times New Roman" w:cs="Times New Roman"/>
          <w:sz w:val="24"/>
        </w:rPr>
        <w:t xml:space="preserve"> влияние может быть результатом введения запретов на поездки. </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По оценкам Организации экономического сотрудничества и развития (ОЭСР)</w:t>
      </w:r>
      <w:r w:rsidR="00725577" w:rsidRPr="00362CFE">
        <w:rPr>
          <w:rFonts w:ascii="Times New Roman" w:hAnsi="Times New Roman" w:cs="Times New Roman"/>
          <w:sz w:val="24"/>
        </w:rPr>
        <w:t xml:space="preserve"> </w:t>
      </w:r>
      <w:r w:rsidR="00725577" w:rsidRPr="00362CFE">
        <w:rPr>
          <w:rFonts w:ascii="Times New Roman" w:hAnsi="Times New Roman" w:cs="Times New Roman"/>
          <w:sz w:val="24"/>
        </w:rPr>
        <w:t>[</w:t>
      </w:r>
      <w:r w:rsidR="00725577" w:rsidRPr="00362CFE">
        <w:rPr>
          <w:rFonts w:ascii="Times New Roman" w:hAnsi="Times New Roman" w:cs="Times New Roman"/>
          <w:sz w:val="24"/>
        </w:rPr>
        <w:t>5</w:t>
      </w:r>
      <w:r w:rsidR="00725577" w:rsidRPr="00362CFE">
        <w:rPr>
          <w:rFonts w:ascii="Times New Roman" w:hAnsi="Times New Roman" w:cs="Times New Roman"/>
          <w:sz w:val="24"/>
        </w:rPr>
        <w:t>]</w:t>
      </w:r>
      <w:r w:rsidRPr="00362CFE">
        <w:rPr>
          <w:rFonts w:ascii="Times New Roman" w:hAnsi="Times New Roman" w:cs="Times New Roman"/>
          <w:sz w:val="24"/>
        </w:rPr>
        <w:t xml:space="preserve">, в 2020 году международный туризм сократился на 60%. Если международная ситуация не улучшится, то падение может составить даже 80% в 2021 году. Всемирная туристская организация оценивает потерю доходов от 910 миллиардов до 1,2 триллиона долларов США. По данным ОЭСР, около 12% ВВП Испании приходится на туристический сектор, но около 50% туризма является внутренним. Для Италии это около 6% ВВП, но на внутренний туризм приходится 60%. Например, в Германии около 85% туризма приходится на внутренний рынок, и на туризм приходится всего 4% ВВП, тогда как в Португалии этот показатель чуть ниже 30%, а туризм составляет около 8% ВВП. Эти оценки основаны на действиях правительства по открытию государственных границ, снятию ограничений на поездки, обеспечению ликвидности и стимулированию спроса. </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 xml:space="preserve">Компании, в свою очередь, должны соблюдать протоколы охраны труда и техники безопасности, тем самым восстанавливая доверие потребителей. Организации авиаперевозок предполагают, что отрасль авиаперевозок вернется к докризисному уровню в конце 2021 года. Согласно данным ОЭСР, индустрия гостеприимства вернется к докризисному уровню не </w:t>
      </w:r>
      <w:r w:rsidRPr="00362CFE">
        <w:rPr>
          <w:rFonts w:ascii="Times New Roman" w:hAnsi="Times New Roman" w:cs="Times New Roman"/>
          <w:sz w:val="24"/>
        </w:rPr>
        <w:lastRenderedPageBreak/>
        <w:t>раньше 2022 года</w:t>
      </w:r>
      <w:r w:rsidR="00725577" w:rsidRPr="00362CFE">
        <w:rPr>
          <w:rFonts w:ascii="Times New Roman" w:hAnsi="Times New Roman" w:cs="Times New Roman"/>
          <w:sz w:val="24"/>
        </w:rPr>
        <w:t xml:space="preserve"> </w:t>
      </w:r>
      <w:r w:rsidR="00725577" w:rsidRPr="00362CFE">
        <w:rPr>
          <w:rFonts w:ascii="Times New Roman" w:hAnsi="Times New Roman" w:cs="Times New Roman"/>
          <w:sz w:val="24"/>
        </w:rPr>
        <w:t>[</w:t>
      </w:r>
      <w:r w:rsidR="00725577" w:rsidRPr="00362CFE">
        <w:rPr>
          <w:rFonts w:ascii="Times New Roman" w:hAnsi="Times New Roman" w:cs="Times New Roman"/>
          <w:sz w:val="24"/>
        </w:rPr>
        <w:t>5</w:t>
      </w:r>
      <w:r w:rsidR="00725577" w:rsidRPr="00362CFE">
        <w:rPr>
          <w:rFonts w:ascii="Times New Roman" w:hAnsi="Times New Roman" w:cs="Times New Roman"/>
          <w:sz w:val="24"/>
        </w:rPr>
        <w:t>]</w:t>
      </w:r>
      <w:r w:rsidRPr="00362CFE">
        <w:rPr>
          <w:rFonts w:ascii="Times New Roman" w:hAnsi="Times New Roman" w:cs="Times New Roman"/>
          <w:sz w:val="24"/>
        </w:rPr>
        <w:t xml:space="preserve">. Учитывая все это, кажется, что быстрое восстановление для международной туристической индустрии еще не мыслимо. Страны, экономика которых сильно зависит от внешней торговли и постоянных поставок, </w:t>
      </w:r>
      <w:r w:rsidR="0087694C" w:rsidRPr="00362CFE">
        <w:rPr>
          <w:rFonts w:ascii="Times New Roman" w:hAnsi="Times New Roman" w:cs="Times New Roman"/>
          <w:sz w:val="24"/>
        </w:rPr>
        <w:t>например,</w:t>
      </w:r>
      <w:r w:rsidRPr="00362CFE">
        <w:rPr>
          <w:rFonts w:ascii="Times New Roman" w:hAnsi="Times New Roman" w:cs="Times New Roman"/>
          <w:sz w:val="24"/>
        </w:rPr>
        <w:t xml:space="preserve"> Германия, также впервые окажутся в плохой экономической ситуации.</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Учитывая, что в начале 2020 года Франция прогнозировала рост ВВП на 1,3%, сейчас отмечается сильный провал в уровне ВВП. К концу года можно будет стабилизировать уровень ВВП лишь до -7%, считают в МВФ. Экономическая рецессия, которую мы наблюдаем в США, является одной из самых сильных за последние десятилетия с падением ВВП на 8% и, вероятно, повлияет на внутреннюю и внешнюю политику Соединенных Штатов.</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 xml:space="preserve">Поскольку мы ожидаем рецессии в глобальном масштабе, стоит отметить, что мы также можем прогнозировать рост безработицы, государственного долга и дефицита. Безработица растет во всем мире. Согласно данным Бюро статистики труда, в США уровень безработицы в апреле 2020 года составил 14,7%, что является самым высоким показателем со времен Второй мировой войны. С тех пор он немного снизился до 13,3% в мае 2020 года. </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Отношение государственного долга к ВВП также быстро растет. Согласно оценке американской торговой экономики, отношение долга к ВВП в 2020 году составит 120%, а в 2021 году - даже 125% (107% в 2019 году). Для Италии это соотношение превышает половину ее ВВП с 157% в 2020 году и 152% в 2021 году (135% в 2019 году). В зоне евро в целом отношение долга к ВВП оценивается в 102% в 2020 году и 98% в 2020 году. Для сравнения, в 2019 году оно составляло около 84%.</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 xml:space="preserve">Предполагается, </w:t>
      </w:r>
      <w:r w:rsidR="0087694C" w:rsidRPr="00362CFE">
        <w:rPr>
          <w:rFonts w:ascii="Times New Roman" w:hAnsi="Times New Roman" w:cs="Times New Roman"/>
          <w:sz w:val="24"/>
        </w:rPr>
        <w:t>что,</w:t>
      </w:r>
      <w:r w:rsidRPr="00362CFE">
        <w:rPr>
          <w:rFonts w:ascii="Times New Roman" w:hAnsi="Times New Roman" w:cs="Times New Roman"/>
          <w:sz w:val="24"/>
        </w:rPr>
        <w:t xml:space="preserve"> если НКО правильно внедряются и работают по назначению, экономическое и социальное бремя изоляции может быть уменьшено к лету 2021 года. Тем не менее, нельзя с уверенностью сказать, восстановится ли экономика до уровня, существовавшего до пандемии. Это особенно актуально для туристического сектора, в котором участвует множество компаний по всему миру.</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Например, на малых предприятиях занято около 50% американских рабочих. Специалистам удалось выяснить, что 43% малых предприятий были временно закрыты, и, таким образом, занятость сократилась на 40%. «Это шок для небольших американских фирм, аналогов которому нет со времен Великой депрессии 1930-х годов. Наши результаты показывают, что у многих из этих фирм к началу пандемии было мало наличных, а это означает, что им придется либо резко сократить расходы, либо взять на себя дополнительные долги, либо объявить о банкротстве »</w:t>
      </w:r>
      <w:r w:rsidR="00725577" w:rsidRPr="00362CFE">
        <w:rPr>
          <w:rStyle w:val="ac"/>
          <w:rFonts w:ascii="Times New Roman" w:hAnsi="Times New Roman" w:cs="Times New Roman"/>
          <w:sz w:val="24"/>
        </w:rPr>
        <w:t xml:space="preserve"> </w:t>
      </w:r>
      <w:r w:rsidR="00725577" w:rsidRPr="00362CFE">
        <w:rPr>
          <w:rFonts w:ascii="Times New Roman" w:hAnsi="Times New Roman" w:cs="Times New Roman"/>
          <w:sz w:val="24"/>
        </w:rPr>
        <w:t>[</w:t>
      </w:r>
      <w:r w:rsidR="00725577" w:rsidRPr="00362CFE">
        <w:rPr>
          <w:rFonts w:ascii="Times New Roman" w:hAnsi="Times New Roman" w:cs="Times New Roman"/>
          <w:sz w:val="24"/>
        </w:rPr>
        <w:t>3</w:t>
      </w:r>
      <w:r w:rsidR="00725577" w:rsidRPr="00362CFE">
        <w:rPr>
          <w:rFonts w:ascii="Times New Roman" w:hAnsi="Times New Roman" w:cs="Times New Roman"/>
          <w:sz w:val="24"/>
        </w:rPr>
        <w:t>]</w:t>
      </w:r>
      <w:r w:rsidR="00725577" w:rsidRPr="00362CFE">
        <w:rPr>
          <w:rFonts w:ascii="Times New Roman" w:hAnsi="Times New Roman" w:cs="Times New Roman"/>
          <w:sz w:val="24"/>
        </w:rPr>
        <w:t>.</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Стоит отметить, что после окончания пандемии из-за большого скачка безработицы доходы сокращаются, а стоимость потребительской корзины, скорее всего, вырастет.</w:t>
      </w:r>
    </w:p>
    <w:p w:rsidR="006401D9" w:rsidRPr="00362CFE" w:rsidRDefault="006401D9" w:rsidP="00362CFE">
      <w:pPr>
        <w:ind w:firstLine="708"/>
        <w:jc w:val="both"/>
        <w:rPr>
          <w:rFonts w:ascii="Times New Roman" w:hAnsi="Times New Roman" w:cs="Times New Roman"/>
          <w:sz w:val="24"/>
        </w:rPr>
      </w:pPr>
      <w:r w:rsidRPr="00362CFE">
        <w:rPr>
          <w:rFonts w:ascii="Times New Roman" w:hAnsi="Times New Roman" w:cs="Times New Roman"/>
          <w:sz w:val="24"/>
        </w:rPr>
        <w:t>Низкий спрос и высокое предложение приводят к обвалу цен на нефть. Волатильность последних месяцев носит исторический характер, и фьючерсы на нефть 20 апреля 2020 года были даже отрицательными. С тех пор цены на нефть стабилизировались и в настоящее время составляют около 39 долларов. Хотя считается, что низкие цены на нефть стимулируют рост мировой экономики, негативные последствия для нефтедобывающих стран серьезны. Это затронуло такие страны, как Венесуэла или многие из стран Организации стран-экспортеров нефти (ОПЕК). По оценкам Всемирного банка, Ирак, Ливия, Республика Конго и Кувейт полагаются на 36-38% доходов от нефти для роста своей экономики. Саудовская Аравия полагается на прибыль от нефти 23,1%, Иран - 15,3% и Венесуэла - 11,3%. Надежность определяется Нефтяной арендой. Это падение цен на нефть, особенно для первых, вероятно, окажет серьезное влияние на их экономику. По крайней мере, в нынешней ситуации низкая цена на нефть оказывает положительное стимулирующее воздействие на мировую экономику.</w:t>
      </w:r>
    </w:p>
    <w:p w:rsidR="006401D9" w:rsidRPr="00362CFE" w:rsidRDefault="006401D9" w:rsidP="00362CFE">
      <w:pPr>
        <w:ind w:firstLine="708"/>
        <w:jc w:val="both"/>
        <w:rPr>
          <w:rFonts w:ascii="Times New Roman" w:hAnsi="Times New Roman" w:cs="Times New Roman"/>
          <w:sz w:val="24"/>
        </w:rPr>
      </w:pPr>
    </w:p>
    <w:p w:rsidR="006401D9" w:rsidRPr="00362CFE" w:rsidRDefault="006274FC" w:rsidP="00362CFE">
      <w:pPr>
        <w:jc w:val="both"/>
        <w:rPr>
          <w:rFonts w:ascii="Times New Roman" w:hAnsi="Times New Roman" w:cs="Times New Roman"/>
          <w:b/>
          <w:sz w:val="24"/>
        </w:rPr>
      </w:pPr>
      <w:r w:rsidRPr="00362CFE">
        <w:rPr>
          <w:rFonts w:ascii="Times New Roman" w:hAnsi="Times New Roman" w:cs="Times New Roman"/>
          <w:b/>
          <w:sz w:val="24"/>
        </w:rPr>
        <w:t>Библиографический список:</w:t>
      </w:r>
    </w:p>
    <w:p w:rsidR="00CC629F" w:rsidRPr="00362CFE" w:rsidRDefault="00CC629F" w:rsidP="00362CFE">
      <w:pPr>
        <w:pStyle w:val="aa"/>
        <w:numPr>
          <w:ilvl w:val="0"/>
          <w:numId w:val="12"/>
        </w:numPr>
        <w:jc w:val="both"/>
        <w:rPr>
          <w:rFonts w:ascii="Times New Roman" w:hAnsi="Times New Roman"/>
          <w:color w:val="000000"/>
          <w:sz w:val="24"/>
          <w:szCs w:val="24"/>
        </w:rPr>
      </w:pPr>
      <w:r w:rsidRPr="00362CFE">
        <w:rPr>
          <w:rFonts w:ascii="Times New Roman" w:hAnsi="Times New Roman"/>
          <w:color w:val="000000"/>
          <w:sz w:val="24"/>
          <w:szCs w:val="24"/>
        </w:rPr>
        <w:t>Anderson, J., Bergamini E., Brekelmans S., Cameron A., Darvas Z., Domínguez Jíménez M., &amp; Midões C. (2020). The Fiscal Response to the Economic Fallout from the Coronavirus. Bruegel Datasets https://www.bruegel.org/publications/datasets/covid-national-dataset, retrieved June 4th, 2020.</w:t>
      </w:r>
    </w:p>
    <w:p w:rsidR="00CC629F" w:rsidRPr="00362CFE" w:rsidRDefault="00CC629F" w:rsidP="00362CFE">
      <w:pPr>
        <w:pStyle w:val="aa"/>
        <w:numPr>
          <w:ilvl w:val="0"/>
          <w:numId w:val="12"/>
        </w:numPr>
        <w:jc w:val="both"/>
        <w:rPr>
          <w:rStyle w:val="normaltextrun"/>
          <w:rFonts w:ascii="Times New Roman" w:hAnsi="Times New Roman"/>
          <w:sz w:val="24"/>
          <w:szCs w:val="24"/>
          <w:lang w:val="en-GB"/>
        </w:rPr>
      </w:pPr>
      <w:r w:rsidRPr="00362CFE">
        <w:rPr>
          <w:rStyle w:val="normaltextrun"/>
          <w:rFonts w:ascii="Times New Roman" w:hAnsi="Times New Roman"/>
          <w:sz w:val="24"/>
          <w:szCs w:val="24"/>
          <w:lang w:val="en-GB"/>
        </w:rPr>
        <w:lastRenderedPageBreak/>
        <w:t>Baker</w:t>
      </w:r>
      <w:r w:rsidRPr="00362CFE">
        <w:rPr>
          <w:rStyle w:val="normaltextrun"/>
          <w:rFonts w:ascii="Times New Roman" w:hAnsi="Times New Roman"/>
          <w:sz w:val="24"/>
          <w:szCs w:val="24"/>
          <w:lang w:val="en-US"/>
        </w:rPr>
        <w:t xml:space="preserve">, </w:t>
      </w:r>
      <w:r w:rsidRPr="00362CFE">
        <w:rPr>
          <w:rStyle w:val="normaltextrun"/>
          <w:rFonts w:ascii="Times New Roman" w:hAnsi="Times New Roman"/>
          <w:sz w:val="24"/>
          <w:szCs w:val="24"/>
          <w:lang w:val="en-GB"/>
        </w:rPr>
        <w:t>S</w:t>
      </w:r>
      <w:r w:rsidRPr="00362CFE">
        <w:rPr>
          <w:rStyle w:val="normaltextrun"/>
          <w:rFonts w:ascii="Times New Roman" w:hAnsi="Times New Roman"/>
          <w:sz w:val="24"/>
          <w:szCs w:val="24"/>
          <w:lang w:val="en-US"/>
        </w:rPr>
        <w:t xml:space="preserve">. </w:t>
      </w:r>
      <w:r w:rsidRPr="00362CFE">
        <w:rPr>
          <w:rStyle w:val="normaltextrun"/>
          <w:rFonts w:ascii="Times New Roman" w:hAnsi="Times New Roman"/>
          <w:sz w:val="24"/>
          <w:szCs w:val="24"/>
          <w:lang w:val="en-GB"/>
        </w:rPr>
        <w:t>R</w:t>
      </w:r>
      <w:r w:rsidRPr="00362CFE">
        <w:rPr>
          <w:rStyle w:val="normaltextrun"/>
          <w:rFonts w:ascii="Times New Roman" w:hAnsi="Times New Roman"/>
          <w:sz w:val="24"/>
          <w:szCs w:val="24"/>
          <w:lang w:val="en-US"/>
        </w:rPr>
        <w:t xml:space="preserve">., </w:t>
      </w:r>
      <w:r w:rsidRPr="00362CFE">
        <w:rPr>
          <w:rStyle w:val="normaltextrun"/>
          <w:rFonts w:ascii="Times New Roman" w:hAnsi="Times New Roman"/>
          <w:sz w:val="24"/>
          <w:szCs w:val="24"/>
          <w:lang w:val="en-GB"/>
        </w:rPr>
        <w:t>Bloom</w:t>
      </w:r>
      <w:r w:rsidRPr="00362CFE">
        <w:rPr>
          <w:rStyle w:val="normaltextrun"/>
          <w:rFonts w:ascii="Times New Roman" w:hAnsi="Times New Roman"/>
          <w:sz w:val="24"/>
          <w:szCs w:val="24"/>
          <w:lang w:val="en-US"/>
        </w:rPr>
        <w:t xml:space="preserve">, </w:t>
      </w:r>
      <w:r w:rsidRPr="00362CFE">
        <w:rPr>
          <w:rStyle w:val="normaltextrun"/>
          <w:rFonts w:ascii="Times New Roman" w:hAnsi="Times New Roman"/>
          <w:sz w:val="24"/>
          <w:szCs w:val="24"/>
          <w:lang w:val="en-GB"/>
        </w:rPr>
        <w:t>N</w:t>
      </w:r>
      <w:r w:rsidRPr="00362CFE">
        <w:rPr>
          <w:rStyle w:val="normaltextrun"/>
          <w:rFonts w:ascii="Times New Roman" w:hAnsi="Times New Roman"/>
          <w:sz w:val="24"/>
          <w:szCs w:val="24"/>
          <w:lang w:val="en-US"/>
        </w:rPr>
        <w:t xml:space="preserve">., </w:t>
      </w:r>
      <w:r w:rsidRPr="00362CFE">
        <w:rPr>
          <w:rStyle w:val="normaltextrun"/>
          <w:rFonts w:ascii="Times New Roman" w:hAnsi="Times New Roman"/>
          <w:sz w:val="24"/>
          <w:szCs w:val="24"/>
          <w:lang w:val="en-GB"/>
        </w:rPr>
        <w:t>Davis</w:t>
      </w:r>
      <w:r w:rsidRPr="00362CFE">
        <w:rPr>
          <w:rStyle w:val="normaltextrun"/>
          <w:rFonts w:ascii="Times New Roman" w:hAnsi="Times New Roman"/>
          <w:sz w:val="24"/>
          <w:szCs w:val="24"/>
          <w:lang w:val="en-US"/>
        </w:rPr>
        <w:t xml:space="preserve">, </w:t>
      </w:r>
      <w:r w:rsidRPr="00362CFE">
        <w:rPr>
          <w:rStyle w:val="normaltextrun"/>
          <w:rFonts w:ascii="Times New Roman" w:hAnsi="Times New Roman"/>
          <w:sz w:val="24"/>
          <w:szCs w:val="24"/>
          <w:lang w:val="en-GB"/>
        </w:rPr>
        <w:t>S</w:t>
      </w:r>
      <w:r w:rsidRPr="00362CFE">
        <w:rPr>
          <w:rStyle w:val="normaltextrun"/>
          <w:rFonts w:ascii="Times New Roman" w:hAnsi="Times New Roman"/>
          <w:sz w:val="24"/>
          <w:szCs w:val="24"/>
          <w:lang w:val="en-US"/>
        </w:rPr>
        <w:t xml:space="preserve">. </w:t>
      </w:r>
      <w:r w:rsidRPr="00362CFE">
        <w:rPr>
          <w:rStyle w:val="normaltextrun"/>
          <w:rFonts w:ascii="Times New Roman" w:hAnsi="Times New Roman"/>
          <w:sz w:val="24"/>
          <w:szCs w:val="24"/>
          <w:lang w:val="en-GB"/>
        </w:rPr>
        <w:t>J</w:t>
      </w:r>
      <w:r w:rsidRPr="00362CFE">
        <w:rPr>
          <w:rStyle w:val="normaltextrun"/>
          <w:rFonts w:ascii="Times New Roman" w:hAnsi="Times New Roman"/>
          <w:sz w:val="24"/>
          <w:szCs w:val="24"/>
          <w:lang w:val="en-US"/>
        </w:rPr>
        <w:t xml:space="preserve">., &amp; </w:t>
      </w:r>
      <w:r w:rsidRPr="00362CFE">
        <w:rPr>
          <w:rStyle w:val="normaltextrun"/>
          <w:rFonts w:ascii="Times New Roman" w:hAnsi="Times New Roman"/>
          <w:sz w:val="24"/>
          <w:szCs w:val="24"/>
          <w:lang w:val="en-GB"/>
        </w:rPr>
        <w:t>Terry</w:t>
      </w:r>
      <w:r w:rsidRPr="00362CFE">
        <w:rPr>
          <w:rStyle w:val="normaltextrun"/>
          <w:rFonts w:ascii="Times New Roman" w:hAnsi="Times New Roman"/>
          <w:sz w:val="24"/>
          <w:szCs w:val="24"/>
          <w:lang w:val="en-US"/>
        </w:rPr>
        <w:t xml:space="preserve">, </w:t>
      </w:r>
      <w:r w:rsidRPr="00362CFE">
        <w:rPr>
          <w:rStyle w:val="normaltextrun"/>
          <w:rFonts w:ascii="Times New Roman" w:hAnsi="Times New Roman"/>
          <w:sz w:val="24"/>
          <w:szCs w:val="24"/>
          <w:lang w:val="en-GB"/>
        </w:rPr>
        <w:t>S</w:t>
      </w:r>
      <w:r w:rsidRPr="00362CFE">
        <w:rPr>
          <w:rStyle w:val="normaltextrun"/>
          <w:rFonts w:ascii="Times New Roman" w:hAnsi="Times New Roman"/>
          <w:sz w:val="24"/>
          <w:szCs w:val="24"/>
          <w:lang w:val="en-US"/>
        </w:rPr>
        <w:t xml:space="preserve">. </w:t>
      </w:r>
      <w:r w:rsidRPr="00362CFE">
        <w:rPr>
          <w:rStyle w:val="normaltextrun"/>
          <w:rFonts w:ascii="Times New Roman" w:hAnsi="Times New Roman"/>
          <w:sz w:val="24"/>
          <w:szCs w:val="24"/>
          <w:lang w:val="en-GB"/>
        </w:rPr>
        <w:t>J</w:t>
      </w:r>
      <w:r w:rsidRPr="00362CFE">
        <w:rPr>
          <w:rStyle w:val="normaltextrun"/>
          <w:rFonts w:ascii="Times New Roman" w:hAnsi="Times New Roman"/>
          <w:sz w:val="24"/>
          <w:szCs w:val="24"/>
          <w:lang w:val="en-US"/>
        </w:rPr>
        <w:t>. (2020).</w:t>
      </w:r>
      <w:r w:rsidRPr="00362CFE">
        <w:rPr>
          <w:rStyle w:val="normaltextrun"/>
          <w:rFonts w:ascii="Times New Roman" w:hAnsi="Times New Roman"/>
          <w:sz w:val="24"/>
          <w:szCs w:val="24"/>
          <w:lang w:val="en-GB"/>
        </w:rPr>
        <w:t> </w:t>
      </w:r>
      <w:r w:rsidRPr="00362CFE">
        <w:rPr>
          <w:rStyle w:val="normaltextrun"/>
          <w:rFonts w:ascii="Times New Roman" w:hAnsi="Times New Roman"/>
          <w:sz w:val="24"/>
          <w:szCs w:val="24"/>
          <w:lang w:val="en-US"/>
        </w:rPr>
        <w:t xml:space="preserve"> </w:t>
      </w:r>
      <w:r w:rsidRPr="00362CFE">
        <w:rPr>
          <w:rStyle w:val="normaltextrun"/>
          <w:rFonts w:ascii="Times New Roman" w:hAnsi="Times New Roman"/>
          <w:iCs/>
          <w:sz w:val="24"/>
          <w:szCs w:val="24"/>
          <w:lang w:val="en-GB"/>
        </w:rPr>
        <w:t>COVID-Induced Economic Uncertainty</w:t>
      </w:r>
      <w:r w:rsidRPr="00362CFE">
        <w:rPr>
          <w:rStyle w:val="spellingerror"/>
          <w:rFonts w:ascii="Times New Roman" w:hAnsi="Times New Roman"/>
          <w:iCs/>
          <w:sz w:val="24"/>
          <w:szCs w:val="24"/>
          <w:lang w:val="en-GB"/>
        </w:rPr>
        <w:t xml:space="preserve">. </w:t>
      </w:r>
      <w:r w:rsidRPr="00362CFE">
        <w:rPr>
          <w:rStyle w:val="normaltextrun"/>
          <w:rFonts w:ascii="Times New Roman" w:hAnsi="Times New Roman"/>
          <w:sz w:val="24"/>
          <w:szCs w:val="24"/>
          <w:lang w:val="en-GB"/>
        </w:rPr>
        <w:t>NBER Working Paper 26983. </w:t>
      </w:r>
    </w:p>
    <w:p w:rsidR="00CC629F" w:rsidRPr="00362CFE" w:rsidRDefault="00CC629F" w:rsidP="00362CFE">
      <w:pPr>
        <w:pStyle w:val="aa"/>
        <w:numPr>
          <w:ilvl w:val="0"/>
          <w:numId w:val="12"/>
        </w:numPr>
        <w:jc w:val="both"/>
        <w:rPr>
          <w:rFonts w:ascii="Times New Roman" w:hAnsi="Times New Roman"/>
          <w:sz w:val="24"/>
          <w:szCs w:val="24"/>
        </w:rPr>
      </w:pPr>
      <w:r w:rsidRPr="00362CFE">
        <w:rPr>
          <w:rFonts w:ascii="Times New Roman" w:eastAsia="Times New Roman" w:hAnsi="Times New Roman"/>
          <w:sz w:val="24"/>
          <w:szCs w:val="24"/>
          <w:lang w:val="en-GB"/>
        </w:rPr>
        <w:t>Bartik, A. W., Bertrand, M., Cullen, Z. B., Glaeser, E. L., Luca, M., &amp; Stanton, C. T.</w:t>
      </w:r>
      <w:r w:rsidRPr="00362CFE">
        <w:rPr>
          <w:rFonts w:ascii="Times New Roman" w:eastAsia="Times New Roman" w:hAnsi="Times New Roman"/>
          <w:sz w:val="24"/>
          <w:szCs w:val="24"/>
          <w:shd w:val="clear" w:color="auto" w:fill="FFFFFF"/>
          <w:lang w:val="en-GB" w:eastAsia="es-AR"/>
        </w:rPr>
        <w:t xml:space="preserve"> (2020). </w:t>
      </w:r>
      <w:r w:rsidRPr="00362CFE">
        <w:rPr>
          <w:rFonts w:ascii="Times New Roman" w:eastAsia="Times New Roman" w:hAnsi="Times New Roman"/>
          <w:iCs/>
          <w:sz w:val="24"/>
          <w:szCs w:val="24"/>
          <w:lang w:val="en-GB" w:eastAsia="es-AR"/>
        </w:rPr>
        <w:t>How Are Small Businesses Adjusting to COVID-19? Early Evidence from a Survey.</w:t>
      </w:r>
      <w:r w:rsidRPr="00362CFE">
        <w:rPr>
          <w:rFonts w:ascii="Times New Roman" w:eastAsia="Times New Roman" w:hAnsi="Times New Roman"/>
          <w:sz w:val="24"/>
          <w:szCs w:val="24"/>
          <w:shd w:val="clear" w:color="auto" w:fill="FFFFFF"/>
          <w:lang w:val="en-GB" w:eastAsia="es-AR"/>
        </w:rPr>
        <w:t xml:space="preserve"> </w:t>
      </w:r>
      <w:r w:rsidRPr="00362CFE">
        <w:rPr>
          <w:rFonts w:ascii="Times New Roman" w:eastAsia="Times New Roman" w:hAnsi="Times New Roman"/>
          <w:sz w:val="24"/>
          <w:szCs w:val="24"/>
          <w:lang w:val="en-GB" w:eastAsia="es-AR"/>
        </w:rPr>
        <w:t>NBER</w:t>
      </w:r>
      <w:r w:rsidRPr="00362CFE">
        <w:rPr>
          <w:rFonts w:ascii="Times New Roman" w:eastAsia="Times New Roman" w:hAnsi="Times New Roman"/>
          <w:sz w:val="24"/>
          <w:szCs w:val="24"/>
          <w:lang w:eastAsia="es-AR"/>
        </w:rPr>
        <w:t xml:space="preserve"> </w:t>
      </w:r>
      <w:r w:rsidRPr="00362CFE">
        <w:rPr>
          <w:rFonts w:ascii="Times New Roman" w:eastAsia="Times New Roman" w:hAnsi="Times New Roman"/>
          <w:sz w:val="24"/>
          <w:szCs w:val="24"/>
          <w:lang w:val="en-GB" w:eastAsia="es-AR"/>
        </w:rPr>
        <w:t>Working</w:t>
      </w:r>
      <w:r w:rsidRPr="00362CFE">
        <w:rPr>
          <w:rFonts w:ascii="Times New Roman" w:eastAsia="Times New Roman" w:hAnsi="Times New Roman"/>
          <w:sz w:val="24"/>
          <w:szCs w:val="24"/>
          <w:lang w:eastAsia="es-AR"/>
        </w:rPr>
        <w:t xml:space="preserve"> </w:t>
      </w:r>
      <w:r w:rsidRPr="00362CFE">
        <w:rPr>
          <w:rFonts w:ascii="Times New Roman" w:eastAsia="Times New Roman" w:hAnsi="Times New Roman"/>
          <w:sz w:val="24"/>
          <w:szCs w:val="24"/>
          <w:lang w:val="en-GB" w:eastAsia="es-AR"/>
        </w:rPr>
        <w:t>Paper</w:t>
      </w:r>
      <w:r w:rsidRPr="00362CFE">
        <w:rPr>
          <w:rFonts w:ascii="Times New Roman" w:eastAsia="Times New Roman" w:hAnsi="Times New Roman"/>
          <w:sz w:val="24"/>
          <w:szCs w:val="24"/>
          <w:lang w:eastAsia="es-AR"/>
        </w:rPr>
        <w:t xml:space="preserve"> 26989.</w:t>
      </w:r>
    </w:p>
    <w:p w:rsidR="00CC629F" w:rsidRPr="00362CFE" w:rsidRDefault="00CC629F" w:rsidP="00362CFE">
      <w:pPr>
        <w:pStyle w:val="aa"/>
        <w:numPr>
          <w:ilvl w:val="0"/>
          <w:numId w:val="12"/>
        </w:numPr>
        <w:jc w:val="both"/>
        <w:rPr>
          <w:rFonts w:ascii="Times New Roman" w:hAnsi="Times New Roman"/>
          <w:sz w:val="24"/>
          <w:szCs w:val="24"/>
          <w:lang w:val="en-GB"/>
        </w:rPr>
      </w:pPr>
      <w:r w:rsidRPr="00362CFE">
        <w:rPr>
          <w:rFonts w:ascii="Times New Roman" w:hAnsi="Times New Roman"/>
          <w:sz w:val="24"/>
          <w:szCs w:val="24"/>
          <w:shd w:val="clear" w:color="auto" w:fill="FFFFFF"/>
          <w:lang w:val="en-GB"/>
        </w:rPr>
        <w:t xml:space="preserve">Fernandes, N. (2020). </w:t>
      </w:r>
      <w:r w:rsidRPr="00362CFE">
        <w:rPr>
          <w:rFonts w:ascii="Times New Roman" w:hAnsi="Times New Roman"/>
          <w:iCs/>
          <w:sz w:val="24"/>
          <w:szCs w:val="24"/>
          <w:shd w:val="clear" w:color="auto" w:fill="FFFFFF"/>
          <w:lang w:val="en-GB"/>
        </w:rPr>
        <w:t xml:space="preserve">Economic </w:t>
      </w:r>
      <w:r w:rsidRPr="00362CFE">
        <w:rPr>
          <w:rFonts w:ascii="Times New Roman" w:hAnsi="Times New Roman"/>
          <w:iCs/>
          <w:sz w:val="24"/>
          <w:szCs w:val="24"/>
          <w:lang w:val="en-GB"/>
        </w:rPr>
        <w:t>E</w:t>
      </w:r>
      <w:r w:rsidRPr="00362CFE">
        <w:rPr>
          <w:rFonts w:ascii="Times New Roman" w:hAnsi="Times New Roman"/>
          <w:iCs/>
          <w:sz w:val="24"/>
          <w:szCs w:val="24"/>
          <w:shd w:val="clear" w:color="auto" w:fill="FFFFFF"/>
          <w:lang w:val="en-GB"/>
        </w:rPr>
        <w:t xml:space="preserve">ffects of </w:t>
      </w:r>
      <w:r w:rsidRPr="00362CFE">
        <w:rPr>
          <w:rFonts w:ascii="Times New Roman" w:hAnsi="Times New Roman"/>
          <w:iCs/>
          <w:sz w:val="24"/>
          <w:szCs w:val="24"/>
          <w:lang w:val="en-GB"/>
        </w:rPr>
        <w:t>C</w:t>
      </w:r>
      <w:r w:rsidRPr="00362CFE">
        <w:rPr>
          <w:rFonts w:ascii="Times New Roman" w:hAnsi="Times New Roman"/>
          <w:iCs/>
          <w:sz w:val="24"/>
          <w:szCs w:val="24"/>
          <w:shd w:val="clear" w:color="auto" w:fill="FFFFFF"/>
          <w:lang w:val="en-GB"/>
        </w:rPr>
        <w:t xml:space="preserve">oronavirus </w:t>
      </w:r>
      <w:r w:rsidRPr="00362CFE">
        <w:rPr>
          <w:rFonts w:ascii="Times New Roman" w:hAnsi="Times New Roman"/>
          <w:iCs/>
          <w:sz w:val="24"/>
          <w:szCs w:val="24"/>
          <w:lang w:val="en-GB"/>
        </w:rPr>
        <w:t>O</w:t>
      </w:r>
      <w:r w:rsidRPr="00362CFE">
        <w:rPr>
          <w:rFonts w:ascii="Times New Roman" w:hAnsi="Times New Roman"/>
          <w:iCs/>
          <w:sz w:val="24"/>
          <w:szCs w:val="24"/>
          <w:shd w:val="clear" w:color="auto" w:fill="FFFFFF"/>
          <w:lang w:val="en-GB"/>
        </w:rPr>
        <w:t xml:space="preserve">utbreak (COVID-19) on the </w:t>
      </w:r>
      <w:r w:rsidRPr="00362CFE">
        <w:rPr>
          <w:rFonts w:ascii="Times New Roman" w:hAnsi="Times New Roman"/>
          <w:iCs/>
          <w:sz w:val="24"/>
          <w:szCs w:val="24"/>
          <w:lang w:val="en-GB"/>
        </w:rPr>
        <w:t>W</w:t>
      </w:r>
      <w:r w:rsidRPr="00362CFE">
        <w:rPr>
          <w:rFonts w:ascii="Times New Roman" w:hAnsi="Times New Roman"/>
          <w:iCs/>
          <w:sz w:val="24"/>
          <w:szCs w:val="24"/>
          <w:shd w:val="clear" w:color="auto" w:fill="FFFFFF"/>
          <w:lang w:val="en-GB"/>
        </w:rPr>
        <w:t xml:space="preserve">orld </w:t>
      </w:r>
      <w:r w:rsidRPr="00362CFE">
        <w:rPr>
          <w:rFonts w:ascii="Times New Roman" w:hAnsi="Times New Roman"/>
          <w:iCs/>
          <w:sz w:val="24"/>
          <w:szCs w:val="24"/>
          <w:lang w:val="en-GB"/>
        </w:rPr>
        <w:t>E</w:t>
      </w:r>
      <w:r w:rsidRPr="00362CFE">
        <w:rPr>
          <w:rFonts w:ascii="Times New Roman" w:hAnsi="Times New Roman"/>
          <w:iCs/>
          <w:sz w:val="24"/>
          <w:szCs w:val="24"/>
          <w:shd w:val="clear" w:color="auto" w:fill="FFFFFF"/>
          <w:lang w:val="en-GB"/>
        </w:rPr>
        <w:t xml:space="preserve">conomy, </w:t>
      </w:r>
      <w:r w:rsidRPr="00362CFE">
        <w:rPr>
          <w:rFonts w:ascii="Times New Roman" w:hAnsi="Times New Roman"/>
          <w:sz w:val="24"/>
          <w:szCs w:val="24"/>
          <w:lang w:val="en-GB"/>
        </w:rPr>
        <w:t>SSRN Electronic Journal https://ssrn.com/abstract=3557504. , retrieved July 7</w:t>
      </w:r>
      <w:r w:rsidRPr="00362CFE">
        <w:rPr>
          <w:rFonts w:ascii="Times New Roman" w:hAnsi="Times New Roman"/>
          <w:sz w:val="24"/>
          <w:szCs w:val="24"/>
          <w:vertAlign w:val="superscript"/>
          <w:lang w:val="en-GB"/>
        </w:rPr>
        <w:t>th</w:t>
      </w:r>
      <w:r w:rsidRPr="00362CFE">
        <w:rPr>
          <w:rFonts w:ascii="Times New Roman" w:hAnsi="Times New Roman"/>
          <w:sz w:val="24"/>
          <w:szCs w:val="24"/>
          <w:lang w:val="en-GB"/>
        </w:rPr>
        <w:t>, 2020.</w:t>
      </w:r>
    </w:p>
    <w:p w:rsidR="00CC629F" w:rsidRPr="00362CFE" w:rsidRDefault="00CC629F" w:rsidP="00362CFE">
      <w:pPr>
        <w:pStyle w:val="aa"/>
        <w:numPr>
          <w:ilvl w:val="0"/>
          <w:numId w:val="12"/>
        </w:numPr>
        <w:jc w:val="both"/>
        <w:rPr>
          <w:rFonts w:ascii="Times New Roman" w:hAnsi="Times New Roman"/>
          <w:sz w:val="24"/>
          <w:szCs w:val="24"/>
          <w:lang w:val="en-GB"/>
        </w:rPr>
      </w:pPr>
      <w:r w:rsidRPr="00362CFE">
        <w:rPr>
          <w:rFonts w:ascii="Times New Roman" w:hAnsi="Times New Roman"/>
          <w:sz w:val="24"/>
          <w:szCs w:val="24"/>
          <w:lang w:val="en-GB"/>
        </w:rPr>
        <w:t xml:space="preserve">OECD (2020). </w:t>
      </w:r>
      <w:r w:rsidRPr="00362CFE">
        <w:rPr>
          <w:rFonts w:ascii="Times New Roman" w:hAnsi="Times New Roman"/>
          <w:iCs/>
          <w:sz w:val="24"/>
          <w:szCs w:val="24"/>
          <w:lang w:val="en-GB"/>
        </w:rPr>
        <w:t>Coronavirus:</w:t>
      </w:r>
      <w:r w:rsidRPr="00362CFE">
        <w:rPr>
          <w:rFonts w:ascii="Times New Roman" w:hAnsi="Times New Roman"/>
          <w:sz w:val="24"/>
          <w:szCs w:val="24"/>
          <w:lang w:val="en-GB"/>
        </w:rPr>
        <w:t xml:space="preserve"> </w:t>
      </w:r>
      <w:r w:rsidRPr="00362CFE">
        <w:rPr>
          <w:rFonts w:ascii="Times New Roman" w:hAnsi="Times New Roman"/>
          <w:iCs/>
          <w:sz w:val="24"/>
          <w:szCs w:val="24"/>
          <w:lang w:val="en-GB"/>
        </w:rPr>
        <w:t>The World Economy at Risk.</w:t>
      </w:r>
      <w:r w:rsidRPr="00362CFE">
        <w:rPr>
          <w:rFonts w:ascii="Times New Roman" w:hAnsi="Times New Roman"/>
          <w:sz w:val="24"/>
          <w:szCs w:val="24"/>
          <w:lang w:val="en-GB"/>
        </w:rPr>
        <w:t xml:space="preserve"> Organisation for Economic Co-operation and Development. OECD Interim Economic Assessment.</w:t>
      </w:r>
    </w:p>
    <w:p w:rsidR="006401D9" w:rsidRPr="00362CFE" w:rsidRDefault="006401D9" w:rsidP="00362CFE">
      <w:pPr>
        <w:ind w:firstLine="708"/>
        <w:jc w:val="both"/>
        <w:rPr>
          <w:rFonts w:ascii="Times New Roman" w:hAnsi="Times New Roman" w:cs="Times New Roman"/>
          <w:b/>
          <w:sz w:val="24"/>
        </w:rPr>
      </w:pPr>
    </w:p>
    <w:p w:rsidR="000D41B7" w:rsidRPr="00362CFE" w:rsidRDefault="006274FC" w:rsidP="00362CFE">
      <w:pPr>
        <w:jc w:val="both"/>
        <w:rPr>
          <w:rFonts w:ascii="Times New Roman" w:hAnsi="Times New Roman" w:cs="Times New Roman"/>
          <w:b/>
          <w:sz w:val="24"/>
        </w:rPr>
      </w:pPr>
      <w:r w:rsidRPr="00362CFE">
        <w:rPr>
          <w:rFonts w:ascii="Times New Roman" w:hAnsi="Times New Roman" w:cs="Times New Roman"/>
          <w:b/>
          <w:sz w:val="24"/>
        </w:rPr>
        <w:t xml:space="preserve">Информация об авторе </w:t>
      </w:r>
      <w:r w:rsidRPr="00362CFE">
        <w:rPr>
          <w:rFonts w:ascii="Times New Roman" w:hAnsi="Times New Roman" w:cs="Times New Roman"/>
          <w:b/>
          <w:sz w:val="24"/>
        </w:rPr>
        <w:t>на русском языке</w:t>
      </w:r>
      <w:r w:rsidRPr="00362CFE">
        <w:rPr>
          <w:rFonts w:ascii="Times New Roman" w:hAnsi="Times New Roman" w:cs="Times New Roman"/>
          <w:b/>
          <w:sz w:val="24"/>
        </w:rPr>
        <w:t>:</w:t>
      </w:r>
    </w:p>
    <w:p w:rsidR="006274FC" w:rsidRPr="00362CFE" w:rsidRDefault="006274FC" w:rsidP="00362CFE">
      <w:pPr>
        <w:jc w:val="both"/>
        <w:rPr>
          <w:rFonts w:ascii="Times New Roman" w:hAnsi="Times New Roman" w:cs="Times New Roman"/>
          <w:sz w:val="24"/>
        </w:rPr>
      </w:pPr>
      <w:r w:rsidRPr="00362CFE">
        <w:rPr>
          <w:rFonts w:ascii="Times New Roman" w:hAnsi="Times New Roman" w:cs="Times New Roman"/>
          <w:sz w:val="24"/>
        </w:rPr>
        <w:t>Чикина Валентина Андреевна</w:t>
      </w:r>
      <w:r w:rsidRPr="00362CFE">
        <w:rPr>
          <w:rFonts w:ascii="Times New Roman" w:hAnsi="Times New Roman" w:cs="Times New Roman"/>
          <w:sz w:val="24"/>
        </w:rPr>
        <w:t xml:space="preserve"> (</w:t>
      </w:r>
      <w:r w:rsidRPr="00362CFE">
        <w:rPr>
          <w:rFonts w:ascii="Times New Roman" w:hAnsi="Times New Roman" w:cs="Times New Roman"/>
          <w:sz w:val="24"/>
        </w:rPr>
        <w:t>Россия, г. Санкт-Петербург</w:t>
      </w:r>
      <w:r w:rsidRPr="00362CFE">
        <w:rPr>
          <w:rFonts w:ascii="Times New Roman" w:hAnsi="Times New Roman" w:cs="Times New Roman"/>
          <w:sz w:val="24"/>
        </w:rPr>
        <w:t xml:space="preserve">) – </w:t>
      </w:r>
      <w:r w:rsidRPr="00362CFE">
        <w:rPr>
          <w:rFonts w:ascii="Times New Roman" w:hAnsi="Times New Roman" w:cs="Times New Roman"/>
          <w:sz w:val="24"/>
        </w:rPr>
        <w:t>магистр</w:t>
      </w:r>
      <w:r w:rsidRPr="00362CFE">
        <w:rPr>
          <w:rFonts w:ascii="Times New Roman" w:hAnsi="Times New Roman" w:cs="Times New Roman"/>
          <w:sz w:val="24"/>
        </w:rPr>
        <w:t xml:space="preserve">, </w:t>
      </w:r>
      <w:r w:rsidRPr="00362CFE">
        <w:rPr>
          <w:rFonts w:ascii="Times New Roman" w:hAnsi="Times New Roman" w:cs="Times New Roman"/>
          <w:sz w:val="24"/>
        </w:rPr>
        <w:t>Национальный исследовательский университет «Высшая школа экономики»</w:t>
      </w:r>
      <w:r w:rsidRPr="00362CFE">
        <w:rPr>
          <w:rFonts w:ascii="Times New Roman" w:hAnsi="Times New Roman" w:cs="Times New Roman"/>
          <w:sz w:val="24"/>
        </w:rPr>
        <w:t xml:space="preserve"> (</w:t>
      </w:r>
      <w:r w:rsidRPr="00362CFE">
        <w:rPr>
          <w:rFonts w:ascii="Times New Roman" w:hAnsi="Times New Roman" w:cs="Times New Roman"/>
          <w:sz w:val="24"/>
        </w:rPr>
        <w:t>г. Санкт-Петербург, Промышленная ул., дом 17</w:t>
      </w:r>
      <w:r w:rsidRPr="00362CFE">
        <w:rPr>
          <w:rFonts w:ascii="Times New Roman" w:hAnsi="Times New Roman" w:cs="Times New Roman"/>
          <w:sz w:val="24"/>
        </w:rPr>
        <w:t>,</w:t>
      </w:r>
      <w:r w:rsidR="00362CFE" w:rsidRPr="00362CFE">
        <w:rPr>
          <w:rFonts w:ascii="Times New Roman" w:hAnsi="Times New Roman" w:cs="Times New Roman"/>
          <w:sz w:val="24"/>
        </w:rPr>
        <w:t xml:space="preserve"> </w:t>
      </w:r>
      <w:r w:rsidR="00362CFE" w:rsidRPr="00362CFE">
        <w:rPr>
          <w:rFonts w:ascii="Times New Roman" w:hAnsi="Times New Roman" w:cs="Times New Roman"/>
          <w:sz w:val="24"/>
          <w:lang w:val="en-US"/>
        </w:rPr>
        <w:t>chikina</w:t>
      </w:r>
      <w:r w:rsidR="00362CFE" w:rsidRPr="00362CFE">
        <w:rPr>
          <w:rFonts w:ascii="Times New Roman" w:hAnsi="Times New Roman" w:cs="Times New Roman"/>
          <w:sz w:val="24"/>
        </w:rPr>
        <w:t>.</w:t>
      </w:r>
      <w:r w:rsidR="00362CFE" w:rsidRPr="00362CFE">
        <w:rPr>
          <w:rFonts w:ascii="Times New Roman" w:hAnsi="Times New Roman" w:cs="Times New Roman"/>
          <w:sz w:val="24"/>
          <w:lang w:val="en-US"/>
        </w:rPr>
        <w:t>spb</w:t>
      </w:r>
      <w:r w:rsidR="00362CFE" w:rsidRPr="00362CFE">
        <w:rPr>
          <w:rFonts w:ascii="Times New Roman" w:hAnsi="Times New Roman" w:cs="Times New Roman"/>
          <w:sz w:val="24"/>
        </w:rPr>
        <w:t>@</w:t>
      </w:r>
      <w:r w:rsidR="00362CFE" w:rsidRPr="00362CFE">
        <w:rPr>
          <w:rFonts w:ascii="Times New Roman" w:hAnsi="Times New Roman" w:cs="Times New Roman"/>
          <w:sz w:val="24"/>
          <w:lang w:val="en-US"/>
        </w:rPr>
        <w:t>gmail</w:t>
      </w:r>
      <w:r w:rsidR="00362CFE" w:rsidRPr="00362CFE">
        <w:rPr>
          <w:rFonts w:ascii="Times New Roman" w:hAnsi="Times New Roman" w:cs="Times New Roman"/>
          <w:sz w:val="24"/>
        </w:rPr>
        <w:t>.</w:t>
      </w:r>
      <w:r w:rsidR="00362CFE" w:rsidRPr="00362CFE">
        <w:rPr>
          <w:rFonts w:ascii="Times New Roman" w:hAnsi="Times New Roman" w:cs="Times New Roman"/>
          <w:sz w:val="24"/>
          <w:lang w:val="en-US"/>
        </w:rPr>
        <w:t>com</w:t>
      </w:r>
      <w:r w:rsidRPr="00362CFE">
        <w:rPr>
          <w:rFonts w:ascii="Times New Roman" w:hAnsi="Times New Roman" w:cs="Times New Roman"/>
          <w:sz w:val="24"/>
        </w:rPr>
        <w:t xml:space="preserve">). </w:t>
      </w:r>
    </w:p>
    <w:p w:rsidR="00362CFE" w:rsidRPr="00362CFE" w:rsidRDefault="00362CFE" w:rsidP="00362CFE">
      <w:pPr>
        <w:jc w:val="both"/>
        <w:rPr>
          <w:rFonts w:ascii="Times New Roman" w:hAnsi="Times New Roman" w:cs="Times New Roman"/>
          <w:sz w:val="24"/>
        </w:rPr>
      </w:pPr>
    </w:p>
    <w:p w:rsidR="00362CFE" w:rsidRPr="00362CFE" w:rsidRDefault="00362CFE" w:rsidP="0087694C">
      <w:pPr>
        <w:jc w:val="right"/>
        <w:rPr>
          <w:rFonts w:ascii="Times New Roman" w:hAnsi="Times New Roman" w:cs="Times New Roman"/>
          <w:b/>
          <w:sz w:val="24"/>
          <w:lang w:val="en-US"/>
        </w:rPr>
      </w:pPr>
      <w:r w:rsidRPr="00362CFE">
        <w:rPr>
          <w:rFonts w:ascii="Times New Roman" w:hAnsi="Times New Roman" w:cs="Times New Roman"/>
          <w:b/>
          <w:sz w:val="24"/>
          <w:lang w:val="en-US"/>
        </w:rPr>
        <w:t>Chikina V.A.</w:t>
      </w:r>
    </w:p>
    <w:p w:rsidR="00362CFE" w:rsidRPr="00362CFE" w:rsidRDefault="00362CFE" w:rsidP="0087694C">
      <w:pPr>
        <w:jc w:val="center"/>
        <w:rPr>
          <w:rFonts w:ascii="Times New Roman" w:hAnsi="Times New Roman" w:cs="Times New Roman"/>
          <w:b/>
          <w:sz w:val="24"/>
          <w:lang w:val="en-US"/>
        </w:rPr>
      </w:pPr>
      <w:r w:rsidRPr="00362CFE">
        <w:rPr>
          <w:rFonts w:ascii="Times New Roman" w:hAnsi="Times New Roman" w:cs="Times New Roman"/>
          <w:b/>
          <w:sz w:val="24"/>
          <w:lang w:val="en-US"/>
        </w:rPr>
        <w:t>EMPIRICAL ECONOMIC FORECASTS OF THE GLOBAL ECONOMY AS A RESULT OF COVID-19 IMPACT</w:t>
      </w:r>
    </w:p>
    <w:p w:rsidR="00362CFE" w:rsidRPr="00362CFE" w:rsidRDefault="00362CFE" w:rsidP="00362CFE">
      <w:pPr>
        <w:jc w:val="both"/>
        <w:rPr>
          <w:rFonts w:ascii="Times New Roman" w:hAnsi="Times New Roman" w:cs="Times New Roman"/>
          <w:sz w:val="24"/>
          <w:lang w:val="en-US"/>
        </w:rPr>
      </w:pPr>
      <w:r w:rsidRPr="00362CFE">
        <w:rPr>
          <w:rFonts w:ascii="Times New Roman" w:hAnsi="Times New Roman" w:cs="Times New Roman"/>
          <w:b/>
          <w:sz w:val="24"/>
        </w:rPr>
        <w:t>Аннотация</w:t>
      </w:r>
      <w:r w:rsidRPr="00362CFE">
        <w:rPr>
          <w:rFonts w:ascii="Times New Roman" w:hAnsi="Times New Roman" w:cs="Times New Roman"/>
          <w:b/>
          <w:sz w:val="24"/>
          <w:lang w:val="en-US"/>
        </w:rPr>
        <w:t xml:space="preserve"> </w:t>
      </w:r>
      <w:r w:rsidRPr="00362CFE">
        <w:rPr>
          <w:rFonts w:ascii="Times New Roman" w:hAnsi="Times New Roman" w:cs="Times New Roman"/>
          <w:b/>
          <w:sz w:val="24"/>
        </w:rPr>
        <w:t>статьи</w:t>
      </w:r>
      <w:r w:rsidRPr="00362CFE">
        <w:rPr>
          <w:rFonts w:ascii="Times New Roman" w:hAnsi="Times New Roman" w:cs="Times New Roman"/>
          <w:b/>
          <w:sz w:val="24"/>
          <w:lang w:val="en-US"/>
        </w:rPr>
        <w:t xml:space="preserve"> </w:t>
      </w:r>
      <w:r w:rsidRPr="00362CFE">
        <w:rPr>
          <w:rFonts w:ascii="Times New Roman" w:hAnsi="Times New Roman" w:cs="Times New Roman"/>
          <w:b/>
          <w:sz w:val="24"/>
        </w:rPr>
        <w:t>на</w:t>
      </w:r>
      <w:r w:rsidRPr="00362CFE">
        <w:rPr>
          <w:rFonts w:ascii="Times New Roman" w:hAnsi="Times New Roman" w:cs="Times New Roman"/>
          <w:b/>
          <w:sz w:val="24"/>
          <w:lang w:val="en-US"/>
        </w:rPr>
        <w:t xml:space="preserve"> </w:t>
      </w:r>
      <w:r w:rsidRPr="00362CFE">
        <w:rPr>
          <w:rFonts w:ascii="Times New Roman" w:hAnsi="Times New Roman" w:cs="Times New Roman"/>
          <w:b/>
          <w:sz w:val="24"/>
        </w:rPr>
        <w:t>английском</w:t>
      </w:r>
      <w:r w:rsidRPr="00362CFE">
        <w:rPr>
          <w:rFonts w:ascii="Times New Roman" w:hAnsi="Times New Roman" w:cs="Times New Roman"/>
          <w:b/>
          <w:sz w:val="24"/>
          <w:lang w:val="en-US"/>
        </w:rPr>
        <w:t xml:space="preserve"> </w:t>
      </w:r>
      <w:r w:rsidRPr="00362CFE">
        <w:rPr>
          <w:rFonts w:ascii="Times New Roman" w:hAnsi="Times New Roman" w:cs="Times New Roman"/>
          <w:b/>
          <w:sz w:val="24"/>
        </w:rPr>
        <w:t>языке</w:t>
      </w:r>
      <w:r w:rsidRPr="00362CFE">
        <w:rPr>
          <w:rFonts w:ascii="Times New Roman" w:hAnsi="Times New Roman" w:cs="Times New Roman"/>
          <w:b/>
          <w:sz w:val="24"/>
          <w:lang w:val="en-US"/>
        </w:rPr>
        <w:t>:</w:t>
      </w:r>
      <w:r w:rsidRPr="00362CFE">
        <w:rPr>
          <w:rFonts w:ascii="Times New Roman" w:hAnsi="Times New Roman" w:cs="Times New Roman"/>
          <w:sz w:val="24"/>
          <w:lang w:val="en-US"/>
        </w:rPr>
        <w:t xml:space="preserve"> In early 2020, many states found themselves in a state of uncertainty. Initially, no one understood how to behave in the new conditions, dictated not by systemic changes, but by adjustments caused by the COVID-19 pandemic. A year has passed since the start of the pandemic and it is time to make some economic forecasts. This paper provides empirical economic projections after the pandemic.</w:t>
      </w:r>
    </w:p>
    <w:p w:rsidR="00362CFE" w:rsidRDefault="00362CFE" w:rsidP="00362CFE">
      <w:pPr>
        <w:jc w:val="both"/>
        <w:rPr>
          <w:rFonts w:ascii="Times New Roman" w:hAnsi="Times New Roman" w:cs="Times New Roman"/>
          <w:color w:val="000000"/>
          <w:sz w:val="24"/>
          <w:lang w:val="en-US"/>
        </w:rPr>
      </w:pPr>
      <w:r w:rsidRPr="00362CFE">
        <w:rPr>
          <w:rFonts w:ascii="Times New Roman" w:hAnsi="Times New Roman" w:cs="Times New Roman"/>
          <w:b/>
          <w:sz w:val="24"/>
        </w:rPr>
        <w:t>Ключевые</w:t>
      </w:r>
      <w:r w:rsidRPr="00362CFE">
        <w:rPr>
          <w:rFonts w:ascii="Times New Roman" w:hAnsi="Times New Roman" w:cs="Times New Roman"/>
          <w:b/>
          <w:sz w:val="24"/>
          <w:lang w:val="en-US"/>
        </w:rPr>
        <w:t xml:space="preserve"> </w:t>
      </w:r>
      <w:r w:rsidRPr="00362CFE">
        <w:rPr>
          <w:rFonts w:ascii="Times New Roman" w:hAnsi="Times New Roman" w:cs="Times New Roman"/>
          <w:b/>
          <w:sz w:val="24"/>
        </w:rPr>
        <w:t>слова</w:t>
      </w:r>
      <w:r w:rsidRPr="00362CFE">
        <w:rPr>
          <w:rFonts w:ascii="Times New Roman" w:hAnsi="Times New Roman" w:cs="Times New Roman"/>
          <w:b/>
          <w:sz w:val="24"/>
          <w:lang w:val="en-US"/>
        </w:rPr>
        <w:t xml:space="preserve"> </w:t>
      </w:r>
      <w:r w:rsidRPr="00362CFE">
        <w:rPr>
          <w:rFonts w:ascii="Times New Roman" w:hAnsi="Times New Roman" w:cs="Times New Roman"/>
          <w:b/>
          <w:sz w:val="24"/>
        </w:rPr>
        <w:t>на</w:t>
      </w:r>
      <w:r w:rsidRPr="00362CFE">
        <w:rPr>
          <w:rFonts w:ascii="Times New Roman" w:hAnsi="Times New Roman" w:cs="Times New Roman"/>
          <w:b/>
          <w:sz w:val="24"/>
          <w:lang w:val="en-US"/>
        </w:rPr>
        <w:t xml:space="preserve"> </w:t>
      </w:r>
      <w:r w:rsidRPr="00362CFE">
        <w:rPr>
          <w:rFonts w:ascii="Times New Roman" w:hAnsi="Times New Roman" w:cs="Times New Roman"/>
          <w:b/>
          <w:sz w:val="24"/>
        </w:rPr>
        <w:t>английском</w:t>
      </w:r>
      <w:r w:rsidRPr="00362CFE">
        <w:rPr>
          <w:rFonts w:ascii="Times New Roman" w:hAnsi="Times New Roman" w:cs="Times New Roman"/>
          <w:b/>
          <w:sz w:val="24"/>
          <w:lang w:val="en-US"/>
        </w:rPr>
        <w:t xml:space="preserve"> </w:t>
      </w:r>
      <w:r w:rsidRPr="00362CFE">
        <w:rPr>
          <w:rFonts w:ascii="Times New Roman" w:hAnsi="Times New Roman" w:cs="Times New Roman"/>
          <w:b/>
          <w:sz w:val="24"/>
        </w:rPr>
        <w:t>языке</w:t>
      </w:r>
      <w:r w:rsidRPr="00362CFE">
        <w:rPr>
          <w:rFonts w:ascii="Times New Roman" w:hAnsi="Times New Roman" w:cs="Times New Roman"/>
          <w:b/>
          <w:sz w:val="24"/>
          <w:lang w:val="en-US"/>
        </w:rPr>
        <w:t>:</w:t>
      </w:r>
      <w:r w:rsidRPr="00362CFE">
        <w:rPr>
          <w:rFonts w:ascii="Times New Roman" w:hAnsi="Times New Roman" w:cs="Times New Roman"/>
          <w:sz w:val="24"/>
          <w:lang w:val="en-US"/>
        </w:rPr>
        <w:t xml:space="preserve"> </w:t>
      </w:r>
      <w:r w:rsidRPr="00362CFE">
        <w:rPr>
          <w:rFonts w:ascii="Times New Roman" w:hAnsi="Times New Roman" w:cs="Times New Roman"/>
          <w:color w:val="000000"/>
          <w:sz w:val="24"/>
          <w:lang w:val="en-US"/>
        </w:rPr>
        <w:t>COVID-19, pandemic, economic forecasts, GDP, world economy, economic dynamics.</w:t>
      </w:r>
    </w:p>
    <w:p w:rsidR="0087694C" w:rsidRPr="00362CFE" w:rsidRDefault="0087694C" w:rsidP="00362CFE">
      <w:pPr>
        <w:jc w:val="both"/>
        <w:rPr>
          <w:rFonts w:ascii="Times New Roman" w:hAnsi="Times New Roman" w:cs="Times New Roman"/>
          <w:sz w:val="24"/>
          <w:lang w:val="en-US"/>
        </w:rPr>
      </w:pPr>
      <w:bookmarkStart w:id="4" w:name="_GoBack"/>
      <w:bookmarkEnd w:id="4"/>
    </w:p>
    <w:p w:rsidR="00362CFE" w:rsidRPr="00362CFE" w:rsidRDefault="00362CFE" w:rsidP="00362CFE">
      <w:pPr>
        <w:jc w:val="both"/>
        <w:rPr>
          <w:rFonts w:ascii="Times New Roman" w:hAnsi="Times New Roman" w:cs="Times New Roman"/>
          <w:sz w:val="24"/>
          <w:lang w:val="en-US"/>
        </w:rPr>
      </w:pPr>
      <w:r w:rsidRPr="00362CFE">
        <w:rPr>
          <w:rFonts w:ascii="Times New Roman" w:hAnsi="Times New Roman" w:cs="Times New Roman"/>
          <w:b/>
          <w:sz w:val="24"/>
        </w:rPr>
        <w:t>Информация</w:t>
      </w:r>
      <w:r w:rsidRPr="00362CFE">
        <w:rPr>
          <w:rFonts w:ascii="Times New Roman" w:hAnsi="Times New Roman" w:cs="Times New Roman"/>
          <w:b/>
          <w:sz w:val="24"/>
          <w:lang w:val="en-US"/>
        </w:rPr>
        <w:t xml:space="preserve"> </w:t>
      </w:r>
      <w:r w:rsidRPr="00362CFE">
        <w:rPr>
          <w:rFonts w:ascii="Times New Roman" w:hAnsi="Times New Roman" w:cs="Times New Roman"/>
          <w:b/>
          <w:sz w:val="24"/>
        </w:rPr>
        <w:t>об</w:t>
      </w:r>
      <w:r w:rsidRPr="00362CFE">
        <w:rPr>
          <w:rFonts w:ascii="Times New Roman" w:hAnsi="Times New Roman" w:cs="Times New Roman"/>
          <w:b/>
          <w:sz w:val="24"/>
          <w:lang w:val="en-US"/>
        </w:rPr>
        <w:t xml:space="preserve"> </w:t>
      </w:r>
      <w:r w:rsidRPr="00362CFE">
        <w:rPr>
          <w:rFonts w:ascii="Times New Roman" w:hAnsi="Times New Roman" w:cs="Times New Roman"/>
          <w:b/>
          <w:sz w:val="24"/>
        </w:rPr>
        <w:t>авторе</w:t>
      </w:r>
      <w:r w:rsidRPr="00362CFE">
        <w:rPr>
          <w:rFonts w:ascii="Times New Roman" w:hAnsi="Times New Roman" w:cs="Times New Roman"/>
          <w:b/>
          <w:sz w:val="24"/>
          <w:lang w:val="en-US"/>
        </w:rPr>
        <w:t xml:space="preserve"> н</w:t>
      </w:r>
      <w:r w:rsidRPr="00362CFE">
        <w:rPr>
          <w:rFonts w:ascii="Times New Roman" w:hAnsi="Times New Roman" w:cs="Times New Roman"/>
          <w:b/>
          <w:sz w:val="24"/>
        </w:rPr>
        <w:t>а</w:t>
      </w:r>
      <w:r w:rsidRPr="00362CFE">
        <w:rPr>
          <w:rFonts w:ascii="Times New Roman" w:hAnsi="Times New Roman" w:cs="Times New Roman"/>
          <w:b/>
          <w:sz w:val="24"/>
          <w:lang w:val="en-US"/>
        </w:rPr>
        <w:t xml:space="preserve"> </w:t>
      </w:r>
      <w:r w:rsidRPr="00362CFE">
        <w:rPr>
          <w:rFonts w:ascii="Times New Roman" w:hAnsi="Times New Roman" w:cs="Times New Roman"/>
          <w:b/>
          <w:sz w:val="24"/>
        </w:rPr>
        <w:t>английском</w:t>
      </w:r>
      <w:r w:rsidRPr="00362CFE">
        <w:rPr>
          <w:rFonts w:ascii="Times New Roman" w:hAnsi="Times New Roman" w:cs="Times New Roman"/>
          <w:b/>
          <w:sz w:val="24"/>
          <w:lang w:val="en-US"/>
        </w:rPr>
        <w:t xml:space="preserve"> </w:t>
      </w:r>
      <w:r w:rsidRPr="00362CFE">
        <w:rPr>
          <w:rFonts w:ascii="Times New Roman" w:hAnsi="Times New Roman" w:cs="Times New Roman"/>
          <w:b/>
          <w:sz w:val="24"/>
        </w:rPr>
        <w:t>языке</w:t>
      </w:r>
      <w:r w:rsidRPr="00362CFE">
        <w:rPr>
          <w:rFonts w:ascii="Times New Roman" w:hAnsi="Times New Roman" w:cs="Times New Roman"/>
          <w:b/>
          <w:sz w:val="24"/>
          <w:lang w:val="en-US"/>
        </w:rPr>
        <w:t>:</w:t>
      </w:r>
      <w:r w:rsidRPr="00362CFE">
        <w:rPr>
          <w:rFonts w:ascii="Times New Roman" w:hAnsi="Times New Roman" w:cs="Times New Roman"/>
          <w:sz w:val="24"/>
          <w:lang w:val="en-US"/>
        </w:rPr>
        <w:t xml:space="preserve"> Chikina Valentina Andreevna (Russia, St. Petersburg) - Master's degree, National Research University Higher School of Economics (St. Petersburg, Promyshlennaya st., 17, </w:t>
      </w:r>
      <w:hyperlink r:id="rId8" w:history="1">
        <w:r w:rsidRPr="00362CFE">
          <w:rPr>
            <w:rStyle w:val="a3"/>
            <w:rFonts w:ascii="Times New Roman" w:hAnsi="Times New Roman" w:cs="Times New Roman"/>
            <w:sz w:val="24"/>
            <w:lang w:val="en-US"/>
          </w:rPr>
          <w:t>chikina.spb@gmail.com</w:t>
        </w:r>
      </w:hyperlink>
      <w:r w:rsidRPr="00362CFE">
        <w:rPr>
          <w:rFonts w:ascii="Times New Roman" w:hAnsi="Times New Roman" w:cs="Times New Roman"/>
          <w:sz w:val="24"/>
          <w:lang w:val="en-US"/>
        </w:rPr>
        <w:t>).</w:t>
      </w:r>
    </w:p>
    <w:p w:rsidR="00362CFE" w:rsidRPr="00362CFE" w:rsidRDefault="00362CFE" w:rsidP="00362CFE">
      <w:pPr>
        <w:jc w:val="both"/>
        <w:rPr>
          <w:rFonts w:ascii="Times New Roman" w:hAnsi="Times New Roman" w:cs="Times New Roman"/>
          <w:sz w:val="24"/>
          <w:lang w:val="en-US"/>
        </w:rPr>
      </w:pPr>
    </w:p>
    <w:p w:rsidR="00362CFE" w:rsidRPr="00362CFE" w:rsidRDefault="00362CFE" w:rsidP="00362CFE">
      <w:pPr>
        <w:jc w:val="both"/>
        <w:rPr>
          <w:rFonts w:ascii="Times New Roman" w:hAnsi="Times New Roman" w:cs="Times New Roman"/>
          <w:b/>
          <w:sz w:val="24"/>
        </w:rPr>
      </w:pPr>
      <w:r w:rsidRPr="00362CFE">
        <w:rPr>
          <w:rFonts w:ascii="Times New Roman" w:hAnsi="Times New Roman" w:cs="Times New Roman"/>
          <w:b/>
          <w:sz w:val="24"/>
        </w:rPr>
        <w:t>Библиографический список на английском языке</w:t>
      </w:r>
      <w:r w:rsidRPr="00362CFE">
        <w:rPr>
          <w:rFonts w:ascii="Times New Roman" w:hAnsi="Times New Roman" w:cs="Times New Roman"/>
          <w:b/>
          <w:sz w:val="24"/>
        </w:rPr>
        <w:t>:</w:t>
      </w:r>
    </w:p>
    <w:p w:rsidR="00362CFE" w:rsidRPr="00362CFE" w:rsidRDefault="00362CFE" w:rsidP="00362CFE">
      <w:pPr>
        <w:jc w:val="both"/>
        <w:rPr>
          <w:rFonts w:ascii="Times New Roman" w:hAnsi="Times New Roman" w:cs="Times New Roman"/>
          <w:sz w:val="24"/>
          <w:lang w:val="en-US"/>
        </w:rPr>
      </w:pPr>
      <w:r w:rsidRPr="00362CFE">
        <w:rPr>
          <w:rFonts w:ascii="Times New Roman" w:hAnsi="Times New Roman" w:cs="Times New Roman"/>
          <w:sz w:val="24"/>
          <w:lang w:val="en-US"/>
        </w:rPr>
        <w:t>1. Anderson, J., Bergamini E., Brekelmans S., Cameron A., Darvas Z., Domínguez Jíménez M., &amp; Midões C. (2020). The Fiscal Response to the Economic Fallout from the Coronavirus. Bruegel Datasets https://www.bruegel.org/publications/datasets/covid-national-dataset, retrieved June 4th, 2020.</w:t>
      </w:r>
    </w:p>
    <w:p w:rsidR="00362CFE" w:rsidRPr="00362CFE" w:rsidRDefault="00362CFE" w:rsidP="00362CFE">
      <w:pPr>
        <w:jc w:val="both"/>
        <w:rPr>
          <w:rFonts w:ascii="Times New Roman" w:hAnsi="Times New Roman" w:cs="Times New Roman"/>
          <w:sz w:val="24"/>
          <w:lang w:val="en-US"/>
        </w:rPr>
      </w:pPr>
      <w:r w:rsidRPr="00362CFE">
        <w:rPr>
          <w:rFonts w:ascii="Times New Roman" w:hAnsi="Times New Roman" w:cs="Times New Roman"/>
          <w:sz w:val="24"/>
          <w:lang w:val="en-US"/>
        </w:rPr>
        <w:t>2. Baker, S. R., Bloom, N., Davis, S. J., &amp; Terry, S. J. (2020). COVID-Induced Economic Uncertainty. NBER Working Paper 26983.</w:t>
      </w:r>
    </w:p>
    <w:p w:rsidR="00362CFE" w:rsidRPr="00362CFE" w:rsidRDefault="00362CFE" w:rsidP="00362CFE">
      <w:pPr>
        <w:jc w:val="both"/>
        <w:rPr>
          <w:rFonts w:ascii="Times New Roman" w:hAnsi="Times New Roman" w:cs="Times New Roman"/>
          <w:sz w:val="24"/>
          <w:lang w:val="en-US"/>
        </w:rPr>
      </w:pPr>
      <w:r w:rsidRPr="00362CFE">
        <w:rPr>
          <w:rFonts w:ascii="Times New Roman" w:hAnsi="Times New Roman" w:cs="Times New Roman"/>
          <w:sz w:val="24"/>
          <w:lang w:val="en-US"/>
        </w:rPr>
        <w:t>3. Bartik, A. W., Bertrand, M., Cullen, Z. B., Glaeser, E. L., Luca, M., &amp; Stanton, C. T. (2020). How Are Small Businesses Adjusting to COVID-19? Early Evidence from a Survey. NBER Working Paper 26989.</w:t>
      </w:r>
    </w:p>
    <w:p w:rsidR="00362CFE" w:rsidRPr="00362CFE" w:rsidRDefault="00362CFE" w:rsidP="00362CFE">
      <w:pPr>
        <w:jc w:val="both"/>
        <w:rPr>
          <w:rFonts w:ascii="Times New Roman" w:hAnsi="Times New Roman" w:cs="Times New Roman"/>
          <w:sz w:val="24"/>
          <w:lang w:val="en-US"/>
        </w:rPr>
      </w:pPr>
      <w:r w:rsidRPr="00362CFE">
        <w:rPr>
          <w:rFonts w:ascii="Times New Roman" w:hAnsi="Times New Roman" w:cs="Times New Roman"/>
          <w:sz w:val="24"/>
          <w:lang w:val="en-US"/>
        </w:rPr>
        <w:t>4. Fernandes, N. (2020). Economic Effects of Coronavirus Outbreak (COVID-19) on the World Economy, SSRN Electronic Journal https://ssrn.com/abstract=3557504. , retrieved July 7th, 2020.</w:t>
      </w:r>
    </w:p>
    <w:p w:rsidR="00362CFE" w:rsidRPr="00362CFE" w:rsidRDefault="00362CFE" w:rsidP="00362CFE">
      <w:pPr>
        <w:jc w:val="both"/>
        <w:rPr>
          <w:rFonts w:ascii="Times New Roman" w:hAnsi="Times New Roman" w:cs="Times New Roman"/>
          <w:sz w:val="24"/>
        </w:rPr>
      </w:pPr>
      <w:r w:rsidRPr="00362CFE">
        <w:rPr>
          <w:rFonts w:ascii="Times New Roman" w:hAnsi="Times New Roman" w:cs="Times New Roman"/>
          <w:sz w:val="24"/>
          <w:lang w:val="en-US"/>
        </w:rPr>
        <w:t xml:space="preserve">5. OECD (2020). Coronavirus: The World Economy at Risk. Organization for Economic Co-operation and Development. </w:t>
      </w:r>
      <w:r w:rsidRPr="00362CFE">
        <w:rPr>
          <w:rFonts w:ascii="Times New Roman" w:hAnsi="Times New Roman" w:cs="Times New Roman"/>
          <w:sz w:val="24"/>
        </w:rPr>
        <w:t>OECD Interim Economic Assessment.</w:t>
      </w:r>
    </w:p>
    <w:sectPr w:rsidR="00362CFE" w:rsidRPr="00362CFE" w:rsidSect="00AC14C9">
      <w:footerReference w:type="default" r:id="rId9"/>
      <w:footerReference w:type="first" r:id="rId10"/>
      <w:type w:val="continuous"/>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02F" w:rsidRDefault="0055502F" w:rsidP="00FD0397">
      <w:r>
        <w:separator/>
      </w:r>
    </w:p>
  </w:endnote>
  <w:endnote w:type="continuationSeparator" w:id="0">
    <w:p w:rsidR="0055502F" w:rsidRDefault="0055502F" w:rsidP="00FD0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430" w:rsidRPr="00BD56A8" w:rsidRDefault="00146430">
    <w:pPr>
      <w:pStyle w:val="a5"/>
      <w:jc w:val="center"/>
      <w:rPr>
        <w:rFonts w:ascii="Times New Roman" w:hAnsi="Times New Roman" w:cs="Times New Roman"/>
        <w:sz w:val="24"/>
      </w:rPr>
    </w:pPr>
    <w:r w:rsidRPr="00BD56A8">
      <w:rPr>
        <w:rFonts w:ascii="Times New Roman" w:hAnsi="Times New Roman" w:cs="Times New Roman"/>
        <w:sz w:val="24"/>
      </w:rPr>
      <w:fldChar w:fldCharType="begin"/>
    </w:r>
    <w:r w:rsidRPr="00BD56A8">
      <w:rPr>
        <w:rFonts w:ascii="Times New Roman" w:hAnsi="Times New Roman" w:cs="Times New Roman"/>
        <w:sz w:val="24"/>
      </w:rPr>
      <w:instrText>PAGE   \* MERGEFORMAT</w:instrText>
    </w:r>
    <w:r w:rsidRPr="00BD56A8">
      <w:rPr>
        <w:rFonts w:ascii="Times New Roman" w:hAnsi="Times New Roman" w:cs="Times New Roman"/>
        <w:sz w:val="24"/>
      </w:rPr>
      <w:fldChar w:fldCharType="separate"/>
    </w:r>
    <w:r w:rsidR="00C970B4" w:rsidRPr="00C970B4">
      <w:rPr>
        <w:rFonts w:ascii="Times New Roman" w:hAnsi="Times New Roman" w:cs="Times New Roman"/>
        <w:noProof/>
        <w:sz w:val="24"/>
        <w:lang w:val="ru-RU"/>
      </w:rPr>
      <w:t>5</w:t>
    </w:r>
    <w:r w:rsidRPr="00BD56A8">
      <w:rPr>
        <w:rFonts w:ascii="Times New Roman" w:hAnsi="Times New Roman" w:cs="Times New Roman"/>
        <w:sz w:val="24"/>
      </w:rPr>
      <w:fldChar w:fldCharType="end"/>
    </w:r>
  </w:p>
  <w:p w:rsidR="00146430" w:rsidRPr="00BD56A8" w:rsidRDefault="00146430">
    <w:pPr>
      <w:pStyle w:val="a5"/>
      <w:rPr>
        <w:rFonts w:ascii="Times New Roman" w:hAnsi="Times New Roman" w:cs="Times New Roman"/>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430" w:rsidRDefault="00146430">
    <w:pPr>
      <w:pStyle w:val="a5"/>
      <w:jc w:val="center"/>
    </w:pPr>
  </w:p>
  <w:p w:rsidR="00146430" w:rsidRDefault="0014643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02F" w:rsidRDefault="0055502F" w:rsidP="00FD0397">
      <w:r>
        <w:separator/>
      </w:r>
    </w:p>
  </w:footnote>
  <w:footnote w:type="continuationSeparator" w:id="0">
    <w:p w:rsidR="0055502F" w:rsidRDefault="0055502F" w:rsidP="00FD03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D69"/>
    <w:multiLevelType w:val="hybridMultilevel"/>
    <w:tmpl w:val="3C3AF8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7E55090"/>
    <w:multiLevelType w:val="hybridMultilevel"/>
    <w:tmpl w:val="B46417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5A146CC"/>
    <w:multiLevelType w:val="singleLevel"/>
    <w:tmpl w:val="917E01F8"/>
    <w:lvl w:ilvl="0">
      <w:start w:val="1"/>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368E297F"/>
    <w:multiLevelType w:val="multilevel"/>
    <w:tmpl w:val="C6900942"/>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4" w15:restartNumberingAfterBreak="0">
    <w:nsid w:val="435548ED"/>
    <w:multiLevelType w:val="hybridMultilevel"/>
    <w:tmpl w:val="C48EEC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B052AA"/>
    <w:multiLevelType w:val="hybridMultilevel"/>
    <w:tmpl w:val="49804AE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EE159A4"/>
    <w:multiLevelType w:val="hybridMultilevel"/>
    <w:tmpl w:val="42169840"/>
    <w:lvl w:ilvl="0" w:tplc="0419000F">
      <w:start w:val="1"/>
      <w:numFmt w:val="decimal"/>
      <w:lvlText w:val="%1."/>
      <w:lvlJc w:val="left"/>
      <w:pPr>
        <w:ind w:left="720" w:hanging="360"/>
      </w:pPr>
    </w:lvl>
    <w:lvl w:ilvl="1" w:tplc="0419000F">
      <w:start w:val="1"/>
      <w:numFmt w:val="decimal"/>
      <w:lvlText w:val="%2."/>
      <w:lvlJc w:val="left"/>
      <w:pPr>
        <w:ind w:left="1069"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942E02"/>
    <w:multiLevelType w:val="hybridMultilevel"/>
    <w:tmpl w:val="B3BA9ED2"/>
    <w:lvl w:ilvl="0" w:tplc="508EE62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1146BE0"/>
    <w:multiLevelType w:val="multilevel"/>
    <w:tmpl w:val="C6900942"/>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785239D5"/>
    <w:multiLevelType w:val="hybridMultilevel"/>
    <w:tmpl w:val="604E1196"/>
    <w:lvl w:ilvl="0" w:tplc="F8988D90">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FE41578"/>
    <w:multiLevelType w:val="multilevel"/>
    <w:tmpl w:val="8EA00CEE"/>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27B"/>
    <w:rsid w:val="00001B61"/>
    <w:rsid w:val="00007E25"/>
    <w:rsid w:val="00021234"/>
    <w:rsid w:val="00024FA7"/>
    <w:rsid w:val="00031E9A"/>
    <w:rsid w:val="00037043"/>
    <w:rsid w:val="000563B5"/>
    <w:rsid w:val="00065512"/>
    <w:rsid w:val="00065AB8"/>
    <w:rsid w:val="0006740E"/>
    <w:rsid w:val="00072ED0"/>
    <w:rsid w:val="00083EBC"/>
    <w:rsid w:val="000860BB"/>
    <w:rsid w:val="00086349"/>
    <w:rsid w:val="00087C7A"/>
    <w:rsid w:val="00090514"/>
    <w:rsid w:val="00092FFC"/>
    <w:rsid w:val="000A1A04"/>
    <w:rsid w:val="000A6354"/>
    <w:rsid w:val="000A7A69"/>
    <w:rsid w:val="000A7AAB"/>
    <w:rsid w:val="000A7AF3"/>
    <w:rsid w:val="000B32EE"/>
    <w:rsid w:val="000C4AC4"/>
    <w:rsid w:val="000C4D39"/>
    <w:rsid w:val="000D1AB1"/>
    <w:rsid w:val="000D41B7"/>
    <w:rsid w:val="000D4A85"/>
    <w:rsid w:val="000D7FF8"/>
    <w:rsid w:val="000E4301"/>
    <w:rsid w:val="000E58A4"/>
    <w:rsid w:val="000E7A52"/>
    <w:rsid w:val="000F09D2"/>
    <w:rsid w:val="000F57B2"/>
    <w:rsid w:val="00101A63"/>
    <w:rsid w:val="00102D43"/>
    <w:rsid w:val="001065EE"/>
    <w:rsid w:val="001109B6"/>
    <w:rsid w:val="00112502"/>
    <w:rsid w:val="00112D52"/>
    <w:rsid w:val="00113205"/>
    <w:rsid w:val="001352E3"/>
    <w:rsid w:val="00135DD4"/>
    <w:rsid w:val="00143D9F"/>
    <w:rsid w:val="00146430"/>
    <w:rsid w:val="00151DD9"/>
    <w:rsid w:val="001526EB"/>
    <w:rsid w:val="001550AA"/>
    <w:rsid w:val="001800C6"/>
    <w:rsid w:val="00182D54"/>
    <w:rsid w:val="00185072"/>
    <w:rsid w:val="001A2419"/>
    <w:rsid w:val="001A2567"/>
    <w:rsid w:val="001A4037"/>
    <w:rsid w:val="001A5460"/>
    <w:rsid w:val="001B30E5"/>
    <w:rsid w:val="001C4097"/>
    <w:rsid w:val="001C6038"/>
    <w:rsid w:val="001C62A2"/>
    <w:rsid w:val="001D0167"/>
    <w:rsid w:val="001E0A67"/>
    <w:rsid w:val="001F0C2F"/>
    <w:rsid w:val="001F487C"/>
    <w:rsid w:val="001F550F"/>
    <w:rsid w:val="001F5F46"/>
    <w:rsid w:val="001F6C13"/>
    <w:rsid w:val="001F7815"/>
    <w:rsid w:val="00200704"/>
    <w:rsid w:val="0020416F"/>
    <w:rsid w:val="00205514"/>
    <w:rsid w:val="002109BD"/>
    <w:rsid w:val="0021106F"/>
    <w:rsid w:val="00216DD4"/>
    <w:rsid w:val="00222AE3"/>
    <w:rsid w:val="00225574"/>
    <w:rsid w:val="00225977"/>
    <w:rsid w:val="002265E5"/>
    <w:rsid w:val="002269AA"/>
    <w:rsid w:val="00227702"/>
    <w:rsid w:val="00230FEC"/>
    <w:rsid w:val="0024195E"/>
    <w:rsid w:val="00241FA8"/>
    <w:rsid w:val="00245B5A"/>
    <w:rsid w:val="0025397A"/>
    <w:rsid w:val="002609EE"/>
    <w:rsid w:val="002620EB"/>
    <w:rsid w:val="0026313F"/>
    <w:rsid w:val="002638D6"/>
    <w:rsid w:val="00263D5A"/>
    <w:rsid w:val="0026672F"/>
    <w:rsid w:val="00267A51"/>
    <w:rsid w:val="00270A5A"/>
    <w:rsid w:val="0027676E"/>
    <w:rsid w:val="00280148"/>
    <w:rsid w:val="002842BA"/>
    <w:rsid w:val="002856F9"/>
    <w:rsid w:val="002875D2"/>
    <w:rsid w:val="0029195D"/>
    <w:rsid w:val="002928C9"/>
    <w:rsid w:val="002944C7"/>
    <w:rsid w:val="00297BF2"/>
    <w:rsid w:val="002A113B"/>
    <w:rsid w:val="002A3A1E"/>
    <w:rsid w:val="002B583F"/>
    <w:rsid w:val="002C0496"/>
    <w:rsid w:val="002C08AF"/>
    <w:rsid w:val="002C307B"/>
    <w:rsid w:val="002C717B"/>
    <w:rsid w:val="002D0E48"/>
    <w:rsid w:val="002D76C9"/>
    <w:rsid w:val="002E1131"/>
    <w:rsid w:val="002E13C0"/>
    <w:rsid w:val="002E212D"/>
    <w:rsid w:val="002E2EA4"/>
    <w:rsid w:val="002F1D91"/>
    <w:rsid w:val="002F5230"/>
    <w:rsid w:val="00300C99"/>
    <w:rsid w:val="00300CC1"/>
    <w:rsid w:val="00300ED6"/>
    <w:rsid w:val="003079FB"/>
    <w:rsid w:val="00315D70"/>
    <w:rsid w:val="00323379"/>
    <w:rsid w:val="00327032"/>
    <w:rsid w:val="00333529"/>
    <w:rsid w:val="00340205"/>
    <w:rsid w:val="00342FB7"/>
    <w:rsid w:val="00351F6C"/>
    <w:rsid w:val="00353310"/>
    <w:rsid w:val="00356888"/>
    <w:rsid w:val="00357539"/>
    <w:rsid w:val="00362CFE"/>
    <w:rsid w:val="00371E87"/>
    <w:rsid w:val="00372847"/>
    <w:rsid w:val="00375D1C"/>
    <w:rsid w:val="003766B4"/>
    <w:rsid w:val="00385C24"/>
    <w:rsid w:val="0038721F"/>
    <w:rsid w:val="00393D7F"/>
    <w:rsid w:val="003A24B0"/>
    <w:rsid w:val="003A7727"/>
    <w:rsid w:val="003B2F92"/>
    <w:rsid w:val="003B52C4"/>
    <w:rsid w:val="003B5E63"/>
    <w:rsid w:val="003C4397"/>
    <w:rsid w:val="003C6CD1"/>
    <w:rsid w:val="003D0FE0"/>
    <w:rsid w:val="003D338A"/>
    <w:rsid w:val="003E1B72"/>
    <w:rsid w:val="003E219A"/>
    <w:rsid w:val="0040331B"/>
    <w:rsid w:val="00405961"/>
    <w:rsid w:val="00406234"/>
    <w:rsid w:val="00406AE9"/>
    <w:rsid w:val="0040748A"/>
    <w:rsid w:val="004110F7"/>
    <w:rsid w:val="004140CD"/>
    <w:rsid w:val="00417447"/>
    <w:rsid w:val="00417611"/>
    <w:rsid w:val="00422F60"/>
    <w:rsid w:val="00424EB5"/>
    <w:rsid w:val="004266F7"/>
    <w:rsid w:val="0042731E"/>
    <w:rsid w:val="00431331"/>
    <w:rsid w:val="004314E5"/>
    <w:rsid w:val="00432803"/>
    <w:rsid w:val="00433768"/>
    <w:rsid w:val="00434839"/>
    <w:rsid w:val="004367C6"/>
    <w:rsid w:val="00436A53"/>
    <w:rsid w:val="00437655"/>
    <w:rsid w:val="00442B75"/>
    <w:rsid w:val="004459BD"/>
    <w:rsid w:val="00447706"/>
    <w:rsid w:val="00450621"/>
    <w:rsid w:val="004519A8"/>
    <w:rsid w:val="004524D4"/>
    <w:rsid w:val="00452776"/>
    <w:rsid w:val="004530A9"/>
    <w:rsid w:val="0045480C"/>
    <w:rsid w:val="004556E7"/>
    <w:rsid w:val="0045610F"/>
    <w:rsid w:val="0046480F"/>
    <w:rsid w:val="00467DF1"/>
    <w:rsid w:val="0047569D"/>
    <w:rsid w:val="004767DB"/>
    <w:rsid w:val="004810C7"/>
    <w:rsid w:val="0048757D"/>
    <w:rsid w:val="00497F28"/>
    <w:rsid w:val="004A0E65"/>
    <w:rsid w:val="004B0BAD"/>
    <w:rsid w:val="004B3050"/>
    <w:rsid w:val="004C2294"/>
    <w:rsid w:val="004C534F"/>
    <w:rsid w:val="004C7B63"/>
    <w:rsid w:val="004D7A8D"/>
    <w:rsid w:val="004E29D9"/>
    <w:rsid w:val="004E47FA"/>
    <w:rsid w:val="004F1A91"/>
    <w:rsid w:val="004F6F58"/>
    <w:rsid w:val="00500152"/>
    <w:rsid w:val="00512BCF"/>
    <w:rsid w:val="00521967"/>
    <w:rsid w:val="00522ADF"/>
    <w:rsid w:val="0052556B"/>
    <w:rsid w:val="00534C03"/>
    <w:rsid w:val="0053675D"/>
    <w:rsid w:val="00543C08"/>
    <w:rsid w:val="00543EB9"/>
    <w:rsid w:val="00545B52"/>
    <w:rsid w:val="0055502F"/>
    <w:rsid w:val="00555A90"/>
    <w:rsid w:val="00557A4E"/>
    <w:rsid w:val="00564863"/>
    <w:rsid w:val="00573F44"/>
    <w:rsid w:val="005801C2"/>
    <w:rsid w:val="00586EDA"/>
    <w:rsid w:val="00587209"/>
    <w:rsid w:val="00590DDA"/>
    <w:rsid w:val="005941BA"/>
    <w:rsid w:val="00595C75"/>
    <w:rsid w:val="005A18F0"/>
    <w:rsid w:val="005A29D9"/>
    <w:rsid w:val="005A35CA"/>
    <w:rsid w:val="005A453C"/>
    <w:rsid w:val="005A6882"/>
    <w:rsid w:val="005A7403"/>
    <w:rsid w:val="005B210C"/>
    <w:rsid w:val="005B647A"/>
    <w:rsid w:val="005C118C"/>
    <w:rsid w:val="005C3365"/>
    <w:rsid w:val="005C6051"/>
    <w:rsid w:val="005D0BD8"/>
    <w:rsid w:val="005E134C"/>
    <w:rsid w:val="005E2BF8"/>
    <w:rsid w:val="005F06E1"/>
    <w:rsid w:val="0060333F"/>
    <w:rsid w:val="00605E5F"/>
    <w:rsid w:val="00615AF6"/>
    <w:rsid w:val="00617780"/>
    <w:rsid w:val="00623ED8"/>
    <w:rsid w:val="006274FC"/>
    <w:rsid w:val="006316C7"/>
    <w:rsid w:val="00635891"/>
    <w:rsid w:val="006401D9"/>
    <w:rsid w:val="00640756"/>
    <w:rsid w:val="00646AB5"/>
    <w:rsid w:val="00646B74"/>
    <w:rsid w:val="00652F07"/>
    <w:rsid w:val="0065725E"/>
    <w:rsid w:val="0067320A"/>
    <w:rsid w:val="00674E9E"/>
    <w:rsid w:val="00675197"/>
    <w:rsid w:val="00675C87"/>
    <w:rsid w:val="00682409"/>
    <w:rsid w:val="00684107"/>
    <w:rsid w:val="00687883"/>
    <w:rsid w:val="00693662"/>
    <w:rsid w:val="006A1410"/>
    <w:rsid w:val="006A1791"/>
    <w:rsid w:val="006A6AA7"/>
    <w:rsid w:val="006B1D14"/>
    <w:rsid w:val="006B3704"/>
    <w:rsid w:val="006B5175"/>
    <w:rsid w:val="006C0344"/>
    <w:rsid w:val="006C21E6"/>
    <w:rsid w:val="006C4F45"/>
    <w:rsid w:val="006D224F"/>
    <w:rsid w:val="006D4C41"/>
    <w:rsid w:val="006D7275"/>
    <w:rsid w:val="006D79E2"/>
    <w:rsid w:val="006D7D34"/>
    <w:rsid w:val="006E0237"/>
    <w:rsid w:val="006E398E"/>
    <w:rsid w:val="006E409B"/>
    <w:rsid w:val="006F431D"/>
    <w:rsid w:val="00701E13"/>
    <w:rsid w:val="00703FB1"/>
    <w:rsid w:val="00704B41"/>
    <w:rsid w:val="007117AF"/>
    <w:rsid w:val="00717E11"/>
    <w:rsid w:val="00723EA0"/>
    <w:rsid w:val="00724BF7"/>
    <w:rsid w:val="00725577"/>
    <w:rsid w:val="00726D3D"/>
    <w:rsid w:val="00741C58"/>
    <w:rsid w:val="007427DC"/>
    <w:rsid w:val="00743C69"/>
    <w:rsid w:val="0074445C"/>
    <w:rsid w:val="007531B5"/>
    <w:rsid w:val="00762E7A"/>
    <w:rsid w:val="00764CDA"/>
    <w:rsid w:val="00767AD2"/>
    <w:rsid w:val="00777A33"/>
    <w:rsid w:val="00781117"/>
    <w:rsid w:val="00783F58"/>
    <w:rsid w:val="00785106"/>
    <w:rsid w:val="00786BDF"/>
    <w:rsid w:val="00790084"/>
    <w:rsid w:val="007948A3"/>
    <w:rsid w:val="00795117"/>
    <w:rsid w:val="007A1817"/>
    <w:rsid w:val="007A6688"/>
    <w:rsid w:val="007A7E91"/>
    <w:rsid w:val="007F0CF4"/>
    <w:rsid w:val="007F5A17"/>
    <w:rsid w:val="00805313"/>
    <w:rsid w:val="00811D1B"/>
    <w:rsid w:val="008159AA"/>
    <w:rsid w:val="00821FA9"/>
    <w:rsid w:val="0082427B"/>
    <w:rsid w:val="0083635F"/>
    <w:rsid w:val="00836CF8"/>
    <w:rsid w:val="008426CB"/>
    <w:rsid w:val="008430E2"/>
    <w:rsid w:val="008477DF"/>
    <w:rsid w:val="00847B71"/>
    <w:rsid w:val="0085246B"/>
    <w:rsid w:val="00853B08"/>
    <w:rsid w:val="0085410A"/>
    <w:rsid w:val="00854A5F"/>
    <w:rsid w:val="0085504E"/>
    <w:rsid w:val="00857C09"/>
    <w:rsid w:val="008650C2"/>
    <w:rsid w:val="00876445"/>
    <w:rsid w:val="0087694C"/>
    <w:rsid w:val="00876C36"/>
    <w:rsid w:val="00882CE3"/>
    <w:rsid w:val="00885A03"/>
    <w:rsid w:val="00885B4B"/>
    <w:rsid w:val="00886E1F"/>
    <w:rsid w:val="00887437"/>
    <w:rsid w:val="008875FF"/>
    <w:rsid w:val="00891312"/>
    <w:rsid w:val="00897C67"/>
    <w:rsid w:val="008A585A"/>
    <w:rsid w:val="008B319C"/>
    <w:rsid w:val="008C6335"/>
    <w:rsid w:val="008C6A48"/>
    <w:rsid w:val="008D072B"/>
    <w:rsid w:val="008D429E"/>
    <w:rsid w:val="008D5AEA"/>
    <w:rsid w:val="008D68AF"/>
    <w:rsid w:val="008D6E0F"/>
    <w:rsid w:val="008E2466"/>
    <w:rsid w:val="008F7354"/>
    <w:rsid w:val="00904836"/>
    <w:rsid w:val="009063E7"/>
    <w:rsid w:val="00906567"/>
    <w:rsid w:val="00907436"/>
    <w:rsid w:val="00910345"/>
    <w:rsid w:val="009209A4"/>
    <w:rsid w:val="0092403A"/>
    <w:rsid w:val="009258E8"/>
    <w:rsid w:val="009262EE"/>
    <w:rsid w:val="0092653E"/>
    <w:rsid w:val="00933BBE"/>
    <w:rsid w:val="0093441A"/>
    <w:rsid w:val="00935E62"/>
    <w:rsid w:val="00937E5F"/>
    <w:rsid w:val="00946CD1"/>
    <w:rsid w:val="00947512"/>
    <w:rsid w:val="00950E16"/>
    <w:rsid w:val="00952F4E"/>
    <w:rsid w:val="00960D97"/>
    <w:rsid w:val="009659C6"/>
    <w:rsid w:val="009666C2"/>
    <w:rsid w:val="00972CB9"/>
    <w:rsid w:val="009776EB"/>
    <w:rsid w:val="0098068A"/>
    <w:rsid w:val="009813E5"/>
    <w:rsid w:val="009840A5"/>
    <w:rsid w:val="00987978"/>
    <w:rsid w:val="00990C09"/>
    <w:rsid w:val="00991A47"/>
    <w:rsid w:val="00992043"/>
    <w:rsid w:val="00995A5E"/>
    <w:rsid w:val="009976D4"/>
    <w:rsid w:val="009A1603"/>
    <w:rsid w:val="009B3E77"/>
    <w:rsid w:val="009B5566"/>
    <w:rsid w:val="009B5AAB"/>
    <w:rsid w:val="009B7EFD"/>
    <w:rsid w:val="009C5EC8"/>
    <w:rsid w:val="009D02A5"/>
    <w:rsid w:val="009D43D0"/>
    <w:rsid w:val="009D54AD"/>
    <w:rsid w:val="009E0CC4"/>
    <w:rsid w:val="009E2873"/>
    <w:rsid w:val="009E2A29"/>
    <w:rsid w:val="009F0DA8"/>
    <w:rsid w:val="009F71C7"/>
    <w:rsid w:val="00A0111F"/>
    <w:rsid w:val="00A038D7"/>
    <w:rsid w:val="00A069FC"/>
    <w:rsid w:val="00A103E9"/>
    <w:rsid w:val="00A10F95"/>
    <w:rsid w:val="00A12B9A"/>
    <w:rsid w:val="00A20F6A"/>
    <w:rsid w:val="00A235C6"/>
    <w:rsid w:val="00A23782"/>
    <w:rsid w:val="00A2402C"/>
    <w:rsid w:val="00A242BE"/>
    <w:rsid w:val="00A24DE4"/>
    <w:rsid w:val="00A2540D"/>
    <w:rsid w:val="00A32A7D"/>
    <w:rsid w:val="00A402BE"/>
    <w:rsid w:val="00A417AD"/>
    <w:rsid w:val="00A64C82"/>
    <w:rsid w:val="00A66EE5"/>
    <w:rsid w:val="00A67340"/>
    <w:rsid w:val="00A765C4"/>
    <w:rsid w:val="00A8042D"/>
    <w:rsid w:val="00A83BA0"/>
    <w:rsid w:val="00A87442"/>
    <w:rsid w:val="00A87EF2"/>
    <w:rsid w:val="00A96840"/>
    <w:rsid w:val="00A97B61"/>
    <w:rsid w:val="00AA0C6B"/>
    <w:rsid w:val="00AA16B1"/>
    <w:rsid w:val="00AA1FB5"/>
    <w:rsid w:val="00AA3341"/>
    <w:rsid w:val="00AA37ED"/>
    <w:rsid w:val="00AA7863"/>
    <w:rsid w:val="00AB0C9D"/>
    <w:rsid w:val="00AB27F6"/>
    <w:rsid w:val="00AB4B25"/>
    <w:rsid w:val="00AB5B4F"/>
    <w:rsid w:val="00AB6E14"/>
    <w:rsid w:val="00AB6EFA"/>
    <w:rsid w:val="00AC10BA"/>
    <w:rsid w:val="00AC14C9"/>
    <w:rsid w:val="00AC4447"/>
    <w:rsid w:val="00AD649F"/>
    <w:rsid w:val="00AE488E"/>
    <w:rsid w:val="00AE5770"/>
    <w:rsid w:val="00AE7BE5"/>
    <w:rsid w:val="00AF0623"/>
    <w:rsid w:val="00AF580D"/>
    <w:rsid w:val="00B002F3"/>
    <w:rsid w:val="00B0198F"/>
    <w:rsid w:val="00B12126"/>
    <w:rsid w:val="00B1305C"/>
    <w:rsid w:val="00B15A3F"/>
    <w:rsid w:val="00B2132D"/>
    <w:rsid w:val="00B30366"/>
    <w:rsid w:val="00B36829"/>
    <w:rsid w:val="00B4353D"/>
    <w:rsid w:val="00B46E0B"/>
    <w:rsid w:val="00B54AF3"/>
    <w:rsid w:val="00B54E8F"/>
    <w:rsid w:val="00B553E2"/>
    <w:rsid w:val="00B61828"/>
    <w:rsid w:val="00B6235B"/>
    <w:rsid w:val="00B74A1D"/>
    <w:rsid w:val="00B85699"/>
    <w:rsid w:val="00B932C9"/>
    <w:rsid w:val="00B955B8"/>
    <w:rsid w:val="00B95DBE"/>
    <w:rsid w:val="00B95E33"/>
    <w:rsid w:val="00B96470"/>
    <w:rsid w:val="00BA41CB"/>
    <w:rsid w:val="00BA4535"/>
    <w:rsid w:val="00BA5EAB"/>
    <w:rsid w:val="00BB17BA"/>
    <w:rsid w:val="00BB74F2"/>
    <w:rsid w:val="00BB79EB"/>
    <w:rsid w:val="00BB7DDA"/>
    <w:rsid w:val="00BC111D"/>
    <w:rsid w:val="00BC56C7"/>
    <w:rsid w:val="00BD56A8"/>
    <w:rsid w:val="00BD5981"/>
    <w:rsid w:val="00BE36EF"/>
    <w:rsid w:val="00BE4490"/>
    <w:rsid w:val="00BE46EF"/>
    <w:rsid w:val="00BE5043"/>
    <w:rsid w:val="00BE5819"/>
    <w:rsid w:val="00BE638C"/>
    <w:rsid w:val="00BE7556"/>
    <w:rsid w:val="00BF1019"/>
    <w:rsid w:val="00BF751B"/>
    <w:rsid w:val="00BF7700"/>
    <w:rsid w:val="00C02328"/>
    <w:rsid w:val="00C048B5"/>
    <w:rsid w:val="00C05C60"/>
    <w:rsid w:val="00C150C7"/>
    <w:rsid w:val="00C152F4"/>
    <w:rsid w:val="00C16B65"/>
    <w:rsid w:val="00C21D49"/>
    <w:rsid w:val="00C23A8D"/>
    <w:rsid w:val="00C31B29"/>
    <w:rsid w:val="00C4369C"/>
    <w:rsid w:val="00C447EF"/>
    <w:rsid w:val="00C45769"/>
    <w:rsid w:val="00C476DE"/>
    <w:rsid w:val="00C534A5"/>
    <w:rsid w:val="00C53974"/>
    <w:rsid w:val="00C675C8"/>
    <w:rsid w:val="00C72700"/>
    <w:rsid w:val="00C73BF2"/>
    <w:rsid w:val="00C76E7E"/>
    <w:rsid w:val="00C7752A"/>
    <w:rsid w:val="00C83DAB"/>
    <w:rsid w:val="00C852D9"/>
    <w:rsid w:val="00C86BEE"/>
    <w:rsid w:val="00C87E6A"/>
    <w:rsid w:val="00C970B4"/>
    <w:rsid w:val="00CA0605"/>
    <w:rsid w:val="00CA339C"/>
    <w:rsid w:val="00CA4EC8"/>
    <w:rsid w:val="00CB2747"/>
    <w:rsid w:val="00CB3D3E"/>
    <w:rsid w:val="00CC052D"/>
    <w:rsid w:val="00CC6099"/>
    <w:rsid w:val="00CC629F"/>
    <w:rsid w:val="00CC71F6"/>
    <w:rsid w:val="00CD47C4"/>
    <w:rsid w:val="00CD5C27"/>
    <w:rsid w:val="00CD7854"/>
    <w:rsid w:val="00CE0EE1"/>
    <w:rsid w:val="00CE20A9"/>
    <w:rsid w:val="00CE5E01"/>
    <w:rsid w:val="00CE68F4"/>
    <w:rsid w:val="00D017DF"/>
    <w:rsid w:val="00D0321F"/>
    <w:rsid w:val="00D03FA4"/>
    <w:rsid w:val="00D0422D"/>
    <w:rsid w:val="00D0682E"/>
    <w:rsid w:val="00D07971"/>
    <w:rsid w:val="00D11BAF"/>
    <w:rsid w:val="00D12769"/>
    <w:rsid w:val="00D1396F"/>
    <w:rsid w:val="00D2184A"/>
    <w:rsid w:val="00D25114"/>
    <w:rsid w:val="00D34E62"/>
    <w:rsid w:val="00D36F5A"/>
    <w:rsid w:val="00D37B92"/>
    <w:rsid w:val="00D40DBD"/>
    <w:rsid w:val="00D4274A"/>
    <w:rsid w:val="00D46665"/>
    <w:rsid w:val="00D46B61"/>
    <w:rsid w:val="00D55B45"/>
    <w:rsid w:val="00D5789D"/>
    <w:rsid w:val="00D60B94"/>
    <w:rsid w:val="00D6323F"/>
    <w:rsid w:val="00D6527F"/>
    <w:rsid w:val="00D6555B"/>
    <w:rsid w:val="00D713FF"/>
    <w:rsid w:val="00D716A0"/>
    <w:rsid w:val="00D76E99"/>
    <w:rsid w:val="00D77F6A"/>
    <w:rsid w:val="00D80ACC"/>
    <w:rsid w:val="00D82DAA"/>
    <w:rsid w:val="00D8457D"/>
    <w:rsid w:val="00D846B2"/>
    <w:rsid w:val="00D84A36"/>
    <w:rsid w:val="00D918CE"/>
    <w:rsid w:val="00D92FD2"/>
    <w:rsid w:val="00D97B23"/>
    <w:rsid w:val="00DA4C81"/>
    <w:rsid w:val="00DB13EB"/>
    <w:rsid w:val="00DB1EE7"/>
    <w:rsid w:val="00DB5258"/>
    <w:rsid w:val="00DC3510"/>
    <w:rsid w:val="00DC735C"/>
    <w:rsid w:val="00DC7760"/>
    <w:rsid w:val="00DD2E84"/>
    <w:rsid w:val="00DD34E8"/>
    <w:rsid w:val="00DD34E9"/>
    <w:rsid w:val="00DD5E60"/>
    <w:rsid w:val="00DE0669"/>
    <w:rsid w:val="00DE342F"/>
    <w:rsid w:val="00DF166F"/>
    <w:rsid w:val="00DF1B64"/>
    <w:rsid w:val="00DF79D7"/>
    <w:rsid w:val="00E01E7E"/>
    <w:rsid w:val="00E020EB"/>
    <w:rsid w:val="00E100E5"/>
    <w:rsid w:val="00E10DF8"/>
    <w:rsid w:val="00E11073"/>
    <w:rsid w:val="00E15B35"/>
    <w:rsid w:val="00E22C89"/>
    <w:rsid w:val="00E251DA"/>
    <w:rsid w:val="00E25208"/>
    <w:rsid w:val="00E336F4"/>
    <w:rsid w:val="00E33F2F"/>
    <w:rsid w:val="00E33FB6"/>
    <w:rsid w:val="00E4494C"/>
    <w:rsid w:val="00E458A9"/>
    <w:rsid w:val="00E45DF3"/>
    <w:rsid w:val="00E47230"/>
    <w:rsid w:val="00E55EFB"/>
    <w:rsid w:val="00E5757B"/>
    <w:rsid w:val="00E57B0F"/>
    <w:rsid w:val="00E64B62"/>
    <w:rsid w:val="00E64E14"/>
    <w:rsid w:val="00E65B53"/>
    <w:rsid w:val="00E662A1"/>
    <w:rsid w:val="00E775EB"/>
    <w:rsid w:val="00E851CE"/>
    <w:rsid w:val="00E93E22"/>
    <w:rsid w:val="00E97DA0"/>
    <w:rsid w:val="00EA465C"/>
    <w:rsid w:val="00EA4C70"/>
    <w:rsid w:val="00EA6223"/>
    <w:rsid w:val="00EB440D"/>
    <w:rsid w:val="00EB5494"/>
    <w:rsid w:val="00EB5FAB"/>
    <w:rsid w:val="00EB65DD"/>
    <w:rsid w:val="00EC33D2"/>
    <w:rsid w:val="00ED43EC"/>
    <w:rsid w:val="00EE35A1"/>
    <w:rsid w:val="00EE41D2"/>
    <w:rsid w:val="00EF22F3"/>
    <w:rsid w:val="00EF4D7A"/>
    <w:rsid w:val="00F00B3C"/>
    <w:rsid w:val="00F12EF4"/>
    <w:rsid w:val="00F205D8"/>
    <w:rsid w:val="00F26A53"/>
    <w:rsid w:val="00F36586"/>
    <w:rsid w:val="00F434FB"/>
    <w:rsid w:val="00F479DD"/>
    <w:rsid w:val="00F503F4"/>
    <w:rsid w:val="00F540B5"/>
    <w:rsid w:val="00F54FF2"/>
    <w:rsid w:val="00F639AB"/>
    <w:rsid w:val="00F63AD9"/>
    <w:rsid w:val="00F63F13"/>
    <w:rsid w:val="00F64C25"/>
    <w:rsid w:val="00F7109F"/>
    <w:rsid w:val="00F72447"/>
    <w:rsid w:val="00F74E8A"/>
    <w:rsid w:val="00F76134"/>
    <w:rsid w:val="00F763F9"/>
    <w:rsid w:val="00F830CB"/>
    <w:rsid w:val="00F845C6"/>
    <w:rsid w:val="00F865F1"/>
    <w:rsid w:val="00F90DCD"/>
    <w:rsid w:val="00F91C60"/>
    <w:rsid w:val="00F93A83"/>
    <w:rsid w:val="00F97FB0"/>
    <w:rsid w:val="00FA17FA"/>
    <w:rsid w:val="00FA4D21"/>
    <w:rsid w:val="00FA6051"/>
    <w:rsid w:val="00FA6DF8"/>
    <w:rsid w:val="00FB08A6"/>
    <w:rsid w:val="00FB2206"/>
    <w:rsid w:val="00FC00A3"/>
    <w:rsid w:val="00FC0890"/>
    <w:rsid w:val="00FC6982"/>
    <w:rsid w:val="00FD0397"/>
    <w:rsid w:val="00FD4218"/>
    <w:rsid w:val="00FE2E96"/>
    <w:rsid w:val="00FF1AFD"/>
    <w:rsid w:val="00FF79A8"/>
    <w:rsid w:val="00FF7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4FBF1"/>
  <w15:docId w15:val="{178A6A64-45DA-4E78-9B47-D5C104949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27B"/>
    <w:pPr>
      <w:widowControl w:val="0"/>
      <w:suppressAutoHyphens/>
    </w:pPr>
    <w:rPr>
      <w:rFonts w:ascii="Arial" w:eastAsia="SimSun" w:hAnsi="Arial" w:cs="Mangal"/>
      <w:kern w:val="1"/>
      <w:szCs w:val="24"/>
      <w:lang w:eastAsia="hi-IN" w:bidi="hi-IN"/>
    </w:rPr>
  </w:style>
  <w:style w:type="paragraph" w:styleId="1">
    <w:name w:val="heading 1"/>
    <w:basedOn w:val="a"/>
    <w:next w:val="a"/>
    <w:link w:val="10"/>
    <w:uiPriority w:val="9"/>
    <w:qFormat/>
    <w:rsid w:val="00C72700"/>
    <w:pPr>
      <w:keepNext/>
      <w:spacing w:before="240" w:after="60"/>
      <w:outlineLvl w:val="0"/>
    </w:pPr>
    <w:rPr>
      <w:rFonts w:ascii="Cambria" w:eastAsia="Times New Roman" w:hAnsi="Cambria"/>
      <w:b/>
      <w:bCs/>
      <w:kern w:val="32"/>
      <w:sz w:val="32"/>
      <w:szCs w:val="29"/>
    </w:rPr>
  </w:style>
  <w:style w:type="paragraph" w:styleId="3">
    <w:name w:val="heading 3"/>
    <w:basedOn w:val="a"/>
    <w:next w:val="a"/>
    <w:link w:val="30"/>
    <w:uiPriority w:val="9"/>
    <w:unhideWhenUsed/>
    <w:qFormat/>
    <w:rsid w:val="00200704"/>
    <w:pPr>
      <w:keepNext/>
      <w:spacing w:before="240" w:after="60"/>
      <w:outlineLvl w:val="2"/>
    </w:pPr>
    <w:rPr>
      <w:rFonts w:ascii="Cambria" w:eastAsia="Times New Roman" w:hAnsi="Cambria"/>
      <w:b/>
      <w:bCs/>
      <w:sz w:val="26"/>
      <w:szCs w:val="23"/>
    </w:rPr>
  </w:style>
  <w:style w:type="paragraph" w:styleId="4">
    <w:name w:val="heading 4"/>
    <w:basedOn w:val="a"/>
    <w:link w:val="40"/>
    <w:uiPriority w:val="9"/>
    <w:qFormat/>
    <w:rsid w:val="00A20F6A"/>
    <w:pPr>
      <w:widowControl/>
      <w:suppressAutoHyphens w:val="0"/>
      <w:spacing w:before="100" w:beforeAutospacing="1" w:after="100" w:afterAutospacing="1"/>
      <w:outlineLvl w:val="3"/>
    </w:pPr>
    <w:rPr>
      <w:rFonts w:ascii="Times New Roman" w:eastAsia="Times New Roman" w:hAnsi="Times New Roman" w:cs="Times New Roman"/>
      <w:b/>
      <w:bCs/>
      <w:kern w:val="0"/>
      <w:sz w:val="24"/>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2427B"/>
    <w:rPr>
      <w:color w:val="0000FF"/>
      <w:u w:val="single"/>
    </w:rPr>
  </w:style>
  <w:style w:type="paragraph" w:styleId="a4">
    <w:name w:val="List Paragraph"/>
    <w:basedOn w:val="a"/>
    <w:uiPriority w:val="99"/>
    <w:qFormat/>
    <w:rsid w:val="0082427B"/>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customStyle="1" w:styleId="exldetailsdisplayval">
    <w:name w:val="exldetailsdisplayval"/>
    <w:rsid w:val="0082427B"/>
  </w:style>
  <w:style w:type="character" w:customStyle="1" w:styleId="searchword">
    <w:name w:val="searchword"/>
    <w:rsid w:val="0082427B"/>
  </w:style>
  <w:style w:type="character" w:customStyle="1" w:styleId="apple-converted-space">
    <w:name w:val="apple-converted-space"/>
    <w:basedOn w:val="a0"/>
    <w:uiPriority w:val="99"/>
    <w:rsid w:val="0082427B"/>
  </w:style>
  <w:style w:type="paragraph" w:styleId="a5">
    <w:name w:val="footer"/>
    <w:basedOn w:val="a"/>
    <w:link w:val="a6"/>
    <w:uiPriority w:val="99"/>
    <w:unhideWhenUsed/>
    <w:rsid w:val="00B955B8"/>
    <w:pPr>
      <w:tabs>
        <w:tab w:val="center" w:pos="4677"/>
        <w:tab w:val="right" w:pos="9355"/>
      </w:tabs>
    </w:pPr>
    <w:rPr>
      <w:lang w:val="x-none"/>
    </w:rPr>
  </w:style>
  <w:style w:type="character" w:customStyle="1" w:styleId="a6">
    <w:name w:val="Нижний колонтитул Знак"/>
    <w:link w:val="a5"/>
    <w:uiPriority w:val="99"/>
    <w:rsid w:val="00B955B8"/>
    <w:rPr>
      <w:rFonts w:ascii="Arial" w:eastAsia="SimSun" w:hAnsi="Arial" w:cs="Mangal"/>
      <w:kern w:val="1"/>
      <w:sz w:val="20"/>
      <w:szCs w:val="24"/>
      <w:lang w:eastAsia="hi-IN" w:bidi="hi-IN"/>
    </w:rPr>
  </w:style>
  <w:style w:type="paragraph" w:styleId="a7">
    <w:name w:val="header"/>
    <w:basedOn w:val="a"/>
    <w:link w:val="a8"/>
    <w:uiPriority w:val="99"/>
    <w:unhideWhenUsed/>
    <w:rsid w:val="00FD0397"/>
    <w:pPr>
      <w:tabs>
        <w:tab w:val="center" w:pos="4677"/>
        <w:tab w:val="right" w:pos="9355"/>
      </w:tabs>
    </w:pPr>
    <w:rPr>
      <w:lang w:val="x-none"/>
    </w:rPr>
  </w:style>
  <w:style w:type="character" w:customStyle="1" w:styleId="a8">
    <w:name w:val="Верхний колонтитул Знак"/>
    <w:link w:val="a7"/>
    <w:uiPriority w:val="99"/>
    <w:rsid w:val="00FD0397"/>
    <w:rPr>
      <w:rFonts w:ascii="Arial" w:eastAsia="SimSun" w:hAnsi="Arial" w:cs="Mangal"/>
      <w:kern w:val="1"/>
      <w:sz w:val="20"/>
      <w:szCs w:val="24"/>
      <w:lang w:eastAsia="hi-IN" w:bidi="hi-IN"/>
    </w:rPr>
  </w:style>
  <w:style w:type="character" w:styleId="a9">
    <w:name w:val="Emphasis"/>
    <w:uiPriority w:val="20"/>
    <w:qFormat/>
    <w:rsid w:val="00D1396F"/>
    <w:rPr>
      <w:rFonts w:ascii="Times New Roman" w:hAnsi="Times New Roman" w:cs="Times New Roman" w:hint="default"/>
      <w:i w:val="0"/>
      <w:iCs w:val="0"/>
      <w:sz w:val="24"/>
    </w:rPr>
  </w:style>
  <w:style w:type="paragraph" w:styleId="aa">
    <w:name w:val="footnote text"/>
    <w:basedOn w:val="a"/>
    <w:link w:val="ab"/>
    <w:uiPriority w:val="99"/>
    <w:unhideWhenUsed/>
    <w:rsid w:val="00E33FB6"/>
    <w:pPr>
      <w:widowControl/>
      <w:suppressAutoHyphens w:val="0"/>
    </w:pPr>
    <w:rPr>
      <w:rFonts w:ascii="Calibri" w:eastAsia="Calibri" w:hAnsi="Calibri" w:cs="Times New Roman"/>
      <w:kern w:val="0"/>
      <w:szCs w:val="20"/>
      <w:lang w:val="x-none" w:eastAsia="en-US" w:bidi="ar-SA"/>
    </w:rPr>
  </w:style>
  <w:style w:type="character" w:customStyle="1" w:styleId="ab">
    <w:name w:val="Текст сноски Знак"/>
    <w:link w:val="aa"/>
    <w:uiPriority w:val="99"/>
    <w:rsid w:val="00E33FB6"/>
    <w:rPr>
      <w:lang w:eastAsia="en-US"/>
    </w:rPr>
  </w:style>
  <w:style w:type="character" w:styleId="ac">
    <w:name w:val="footnote reference"/>
    <w:uiPriority w:val="99"/>
    <w:semiHidden/>
    <w:unhideWhenUsed/>
    <w:rsid w:val="00E33FB6"/>
    <w:rPr>
      <w:vertAlign w:val="superscript"/>
    </w:rPr>
  </w:style>
  <w:style w:type="character" w:styleId="ad">
    <w:name w:val="FollowedHyperlink"/>
    <w:uiPriority w:val="99"/>
    <w:semiHidden/>
    <w:unhideWhenUsed/>
    <w:rsid w:val="00952F4E"/>
    <w:rPr>
      <w:color w:val="954F72"/>
      <w:u w:val="single"/>
    </w:rPr>
  </w:style>
  <w:style w:type="paragraph" w:customStyle="1" w:styleId="11">
    <w:name w:val="Абзац списка1"/>
    <w:basedOn w:val="a"/>
    <w:uiPriority w:val="99"/>
    <w:rsid w:val="00A235C6"/>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customStyle="1" w:styleId="reference-text">
    <w:name w:val="reference-text"/>
    <w:uiPriority w:val="99"/>
    <w:rsid w:val="00AB5B4F"/>
  </w:style>
  <w:style w:type="paragraph" w:customStyle="1" w:styleId="ae">
    <w:name w:val="Стиль"/>
    <w:rsid w:val="00112D52"/>
    <w:pPr>
      <w:widowControl w:val="0"/>
      <w:autoSpaceDE w:val="0"/>
      <w:autoSpaceDN w:val="0"/>
      <w:adjustRightInd w:val="0"/>
    </w:pPr>
    <w:rPr>
      <w:rFonts w:ascii="Arial" w:eastAsia="Times New Roman" w:hAnsi="Arial" w:cs="Arial"/>
      <w:sz w:val="24"/>
      <w:szCs w:val="24"/>
    </w:rPr>
  </w:style>
  <w:style w:type="character" w:customStyle="1" w:styleId="40">
    <w:name w:val="Заголовок 4 Знак"/>
    <w:link w:val="4"/>
    <w:uiPriority w:val="9"/>
    <w:rsid w:val="00A20F6A"/>
    <w:rPr>
      <w:rFonts w:ascii="Times New Roman" w:eastAsia="Times New Roman" w:hAnsi="Times New Roman"/>
      <w:b/>
      <w:bCs/>
      <w:sz w:val="24"/>
      <w:szCs w:val="24"/>
    </w:rPr>
  </w:style>
  <w:style w:type="character" w:customStyle="1" w:styleId="af">
    <w:name w:val="Обычный (веб) Знак"/>
    <w:link w:val="af0"/>
    <w:locked/>
    <w:rsid w:val="008D68AF"/>
    <w:rPr>
      <w:rFonts w:ascii="Times New Roman" w:hAnsi="Times New Roman"/>
      <w:sz w:val="24"/>
      <w:szCs w:val="24"/>
    </w:rPr>
  </w:style>
  <w:style w:type="paragraph" w:styleId="af0">
    <w:name w:val="Normal (Web)"/>
    <w:basedOn w:val="a"/>
    <w:link w:val="af"/>
    <w:uiPriority w:val="99"/>
    <w:unhideWhenUsed/>
    <w:rsid w:val="008D68AF"/>
    <w:pPr>
      <w:widowControl/>
      <w:suppressAutoHyphens w:val="0"/>
      <w:spacing w:after="80"/>
      <w:ind w:firstLine="360"/>
    </w:pPr>
    <w:rPr>
      <w:rFonts w:ascii="Times New Roman" w:eastAsia="Calibri" w:hAnsi="Times New Roman" w:cs="Times New Roman"/>
      <w:kern w:val="0"/>
      <w:sz w:val="24"/>
      <w:lang w:eastAsia="ru-RU" w:bidi="ar-SA"/>
    </w:rPr>
  </w:style>
  <w:style w:type="paragraph" w:customStyle="1" w:styleId="Default">
    <w:name w:val="Default"/>
    <w:rsid w:val="00323379"/>
    <w:pPr>
      <w:autoSpaceDE w:val="0"/>
      <w:autoSpaceDN w:val="0"/>
      <w:adjustRightInd w:val="0"/>
    </w:pPr>
    <w:rPr>
      <w:rFonts w:ascii="Times New Roman" w:hAnsi="Times New Roman"/>
      <w:color w:val="000000"/>
      <w:sz w:val="24"/>
      <w:szCs w:val="24"/>
      <w:lang w:eastAsia="en-US"/>
    </w:rPr>
  </w:style>
  <w:style w:type="paragraph" w:styleId="12">
    <w:name w:val="toc 1"/>
    <w:basedOn w:val="a"/>
    <w:next w:val="a"/>
    <w:autoRedefine/>
    <w:uiPriority w:val="39"/>
    <w:unhideWhenUsed/>
    <w:qFormat/>
    <w:rsid w:val="00C72700"/>
    <w:pPr>
      <w:widowControl/>
      <w:suppressAutoHyphens w:val="0"/>
      <w:spacing w:after="100" w:line="256" w:lineRule="auto"/>
    </w:pPr>
    <w:rPr>
      <w:rFonts w:ascii="Calibri" w:eastAsia="Calibri" w:hAnsi="Calibri" w:cs="Times New Roman"/>
      <w:kern w:val="0"/>
      <w:sz w:val="22"/>
      <w:szCs w:val="22"/>
      <w:lang w:val="en-GB" w:eastAsia="en-US" w:bidi="ar-SA"/>
    </w:rPr>
  </w:style>
  <w:style w:type="character" w:customStyle="1" w:styleId="10">
    <w:name w:val="Заголовок 1 Знак"/>
    <w:link w:val="1"/>
    <w:uiPriority w:val="9"/>
    <w:rsid w:val="00C72700"/>
    <w:rPr>
      <w:rFonts w:ascii="Cambria" w:eastAsia="Times New Roman" w:hAnsi="Cambria" w:cs="Mangal"/>
      <w:b/>
      <w:bCs/>
      <w:kern w:val="32"/>
      <w:sz w:val="32"/>
      <w:szCs w:val="29"/>
      <w:lang w:eastAsia="hi-IN" w:bidi="hi-IN"/>
    </w:rPr>
  </w:style>
  <w:style w:type="paragraph" w:styleId="af1">
    <w:name w:val="TOC Heading"/>
    <w:basedOn w:val="1"/>
    <w:next w:val="a"/>
    <w:uiPriority w:val="39"/>
    <w:unhideWhenUsed/>
    <w:qFormat/>
    <w:rsid w:val="00C72700"/>
    <w:pPr>
      <w:keepLines/>
      <w:widowControl/>
      <w:suppressAutoHyphens w:val="0"/>
      <w:spacing w:after="0" w:line="256" w:lineRule="auto"/>
      <w:outlineLvl w:val="9"/>
    </w:pPr>
    <w:rPr>
      <w:rFonts w:cs="Times New Roman"/>
      <w:b w:val="0"/>
      <w:bCs w:val="0"/>
      <w:color w:val="2E74B5"/>
      <w:kern w:val="0"/>
      <w:szCs w:val="32"/>
      <w:lang w:val="en-GB" w:eastAsia="en-GB" w:bidi="ar-SA"/>
    </w:rPr>
  </w:style>
  <w:style w:type="paragraph" w:customStyle="1" w:styleId="paragraph">
    <w:name w:val="paragraph"/>
    <w:basedOn w:val="a"/>
    <w:uiPriority w:val="99"/>
    <w:rsid w:val="003E219A"/>
    <w:pPr>
      <w:widowControl/>
      <w:suppressAutoHyphens w:val="0"/>
      <w:spacing w:before="100" w:beforeAutospacing="1" w:after="100" w:afterAutospacing="1"/>
    </w:pPr>
    <w:rPr>
      <w:rFonts w:ascii="Times New Roman" w:eastAsia="Times New Roman" w:hAnsi="Times New Roman" w:cs="Times New Roman"/>
      <w:kern w:val="0"/>
      <w:sz w:val="24"/>
      <w:lang w:val="es-AR" w:eastAsia="es-AR" w:bidi="ar-SA"/>
    </w:rPr>
  </w:style>
  <w:style w:type="table" w:customStyle="1" w:styleId="TabellemithellemGitternetz1">
    <w:name w:val="Tabelle mit hellem Gitternetz1"/>
    <w:basedOn w:val="a1"/>
    <w:uiPriority w:val="40"/>
    <w:rsid w:val="003E219A"/>
    <w:rPr>
      <w:rFonts w:ascii="Times New Roman" w:hAnsi="Times New Roman"/>
      <w:sz w:val="16"/>
      <w:szCs w:val="22"/>
      <w:lang w:val="en-GB" w:eastAsia="en-US"/>
    </w:rPr>
    <w:tblPr>
      <w:tblBorders>
        <w:top w:val="single" w:sz="4" w:space="0" w:color="auto"/>
        <w:bottom w:val="single" w:sz="4" w:space="0" w:color="auto"/>
      </w:tblBorders>
    </w:tblPr>
  </w:style>
  <w:style w:type="character" w:customStyle="1" w:styleId="normaltextrun">
    <w:name w:val="normaltextrun"/>
    <w:rsid w:val="002638D6"/>
  </w:style>
  <w:style w:type="character" w:customStyle="1" w:styleId="eop">
    <w:name w:val="eop"/>
    <w:rsid w:val="002638D6"/>
  </w:style>
  <w:style w:type="character" w:customStyle="1" w:styleId="spellingerror">
    <w:name w:val="spellingerror"/>
    <w:rsid w:val="002638D6"/>
  </w:style>
  <w:style w:type="table" w:styleId="af2">
    <w:name w:val="Table Grid"/>
    <w:basedOn w:val="a1"/>
    <w:uiPriority w:val="39"/>
    <w:rsid w:val="00BD56A8"/>
    <w:rPr>
      <w:sz w:val="24"/>
      <w:szCs w:val="24"/>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ntabelle6farbigAkzent51">
    <w:name w:val="Listentabelle 6 farbig – Akzent 51"/>
    <w:basedOn w:val="a1"/>
    <w:uiPriority w:val="51"/>
    <w:rsid w:val="00A069FC"/>
    <w:rPr>
      <w:color w:val="2F5496"/>
      <w:sz w:val="24"/>
      <w:szCs w:val="24"/>
      <w:lang w:val="de-DE"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30">
    <w:name w:val="Заголовок 3 Знак"/>
    <w:basedOn w:val="a0"/>
    <w:link w:val="3"/>
    <w:uiPriority w:val="9"/>
    <w:rsid w:val="00200704"/>
    <w:rPr>
      <w:rFonts w:ascii="Cambria" w:eastAsia="Times New Roman" w:hAnsi="Cambria" w:cs="Mangal"/>
      <w:b/>
      <w:bCs/>
      <w:kern w:val="1"/>
      <w:sz w:val="26"/>
      <w:szCs w:val="23"/>
      <w:lang w:eastAsia="hi-IN" w:bidi="hi-IN"/>
    </w:rPr>
  </w:style>
  <w:style w:type="paragraph" w:customStyle="1" w:styleId="pt-a-000007">
    <w:name w:val="pt-a-000007"/>
    <w:basedOn w:val="a"/>
    <w:rsid w:val="00200704"/>
    <w:pPr>
      <w:widowControl/>
      <w:suppressAutoHyphens w:val="0"/>
      <w:spacing w:before="100" w:beforeAutospacing="1" w:after="100" w:afterAutospacing="1"/>
    </w:pPr>
    <w:rPr>
      <w:rFonts w:ascii="Times New Roman" w:eastAsia="Times New Roman" w:hAnsi="Times New Roman" w:cs="Times New Roman"/>
      <w:kern w:val="0"/>
      <w:sz w:val="24"/>
      <w:lang w:eastAsia="ru-RU" w:bidi="ar-SA"/>
    </w:rPr>
  </w:style>
  <w:style w:type="character" w:customStyle="1" w:styleId="pt-a0-000008">
    <w:name w:val="pt-a0-000008"/>
    <w:rsid w:val="00200704"/>
  </w:style>
  <w:style w:type="paragraph" w:styleId="2">
    <w:name w:val="toc 2"/>
    <w:basedOn w:val="a"/>
    <w:next w:val="a"/>
    <w:autoRedefine/>
    <w:uiPriority w:val="39"/>
    <w:semiHidden/>
    <w:unhideWhenUsed/>
    <w:qFormat/>
    <w:rsid w:val="00DC735C"/>
    <w:pPr>
      <w:widowControl/>
      <w:suppressAutoHyphens w:val="0"/>
      <w:spacing w:after="100" w:line="276" w:lineRule="auto"/>
      <w:ind w:left="220"/>
    </w:pPr>
    <w:rPr>
      <w:rFonts w:asciiTheme="minorHAnsi" w:eastAsiaTheme="minorEastAsia" w:hAnsiTheme="minorHAnsi" w:cstheme="minorBidi"/>
      <w:kern w:val="0"/>
      <w:sz w:val="22"/>
      <w:szCs w:val="22"/>
      <w:lang w:eastAsia="ru-RU" w:bidi="ar-SA"/>
    </w:rPr>
  </w:style>
  <w:style w:type="paragraph" w:styleId="31">
    <w:name w:val="toc 3"/>
    <w:basedOn w:val="a"/>
    <w:next w:val="a"/>
    <w:autoRedefine/>
    <w:uiPriority w:val="39"/>
    <w:semiHidden/>
    <w:unhideWhenUsed/>
    <w:qFormat/>
    <w:rsid w:val="00DC735C"/>
    <w:pPr>
      <w:widowControl/>
      <w:suppressAutoHyphens w:val="0"/>
      <w:spacing w:after="100" w:line="276" w:lineRule="auto"/>
      <w:ind w:left="440"/>
    </w:pPr>
    <w:rPr>
      <w:rFonts w:asciiTheme="minorHAnsi" w:eastAsiaTheme="minorEastAsia" w:hAnsiTheme="minorHAnsi" w:cstheme="minorBidi"/>
      <w:kern w:val="0"/>
      <w:sz w:val="22"/>
      <w:szCs w:val="22"/>
      <w:lang w:eastAsia="ru-RU" w:bidi="ar-SA"/>
    </w:rPr>
  </w:style>
  <w:style w:type="paragraph" w:styleId="af3">
    <w:name w:val="Balloon Text"/>
    <w:basedOn w:val="a"/>
    <w:link w:val="af4"/>
    <w:uiPriority w:val="99"/>
    <w:semiHidden/>
    <w:unhideWhenUsed/>
    <w:rsid w:val="00DC735C"/>
    <w:rPr>
      <w:rFonts w:ascii="Tahoma" w:hAnsi="Tahoma"/>
      <w:sz w:val="16"/>
      <w:szCs w:val="14"/>
    </w:rPr>
  </w:style>
  <w:style w:type="character" w:customStyle="1" w:styleId="af4">
    <w:name w:val="Текст выноски Знак"/>
    <w:basedOn w:val="a0"/>
    <w:link w:val="af3"/>
    <w:uiPriority w:val="99"/>
    <w:semiHidden/>
    <w:rsid w:val="00DC735C"/>
    <w:rPr>
      <w:rFonts w:ascii="Tahoma" w:eastAsia="SimSun"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3168">
      <w:bodyDiv w:val="1"/>
      <w:marLeft w:val="0"/>
      <w:marRight w:val="0"/>
      <w:marTop w:val="0"/>
      <w:marBottom w:val="0"/>
      <w:divBdr>
        <w:top w:val="none" w:sz="0" w:space="0" w:color="auto"/>
        <w:left w:val="none" w:sz="0" w:space="0" w:color="auto"/>
        <w:bottom w:val="none" w:sz="0" w:space="0" w:color="auto"/>
        <w:right w:val="none" w:sz="0" w:space="0" w:color="auto"/>
      </w:divBdr>
    </w:div>
    <w:div w:id="19480329">
      <w:bodyDiv w:val="1"/>
      <w:marLeft w:val="0"/>
      <w:marRight w:val="0"/>
      <w:marTop w:val="0"/>
      <w:marBottom w:val="0"/>
      <w:divBdr>
        <w:top w:val="none" w:sz="0" w:space="0" w:color="auto"/>
        <w:left w:val="none" w:sz="0" w:space="0" w:color="auto"/>
        <w:bottom w:val="none" w:sz="0" w:space="0" w:color="auto"/>
        <w:right w:val="none" w:sz="0" w:space="0" w:color="auto"/>
      </w:divBdr>
    </w:div>
    <w:div w:id="38022064">
      <w:bodyDiv w:val="1"/>
      <w:marLeft w:val="0"/>
      <w:marRight w:val="0"/>
      <w:marTop w:val="0"/>
      <w:marBottom w:val="0"/>
      <w:divBdr>
        <w:top w:val="none" w:sz="0" w:space="0" w:color="auto"/>
        <w:left w:val="none" w:sz="0" w:space="0" w:color="auto"/>
        <w:bottom w:val="none" w:sz="0" w:space="0" w:color="auto"/>
        <w:right w:val="none" w:sz="0" w:space="0" w:color="auto"/>
      </w:divBdr>
    </w:div>
    <w:div w:id="176846977">
      <w:bodyDiv w:val="1"/>
      <w:marLeft w:val="0"/>
      <w:marRight w:val="0"/>
      <w:marTop w:val="0"/>
      <w:marBottom w:val="0"/>
      <w:divBdr>
        <w:top w:val="none" w:sz="0" w:space="0" w:color="auto"/>
        <w:left w:val="none" w:sz="0" w:space="0" w:color="auto"/>
        <w:bottom w:val="none" w:sz="0" w:space="0" w:color="auto"/>
        <w:right w:val="none" w:sz="0" w:space="0" w:color="auto"/>
      </w:divBdr>
    </w:div>
    <w:div w:id="342627989">
      <w:bodyDiv w:val="1"/>
      <w:marLeft w:val="0"/>
      <w:marRight w:val="0"/>
      <w:marTop w:val="0"/>
      <w:marBottom w:val="0"/>
      <w:divBdr>
        <w:top w:val="none" w:sz="0" w:space="0" w:color="auto"/>
        <w:left w:val="none" w:sz="0" w:space="0" w:color="auto"/>
        <w:bottom w:val="none" w:sz="0" w:space="0" w:color="auto"/>
        <w:right w:val="none" w:sz="0" w:space="0" w:color="auto"/>
      </w:divBdr>
    </w:div>
    <w:div w:id="411051794">
      <w:bodyDiv w:val="1"/>
      <w:marLeft w:val="0"/>
      <w:marRight w:val="0"/>
      <w:marTop w:val="0"/>
      <w:marBottom w:val="0"/>
      <w:divBdr>
        <w:top w:val="none" w:sz="0" w:space="0" w:color="auto"/>
        <w:left w:val="none" w:sz="0" w:space="0" w:color="auto"/>
        <w:bottom w:val="none" w:sz="0" w:space="0" w:color="auto"/>
        <w:right w:val="none" w:sz="0" w:space="0" w:color="auto"/>
      </w:divBdr>
    </w:div>
    <w:div w:id="443427172">
      <w:bodyDiv w:val="1"/>
      <w:marLeft w:val="0"/>
      <w:marRight w:val="0"/>
      <w:marTop w:val="0"/>
      <w:marBottom w:val="0"/>
      <w:divBdr>
        <w:top w:val="none" w:sz="0" w:space="0" w:color="auto"/>
        <w:left w:val="none" w:sz="0" w:space="0" w:color="auto"/>
        <w:bottom w:val="none" w:sz="0" w:space="0" w:color="auto"/>
        <w:right w:val="none" w:sz="0" w:space="0" w:color="auto"/>
      </w:divBdr>
    </w:div>
    <w:div w:id="453669355">
      <w:bodyDiv w:val="1"/>
      <w:marLeft w:val="0"/>
      <w:marRight w:val="0"/>
      <w:marTop w:val="0"/>
      <w:marBottom w:val="0"/>
      <w:divBdr>
        <w:top w:val="none" w:sz="0" w:space="0" w:color="auto"/>
        <w:left w:val="none" w:sz="0" w:space="0" w:color="auto"/>
        <w:bottom w:val="none" w:sz="0" w:space="0" w:color="auto"/>
        <w:right w:val="none" w:sz="0" w:space="0" w:color="auto"/>
      </w:divBdr>
    </w:div>
    <w:div w:id="529728926">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724136440">
      <w:bodyDiv w:val="1"/>
      <w:marLeft w:val="0"/>
      <w:marRight w:val="0"/>
      <w:marTop w:val="0"/>
      <w:marBottom w:val="0"/>
      <w:divBdr>
        <w:top w:val="none" w:sz="0" w:space="0" w:color="auto"/>
        <w:left w:val="none" w:sz="0" w:space="0" w:color="auto"/>
        <w:bottom w:val="none" w:sz="0" w:space="0" w:color="auto"/>
        <w:right w:val="none" w:sz="0" w:space="0" w:color="auto"/>
      </w:divBdr>
    </w:div>
    <w:div w:id="941568889">
      <w:bodyDiv w:val="1"/>
      <w:marLeft w:val="0"/>
      <w:marRight w:val="0"/>
      <w:marTop w:val="0"/>
      <w:marBottom w:val="0"/>
      <w:divBdr>
        <w:top w:val="none" w:sz="0" w:space="0" w:color="auto"/>
        <w:left w:val="none" w:sz="0" w:space="0" w:color="auto"/>
        <w:bottom w:val="none" w:sz="0" w:space="0" w:color="auto"/>
        <w:right w:val="none" w:sz="0" w:space="0" w:color="auto"/>
      </w:divBdr>
    </w:div>
    <w:div w:id="974410024">
      <w:bodyDiv w:val="1"/>
      <w:marLeft w:val="0"/>
      <w:marRight w:val="0"/>
      <w:marTop w:val="0"/>
      <w:marBottom w:val="0"/>
      <w:divBdr>
        <w:top w:val="none" w:sz="0" w:space="0" w:color="auto"/>
        <w:left w:val="none" w:sz="0" w:space="0" w:color="auto"/>
        <w:bottom w:val="none" w:sz="0" w:space="0" w:color="auto"/>
        <w:right w:val="none" w:sz="0" w:space="0" w:color="auto"/>
      </w:divBdr>
    </w:div>
    <w:div w:id="1046298021">
      <w:bodyDiv w:val="1"/>
      <w:marLeft w:val="0"/>
      <w:marRight w:val="0"/>
      <w:marTop w:val="0"/>
      <w:marBottom w:val="0"/>
      <w:divBdr>
        <w:top w:val="none" w:sz="0" w:space="0" w:color="auto"/>
        <w:left w:val="none" w:sz="0" w:space="0" w:color="auto"/>
        <w:bottom w:val="none" w:sz="0" w:space="0" w:color="auto"/>
        <w:right w:val="none" w:sz="0" w:space="0" w:color="auto"/>
      </w:divBdr>
    </w:div>
    <w:div w:id="1058013892">
      <w:bodyDiv w:val="1"/>
      <w:marLeft w:val="0"/>
      <w:marRight w:val="0"/>
      <w:marTop w:val="0"/>
      <w:marBottom w:val="0"/>
      <w:divBdr>
        <w:top w:val="none" w:sz="0" w:space="0" w:color="auto"/>
        <w:left w:val="none" w:sz="0" w:space="0" w:color="auto"/>
        <w:bottom w:val="none" w:sz="0" w:space="0" w:color="auto"/>
        <w:right w:val="none" w:sz="0" w:space="0" w:color="auto"/>
      </w:divBdr>
    </w:div>
    <w:div w:id="1182355994">
      <w:bodyDiv w:val="1"/>
      <w:marLeft w:val="0"/>
      <w:marRight w:val="0"/>
      <w:marTop w:val="0"/>
      <w:marBottom w:val="0"/>
      <w:divBdr>
        <w:top w:val="none" w:sz="0" w:space="0" w:color="auto"/>
        <w:left w:val="none" w:sz="0" w:space="0" w:color="auto"/>
        <w:bottom w:val="none" w:sz="0" w:space="0" w:color="auto"/>
        <w:right w:val="none" w:sz="0" w:space="0" w:color="auto"/>
      </w:divBdr>
    </w:div>
    <w:div w:id="1323318850">
      <w:bodyDiv w:val="1"/>
      <w:marLeft w:val="0"/>
      <w:marRight w:val="0"/>
      <w:marTop w:val="0"/>
      <w:marBottom w:val="0"/>
      <w:divBdr>
        <w:top w:val="none" w:sz="0" w:space="0" w:color="auto"/>
        <w:left w:val="none" w:sz="0" w:space="0" w:color="auto"/>
        <w:bottom w:val="none" w:sz="0" w:space="0" w:color="auto"/>
        <w:right w:val="none" w:sz="0" w:space="0" w:color="auto"/>
      </w:divBdr>
    </w:div>
    <w:div w:id="1364163682">
      <w:bodyDiv w:val="1"/>
      <w:marLeft w:val="0"/>
      <w:marRight w:val="0"/>
      <w:marTop w:val="0"/>
      <w:marBottom w:val="0"/>
      <w:divBdr>
        <w:top w:val="none" w:sz="0" w:space="0" w:color="auto"/>
        <w:left w:val="none" w:sz="0" w:space="0" w:color="auto"/>
        <w:bottom w:val="none" w:sz="0" w:space="0" w:color="auto"/>
        <w:right w:val="none" w:sz="0" w:space="0" w:color="auto"/>
      </w:divBdr>
    </w:div>
    <w:div w:id="1477143836">
      <w:bodyDiv w:val="1"/>
      <w:marLeft w:val="0"/>
      <w:marRight w:val="0"/>
      <w:marTop w:val="0"/>
      <w:marBottom w:val="0"/>
      <w:divBdr>
        <w:top w:val="none" w:sz="0" w:space="0" w:color="auto"/>
        <w:left w:val="none" w:sz="0" w:space="0" w:color="auto"/>
        <w:bottom w:val="none" w:sz="0" w:space="0" w:color="auto"/>
        <w:right w:val="none" w:sz="0" w:space="0" w:color="auto"/>
      </w:divBdr>
    </w:div>
    <w:div w:id="1725250502">
      <w:bodyDiv w:val="1"/>
      <w:marLeft w:val="0"/>
      <w:marRight w:val="0"/>
      <w:marTop w:val="0"/>
      <w:marBottom w:val="0"/>
      <w:divBdr>
        <w:top w:val="none" w:sz="0" w:space="0" w:color="auto"/>
        <w:left w:val="none" w:sz="0" w:space="0" w:color="auto"/>
        <w:bottom w:val="none" w:sz="0" w:space="0" w:color="auto"/>
        <w:right w:val="none" w:sz="0" w:space="0" w:color="auto"/>
      </w:divBdr>
    </w:div>
    <w:div w:id="1749425004">
      <w:bodyDiv w:val="1"/>
      <w:marLeft w:val="0"/>
      <w:marRight w:val="0"/>
      <w:marTop w:val="0"/>
      <w:marBottom w:val="0"/>
      <w:divBdr>
        <w:top w:val="none" w:sz="0" w:space="0" w:color="auto"/>
        <w:left w:val="none" w:sz="0" w:space="0" w:color="auto"/>
        <w:bottom w:val="none" w:sz="0" w:space="0" w:color="auto"/>
        <w:right w:val="none" w:sz="0" w:space="0" w:color="auto"/>
      </w:divBdr>
    </w:div>
    <w:div w:id="1784036446">
      <w:bodyDiv w:val="1"/>
      <w:marLeft w:val="0"/>
      <w:marRight w:val="0"/>
      <w:marTop w:val="0"/>
      <w:marBottom w:val="0"/>
      <w:divBdr>
        <w:top w:val="none" w:sz="0" w:space="0" w:color="auto"/>
        <w:left w:val="none" w:sz="0" w:space="0" w:color="auto"/>
        <w:bottom w:val="none" w:sz="0" w:space="0" w:color="auto"/>
        <w:right w:val="none" w:sz="0" w:space="0" w:color="auto"/>
      </w:divBdr>
    </w:div>
    <w:div w:id="1820459035">
      <w:bodyDiv w:val="1"/>
      <w:marLeft w:val="0"/>
      <w:marRight w:val="0"/>
      <w:marTop w:val="0"/>
      <w:marBottom w:val="0"/>
      <w:divBdr>
        <w:top w:val="none" w:sz="0" w:space="0" w:color="auto"/>
        <w:left w:val="none" w:sz="0" w:space="0" w:color="auto"/>
        <w:bottom w:val="none" w:sz="0" w:space="0" w:color="auto"/>
        <w:right w:val="none" w:sz="0" w:space="0" w:color="auto"/>
      </w:divBdr>
    </w:div>
    <w:div w:id="1982228853">
      <w:bodyDiv w:val="1"/>
      <w:marLeft w:val="0"/>
      <w:marRight w:val="0"/>
      <w:marTop w:val="0"/>
      <w:marBottom w:val="0"/>
      <w:divBdr>
        <w:top w:val="none" w:sz="0" w:space="0" w:color="auto"/>
        <w:left w:val="none" w:sz="0" w:space="0" w:color="auto"/>
        <w:bottom w:val="none" w:sz="0" w:space="0" w:color="auto"/>
        <w:right w:val="none" w:sz="0" w:space="0" w:color="auto"/>
      </w:divBdr>
    </w:div>
    <w:div w:id="213602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kina.spb@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14BD0-CBE7-4149-9922-2F3BB1EEF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2218</Words>
  <Characters>13513</Characters>
  <Application>Microsoft Office Word</Application>
  <DocSecurity>0</DocSecurity>
  <Lines>221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Чикина</dc:creator>
  <cp:lastModifiedBy>Пользователь</cp:lastModifiedBy>
  <cp:revision>2</cp:revision>
  <cp:lastPrinted>2021-03-17T18:09:00Z</cp:lastPrinted>
  <dcterms:created xsi:type="dcterms:W3CDTF">2021-03-20T08:43:00Z</dcterms:created>
  <dcterms:modified xsi:type="dcterms:W3CDTF">2021-03-20T08:43:00Z</dcterms:modified>
</cp:coreProperties>
</file>