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theme/themeOverride2.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4623" w:rsidRPr="001024B8" w:rsidRDefault="00494623" w:rsidP="001024B8">
      <w:pPr>
        <w:pStyle w:val="p2"/>
        <w:spacing w:before="0" w:beforeAutospacing="0" w:after="0" w:afterAutospacing="0"/>
        <w:ind w:firstLine="709"/>
        <w:jc w:val="both"/>
        <w:rPr>
          <w:b/>
        </w:rPr>
      </w:pPr>
      <w:r w:rsidRPr="001024B8">
        <w:rPr>
          <w:b/>
        </w:rPr>
        <w:t>УДК 314.18(476)</w:t>
      </w:r>
    </w:p>
    <w:p w:rsidR="00024E43" w:rsidRPr="001024B8" w:rsidRDefault="00024E43" w:rsidP="001024B8">
      <w:pPr>
        <w:pStyle w:val="p2"/>
        <w:spacing w:before="0" w:beforeAutospacing="0" w:after="0" w:afterAutospacing="0"/>
        <w:ind w:firstLine="709"/>
        <w:jc w:val="right"/>
        <w:rPr>
          <w:b/>
        </w:rPr>
      </w:pPr>
      <w:r w:rsidRPr="001024B8">
        <w:rPr>
          <w:b/>
        </w:rPr>
        <w:t>Артюхин М.И., Пушкевич С.А.</w:t>
      </w:r>
    </w:p>
    <w:p w:rsidR="002854EF" w:rsidRPr="001024B8" w:rsidRDefault="002854EF" w:rsidP="001024B8">
      <w:pPr>
        <w:pStyle w:val="p2"/>
        <w:spacing w:before="0" w:beforeAutospacing="0" w:after="0" w:afterAutospacing="0"/>
        <w:ind w:firstLine="709"/>
        <w:jc w:val="center"/>
        <w:rPr>
          <w:b/>
        </w:rPr>
      </w:pPr>
    </w:p>
    <w:p w:rsidR="006C0C9E" w:rsidRPr="001024B8" w:rsidRDefault="002854EF" w:rsidP="001024B8">
      <w:pPr>
        <w:pStyle w:val="p2"/>
        <w:spacing w:before="0" w:beforeAutospacing="0" w:after="0" w:afterAutospacing="0"/>
        <w:ind w:firstLine="709"/>
        <w:jc w:val="center"/>
        <w:rPr>
          <w:b/>
        </w:rPr>
      </w:pPr>
      <w:r w:rsidRPr="001024B8">
        <w:rPr>
          <w:b/>
        </w:rPr>
        <w:t>ДЕМОГРАФИЧЕСКАЯ БЕЗОПАСНОСТЬ БЕЛАРУСИ И ОСНОВНЫЕ ФАКТОРЫ ЕЕ ОБЕСПЕЧЕНИЯ</w:t>
      </w:r>
    </w:p>
    <w:p w:rsidR="00024E43" w:rsidRPr="001024B8" w:rsidRDefault="00024E43" w:rsidP="001024B8">
      <w:pPr>
        <w:pStyle w:val="p2"/>
        <w:spacing w:before="0" w:beforeAutospacing="0" w:after="0" w:afterAutospacing="0"/>
        <w:ind w:firstLine="709"/>
        <w:jc w:val="center"/>
        <w:rPr>
          <w:b/>
        </w:rPr>
      </w:pPr>
    </w:p>
    <w:p w:rsidR="004D3411" w:rsidRPr="003D4F05" w:rsidRDefault="004D3411" w:rsidP="001024B8">
      <w:pPr>
        <w:pStyle w:val="p2"/>
        <w:spacing w:before="0" w:beforeAutospacing="0" w:after="0" w:afterAutospacing="0"/>
        <w:ind w:firstLine="709"/>
        <w:jc w:val="both"/>
        <w:rPr>
          <w:i/>
        </w:rPr>
      </w:pPr>
      <w:r w:rsidRPr="003D4F05">
        <w:rPr>
          <w:i/>
        </w:rPr>
        <w:t xml:space="preserve">В статье рассмотрены основные </w:t>
      </w:r>
      <w:r w:rsidR="00D94F0B" w:rsidRPr="003D4F05">
        <w:rPr>
          <w:i/>
        </w:rPr>
        <w:t xml:space="preserve">этапы развития </w:t>
      </w:r>
      <w:r w:rsidRPr="003D4F05">
        <w:rPr>
          <w:i/>
        </w:rPr>
        <w:t>демографической ситуации в Беларуси</w:t>
      </w:r>
      <w:r w:rsidR="00D94F0B" w:rsidRPr="003D4F05">
        <w:rPr>
          <w:i/>
        </w:rPr>
        <w:t xml:space="preserve">, а также эволюция </w:t>
      </w:r>
      <w:r w:rsidR="00D037BF" w:rsidRPr="003D4F05">
        <w:rPr>
          <w:i/>
        </w:rPr>
        <w:t>правовой и организационной основы обеспечения демографической безопасности</w:t>
      </w:r>
      <w:r w:rsidR="0045483C">
        <w:rPr>
          <w:i/>
        </w:rPr>
        <w:t xml:space="preserve"> страны</w:t>
      </w:r>
      <w:r w:rsidR="00D037BF" w:rsidRPr="003D4F05">
        <w:rPr>
          <w:i/>
        </w:rPr>
        <w:t>.</w:t>
      </w:r>
      <w:r w:rsidR="003D4F05" w:rsidRPr="003D4F05">
        <w:rPr>
          <w:i/>
        </w:rPr>
        <w:t xml:space="preserve"> Показано, что у</w:t>
      </w:r>
      <w:r w:rsidR="00D037BF" w:rsidRPr="003D4F05">
        <w:rPr>
          <w:i/>
          <w:shd w:val="clear" w:color="auto" w:fill="FFFFFF"/>
        </w:rPr>
        <w:t xml:space="preserve">спешное выполнение мероприятий национальных демографических программ позволило </w:t>
      </w:r>
      <w:r w:rsidR="003D4F05" w:rsidRPr="003D4F05">
        <w:rPr>
          <w:i/>
          <w:shd w:val="clear" w:color="auto" w:fill="FFFFFF"/>
        </w:rPr>
        <w:t xml:space="preserve">в основном решить </w:t>
      </w:r>
      <w:r w:rsidR="003D4F05" w:rsidRPr="003D4F05">
        <w:rPr>
          <w:i/>
        </w:rPr>
        <w:t xml:space="preserve">задачу создания социально-экономических условий, достаточных для предупреждения и нейтрализации демографических угроз и формирования оптимального типа воспроизводства населения. В результате за период 2000-2019 гг. удалось </w:t>
      </w:r>
      <w:r w:rsidR="00D037BF" w:rsidRPr="003D4F05">
        <w:rPr>
          <w:i/>
        </w:rPr>
        <w:t>значительно сократить</w:t>
      </w:r>
      <w:r w:rsidR="00DF2AD1">
        <w:rPr>
          <w:i/>
        </w:rPr>
        <w:t xml:space="preserve"> </w:t>
      </w:r>
      <w:r w:rsidR="00D037BF" w:rsidRPr="003D4F05">
        <w:rPr>
          <w:i/>
        </w:rPr>
        <w:t>объемы естест</w:t>
      </w:r>
      <w:r w:rsidR="003D4F05" w:rsidRPr="003D4F05">
        <w:rPr>
          <w:i/>
        </w:rPr>
        <w:t>ве</w:t>
      </w:r>
      <w:r w:rsidR="00C24318">
        <w:rPr>
          <w:i/>
        </w:rPr>
        <w:t>нной убыли населения Беларуси и</w:t>
      </w:r>
      <w:r w:rsidR="003D4F05" w:rsidRPr="003D4F05">
        <w:rPr>
          <w:i/>
        </w:rPr>
        <w:t xml:space="preserve"> стабилизировать численность населения страны. Отмечено, что важнейшим фактором формирования положительных количественных и качественных характеристик демографических процессов </w:t>
      </w:r>
      <w:r w:rsidR="00C24318">
        <w:rPr>
          <w:i/>
        </w:rPr>
        <w:t>в Беларуси</w:t>
      </w:r>
      <w:r w:rsidR="003D4F05" w:rsidRPr="003D4F05">
        <w:rPr>
          <w:i/>
        </w:rPr>
        <w:t xml:space="preserve"> является </w:t>
      </w:r>
      <w:r w:rsidR="00C24318">
        <w:rPr>
          <w:i/>
        </w:rPr>
        <w:t xml:space="preserve">внешняя и внутренняя </w:t>
      </w:r>
      <w:r w:rsidR="003D4F05" w:rsidRPr="003D4F05">
        <w:rPr>
          <w:i/>
        </w:rPr>
        <w:t>миграция</w:t>
      </w:r>
      <w:r w:rsidR="00C24318">
        <w:rPr>
          <w:i/>
        </w:rPr>
        <w:t xml:space="preserve"> населения</w:t>
      </w:r>
      <w:r w:rsidR="003D4F05" w:rsidRPr="003D4F05">
        <w:rPr>
          <w:i/>
        </w:rPr>
        <w:t xml:space="preserve">. </w:t>
      </w:r>
      <w:r w:rsidR="0045483C">
        <w:rPr>
          <w:i/>
        </w:rPr>
        <w:t>Показано, что</w:t>
      </w:r>
      <w:r w:rsidR="003D4F05" w:rsidRPr="003D4F05">
        <w:rPr>
          <w:i/>
        </w:rPr>
        <w:t xml:space="preserve"> процесс стабилизации численности населения Беларуси во много</w:t>
      </w:r>
      <w:r w:rsidR="005A7AE8">
        <w:rPr>
          <w:i/>
        </w:rPr>
        <w:t xml:space="preserve">м </w:t>
      </w:r>
      <w:r w:rsidR="00C24318">
        <w:rPr>
          <w:i/>
        </w:rPr>
        <w:t>связан с</w:t>
      </w:r>
      <w:r w:rsidR="003D4F05" w:rsidRPr="003D4F05">
        <w:rPr>
          <w:i/>
        </w:rPr>
        <w:t xml:space="preserve"> положительны</w:t>
      </w:r>
      <w:r w:rsidR="00C24318">
        <w:rPr>
          <w:i/>
        </w:rPr>
        <w:t>ми</w:t>
      </w:r>
      <w:r w:rsidR="003D4F05" w:rsidRPr="003D4F05">
        <w:rPr>
          <w:i/>
        </w:rPr>
        <w:t xml:space="preserve"> тенденции внешней миграции населения республики, наблюдавшихся за период 2010-201</w:t>
      </w:r>
      <w:r w:rsidR="0045483C">
        <w:rPr>
          <w:i/>
        </w:rPr>
        <w:t>6</w:t>
      </w:r>
      <w:r w:rsidR="003D4F05" w:rsidRPr="003D4F05">
        <w:rPr>
          <w:i/>
        </w:rPr>
        <w:t xml:space="preserve"> гг. </w:t>
      </w:r>
      <w:r w:rsidRPr="003D4F05">
        <w:rPr>
          <w:i/>
        </w:rPr>
        <w:t>Делается вывод, что в долгосрочной перспективе одним из наиболее проблемных аспектов национальной стратегии устойчивого социально-экономического развития Беларуси</w:t>
      </w:r>
      <w:r w:rsidR="003D4F05" w:rsidRPr="003D4F05">
        <w:rPr>
          <w:i/>
        </w:rPr>
        <w:t xml:space="preserve"> и ее регионов является</w:t>
      </w:r>
      <w:r w:rsidRPr="003D4F05">
        <w:rPr>
          <w:i/>
        </w:rPr>
        <w:t xml:space="preserve"> задача обеспечения </w:t>
      </w:r>
      <w:r w:rsidR="00E6598E">
        <w:rPr>
          <w:i/>
        </w:rPr>
        <w:t xml:space="preserve">их </w:t>
      </w:r>
      <w:r w:rsidRPr="003D4F05">
        <w:rPr>
          <w:i/>
        </w:rPr>
        <w:t>демографической и миграционной безопасности.</w:t>
      </w:r>
    </w:p>
    <w:p w:rsidR="003D4F05" w:rsidRDefault="003D4F05" w:rsidP="001024B8">
      <w:pPr>
        <w:pStyle w:val="p2"/>
        <w:spacing w:before="0" w:beforeAutospacing="0" w:after="0" w:afterAutospacing="0"/>
        <w:ind w:firstLine="709"/>
        <w:jc w:val="both"/>
        <w:rPr>
          <w:i/>
        </w:rPr>
      </w:pPr>
    </w:p>
    <w:p w:rsidR="004D3411" w:rsidRPr="001024B8" w:rsidRDefault="004D3411" w:rsidP="001024B8">
      <w:pPr>
        <w:pStyle w:val="p2"/>
        <w:spacing w:before="0" w:beforeAutospacing="0" w:after="0" w:afterAutospacing="0"/>
        <w:ind w:firstLine="709"/>
        <w:jc w:val="both"/>
        <w:rPr>
          <w:i/>
        </w:rPr>
      </w:pPr>
      <w:r w:rsidRPr="001024B8">
        <w:rPr>
          <w:i/>
        </w:rPr>
        <w:t>Ключевые слова: демографическая ситуация, депопуляция, внешняя и внутренняя миграция населения, демографическая политика, миграционная политика</w:t>
      </w:r>
    </w:p>
    <w:p w:rsidR="00691A78" w:rsidRPr="001024B8" w:rsidRDefault="00691A78" w:rsidP="001024B8">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p>
    <w:p w:rsidR="001F45EC" w:rsidRPr="00871F6D" w:rsidRDefault="00EF7A5A" w:rsidP="001024B8">
      <w:pPr>
        <w:autoSpaceDE w:val="0"/>
        <w:autoSpaceDN w:val="0"/>
        <w:adjustRightInd w:val="0"/>
        <w:spacing w:after="0" w:line="240" w:lineRule="auto"/>
        <w:ind w:firstLine="709"/>
        <w:jc w:val="both"/>
        <w:rPr>
          <w:rFonts w:ascii="Times New Roman" w:hAnsi="Times New Roman" w:cs="Times New Roman"/>
          <w:spacing w:val="-6"/>
          <w:sz w:val="24"/>
          <w:szCs w:val="24"/>
        </w:rPr>
      </w:pPr>
      <w:r w:rsidRPr="00871F6D">
        <w:rPr>
          <w:rFonts w:ascii="Times New Roman" w:hAnsi="Times New Roman" w:cs="Times New Roman"/>
          <w:spacing w:val="-6"/>
          <w:sz w:val="24"/>
          <w:szCs w:val="24"/>
        </w:rPr>
        <w:t>Анализ социальной статистики показывает, что д</w:t>
      </w:r>
      <w:r w:rsidR="002D38B0" w:rsidRPr="00871F6D">
        <w:rPr>
          <w:rFonts w:ascii="Times New Roman" w:hAnsi="Times New Roman" w:cs="Times New Roman"/>
          <w:spacing w:val="-6"/>
          <w:sz w:val="24"/>
          <w:szCs w:val="24"/>
        </w:rPr>
        <w:t xml:space="preserve">емографическая ситуация в Беларуси, несмотря на положительные моменты последнего десятилетия, остается сложной и неоднозначной. </w:t>
      </w:r>
      <w:r w:rsidR="00780804" w:rsidRPr="00871F6D">
        <w:rPr>
          <w:rFonts w:ascii="Times New Roman" w:hAnsi="Times New Roman" w:cs="Times New Roman"/>
          <w:spacing w:val="-6"/>
          <w:sz w:val="24"/>
          <w:szCs w:val="24"/>
        </w:rPr>
        <w:t xml:space="preserve">Следует отметить, что </w:t>
      </w:r>
      <w:r w:rsidR="006C0C9E" w:rsidRPr="00871F6D">
        <w:rPr>
          <w:rFonts w:ascii="Times New Roman" w:hAnsi="Times New Roman" w:cs="Times New Roman"/>
          <w:spacing w:val="-6"/>
          <w:sz w:val="24"/>
          <w:szCs w:val="24"/>
        </w:rPr>
        <w:t>Беларусь не воспроизводит своего населения с 1978 г., когда коэффициент воспроизводства населения стал ниже минимума, необходимого для простого воспроизводства. Однако, благодаря благоприятной половозрастной структуре населения, вплоть до начала 1990-х гг. численность населения Республики Беларусь постоянно росла. И только в 1994 г. Беларусь претерпела так называемые «демографические ножницы» или «белорусский крест»</w:t>
      </w:r>
      <w:r w:rsidR="00780804" w:rsidRPr="00871F6D">
        <w:rPr>
          <w:rFonts w:ascii="Times New Roman" w:hAnsi="Times New Roman" w:cs="Times New Roman"/>
          <w:spacing w:val="-6"/>
          <w:sz w:val="24"/>
          <w:szCs w:val="24"/>
        </w:rPr>
        <w:t xml:space="preserve">, когда </w:t>
      </w:r>
      <w:r w:rsidR="006C0C9E" w:rsidRPr="00871F6D">
        <w:rPr>
          <w:rFonts w:ascii="Times New Roman" w:hAnsi="Times New Roman" w:cs="Times New Roman"/>
          <w:spacing w:val="-6"/>
          <w:sz w:val="24"/>
          <w:szCs w:val="24"/>
        </w:rPr>
        <w:t>численность умерших превысила численность родившихся на 11,2 тыс. чел. В 2002 г. это</w:t>
      </w:r>
      <w:r w:rsidR="00780804" w:rsidRPr="00871F6D">
        <w:rPr>
          <w:rFonts w:ascii="Times New Roman" w:hAnsi="Times New Roman" w:cs="Times New Roman"/>
          <w:spacing w:val="-6"/>
          <w:sz w:val="24"/>
          <w:szCs w:val="24"/>
        </w:rPr>
        <w:t>т показатель</w:t>
      </w:r>
      <w:r w:rsidR="006C0C9E" w:rsidRPr="00871F6D">
        <w:rPr>
          <w:rFonts w:ascii="Times New Roman" w:hAnsi="Times New Roman" w:cs="Times New Roman"/>
          <w:spacing w:val="-6"/>
          <w:sz w:val="24"/>
          <w:szCs w:val="24"/>
        </w:rPr>
        <w:t xml:space="preserve"> составил 57,9 тыс. чел.</w:t>
      </w:r>
      <w:r w:rsidR="000D3E47" w:rsidRPr="00871F6D">
        <w:rPr>
          <w:rFonts w:ascii="Times New Roman" w:hAnsi="Times New Roman" w:cs="Times New Roman"/>
          <w:spacing w:val="-6"/>
          <w:sz w:val="24"/>
          <w:szCs w:val="24"/>
        </w:rPr>
        <w:t xml:space="preserve"> Такие объемы депопуляции в долгосрочной перспективе могли стать </w:t>
      </w:r>
      <w:r w:rsidR="006C0C9E" w:rsidRPr="00871F6D">
        <w:rPr>
          <w:rFonts w:ascii="Times New Roman" w:hAnsi="Times New Roman" w:cs="Times New Roman"/>
          <w:spacing w:val="-6"/>
          <w:sz w:val="24"/>
          <w:szCs w:val="24"/>
        </w:rPr>
        <w:t>реальной угрозой стабильному устойчивому развитию Беларуси</w:t>
      </w:r>
      <w:r w:rsidR="000D3E47" w:rsidRPr="00871F6D">
        <w:rPr>
          <w:rFonts w:ascii="Times New Roman" w:hAnsi="Times New Roman" w:cs="Times New Roman"/>
          <w:spacing w:val="-6"/>
          <w:sz w:val="24"/>
          <w:szCs w:val="24"/>
        </w:rPr>
        <w:t xml:space="preserve">. </w:t>
      </w:r>
      <w:r w:rsidR="006C0C9E" w:rsidRPr="00871F6D">
        <w:rPr>
          <w:rFonts w:ascii="Times New Roman" w:hAnsi="Times New Roman" w:cs="Times New Roman"/>
          <w:spacing w:val="-6"/>
          <w:sz w:val="24"/>
          <w:szCs w:val="24"/>
        </w:rPr>
        <w:t xml:space="preserve">В целях противостояния </w:t>
      </w:r>
      <w:r w:rsidR="000D3E47" w:rsidRPr="00871F6D">
        <w:rPr>
          <w:rFonts w:ascii="Times New Roman" w:hAnsi="Times New Roman" w:cs="Times New Roman"/>
          <w:spacing w:val="-6"/>
          <w:sz w:val="24"/>
          <w:szCs w:val="24"/>
        </w:rPr>
        <w:t xml:space="preserve">процессу </w:t>
      </w:r>
      <w:r w:rsidR="006C0C9E" w:rsidRPr="00871F6D">
        <w:rPr>
          <w:rFonts w:ascii="Times New Roman" w:hAnsi="Times New Roman" w:cs="Times New Roman"/>
          <w:spacing w:val="-6"/>
          <w:sz w:val="24"/>
          <w:szCs w:val="24"/>
        </w:rPr>
        <w:t xml:space="preserve">депопуляции в Беларуси </w:t>
      </w:r>
      <w:r w:rsidRPr="00871F6D">
        <w:rPr>
          <w:rFonts w:ascii="Times New Roman" w:hAnsi="Times New Roman" w:cs="Times New Roman"/>
          <w:spacing w:val="-6"/>
          <w:sz w:val="24"/>
          <w:szCs w:val="24"/>
        </w:rPr>
        <w:t>в 2002 г. был принят</w:t>
      </w:r>
      <w:r w:rsidR="00800862" w:rsidRPr="00871F6D">
        <w:rPr>
          <w:rFonts w:ascii="Times New Roman" w:hAnsi="Times New Roman" w:cs="Times New Roman"/>
          <w:spacing w:val="-6"/>
          <w:sz w:val="24"/>
          <w:szCs w:val="24"/>
        </w:rPr>
        <w:t xml:space="preserve"> Закон</w:t>
      </w:r>
      <w:r w:rsidR="00C24318">
        <w:rPr>
          <w:rFonts w:ascii="Times New Roman" w:hAnsi="Times New Roman" w:cs="Times New Roman"/>
          <w:spacing w:val="-6"/>
          <w:sz w:val="24"/>
          <w:szCs w:val="24"/>
        </w:rPr>
        <w:t xml:space="preserve"> </w:t>
      </w:r>
      <w:r w:rsidR="00D43616" w:rsidRPr="00871F6D">
        <w:rPr>
          <w:rFonts w:ascii="Times New Roman" w:hAnsi="Times New Roman" w:cs="Times New Roman"/>
          <w:spacing w:val="-6"/>
          <w:sz w:val="24"/>
          <w:szCs w:val="24"/>
        </w:rPr>
        <w:t>Республики Беларусь</w:t>
      </w:r>
      <w:r w:rsidR="006C0C9E" w:rsidRPr="00871F6D">
        <w:rPr>
          <w:rFonts w:ascii="Times New Roman" w:hAnsi="Times New Roman" w:cs="Times New Roman"/>
          <w:spacing w:val="-6"/>
          <w:sz w:val="24"/>
          <w:szCs w:val="24"/>
        </w:rPr>
        <w:t xml:space="preserve"> «О демографической безопасности Республики Беларусь», </w:t>
      </w:r>
      <w:r w:rsidR="003711D3" w:rsidRPr="00871F6D">
        <w:rPr>
          <w:rFonts w:ascii="Times New Roman" w:hAnsi="Times New Roman" w:cs="Times New Roman"/>
          <w:spacing w:val="-6"/>
          <w:sz w:val="24"/>
          <w:szCs w:val="24"/>
        </w:rPr>
        <w:t>который определил</w:t>
      </w:r>
      <w:r w:rsidR="006C0C9E" w:rsidRPr="00871F6D">
        <w:rPr>
          <w:rFonts w:ascii="Times New Roman" w:hAnsi="Times New Roman" w:cs="Times New Roman"/>
          <w:spacing w:val="-6"/>
          <w:sz w:val="24"/>
          <w:szCs w:val="24"/>
        </w:rPr>
        <w:t xml:space="preserve"> правовые и организационные основы обеспечения демографической безопасности и постави</w:t>
      </w:r>
      <w:r w:rsidR="003711D3" w:rsidRPr="00871F6D">
        <w:rPr>
          <w:rFonts w:ascii="Times New Roman" w:hAnsi="Times New Roman" w:cs="Times New Roman"/>
          <w:spacing w:val="-6"/>
          <w:sz w:val="24"/>
          <w:szCs w:val="24"/>
        </w:rPr>
        <w:t>л</w:t>
      </w:r>
      <w:r w:rsidR="006C0C9E" w:rsidRPr="00871F6D">
        <w:rPr>
          <w:rFonts w:ascii="Times New Roman" w:hAnsi="Times New Roman" w:cs="Times New Roman"/>
          <w:spacing w:val="-6"/>
          <w:sz w:val="24"/>
          <w:szCs w:val="24"/>
        </w:rPr>
        <w:t xml:space="preserve"> задачу создания социально-экономических условий, достаточных для предупреждения и нейтрализации демографических угроз и формирования оптимального </w:t>
      </w:r>
      <w:r w:rsidR="00800862" w:rsidRPr="00871F6D">
        <w:rPr>
          <w:rFonts w:ascii="Times New Roman" w:hAnsi="Times New Roman" w:cs="Times New Roman"/>
          <w:spacing w:val="-6"/>
          <w:sz w:val="24"/>
          <w:szCs w:val="24"/>
        </w:rPr>
        <w:t>типа воспроизводства населения.</w:t>
      </w:r>
    </w:p>
    <w:p w:rsidR="006C0C9E" w:rsidRPr="00871F6D" w:rsidRDefault="000D3E47" w:rsidP="001024B8">
      <w:pPr>
        <w:autoSpaceDE w:val="0"/>
        <w:autoSpaceDN w:val="0"/>
        <w:adjustRightInd w:val="0"/>
        <w:spacing w:after="0" w:line="240" w:lineRule="auto"/>
        <w:ind w:firstLine="709"/>
        <w:jc w:val="both"/>
        <w:rPr>
          <w:rFonts w:ascii="Times New Roman" w:hAnsi="Times New Roman" w:cs="Times New Roman"/>
          <w:spacing w:val="-6"/>
          <w:sz w:val="24"/>
          <w:szCs w:val="24"/>
        </w:rPr>
      </w:pPr>
      <w:r w:rsidRPr="00871F6D">
        <w:rPr>
          <w:rFonts w:ascii="Times New Roman" w:hAnsi="Times New Roman" w:cs="Times New Roman"/>
          <w:spacing w:val="-6"/>
          <w:sz w:val="24"/>
          <w:szCs w:val="24"/>
        </w:rPr>
        <w:t>Большую роль в преодолении демографического кризиса сыгра</w:t>
      </w:r>
      <w:r w:rsidR="00CD0E11" w:rsidRPr="00871F6D">
        <w:rPr>
          <w:rFonts w:ascii="Times New Roman" w:hAnsi="Times New Roman" w:cs="Times New Roman"/>
          <w:spacing w:val="-6"/>
          <w:sz w:val="24"/>
          <w:szCs w:val="24"/>
        </w:rPr>
        <w:t>ли</w:t>
      </w:r>
      <w:r w:rsidR="00C24318">
        <w:rPr>
          <w:rFonts w:ascii="Times New Roman" w:hAnsi="Times New Roman" w:cs="Times New Roman"/>
          <w:spacing w:val="-6"/>
          <w:sz w:val="24"/>
          <w:szCs w:val="24"/>
        </w:rPr>
        <w:t xml:space="preserve"> </w:t>
      </w:r>
      <w:r w:rsidR="009B226B" w:rsidRPr="00871F6D">
        <w:rPr>
          <w:rFonts w:ascii="Times New Roman" w:hAnsi="Times New Roman" w:cs="Times New Roman"/>
          <w:spacing w:val="-6"/>
          <w:sz w:val="24"/>
          <w:szCs w:val="24"/>
        </w:rPr>
        <w:t xml:space="preserve">целевые государственные программы по обеспечению демографической безопасности. </w:t>
      </w:r>
      <w:r w:rsidR="00780804" w:rsidRPr="00871F6D">
        <w:rPr>
          <w:rFonts w:ascii="Times New Roman" w:hAnsi="Times New Roman" w:cs="Times New Roman"/>
          <w:spacing w:val="-6"/>
          <w:sz w:val="24"/>
          <w:szCs w:val="24"/>
        </w:rPr>
        <w:t xml:space="preserve">В </w:t>
      </w:r>
      <w:r w:rsidR="006C0C9E" w:rsidRPr="00871F6D">
        <w:rPr>
          <w:rFonts w:ascii="Times New Roman" w:hAnsi="Times New Roman" w:cs="Times New Roman"/>
          <w:spacing w:val="-6"/>
          <w:sz w:val="24"/>
          <w:szCs w:val="24"/>
        </w:rPr>
        <w:t xml:space="preserve">2007 г. в Беларуси </w:t>
      </w:r>
      <w:r w:rsidR="00780804" w:rsidRPr="00871F6D">
        <w:rPr>
          <w:rFonts w:ascii="Times New Roman" w:hAnsi="Times New Roman" w:cs="Times New Roman"/>
          <w:spacing w:val="-6"/>
          <w:sz w:val="24"/>
          <w:szCs w:val="24"/>
        </w:rPr>
        <w:t>была принята</w:t>
      </w:r>
      <w:r w:rsidR="006C0C9E" w:rsidRPr="00871F6D">
        <w:rPr>
          <w:rFonts w:ascii="Times New Roman" w:hAnsi="Times New Roman" w:cs="Times New Roman"/>
          <w:spacing w:val="-6"/>
          <w:sz w:val="24"/>
          <w:szCs w:val="24"/>
        </w:rPr>
        <w:t xml:space="preserve"> Национальная программа демографической безопасности Республики Беларусь</w:t>
      </w:r>
      <w:r w:rsidR="00780804" w:rsidRPr="00871F6D">
        <w:rPr>
          <w:rFonts w:ascii="Times New Roman" w:hAnsi="Times New Roman" w:cs="Times New Roman"/>
          <w:spacing w:val="-6"/>
          <w:sz w:val="24"/>
          <w:szCs w:val="24"/>
        </w:rPr>
        <w:t xml:space="preserve"> на 2007-2010 гг.</w:t>
      </w:r>
      <w:r w:rsidR="006C0C9E" w:rsidRPr="00871F6D">
        <w:rPr>
          <w:rFonts w:ascii="Times New Roman" w:hAnsi="Times New Roman" w:cs="Times New Roman"/>
          <w:spacing w:val="-6"/>
          <w:sz w:val="24"/>
          <w:szCs w:val="24"/>
        </w:rPr>
        <w:t xml:space="preserve">, которая стала составной частью программ социально-экономического развития Республики Беларусь на среднесрочную перспективу. </w:t>
      </w:r>
      <w:r w:rsidR="00780804" w:rsidRPr="00871F6D">
        <w:rPr>
          <w:rFonts w:ascii="Times New Roman" w:hAnsi="Times New Roman" w:cs="Times New Roman"/>
          <w:spacing w:val="-6"/>
          <w:sz w:val="24"/>
          <w:szCs w:val="24"/>
        </w:rPr>
        <w:t>Эта программа была пролонгирована</w:t>
      </w:r>
      <w:r w:rsidR="00736796" w:rsidRPr="00871F6D">
        <w:rPr>
          <w:rFonts w:ascii="Times New Roman" w:hAnsi="Times New Roman" w:cs="Times New Roman"/>
          <w:spacing w:val="-6"/>
          <w:sz w:val="24"/>
          <w:szCs w:val="24"/>
        </w:rPr>
        <w:t xml:space="preserve"> и на 2011-2015 гг.</w:t>
      </w:r>
      <w:r w:rsidR="00780804" w:rsidRPr="00871F6D">
        <w:rPr>
          <w:rFonts w:ascii="Times New Roman" w:hAnsi="Times New Roman" w:cs="Times New Roman"/>
          <w:spacing w:val="-6"/>
          <w:sz w:val="24"/>
          <w:szCs w:val="24"/>
        </w:rPr>
        <w:t xml:space="preserve"> В 2016 г. была принята </w:t>
      </w:r>
      <w:r w:rsidR="002B255D" w:rsidRPr="00871F6D">
        <w:rPr>
          <w:rFonts w:ascii="Times New Roman" w:hAnsi="Times New Roman" w:cs="Times New Roman"/>
          <w:spacing w:val="-6"/>
          <w:sz w:val="24"/>
          <w:szCs w:val="24"/>
        </w:rPr>
        <w:t xml:space="preserve">новая </w:t>
      </w:r>
      <w:r w:rsidR="006C0C9E" w:rsidRPr="00871F6D">
        <w:rPr>
          <w:rFonts w:ascii="Times New Roman" w:hAnsi="Times New Roman" w:cs="Times New Roman"/>
          <w:spacing w:val="-6"/>
          <w:sz w:val="24"/>
          <w:szCs w:val="24"/>
        </w:rPr>
        <w:t>государственная программа «Здоровье народа и демографическая безопасность» на 2016-2020 годы.</w:t>
      </w:r>
      <w:r w:rsidR="00BC42E5" w:rsidRPr="00871F6D">
        <w:rPr>
          <w:rFonts w:ascii="Times New Roman" w:hAnsi="Times New Roman" w:cs="Times New Roman"/>
          <w:spacing w:val="-6"/>
          <w:sz w:val="24"/>
          <w:szCs w:val="24"/>
        </w:rPr>
        <w:t xml:space="preserve"> В настоящее время принята государственная программа «Здоровье народа и демографическая безопасность» на 2021-2025 гг.</w:t>
      </w:r>
    </w:p>
    <w:p w:rsidR="00D44379" w:rsidRPr="00DF2AD1" w:rsidRDefault="005E1E5C" w:rsidP="001024B8">
      <w:pPr>
        <w:spacing w:after="0" w:line="240" w:lineRule="auto"/>
        <w:ind w:firstLine="709"/>
        <w:jc w:val="both"/>
        <w:rPr>
          <w:rFonts w:ascii="Times New Roman" w:hAnsi="Times New Roman" w:cs="Times New Roman"/>
          <w:spacing w:val="-6"/>
          <w:sz w:val="24"/>
          <w:szCs w:val="24"/>
        </w:rPr>
      </w:pPr>
      <w:r w:rsidRPr="00871F6D">
        <w:rPr>
          <w:rFonts w:ascii="Times New Roman" w:hAnsi="Times New Roman" w:cs="Times New Roman"/>
          <w:spacing w:val="-6"/>
          <w:sz w:val="24"/>
          <w:szCs w:val="24"/>
        </w:rPr>
        <w:t xml:space="preserve">Особое внимание </w:t>
      </w:r>
      <w:r w:rsidR="00736796" w:rsidRPr="00871F6D">
        <w:rPr>
          <w:rFonts w:ascii="Times New Roman" w:hAnsi="Times New Roman" w:cs="Times New Roman"/>
          <w:spacing w:val="-6"/>
          <w:sz w:val="24"/>
          <w:szCs w:val="24"/>
        </w:rPr>
        <w:t xml:space="preserve">в государственных программах по обеспечению демографической безопасности республики </w:t>
      </w:r>
      <w:r w:rsidRPr="00871F6D">
        <w:rPr>
          <w:rFonts w:ascii="Times New Roman" w:hAnsi="Times New Roman" w:cs="Times New Roman"/>
          <w:spacing w:val="-6"/>
          <w:sz w:val="24"/>
          <w:szCs w:val="24"/>
        </w:rPr>
        <w:t xml:space="preserve">было уделено созданию благоприятных социально-экономических </w:t>
      </w:r>
      <w:r w:rsidRPr="00871F6D">
        <w:rPr>
          <w:rFonts w:ascii="Times New Roman" w:hAnsi="Times New Roman" w:cs="Times New Roman"/>
          <w:spacing w:val="-6"/>
          <w:sz w:val="24"/>
          <w:szCs w:val="24"/>
        </w:rPr>
        <w:lastRenderedPageBreak/>
        <w:t xml:space="preserve">условий, достаточных для предупреждения и нейтрализации демографических угроз и формирования оптимального типа воспроизводства населения. </w:t>
      </w:r>
      <w:r w:rsidR="002B255D" w:rsidRPr="00871F6D">
        <w:rPr>
          <w:rFonts w:ascii="Times New Roman" w:hAnsi="Times New Roman" w:cs="Times New Roman"/>
          <w:color w:val="171717"/>
          <w:spacing w:val="-6"/>
          <w:sz w:val="24"/>
          <w:szCs w:val="24"/>
        </w:rPr>
        <w:t xml:space="preserve">Так, </w:t>
      </w:r>
      <w:r w:rsidR="00736796" w:rsidRPr="00871F6D">
        <w:rPr>
          <w:rFonts w:ascii="Times New Roman" w:hAnsi="Times New Roman" w:cs="Times New Roman"/>
          <w:color w:val="171717"/>
          <w:spacing w:val="-6"/>
          <w:sz w:val="24"/>
          <w:szCs w:val="24"/>
        </w:rPr>
        <w:t xml:space="preserve">за период 2000-2019 гг. значительно </w:t>
      </w:r>
      <w:r w:rsidR="002B255D" w:rsidRPr="00871F6D">
        <w:rPr>
          <w:rFonts w:ascii="Times New Roman" w:hAnsi="Times New Roman" w:cs="Times New Roman"/>
          <w:color w:val="171717"/>
          <w:spacing w:val="-6"/>
          <w:sz w:val="24"/>
          <w:szCs w:val="24"/>
        </w:rPr>
        <w:t xml:space="preserve">выросли детские пособия, введена с 2015 года программа семейного капитала, приняты меры по развитию жилищно-кредитной политики, расширен спектр социальных услуг для </w:t>
      </w:r>
      <w:r w:rsidRPr="00871F6D">
        <w:rPr>
          <w:rFonts w:ascii="Times New Roman" w:hAnsi="Times New Roman" w:cs="Times New Roman"/>
          <w:color w:val="171717"/>
          <w:spacing w:val="-6"/>
          <w:sz w:val="24"/>
          <w:szCs w:val="24"/>
        </w:rPr>
        <w:t>многодетных семей</w:t>
      </w:r>
      <w:r w:rsidR="002B255D" w:rsidRPr="00871F6D">
        <w:rPr>
          <w:rFonts w:ascii="Times New Roman" w:hAnsi="Times New Roman" w:cs="Times New Roman"/>
          <w:color w:val="171717"/>
          <w:spacing w:val="-6"/>
          <w:sz w:val="24"/>
          <w:szCs w:val="24"/>
        </w:rPr>
        <w:t xml:space="preserve">. </w:t>
      </w:r>
      <w:r w:rsidR="006C0C9E" w:rsidRPr="00871F6D">
        <w:rPr>
          <w:rFonts w:ascii="Times New Roman" w:hAnsi="Times New Roman" w:cs="Times New Roman"/>
          <w:spacing w:val="-6"/>
          <w:sz w:val="24"/>
          <w:szCs w:val="24"/>
          <w:shd w:val="clear" w:color="auto" w:fill="FFFFFF"/>
        </w:rPr>
        <w:t xml:space="preserve">Успешное выполнение мероприятий </w:t>
      </w:r>
      <w:r w:rsidR="00247C95" w:rsidRPr="00871F6D">
        <w:rPr>
          <w:rFonts w:ascii="Times New Roman" w:hAnsi="Times New Roman" w:cs="Times New Roman"/>
          <w:spacing w:val="-6"/>
          <w:sz w:val="24"/>
          <w:szCs w:val="24"/>
          <w:shd w:val="clear" w:color="auto" w:fill="FFFFFF"/>
        </w:rPr>
        <w:t xml:space="preserve">национальных </w:t>
      </w:r>
      <w:r w:rsidR="006C0C9E" w:rsidRPr="00871F6D">
        <w:rPr>
          <w:rFonts w:ascii="Times New Roman" w:hAnsi="Times New Roman" w:cs="Times New Roman"/>
          <w:spacing w:val="-6"/>
          <w:sz w:val="24"/>
          <w:szCs w:val="24"/>
          <w:shd w:val="clear" w:color="auto" w:fill="FFFFFF"/>
        </w:rPr>
        <w:t xml:space="preserve">демографических программ позволило </w:t>
      </w:r>
      <w:r w:rsidR="006C0C9E" w:rsidRPr="00871F6D">
        <w:rPr>
          <w:rFonts w:ascii="Times New Roman" w:hAnsi="Times New Roman" w:cs="Times New Roman"/>
          <w:spacing w:val="-6"/>
          <w:sz w:val="24"/>
          <w:szCs w:val="24"/>
        </w:rPr>
        <w:t>значительно сократить</w:t>
      </w:r>
      <w:r w:rsidR="00C24318">
        <w:rPr>
          <w:rFonts w:ascii="Times New Roman" w:hAnsi="Times New Roman" w:cs="Times New Roman"/>
          <w:spacing w:val="-6"/>
          <w:sz w:val="24"/>
          <w:szCs w:val="24"/>
        </w:rPr>
        <w:t xml:space="preserve"> </w:t>
      </w:r>
      <w:r w:rsidR="006C0C9E" w:rsidRPr="00871F6D">
        <w:rPr>
          <w:rFonts w:ascii="Times New Roman" w:hAnsi="Times New Roman" w:cs="Times New Roman"/>
          <w:spacing w:val="-6"/>
          <w:sz w:val="24"/>
          <w:szCs w:val="24"/>
        </w:rPr>
        <w:t xml:space="preserve">объемы естественной убыли населения Беларуси. Так, если </w:t>
      </w:r>
      <w:r w:rsidR="00CC51D0" w:rsidRPr="00871F6D">
        <w:rPr>
          <w:rFonts w:ascii="Times New Roman" w:hAnsi="Times New Roman" w:cs="Times New Roman"/>
          <w:spacing w:val="-6"/>
          <w:sz w:val="24"/>
          <w:szCs w:val="24"/>
        </w:rPr>
        <w:t>в 2002</w:t>
      </w:r>
      <w:r w:rsidR="006C0C9E" w:rsidRPr="00871F6D">
        <w:rPr>
          <w:rFonts w:ascii="Times New Roman" w:hAnsi="Times New Roman" w:cs="Times New Roman"/>
          <w:spacing w:val="-6"/>
          <w:sz w:val="24"/>
          <w:szCs w:val="24"/>
        </w:rPr>
        <w:t xml:space="preserve"> г. естественная убыль населения (разница между количеством умерших и родившихся) составила 57,9 тыс. чел., то </w:t>
      </w:r>
      <w:r w:rsidR="00780804" w:rsidRPr="00871F6D">
        <w:rPr>
          <w:rFonts w:ascii="Times New Roman" w:hAnsi="Times New Roman" w:cs="Times New Roman"/>
          <w:spacing w:val="-6"/>
          <w:sz w:val="24"/>
          <w:szCs w:val="24"/>
        </w:rPr>
        <w:t xml:space="preserve">в последующие годы </w:t>
      </w:r>
      <w:r w:rsidR="002B255D" w:rsidRPr="00871F6D">
        <w:rPr>
          <w:rFonts w:ascii="Times New Roman" w:hAnsi="Times New Roman" w:cs="Times New Roman"/>
          <w:spacing w:val="-6"/>
          <w:sz w:val="24"/>
          <w:szCs w:val="24"/>
        </w:rPr>
        <w:t xml:space="preserve">она </w:t>
      </w:r>
      <w:r w:rsidR="00DC065F" w:rsidRPr="00871F6D">
        <w:rPr>
          <w:rFonts w:ascii="Times New Roman" w:hAnsi="Times New Roman" w:cs="Times New Roman"/>
          <w:spacing w:val="-6"/>
          <w:sz w:val="24"/>
          <w:szCs w:val="24"/>
        </w:rPr>
        <w:t xml:space="preserve">обрела положительные тенденции: </w:t>
      </w:r>
      <w:r w:rsidR="006C0C9E" w:rsidRPr="00871F6D">
        <w:rPr>
          <w:rFonts w:ascii="Times New Roman" w:hAnsi="Times New Roman" w:cs="Times New Roman"/>
          <w:spacing w:val="-6"/>
          <w:sz w:val="24"/>
          <w:szCs w:val="24"/>
        </w:rPr>
        <w:t xml:space="preserve">в </w:t>
      </w:r>
      <w:r w:rsidR="002B255D" w:rsidRPr="00871F6D">
        <w:rPr>
          <w:rFonts w:ascii="Times New Roman" w:hAnsi="Times New Roman" w:cs="Times New Roman"/>
          <w:spacing w:val="-6"/>
          <w:sz w:val="24"/>
          <w:szCs w:val="24"/>
        </w:rPr>
        <w:t>20</w:t>
      </w:r>
      <w:r w:rsidR="00736796" w:rsidRPr="00871F6D">
        <w:rPr>
          <w:rFonts w:ascii="Times New Roman" w:hAnsi="Times New Roman" w:cs="Times New Roman"/>
          <w:spacing w:val="-6"/>
          <w:sz w:val="24"/>
          <w:szCs w:val="24"/>
        </w:rPr>
        <w:t>07</w:t>
      </w:r>
      <w:r w:rsidR="002B255D" w:rsidRPr="00871F6D">
        <w:rPr>
          <w:rFonts w:ascii="Times New Roman" w:hAnsi="Times New Roman" w:cs="Times New Roman"/>
          <w:spacing w:val="-6"/>
          <w:sz w:val="24"/>
          <w:szCs w:val="24"/>
        </w:rPr>
        <w:t xml:space="preserve"> г. –  </w:t>
      </w:r>
      <w:r w:rsidR="007D0332" w:rsidRPr="00871F6D">
        <w:rPr>
          <w:rFonts w:ascii="Times New Roman" w:hAnsi="Times New Roman" w:cs="Times New Roman"/>
          <w:spacing w:val="-6"/>
          <w:sz w:val="24"/>
          <w:szCs w:val="24"/>
        </w:rPr>
        <w:t xml:space="preserve">29,4 тыс. чел., </w:t>
      </w:r>
      <w:r w:rsidR="002B255D" w:rsidRPr="00871F6D">
        <w:rPr>
          <w:rFonts w:ascii="Times New Roman" w:hAnsi="Times New Roman" w:cs="Times New Roman"/>
          <w:spacing w:val="-6"/>
          <w:sz w:val="24"/>
          <w:szCs w:val="24"/>
        </w:rPr>
        <w:t>в 201</w:t>
      </w:r>
      <w:r w:rsidR="00736796" w:rsidRPr="00871F6D">
        <w:rPr>
          <w:rFonts w:ascii="Times New Roman" w:hAnsi="Times New Roman" w:cs="Times New Roman"/>
          <w:spacing w:val="-6"/>
          <w:sz w:val="24"/>
          <w:szCs w:val="24"/>
        </w:rPr>
        <w:t>1</w:t>
      </w:r>
      <w:r w:rsidR="002B255D" w:rsidRPr="00871F6D">
        <w:rPr>
          <w:rFonts w:ascii="Times New Roman" w:hAnsi="Times New Roman" w:cs="Times New Roman"/>
          <w:spacing w:val="-6"/>
          <w:sz w:val="24"/>
          <w:szCs w:val="24"/>
        </w:rPr>
        <w:t xml:space="preserve"> г.  </w:t>
      </w:r>
      <w:r w:rsidR="00736796" w:rsidRPr="00871F6D">
        <w:rPr>
          <w:rFonts w:ascii="Times New Roman" w:hAnsi="Times New Roman" w:cs="Times New Roman"/>
          <w:spacing w:val="-6"/>
          <w:sz w:val="24"/>
          <w:szCs w:val="24"/>
        </w:rPr>
        <w:t xml:space="preserve">– </w:t>
      </w:r>
      <w:r w:rsidR="007D0332" w:rsidRPr="00871F6D">
        <w:rPr>
          <w:rFonts w:ascii="Times New Roman" w:hAnsi="Times New Roman" w:cs="Times New Roman"/>
          <w:spacing w:val="-6"/>
          <w:sz w:val="24"/>
          <w:szCs w:val="24"/>
        </w:rPr>
        <w:t>26,0 тыс. чел..</w:t>
      </w:r>
      <w:r w:rsidR="00D44379" w:rsidRPr="00871F6D">
        <w:rPr>
          <w:rFonts w:ascii="Times New Roman" w:hAnsi="Times New Roman" w:cs="Times New Roman"/>
          <w:spacing w:val="-6"/>
          <w:sz w:val="24"/>
          <w:szCs w:val="24"/>
        </w:rPr>
        <w:t xml:space="preserve">, </w:t>
      </w:r>
      <w:r w:rsidR="002B255D" w:rsidRPr="00871F6D">
        <w:rPr>
          <w:rFonts w:ascii="Times New Roman" w:hAnsi="Times New Roman" w:cs="Times New Roman"/>
          <w:spacing w:val="-6"/>
          <w:sz w:val="24"/>
          <w:szCs w:val="24"/>
        </w:rPr>
        <w:t>в 201</w:t>
      </w:r>
      <w:r w:rsidR="00D44379" w:rsidRPr="00871F6D">
        <w:rPr>
          <w:rFonts w:ascii="Times New Roman" w:hAnsi="Times New Roman" w:cs="Times New Roman"/>
          <w:spacing w:val="-6"/>
          <w:sz w:val="24"/>
          <w:szCs w:val="24"/>
        </w:rPr>
        <w:t>3</w:t>
      </w:r>
      <w:r w:rsidR="002B255D" w:rsidRPr="00871F6D">
        <w:rPr>
          <w:rFonts w:ascii="Times New Roman" w:hAnsi="Times New Roman" w:cs="Times New Roman"/>
          <w:spacing w:val="-6"/>
          <w:sz w:val="24"/>
          <w:szCs w:val="24"/>
        </w:rPr>
        <w:t xml:space="preserve"> г. </w:t>
      </w:r>
      <w:r w:rsidR="007D0332" w:rsidRPr="00871F6D">
        <w:rPr>
          <w:rFonts w:ascii="Times New Roman" w:hAnsi="Times New Roman" w:cs="Times New Roman"/>
          <w:spacing w:val="-6"/>
          <w:sz w:val="24"/>
          <w:szCs w:val="24"/>
        </w:rPr>
        <w:t>-</w:t>
      </w:r>
      <w:r w:rsidR="00D44379" w:rsidRPr="00871F6D">
        <w:rPr>
          <w:rFonts w:ascii="Times New Roman" w:hAnsi="Times New Roman" w:cs="Times New Roman"/>
          <w:spacing w:val="-6"/>
          <w:sz w:val="24"/>
          <w:szCs w:val="24"/>
        </w:rPr>
        <w:t xml:space="preserve">7,3 </w:t>
      </w:r>
      <w:r w:rsidR="007D0332" w:rsidRPr="00871F6D">
        <w:rPr>
          <w:rFonts w:ascii="Times New Roman" w:hAnsi="Times New Roman" w:cs="Times New Roman"/>
          <w:spacing w:val="-6"/>
          <w:sz w:val="24"/>
          <w:szCs w:val="24"/>
        </w:rPr>
        <w:t>тыс. чел.</w:t>
      </w:r>
      <w:r w:rsidR="002B255D" w:rsidRPr="00871F6D">
        <w:rPr>
          <w:rFonts w:ascii="Times New Roman" w:hAnsi="Times New Roman" w:cs="Times New Roman"/>
          <w:spacing w:val="-6"/>
          <w:sz w:val="24"/>
          <w:szCs w:val="24"/>
        </w:rPr>
        <w:t>, в 201</w:t>
      </w:r>
      <w:r w:rsidR="00D44379" w:rsidRPr="00871F6D">
        <w:rPr>
          <w:rFonts w:ascii="Times New Roman" w:hAnsi="Times New Roman" w:cs="Times New Roman"/>
          <w:spacing w:val="-6"/>
          <w:sz w:val="24"/>
          <w:szCs w:val="24"/>
        </w:rPr>
        <w:t>5</w:t>
      </w:r>
      <w:r w:rsidR="002B255D" w:rsidRPr="00871F6D">
        <w:rPr>
          <w:rFonts w:ascii="Times New Roman" w:hAnsi="Times New Roman" w:cs="Times New Roman"/>
          <w:spacing w:val="-6"/>
          <w:sz w:val="24"/>
          <w:szCs w:val="24"/>
        </w:rPr>
        <w:t xml:space="preserve"> г. </w:t>
      </w:r>
      <w:r w:rsidR="00D44379" w:rsidRPr="00871F6D">
        <w:rPr>
          <w:rFonts w:ascii="Times New Roman" w:hAnsi="Times New Roman" w:cs="Times New Roman"/>
          <w:spacing w:val="-6"/>
          <w:sz w:val="24"/>
          <w:szCs w:val="24"/>
        </w:rPr>
        <w:t>– 1,0 тыс.чел.</w:t>
      </w:r>
      <w:r w:rsidR="007D0332" w:rsidRPr="00871F6D">
        <w:rPr>
          <w:rFonts w:ascii="Times New Roman" w:hAnsi="Times New Roman" w:cs="Times New Roman"/>
          <w:spacing w:val="-6"/>
          <w:sz w:val="24"/>
          <w:szCs w:val="24"/>
        </w:rPr>
        <w:t xml:space="preserve"> </w:t>
      </w:r>
      <w:r w:rsidR="00DC065F" w:rsidRPr="00871F6D">
        <w:rPr>
          <w:rFonts w:ascii="Times New Roman" w:hAnsi="Times New Roman" w:cs="Times New Roman"/>
          <w:spacing w:val="-6"/>
          <w:sz w:val="24"/>
          <w:szCs w:val="24"/>
        </w:rPr>
        <w:t>Рис. 1</w:t>
      </w:r>
      <w:r w:rsidR="00E124CC" w:rsidRPr="00DF2AD1">
        <w:rPr>
          <w:rFonts w:ascii="Times New Roman" w:hAnsi="Times New Roman" w:cs="Times New Roman"/>
          <w:spacing w:val="-6"/>
          <w:sz w:val="24"/>
          <w:szCs w:val="24"/>
        </w:rPr>
        <w:t>.</w:t>
      </w:r>
    </w:p>
    <w:p w:rsidR="00AB74F3" w:rsidRPr="007D0332" w:rsidRDefault="00AB74F3" w:rsidP="001024B8">
      <w:pPr>
        <w:spacing w:after="0" w:line="240" w:lineRule="auto"/>
        <w:ind w:firstLine="709"/>
        <w:jc w:val="both"/>
        <w:rPr>
          <w:rFonts w:ascii="Times New Roman" w:hAnsi="Times New Roman" w:cs="Times New Roman"/>
          <w:sz w:val="24"/>
          <w:szCs w:val="24"/>
        </w:rPr>
      </w:pPr>
    </w:p>
    <w:p w:rsidR="00DC065F" w:rsidRPr="007D0332" w:rsidRDefault="00DC065F" w:rsidP="001024B8">
      <w:pPr>
        <w:spacing w:after="0" w:line="240" w:lineRule="auto"/>
        <w:ind w:firstLine="709"/>
        <w:jc w:val="both"/>
        <w:rPr>
          <w:rFonts w:ascii="Times New Roman" w:hAnsi="Times New Roman" w:cs="Times New Roman"/>
          <w:sz w:val="24"/>
          <w:szCs w:val="24"/>
        </w:rPr>
      </w:pPr>
      <w:r w:rsidRPr="007D0332">
        <w:rPr>
          <w:rFonts w:ascii="Times New Roman" w:eastAsia="Times New Roman" w:hAnsi="Times New Roman" w:cs="Times New Roman"/>
          <w:noProof/>
          <w:sz w:val="28"/>
          <w:szCs w:val="28"/>
          <w:lang w:eastAsia="ru-RU"/>
        </w:rPr>
        <w:drawing>
          <wp:inline distT="0" distB="0" distL="0" distR="0">
            <wp:extent cx="5343525" cy="2352675"/>
            <wp:effectExtent l="0" t="0" r="0"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AB74F3" w:rsidRPr="00E124CC" w:rsidRDefault="00DC065F" w:rsidP="00E124CC">
      <w:pPr>
        <w:spacing w:after="0" w:line="240" w:lineRule="auto"/>
        <w:ind w:firstLine="709"/>
        <w:jc w:val="center"/>
        <w:rPr>
          <w:rFonts w:ascii="Times New Roman" w:hAnsi="Times New Roman" w:cs="Times New Roman"/>
          <w:sz w:val="24"/>
          <w:szCs w:val="24"/>
        </w:rPr>
      </w:pPr>
      <w:r w:rsidRPr="00E124CC">
        <w:rPr>
          <w:rFonts w:ascii="Times New Roman" w:hAnsi="Times New Roman" w:cs="Times New Roman"/>
          <w:sz w:val="24"/>
          <w:szCs w:val="24"/>
        </w:rPr>
        <w:t>Рисунок 1</w:t>
      </w:r>
      <w:r w:rsidR="00E124CC" w:rsidRPr="00E124CC">
        <w:rPr>
          <w:rFonts w:ascii="Times New Roman" w:hAnsi="Times New Roman" w:cs="Times New Roman"/>
          <w:sz w:val="24"/>
          <w:szCs w:val="24"/>
        </w:rPr>
        <w:t>.</w:t>
      </w:r>
      <w:r w:rsidR="00E13560">
        <w:rPr>
          <w:rFonts w:ascii="Times New Roman" w:hAnsi="Times New Roman" w:cs="Times New Roman"/>
          <w:sz w:val="24"/>
          <w:szCs w:val="24"/>
        </w:rPr>
        <w:t xml:space="preserve"> </w:t>
      </w:r>
      <w:r w:rsidR="00AB74F3" w:rsidRPr="00E124CC">
        <w:rPr>
          <w:rFonts w:ascii="Times New Roman" w:hAnsi="Times New Roman" w:cs="Times New Roman"/>
          <w:sz w:val="24"/>
          <w:szCs w:val="24"/>
        </w:rPr>
        <w:t xml:space="preserve">Динамика рождаемости, смертности и естественного прироста населения Беларуси за период 2000–2019 гг., тыс. чел. </w:t>
      </w:r>
      <w:r w:rsidR="007D0332" w:rsidRPr="00E124CC">
        <w:rPr>
          <w:rFonts w:ascii="Times New Roman" w:hAnsi="Times New Roman" w:cs="Times New Roman"/>
          <w:sz w:val="24"/>
          <w:szCs w:val="24"/>
        </w:rPr>
        <w:t>[сост. по 1, 2]</w:t>
      </w:r>
    </w:p>
    <w:p w:rsidR="00AB74F3" w:rsidRPr="00E124CC" w:rsidRDefault="00AB74F3" w:rsidP="00E124CC">
      <w:pPr>
        <w:spacing w:after="0" w:line="240" w:lineRule="auto"/>
        <w:ind w:firstLine="709"/>
        <w:jc w:val="center"/>
        <w:rPr>
          <w:rFonts w:ascii="Times New Roman" w:hAnsi="Times New Roman" w:cs="Times New Roman"/>
          <w:sz w:val="24"/>
          <w:szCs w:val="24"/>
        </w:rPr>
      </w:pPr>
    </w:p>
    <w:p w:rsidR="00AB74F3" w:rsidRPr="00871F6D" w:rsidRDefault="00AB74F3" w:rsidP="00AB74F3">
      <w:pPr>
        <w:autoSpaceDE w:val="0"/>
        <w:autoSpaceDN w:val="0"/>
        <w:adjustRightInd w:val="0"/>
        <w:spacing w:after="0" w:line="240" w:lineRule="auto"/>
        <w:ind w:firstLine="709"/>
        <w:jc w:val="both"/>
        <w:rPr>
          <w:rFonts w:ascii="Times New Roman" w:hAnsi="Times New Roman" w:cs="Times New Roman"/>
          <w:color w:val="000000"/>
          <w:spacing w:val="-6"/>
          <w:sz w:val="24"/>
          <w:szCs w:val="24"/>
          <w:shd w:val="clear" w:color="auto" w:fill="FFFFFF"/>
        </w:rPr>
      </w:pPr>
      <w:r w:rsidRPr="00871F6D">
        <w:rPr>
          <w:rFonts w:ascii="Times New Roman" w:hAnsi="Times New Roman" w:cs="Times New Roman"/>
          <w:color w:val="000000"/>
          <w:spacing w:val="-6"/>
          <w:sz w:val="24"/>
          <w:szCs w:val="24"/>
          <w:shd w:val="clear" w:color="auto" w:fill="FFFFFF"/>
        </w:rPr>
        <w:t xml:space="preserve">Однако положительные тенденции демографического развития страны не были долговременными. С 2017 г. наблюдается снижение рождаемости и увеличение смертности населения республики. Если в 2016 г. численность родившихся составляла 117,8 тыс. чел., то в 2019 г. – уже 87,6 тыс. Одновременно численность умерших увеличилась с 119,3 тыс. в 2016 г. до 120,5 тыс. в 2019 г. Таким образом, за неполные пять лет рождаемость снизилась с 12,5 до 9,3 промилле, а смертность увеличилась с 12,6 до 12,8 промилле. Естественная убыль, как результат, увеличилась с 1,6 тыс. чел. в 2016 г. до 32,8 тыс. чел. в 2019 г. </w:t>
      </w:r>
    </w:p>
    <w:p w:rsidR="008D25E4" w:rsidRPr="00E13560" w:rsidRDefault="007B4233" w:rsidP="00E124CC">
      <w:pPr>
        <w:spacing w:after="0" w:line="240" w:lineRule="auto"/>
        <w:ind w:firstLine="709"/>
        <w:jc w:val="both"/>
        <w:rPr>
          <w:rFonts w:ascii="Times New Roman" w:hAnsi="Times New Roman" w:cs="Times New Roman"/>
          <w:spacing w:val="-6"/>
          <w:sz w:val="24"/>
          <w:szCs w:val="24"/>
        </w:rPr>
      </w:pPr>
      <w:r w:rsidRPr="00871F6D">
        <w:rPr>
          <w:rFonts w:ascii="Times New Roman" w:hAnsi="Times New Roman" w:cs="Times New Roman"/>
          <w:spacing w:val="-6"/>
          <w:sz w:val="24"/>
          <w:szCs w:val="24"/>
        </w:rPr>
        <w:t>Следует отметить</w:t>
      </w:r>
      <w:r w:rsidR="00AE454A" w:rsidRPr="00871F6D">
        <w:rPr>
          <w:rFonts w:ascii="Times New Roman" w:hAnsi="Times New Roman" w:cs="Times New Roman"/>
          <w:spacing w:val="-6"/>
          <w:sz w:val="24"/>
          <w:szCs w:val="24"/>
        </w:rPr>
        <w:t xml:space="preserve">, </w:t>
      </w:r>
      <w:r w:rsidR="0091417D" w:rsidRPr="00871F6D">
        <w:rPr>
          <w:rFonts w:ascii="Times New Roman" w:hAnsi="Times New Roman" w:cs="Times New Roman"/>
          <w:spacing w:val="-6"/>
          <w:sz w:val="24"/>
          <w:szCs w:val="24"/>
        </w:rPr>
        <w:t xml:space="preserve">что </w:t>
      </w:r>
      <w:r w:rsidR="002854EF" w:rsidRPr="00871F6D">
        <w:rPr>
          <w:rFonts w:ascii="Times New Roman" w:eastAsia="Times New Roman" w:hAnsi="Times New Roman" w:cs="Times New Roman"/>
          <w:spacing w:val="-6"/>
          <w:sz w:val="24"/>
          <w:szCs w:val="24"/>
          <w:lang w:eastAsia="ru-RU"/>
        </w:rPr>
        <w:t xml:space="preserve">важнейшим фактором формирования </w:t>
      </w:r>
      <w:r w:rsidR="0091417D" w:rsidRPr="00871F6D">
        <w:rPr>
          <w:rFonts w:ascii="Times New Roman" w:eastAsia="Times New Roman" w:hAnsi="Times New Roman" w:cs="Times New Roman"/>
          <w:spacing w:val="-6"/>
          <w:sz w:val="24"/>
          <w:szCs w:val="24"/>
          <w:lang w:eastAsia="ru-RU"/>
        </w:rPr>
        <w:t xml:space="preserve">положительных </w:t>
      </w:r>
      <w:r w:rsidR="002854EF" w:rsidRPr="00871F6D">
        <w:rPr>
          <w:rFonts w:ascii="Times New Roman" w:eastAsia="Times New Roman" w:hAnsi="Times New Roman" w:cs="Times New Roman"/>
          <w:spacing w:val="-6"/>
          <w:sz w:val="24"/>
          <w:szCs w:val="24"/>
          <w:lang w:eastAsia="ru-RU"/>
        </w:rPr>
        <w:t>количественных и качественных характеристик демографических процессов как в целом страны, так и ее регионов</w:t>
      </w:r>
      <w:r w:rsidR="00E13560">
        <w:rPr>
          <w:rFonts w:ascii="Times New Roman" w:eastAsia="Times New Roman" w:hAnsi="Times New Roman" w:cs="Times New Roman"/>
          <w:spacing w:val="-6"/>
          <w:sz w:val="24"/>
          <w:szCs w:val="24"/>
          <w:lang w:eastAsia="ru-RU"/>
        </w:rPr>
        <w:t xml:space="preserve"> </w:t>
      </w:r>
      <w:r w:rsidR="005E1E5C" w:rsidRPr="00871F6D">
        <w:rPr>
          <w:rFonts w:ascii="Times New Roman" w:eastAsia="Times New Roman" w:hAnsi="Times New Roman" w:cs="Times New Roman"/>
          <w:spacing w:val="-6"/>
          <w:sz w:val="24"/>
          <w:szCs w:val="24"/>
          <w:lang w:eastAsia="ru-RU"/>
        </w:rPr>
        <w:t xml:space="preserve">является </w:t>
      </w:r>
      <w:r w:rsidR="00E13560">
        <w:rPr>
          <w:rFonts w:ascii="Times New Roman" w:eastAsia="Times New Roman" w:hAnsi="Times New Roman" w:cs="Times New Roman"/>
          <w:spacing w:val="-6"/>
          <w:sz w:val="24"/>
          <w:szCs w:val="24"/>
          <w:lang w:eastAsia="ru-RU"/>
        </w:rPr>
        <w:t xml:space="preserve">внешняя и внутренняя </w:t>
      </w:r>
      <w:r w:rsidR="005E1E5C" w:rsidRPr="00871F6D">
        <w:rPr>
          <w:rFonts w:ascii="Times New Roman" w:eastAsia="Times New Roman" w:hAnsi="Times New Roman" w:cs="Times New Roman"/>
          <w:spacing w:val="-6"/>
          <w:sz w:val="24"/>
          <w:szCs w:val="24"/>
          <w:lang w:eastAsia="ru-RU"/>
        </w:rPr>
        <w:t>миграция</w:t>
      </w:r>
      <w:r w:rsidR="00E13560">
        <w:rPr>
          <w:rFonts w:ascii="Times New Roman" w:eastAsia="Times New Roman" w:hAnsi="Times New Roman" w:cs="Times New Roman"/>
          <w:spacing w:val="-6"/>
          <w:sz w:val="24"/>
          <w:szCs w:val="24"/>
          <w:lang w:eastAsia="ru-RU"/>
        </w:rPr>
        <w:t xml:space="preserve"> населения</w:t>
      </w:r>
      <w:r w:rsidR="005E1E5C" w:rsidRPr="00871F6D">
        <w:rPr>
          <w:rFonts w:ascii="Times New Roman" w:eastAsia="Times New Roman" w:hAnsi="Times New Roman" w:cs="Times New Roman"/>
          <w:spacing w:val="-6"/>
          <w:sz w:val="24"/>
          <w:szCs w:val="24"/>
          <w:lang w:eastAsia="ru-RU"/>
        </w:rPr>
        <w:t>.</w:t>
      </w:r>
      <w:r w:rsidR="002854EF" w:rsidRPr="00871F6D">
        <w:rPr>
          <w:rFonts w:ascii="Times New Roman" w:eastAsia="Times New Roman" w:hAnsi="Times New Roman" w:cs="Times New Roman"/>
          <w:spacing w:val="-6"/>
          <w:sz w:val="24"/>
          <w:szCs w:val="24"/>
          <w:lang w:eastAsia="ru-RU"/>
        </w:rPr>
        <w:t xml:space="preserve"> Так, процесс </w:t>
      </w:r>
      <w:r w:rsidR="00AE454A" w:rsidRPr="00871F6D">
        <w:rPr>
          <w:rFonts w:ascii="Times New Roman" w:hAnsi="Times New Roman" w:cs="Times New Roman"/>
          <w:spacing w:val="-6"/>
          <w:sz w:val="24"/>
          <w:szCs w:val="24"/>
        </w:rPr>
        <w:t>с</w:t>
      </w:r>
      <w:r w:rsidR="006C0C9E" w:rsidRPr="00871F6D">
        <w:rPr>
          <w:rFonts w:ascii="Times New Roman" w:hAnsi="Times New Roman" w:cs="Times New Roman"/>
          <w:spacing w:val="-6"/>
          <w:sz w:val="24"/>
          <w:szCs w:val="24"/>
        </w:rPr>
        <w:t>табилизаци</w:t>
      </w:r>
      <w:r w:rsidR="002854EF" w:rsidRPr="00871F6D">
        <w:rPr>
          <w:rFonts w:ascii="Times New Roman" w:hAnsi="Times New Roman" w:cs="Times New Roman"/>
          <w:spacing w:val="-6"/>
          <w:sz w:val="24"/>
          <w:szCs w:val="24"/>
        </w:rPr>
        <w:t>и</w:t>
      </w:r>
      <w:r w:rsidR="006C0C9E" w:rsidRPr="00871F6D">
        <w:rPr>
          <w:rFonts w:ascii="Times New Roman" w:hAnsi="Times New Roman" w:cs="Times New Roman"/>
          <w:spacing w:val="-6"/>
          <w:sz w:val="24"/>
          <w:szCs w:val="24"/>
        </w:rPr>
        <w:t xml:space="preserve"> численности населения Беларуси </w:t>
      </w:r>
      <w:r w:rsidR="005A7AE8" w:rsidRPr="00871F6D">
        <w:rPr>
          <w:rFonts w:ascii="Times New Roman" w:hAnsi="Times New Roman" w:cs="Times New Roman"/>
          <w:spacing w:val="-6"/>
          <w:sz w:val="24"/>
          <w:szCs w:val="24"/>
        </w:rPr>
        <w:t xml:space="preserve">во многом </w:t>
      </w:r>
      <w:r w:rsidR="00E13560">
        <w:rPr>
          <w:rFonts w:ascii="Times New Roman" w:hAnsi="Times New Roman" w:cs="Times New Roman"/>
          <w:spacing w:val="-6"/>
          <w:sz w:val="24"/>
          <w:szCs w:val="24"/>
        </w:rPr>
        <w:t>связан с</w:t>
      </w:r>
      <w:r w:rsidR="005A7AE8" w:rsidRPr="00871F6D">
        <w:rPr>
          <w:rFonts w:ascii="Times New Roman" w:hAnsi="Times New Roman" w:cs="Times New Roman"/>
          <w:spacing w:val="-6"/>
          <w:sz w:val="24"/>
          <w:szCs w:val="24"/>
        </w:rPr>
        <w:t xml:space="preserve"> </w:t>
      </w:r>
      <w:r w:rsidR="00AE454A" w:rsidRPr="00871F6D">
        <w:rPr>
          <w:rFonts w:ascii="Times New Roman" w:hAnsi="Times New Roman" w:cs="Times New Roman"/>
          <w:spacing w:val="-6"/>
          <w:sz w:val="24"/>
          <w:szCs w:val="24"/>
        </w:rPr>
        <w:t>положительны</w:t>
      </w:r>
      <w:r w:rsidR="00E13560">
        <w:rPr>
          <w:rFonts w:ascii="Times New Roman" w:hAnsi="Times New Roman" w:cs="Times New Roman"/>
          <w:spacing w:val="-6"/>
          <w:sz w:val="24"/>
          <w:szCs w:val="24"/>
        </w:rPr>
        <w:t>ми</w:t>
      </w:r>
      <w:r w:rsidR="00AE454A" w:rsidRPr="00871F6D">
        <w:rPr>
          <w:rFonts w:ascii="Times New Roman" w:hAnsi="Times New Roman" w:cs="Times New Roman"/>
          <w:spacing w:val="-6"/>
          <w:sz w:val="24"/>
          <w:szCs w:val="24"/>
        </w:rPr>
        <w:t xml:space="preserve"> тенденци</w:t>
      </w:r>
      <w:r w:rsidR="00E13560">
        <w:rPr>
          <w:rFonts w:ascii="Times New Roman" w:hAnsi="Times New Roman" w:cs="Times New Roman"/>
          <w:spacing w:val="-6"/>
          <w:sz w:val="24"/>
          <w:szCs w:val="24"/>
        </w:rPr>
        <w:t>ями</w:t>
      </w:r>
      <w:r w:rsidR="00AE454A" w:rsidRPr="00871F6D">
        <w:rPr>
          <w:rFonts w:ascii="Times New Roman" w:hAnsi="Times New Roman" w:cs="Times New Roman"/>
          <w:spacing w:val="-6"/>
          <w:sz w:val="24"/>
          <w:szCs w:val="24"/>
        </w:rPr>
        <w:t xml:space="preserve"> внешней миграции населения республики</w:t>
      </w:r>
      <w:r w:rsidR="0003747E" w:rsidRPr="00871F6D">
        <w:rPr>
          <w:rFonts w:ascii="Times New Roman" w:hAnsi="Times New Roman" w:cs="Times New Roman"/>
          <w:spacing w:val="-6"/>
          <w:sz w:val="24"/>
          <w:szCs w:val="24"/>
        </w:rPr>
        <w:t>, наблюда</w:t>
      </w:r>
      <w:r w:rsidR="00E13560">
        <w:rPr>
          <w:rFonts w:ascii="Times New Roman" w:hAnsi="Times New Roman" w:cs="Times New Roman"/>
          <w:spacing w:val="-6"/>
          <w:sz w:val="24"/>
          <w:szCs w:val="24"/>
        </w:rPr>
        <w:t>вшихся</w:t>
      </w:r>
      <w:r w:rsidR="0003747E" w:rsidRPr="00871F6D">
        <w:rPr>
          <w:rFonts w:ascii="Times New Roman" w:hAnsi="Times New Roman" w:cs="Times New Roman"/>
          <w:spacing w:val="-6"/>
          <w:sz w:val="24"/>
          <w:szCs w:val="24"/>
        </w:rPr>
        <w:t xml:space="preserve"> </w:t>
      </w:r>
      <w:r w:rsidR="00E13560">
        <w:rPr>
          <w:rFonts w:ascii="Times New Roman" w:hAnsi="Times New Roman" w:cs="Times New Roman"/>
          <w:spacing w:val="-6"/>
          <w:sz w:val="24"/>
          <w:szCs w:val="24"/>
        </w:rPr>
        <w:t xml:space="preserve">с </w:t>
      </w:r>
      <w:r w:rsidR="009F0EF2" w:rsidRPr="00871F6D">
        <w:rPr>
          <w:rFonts w:ascii="Times New Roman" w:hAnsi="Times New Roman" w:cs="Times New Roman"/>
          <w:spacing w:val="-6"/>
          <w:sz w:val="24"/>
          <w:szCs w:val="24"/>
        </w:rPr>
        <w:t xml:space="preserve"> 2010</w:t>
      </w:r>
      <w:r w:rsidR="00E13560">
        <w:rPr>
          <w:rFonts w:ascii="Times New Roman" w:hAnsi="Times New Roman" w:cs="Times New Roman"/>
          <w:spacing w:val="-6"/>
          <w:sz w:val="24"/>
          <w:szCs w:val="24"/>
        </w:rPr>
        <w:t xml:space="preserve"> г. по </w:t>
      </w:r>
      <w:r w:rsidR="009F0EF2" w:rsidRPr="00871F6D">
        <w:rPr>
          <w:rFonts w:ascii="Times New Roman" w:hAnsi="Times New Roman" w:cs="Times New Roman"/>
          <w:spacing w:val="-6"/>
          <w:sz w:val="24"/>
          <w:szCs w:val="24"/>
        </w:rPr>
        <w:t xml:space="preserve">2015 гг. </w:t>
      </w:r>
      <w:r w:rsidR="007D0332" w:rsidRPr="00871F6D">
        <w:rPr>
          <w:rFonts w:ascii="Times New Roman" w:hAnsi="Times New Roman" w:cs="Times New Roman"/>
          <w:spacing w:val="-6"/>
          <w:sz w:val="24"/>
          <w:szCs w:val="24"/>
        </w:rPr>
        <w:t>Рис. 2</w:t>
      </w:r>
      <w:r w:rsidR="008D25E4" w:rsidRPr="00E13560">
        <w:rPr>
          <w:rFonts w:ascii="Times New Roman" w:hAnsi="Times New Roman" w:cs="Times New Roman"/>
          <w:spacing w:val="-6"/>
          <w:sz w:val="24"/>
          <w:szCs w:val="24"/>
        </w:rPr>
        <w:t>.</w:t>
      </w:r>
    </w:p>
    <w:p w:rsidR="00C748C8" w:rsidRPr="001024B8" w:rsidRDefault="008D25E4" w:rsidP="00E124CC">
      <w:pPr>
        <w:spacing w:after="0" w:line="240" w:lineRule="auto"/>
        <w:ind w:firstLine="709"/>
        <w:jc w:val="both"/>
        <w:rPr>
          <w:rFonts w:ascii="Times New Roman" w:hAnsi="Times New Roman" w:cs="Times New Roman"/>
          <w:spacing w:val="-10"/>
          <w:sz w:val="24"/>
          <w:szCs w:val="24"/>
        </w:rPr>
      </w:pPr>
      <w:r w:rsidRPr="00DF2AD1">
        <w:rPr>
          <w:rFonts w:ascii="Times New Roman" w:hAnsi="Times New Roman" w:cs="Times New Roman"/>
          <w:sz w:val="24"/>
          <w:szCs w:val="24"/>
        </w:rPr>
        <w:lastRenderedPageBreak/>
        <w:t>.</w:t>
      </w:r>
      <w:r w:rsidR="00C748C8" w:rsidRPr="001024B8">
        <w:rPr>
          <w:rFonts w:ascii="Times New Roman" w:hAnsi="Times New Roman" w:cs="Times New Roman"/>
          <w:noProof/>
          <w:spacing w:val="-10"/>
          <w:sz w:val="24"/>
          <w:szCs w:val="24"/>
          <w:lang w:eastAsia="ru-RU"/>
        </w:rPr>
        <w:drawing>
          <wp:inline distT="0" distB="0" distL="0" distR="0">
            <wp:extent cx="5591175" cy="2400300"/>
            <wp:effectExtent l="0" t="0" r="0" b="0"/>
            <wp:docPr id="9"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748C8" w:rsidRPr="00871F6D" w:rsidRDefault="007D0332" w:rsidP="00E124CC">
      <w:pPr>
        <w:spacing w:after="0" w:line="240" w:lineRule="auto"/>
        <w:ind w:firstLine="709"/>
        <w:jc w:val="center"/>
        <w:rPr>
          <w:rFonts w:ascii="Times New Roman" w:hAnsi="Times New Roman" w:cs="Times New Roman"/>
          <w:spacing w:val="-6"/>
          <w:sz w:val="24"/>
          <w:szCs w:val="24"/>
        </w:rPr>
      </w:pPr>
      <w:r w:rsidRPr="00871F6D">
        <w:rPr>
          <w:rFonts w:ascii="Times New Roman" w:hAnsi="Times New Roman" w:cs="Times New Roman"/>
          <w:spacing w:val="-6"/>
          <w:sz w:val="24"/>
          <w:szCs w:val="24"/>
        </w:rPr>
        <w:t>Рисунок 2</w:t>
      </w:r>
      <w:r w:rsidR="00E124CC" w:rsidRPr="00871F6D">
        <w:rPr>
          <w:rFonts w:ascii="Times New Roman" w:hAnsi="Times New Roman" w:cs="Times New Roman"/>
          <w:spacing w:val="-6"/>
          <w:sz w:val="24"/>
          <w:szCs w:val="24"/>
        </w:rPr>
        <w:t>.</w:t>
      </w:r>
      <w:r w:rsidR="00C748C8" w:rsidRPr="00871F6D">
        <w:rPr>
          <w:rFonts w:ascii="Times New Roman" w:hAnsi="Times New Roman" w:cs="Times New Roman"/>
          <w:spacing w:val="-6"/>
          <w:sz w:val="24"/>
          <w:szCs w:val="24"/>
        </w:rPr>
        <w:t xml:space="preserve"> Динамика внешней миграции населения Республики Беларусь за период 2000-201</w:t>
      </w:r>
      <w:r w:rsidR="005E333A" w:rsidRPr="00871F6D">
        <w:rPr>
          <w:rFonts w:ascii="Times New Roman" w:hAnsi="Times New Roman" w:cs="Times New Roman"/>
          <w:spacing w:val="-6"/>
          <w:sz w:val="24"/>
          <w:szCs w:val="24"/>
        </w:rPr>
        <w:t>9</w:t>
      </w:r>
      <w:r w:rsidR="00C748C8" w:rsidRPr="00871F6D">
        <w:rPr>
          <w:rFonts w:ascii="Times New Roman" w:hAnsi="Times New Roman" w:cs="Times New Roman"/>
          <w:spacing w:val="-6"/>
          <w:sz w:val="24"/>
          <w:szCs w:val="24"/>
        </w:rPr>
        <w:t xml:space="preserve"> гг., чел. [сост. по</w:t>
      </w:r>
      <w:r w:rsidR="005A7AE8" w:rsidRPr="00871F6D">
        <w:rPr>
          <w:rFonts w:ascii="Times New Roman" w:hAnsi="Times New Roman" w:cs="Times New Roman"/>
          <w:spacing w:val="-6"/>
          <w:sz w:val="24"/>
          <w:szCs w:val="24"/>
        </w:rPr>
        <w:t xml:space="preserve"> 1, 2</w:t>
      </w:r>
      <w:r w:rsidR="00C748C8" w:rsidRPr="00871F6D">
        <w:rPr>
          <w:rFonts w:ascii="Times New Roman" w:hAnsi="Times New Roman" w:cs="Times New Roman"/>
          <w:spacing w:val="-6"/>
          <w:sz w:val="24"/>
          <w:szCs w:val="24"/>
        </w:rPr>
        <w:t>]</w:t>
      </w:r>
    </w:p>
    <w:p w:rsidR="00BC1DF0" w:rsidRPr="00E124CC" w:rsidRDefault="00BC1DF0" w:rsidP="00E124CC">
      <w:pPr>
        <w:autoSpaceDE w:val="0"/>
        <w:autoSpaceDN w:val="0"/>
        <w:adjustRightInd w:val="0"/>
        <w:spacing w:after="0" w:line="240" w:lineRule="auto"/>
        <w:ind w:firstLine="709"/>
        <w:jc w:val="center"/>
        <w:rPr>
          <w:rFonts w:ascii="Times New Roman" w:hAnsi="Times New Roman" w:cs="Times New Roman"/>
          <w:sz w:val="24"/>
          <w:szCs w:val="24"/>
        </w:rPr>
      </w:pPr>
    </w:p>
    <w:p w:rsidR="00D44379" w:rsidRPr="001024B8" w:rsidRDefault="00A632B2" w:rsidP="00D44379">
      <w:pPr>
        <w:pStyle w:val="newncpi0"/>
        <w:spacing w:before="0" w:beforeAutospacing="0" w:after="0" w:afterAutospacing="0"/>
        <w:ind w:firstLine="709"/>
        <w:jc w:val="both"/>
        <w:rPr>
          <w:shd w:val="clear" w:color="auto" w:fill="FFFFFF"/>
        </w:rPr>
      </w:pPr>
      <w:r>
        <w:t>Как видим из данных рисунка 2, э</w:t>
      </w:r>
      <w:r w:rsidRPr="00F62885">
        <w:t xml:space="preserve">миграционный поток из Республики Беларусь за период </w:t>
      </w:r>
      <w:r w:rsidR="00944087">
        <w:t xml:space="preserve">2010-2015 гг. </w:t>
      </w:r>
      <w:r w:rsidRPr="00F62885">
        <w:t xml:space="preserve">вырос </w:t>
      </w:r>
      <w:r w:rsidR="00944087">
        <w:t>с 6866 чел. в 2010 г. до 9855 чел.</w:t>
      </w:r>
      <w:r w:rsidRPr="00F62885">
        <w:t xml:space="preserve"> </w:t>
      </w:r>
      <w:r w:rsidR="00944087">
        <w:t>в 2015 г. Однако еще в большей мере увеличилась</w:t>
      </w:r>
      <w:r w:rsidRPr="00F62885">
        <w:t xml:space="preserve"> численность прибывших мигрантов</w:t>
      </w:r>
      <w:r>
        <w:t xml:space="preserve">: </w:t>
      </w:r>
      <w:r w:rsidRPr="00F62885">
        <w:t xml:space="preserve">в 2010 г. </w:t>
      </w:r>
      <w:r>
        <w:t>она</w:t>
      </w:r>
      <w:r w:rsidRPr="00F62885">
        <w:t xml:space="preserve"> составила 17189 чел., а в 2015</w:t>
      </w:r>
      <w:r w:rsidR="00944087">
        <w:t xml:space="preserve"> г. – 283</w:t>
      </w:r>
      <w:r w:rsidRPr="00F62885">
        <w:t>4</w:t>
      </w:r>
      <w:r w:rsidR="00944087">
        <w:t>9</w:t>
      </w:r>
      <w:r w:rsidRPr="00F62885">
        <w:t xml:space="preserve"> чел. </w:t>
      </w:r>
      <w:r w:rsidRPr="00F62885">
        <w:rPr>
          <w:color w:val="171717"/>
        </w:rPr>
        <w:t>Это</w:t>
      </w:r>
      <w:r w:rsidR="00944087">
        <w:rPr>
          <w:color w:val="171717"/>
        </w:rPr>
        <w:t xml:space="preserve"> позволило обеспечить стабильный рост</w:t>
      </w:r>
      <w:r w:rsidRPr="00F62885">
        <w:rPr>
          <w:color w:val="171717"/>
        </w:rPr>
        <w:t xml:space="preserve"> положительн</w:t>
      </w:r>
      <w:r w:rsidR="00944087">
        <w:rPr>
          <w:color w:val="171717"/>
        </w:rPr>
        <w:t>ого</w:t>
      </w:r>
      <w:r w:rsidRPr="00F62885">
        <w:rPr>
          <w:color w:val="171717"/>
        </w:rPr>
        <w:t xml:space="preserve"> </w:t>
      </w:r>
      <w:r w:rsidR="00D44379" w:rsidRPr="001024B8">
        <w:t>сальдо внеш</w:t>
      </w:r>
      <w:r w:rsidR="005A7AE8">
        <w:t>ней миграции</w:t>
      </w:r>
      <w:r w:rsidR="00944087">
        <w:t>, что</w:t>
      </w:r>
      <w:r w:rsidR="005A7AE8">
        <w:t xml:space="preserve"> в решающей степени</w:t>
      </w:r>
      <w:r w:rsidR="00D44379" w:rsidRPr="001024B8">
        <w:t xml:space="preserve"> способствовало </w:t>
      </w:r>
      <w:r w:rsidR="00400E5F">
        <w:t>восполнению естественной убыли за счет миграции</w:t>
      </w:r>
      <w:r w:rsidR="00944087">
        <w:t>.</w:t>
      </w:r>
      <w:r w:rsidR="00D44379" w:rsidRPr="001024B8">
        <w:t xml:space="preserve"> Так, </w:t>
      </w:r>
      <w:r w:rsidR="00944087">
        <w:t xml:space="preserve">если </w:t>
      </w:r>
      <w:r w:rsidR="00D44379" w:rsidRPr="001024B8">
        <w:t xml:space="preserve">в 2002 году степень компенсации естественной убыли населения за счет положительного сальдо внешней миграции составила 9,6%, </w:t>
      </w:r>
      <w:r w:rsidR="00944087">
        <w:t xml:space="preserve">то </w:t>
      </w:r>
      <w:r w:rsidR="00D44379" w:rsidRPr="001024B8">
        <w:t>в 2012 г. – 83,7%, в 2013 году – 158,9%, в 2015 г. –  1853,1%, в 2016 г. – 496,3%. В результате ч</w:t>
      </w:r>
      <w:r w:rsidR="00D44379" w:rsidRPr="001024B8">
        <w:rPr>
          <w:shd w:val="clear" w:color="auto" w:fill="FFFFFF"/>
        </w:rPr>
        <w:t>исленность населения Республики Беларусь за период 2013-2016 гг. увеличилась на 36,5 тыс. чел.</w:t>
      </w:r>
    </w:p>
    <w:p w:rsidR="00196B38" w:rsidRPr="00196B38" w:rsidRDefault="00196B38" w:rsidP="00196B38">
      <w:pPr>
        <w:spacing w:after="0" w:line="240" w:lineRule="auto"/>
        <w:ind w:firstLine="567"/>
        <w:jc w:val="both"/>
        <w:rPr>
          <w:rFonts w:ascii="Times New Roman" w:hAnsi="Times New Roman" w:cs="Times New Roman"/>
          <w:sz w:val="24"/>
          <w:szCs w:val="24"/>
        </w:rPr>
      </w:pPr>
      <w:r w:rsidRPr="00196B38">
        <w:rPr>
          <w:rFonts w:ascii="Times New Roman" w:hAnsi="Times New Roman" w:cs="Times New Roman"/>
          <w:sz w:val="24"/>
          <w:szCs w:val="24"/>
        </w:rPr>
        <w:t>Динамика миграционного прироста, естественной убыли населения и степени ее компенсации за счет внешней миграции населения Республики Беларусь за период 2000-2019 гг. представлена в таблице</w:t>
      </w:r>
      <w:r w:rsidR="00607F96">
        <w:rPr>
          <w:rFonts w:ascii="Times New Roman" w:hAnsi="Times New Roman" w:cs="Times New Roman"/>
          <w:sz w:val="24"/>
          <w:szCs w:val="24"/>
        </w:rPr>
        <w:t xml:space="preserve"> 1</w:t>
      </w:r>
      <w:r w:rsidRPr="00196B38">
        <w:rPr>
          <w:rFonts w:ascii="Times New Roman" w:hAnsi="Times New Roman" w:cs="Times New Roman"/>
          <w:sz w:val="24"/>
          <w:szCs w:val="24"/>
        </w:rPr>
        <w:t>.</w:t>
      </w:r>
    </w:p>
    <w:p w:rsidR="00BF7D2D" w:rsidRPr="001024B8" w:rsidRDefault="00BF7D2D" w:rsidP="001024B8">
      <w:pPr>
        <w:autoSpaceDE w:val="0"/>
        <w:autoSpaceDN w:val="0"/>
        <w:adjustRightInd w:val="0"/>
        <w:spacing w:after="0" w:line="240" w:lineRule="auto"/>
        <w:ind w:firstLine="709"/>
        <w:jc w:val="both"/>
        <w:rPr>
          <w:rFonts w:ascii="Times New Roman" w:hAnsi="Times New Roman" w:cs="Times New Roman"/>
          <w:color w:val="000000"/>
          <w:sz w:val="24"/>
          <w:szCs w:val="24"/>
          <w:shd w:val="clear" w:color="auto" w:fill="FFFFFF"/>
        </w:rPr>
      </w:pPr>
    </w:p>
    <w:p w:rsidR="00E124CC" w:rsidRPr="00E124CC" w:rsidRDefault="00C87853" w:rsidP="00E124CC">
      <w:pPr>
        <w:spacing w:after="0" w:line="240" w:lineRule="auto"/>
        <w:ind w:firstLine="567"/>
        <w:jc w:val="right"/>
        <w:rPr>
          <w:rFonts w:ascii="Times New Roman" w:hAnsi="Times New Roman" w:cs="Times New Roman"/>
          <w:i/>
          <w:sz w:val="24"/>
          <w:szCs w:val="24"/>
        </w:rPr>
      </w:pPr>
      <w:r w:rsidRPr="00E124CC">
        <w:rPr>
          <w:rFonts w:ascii="Times New Roman" w:hAnsi="Times New Roman" w:cs="Times New Roman"/>
          <w:i/>
          <w:sz w:val="24"/>
          <w:szCs w:val="24"/>
        </w:rPr>
        <w:t xml:space="preserve">Таблица 1 </w:t>
      </w:r>
    </w:p>
    <w:p w:rsidR="00607F96" w:rsidRDefault="00196B38" w:rsidP="00E124CC">
      <w:pPr>
        <w:spacing w:after="0" w:line="240" w:lineRule="auto"/>
        <w:ind w:firstLine="567"/>
        <w:jc w:val="center"/>
        <w:rPr>
          <w:rFonts w:ascii="Times New Roman" w:hAnsi="Times New Roman" w:cs="Times New Roman"/>
          <w:sz w:val="24"/>
          <w:szCs w:val="24"/>
        </w:rPr>
      </w:pPr>
      <w:r w:rsidRPr="00E124CC">
        <w:rPr>
          <w:rFonts w:ascii="Times New Roman" w:hAnsi="Times New Roman" w:cs="Times New Roman"/>
          <w:sz w:val="24"/>
          <w:szCs w:val="24"/>
        </w:rPr>
        <w:t>Динамика миграционного прироста, естественной убыли населения и степени ее компенсации за счет внешней миграции населения Республики Беларусь за период 2000-2019 гг.</w:t>
      </w:r>
      <w:r w:rsidR="00C87853" w:rsidRPr="00E124CC">
        <w:rPr>
          <w:rFonts w:ascii="Times New Roman" w:hAnsi="Times New Roman" w:cs="Times New Roman"/>
          <w:sz w:val="24"/>
          <w:szCs w:val="24"/>
        </w:rPr>
        <w:t xml:space="preserve"> [сост. по 1, 2]</w:t>
      </w:r>
    </w:p>
    <w:p w:rsidR="00D358E5" w:rsidRPr="00E124CC" w:rsidRDefault="00D358E5" w:rsidP="00E124CC">
      <w:pPr>
        <w:spacing w:after="0" w:line="240" w:lineRule="auto"/>
        <w:ind w:firstLine="567"/>
        <w:jc w:val="center"/>
        <w:rPr>
          <w:rFonts w:ascii="Times New Roman" w:hAnsi="Times New Roman" w:cs="Times New Roman"/>
          <w:sz w:val="24"/>
          <w:szCs w:val="24"/>
        </w:rPr>
      </w:pPr>
    </w:p>
    <w:tbl>
      <w:tblPr>
        <w:tblW w:w="96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1240"/>
        <w:gridCol w:w="2672"/>
        <w:gridCol w:w="2445"/>
        <w:gridCol w:w="3272"/>
      </w:tblGrid>
      <w:tr w:rsidR="00607F96" w:rsidRPr="00607F96" w:rsidTr="008D25E4">
        <w:trPr>
          <w:trHeight w:val="315"/>
          <w:jc w:val="center"/>
        </w:trPr>
        <w:tc>
          <w:tcPr>
            <w:tcW w:w="1240"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Год</w:t>
            </w:r>
          </w:p>
        </w:tc>
        <w:tc>
          <w:tcPr>
            <w:tcW w:w="2672"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Миграционный прирост, чел.</w:t>
            </w:r>
          </w:p>
        </w:tc>
        <w:tc>
          <w:tcPr>
            <w:tcW w:w="2445"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Естественная убыль, чел.</w:t>
            </w:r>
          </w:p>
        </w:tc>
        <w:tc>
          <w:tcPr>
            <w:tcW w:w="3272"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Степень компенсации естественной убыли, %</w:t>
            </w:r>
          </w:p>
        </w:tc>
      </w:tr>
      <w:tr w:rsidR="00607F96" w:rsidRPr="00607F96" w:rsidTr="008D25E4">
        <w:trPr>
          <w:trHeight w:val="330"/>
          <w:jc w:val="center"/>
        </w:trPr>
        <w:tc>
          <w:tcPr>
            <w:tcW w:w="0" w:type="auto"/>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2000</w:t>
            </w:r>
          </w:p>
        </w:tc>
        <w:tc>
          <w:tcPr>
            <w:tcW w:w="2672" w:type="dxa"/>
            <w:shd w:val="clear" w:color="auto" w:fill="auto"/>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12131</w:t>
            </w:r>
          </w:p>
        </w:tc>
        <w:tc>
          <w:tcPr>
            <w:tcW w:w="2445"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41176</w:t>
            </w:r>
          </w:p>
        </w:tc>
        <w:tc>
          <w:tcPr>
            <w:tcW w:w="3272"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29,5</w:t>
            </w:r>
          </w:p>
        </w:tc>
      </w:tr>
      <w:tr w:rsidR="00607F96" w:rsidRPr="00607F96" w:rsidTr="008D25E4">
        <w:trPr>
          <w:trHeight w:val="330"/>
          <w:jc w:val="center"/>
        </w:trPr>
        <w:tc>
          <w:tcPr>
            <w:tcW w:w="0" w:type="auto"/>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2001</w:t>
            </w:r>
          </w:p>
        </w:tc>
        <w:tc>
          <w:tcPr>
            <w:tcW w:w="2672" w:type="dxa"/>
            <w:shd w:val="clear" w:color="auto" w:fill="auto"/>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9085</w:t>
            </w:r>
          </w:p>
        </w:tc>
        <w:tc>
          <w:tcPr>
            <w:tcW w:w="2445"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48579</w:t>
            </w:r>
          </w:p>
        </w:tc>
        <w:tc>
          <w:tcPr>
            <w:tcW w:w="3272"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18,7</w:t>
            </w:r>
          </w:p>
        </w:tc>
      </w:tr>
      <w:tr w:rsidR="00607F96" w:rsidRPr="00607F96" w:rsidTr="008D25E4">
        <w:trPr>
          <w:trHeight w:val="330"/>
          <w:jc w:val="center"/>
        </w:trPr>
        <w:tc>
          <w:tcPr>
            <w:tcW w:w="0" w:type="auto"/>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2002</w:t>
            </w:r>
          </w:p>
        </w:tc>
        <w:tc>
          <w:tcPr>
            <w:tcW w:w="2672" w:type="dxa"/>
            <w:shd w:val="clear" w:color="auto" w:fill="auto"/>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5561</w:t>
            </w:r>
          </w:p>
        </w:tc>
        <w:tc>
          <w:tcPr>
            <w:tcW w:w="2445"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57912</w:t>
            </w:r>
          </w:p>
        </w:tc>
        <w:tc>
          <w:tcPr>
            <w:tcW w:w="3272"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9,6</w:t>
            </w:r>
          </w:p>
        </w:tc>
      </w:tr>
      <w:tr w:rsidR="00607F96" w:rsidRPr="00607F96" w:rsidTr="008D25E4">
        <w:trPr>
          <w:trHeight w:val="330"/>
          <w:jc w:val="center"/>
        </w:trPr>
        <w:tc>
          <w:tcPr>
            <w:tcW w:w="0" w:type="auto"/>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2003</w:t>
            </w:r>
          </w:p>
        </w:tc>
        <w:tc>
          <w:tcPr>
            <w:tcW w:w="2672" w:type="dxa"/>
            <w:shd w:val="clear" w:color="auto" w:fill="auto"/>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5160</w:t>
            </w:r>
          </w:p>
        </w:tc>
        <w:tc>
          <w:tcPr>
            <w:tcW w:w="2445"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54688</w:t>
            </w:r>
          </w:p>
        </w:tc>
        <w:tc>
          <w:tcPr>
            <w:tcW w:w="3272"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9,4</w:t>
            </w:r>
          </w:p>
        </w:tc>
      </w:tr>
      <w:tr w:rsidR="00607F96" w:rsidRPr="00607F96" w:rsidTr="008D25E4">
        <w:trPr>
          <w:trHeight w:val="330"/>
          <w:jc w:val="center"/>
        </w:trPr>
        <w:tc>
          <w:tcPr>
            <w:tcW w:w="0" w:type="auto"/>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2004</w:t>
            </w:r>
          </w:p>
        </w:tc>
        <w:tc>
          <w:tcPr>
            <w:tcW w:w="2672" w:type="dxa"/>
            <w:shd w:val="clear" w:color="auto" w:fill="auto"/>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2132</w:t>
            </w:r>
          </w:p>
        </w:tc>
        <w:tc>
          <w:tcPr>
            <w:tcW w:w="2445"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51121</w:t>
            </w:r>
          </w:p>
        </w:tc>
        <w:tc>
          <w:tcPr>
            <w:tcW w:w="3272"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4,2</w:t>
            </w:r>
          </w:p>
        </w:tc>
      </w:tr>
      <w:tr w:rsidR="00607F96" w:rsidRPr="00607F96" w:rsidTr="008D25E4">
        <w:trPr>
          <w:trHeight w:val="330"/>
          <w:jc w:val="center"/>
        </w:trPr>
        <w:tc>
          <w:tcPr>
            <w:tcW w:w="0" w:type="auto"/>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2005</w:t>
            </w:r>
          </w:p>
        </w:tc>
        <w:tc>
          <w:tcPr>
            <w:tcW w:w="2672" w:type="dxa"/>
            <w:shd w:val="clear" w:color="auto" w:fill="auto"/>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1949</w:t>
            </w:r>
          </w:p>
        </w:tc>
        <w:tc>
          <w:tcPr>
            <w:tcW w:w="2445"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51349</w:t>
            </w:r>
          </w:p>
        </w:tc>
        <w:tc>
          <w:tcPr>
            <w:tcW w:w="3272"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3,8</w:t>
            </w:r>
          </w:p>
        </w:tc>
      </w:tr>
      <w:tr w:rsidR="00607F96" w:rsidRPr="00607F96" w:rsidTr="008D25E4">
        <w:trPr>
          <w:trHeight w:val="330"/>
          <w:jc w:val="center"/>
        </w:trPr>
        <w:tc>
          <w:tcPr>
            <w:tcW w:w="0" w:type="auto"/>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2006</w:t>
            </w:r>
          </w:p>
        </w:tc>
        <w:tc>
          <w:tcPr>
            <w:tcW w:w="2672" w:type="dxa"/>
            <w:shd w:val="clear" w:color="auto" w:fill="auto"/>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5626</w:t>
            </w:r>
          </w:p>
        </w:tc>
        <w:tc>
          <w:tcPr>
            <w:tcW w:w="2445"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41705</w:t>
            </w:r>
          </w:p>
        </w:tc>
        <w:tc>
          <w:tcPr>
            <w:tcW w:w="3272"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13,5</w:t>
            </w:r>
          </w:p>
        </w:tc>
      </w:tr>
      <w:tr w:rsidR="00607F96" w:rsidRPr="00607F96" w:rsidTr="008D25E4">
        <w:trPr>
          <w:trHeight w:val="330"/>
          <w:jc w:val="center"/>
        </w:trPr>
        <w:tc>
          <w:tcPr>
            <w:tcW w:w="0" w:type="auto"/>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2007</w:t>
            </w:r>
          </w:p>
        </w:tc>
        <w:tc>
          <w:tcPr>
            <w:tcW w:w="2672" w:type="dxa"/>
            <w:shd w:val="clear" w:color="auto" w:fill="auto"/>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4676</w:t>
            </w:r>
          </w:p>
        </w:tc>
        <w:tc>
          <w:tcPr>
            <w:tcW w:w="2445"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29367</w:t>
            </w:r>
          </w:p>
        </w:tc>
        <w:tc>
          <w:tcPr>
            <w:tcW w:w="3272"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15,9</w:t>
            </w:r>
          </w:p>
        </w:tc>
      </w:tr>
      <w:tr w:rsidR="00607F96" w:rsidRPr="00607F96" w:rsidTr="008D25E4">
        <w:trPr>
          <w:trHeight w:val="330"/>
          <w:jc w:val="center"/>
        </w:trPr>
        <w:tc>
          <w:tcPr>
            <w:tcW w:w="0" w:type="auto"/>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2008</w:t>
            </w:r>
          </w:p>
        </w:tc>
        <w:tc>
          <w:tcPr>
            <w:tcW w:w="2672" w:type="dxa"/>
            <w:shd w:val="clear" w:color="auto" w:fill="auto"/>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8145</w:t>
            </w:r>
          </w:p>
        </w:tc>
        <w:tc>
          <w:tcPr>
            <w:tcW w:w="2445"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26003</w:t>
            </w:r>
          </w:p>
        </w:tc>
        <w:tc>
          <w:tcPr>
            <w:tcW w:w="3272"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31,3</w:t>
            </w:r>
          </w:p>
        </w:tc>
      </w:tr>
      <w:tr w:rsidR="00607F96" w:rsidRPr="00607F96" w:rsidTr="008D25E4">
        <w:trPr>
          <w:trHeight w:val="330"/>
          <w:jc w:val="center"/>
        </w:trPr>
        <w:tc>
          <w:tcPr>
            <w:tcW w:w="0" w:type="auto"/>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2009</w:t>
            </w:r>
          </w:p>
        </w:tc>
        <w:tc>
          <w:tcPr>
            <w:tcW w:w="2672" w:type="dxa"/>
            <w:shd w:val="clear" w:color="auto" w:fill="auto"/>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12249</w:t>
            </w:r>
          </w:p>
        </w:tc>
        <w:tc>
          <w:tcPr>
            <w:tcW w:w="2445"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25834</w:t>
            </w:r>
          </w:p>
        </w:tc>
        <w:tc>
          <w:tcPr>
            <w:tcW w:w="3272"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47,4</w:t>
            </w:r>
          </w:p>
        </w:tc>
      </w:tr>
      <w:tr w:rsidR="00607F96" w:rsidRPr="00607F96" w:rsidTr="008D25E4">
        <w:trPr>
          <w:trHeight w:val="330"/>
          <w:jc w:val="center"/>
        </w:trPr>
        <w:tc>
          <w:tcPr>
            <w:tcW w:w="0" w:type="auto"/>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2010</w:t>
            </w:r>
          </w:p>
        </w:tc>
        <w:tc>
          <w:tcPr>
            <w:tcW w:w="2672" w:type="dxa"/>
            <w:shd w:val="clear" w:color="auto" w:fill="auto"/>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10303</w:t>
            </w:r>
          </w:p>
        </w:tc>
        <w:tc>
          <w:tcPr>
            <w:tcW w:w="2445"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29082</w:t>
            </w:r>
          </w:p>
        </w:tc>
        <w:tc>
          <w:tcPr>
            <w:tcW w:w="3272"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35,4</w:t>
            </w:r>
          </w:p>
        </w:tc>
      </w:tr>
      <w:tr w:rsidR="00607F96" w:rsidRPr="00607F96" w:rsidTr="008D25E4">
        <w:trPr>
          <w:trHeight w:val="330"/>
          <w:jc w:val="center"/>
        </w:trPr>
        <w:tc>
          <w:tcPr>
            <w:tcW w:w="0" w:type="auto"/>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lastRenderedPageBreak/>
              <w:t>2011</w:t>
            </w:r>
          </w:p>
        </w:tc>
        <w:tc>
          <w:tcPr>
            <w:tcW w:w="2672" w:type="dxa"/>
            <w:shd w:val="clear" w:color="auto" w:fill="auto"/>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9900</w:t>
            </w:r>
          </w:p>
        </w:tc>
        <w:tc>
          <w:tcPr>
            <w:tcW w:w="2445"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25834</w:t>
            </w:r>
          </w:p>
        </w:tc>
        <w:tc>
          <w:tcPr>
            <w:tcW w:w="3272"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38,3</w:t>
            </w:r>
          </w:p>
        </w:tc>
      </w:tr>
      <w:tr w:rsidR="00607F96" w:rsidRPr="00607F96" w:rsidTr="008D25E4">
        <w:trPr>
          <w:trHeight w:val="330"/>
          <w:jc w:val="center"/>
        </w:trPr>
        <w:tc>
          <w:tcPr>
            <w:tcW w:w="0" w:type="auto"/>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2012</w:t>
            </w:r>
          </w:p>
        </w:tc>
        <w:tc>
          <w:tcPr>
            <w:tcW w:w="2672" w:type="dxa"/>
            <w:shd w:val="clear" w:color="auto" w:fill="auto"/>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9328</w:t>
            </w:r>
          </w:p>
        </w:tc>
        <w:tc>
          <w:tcPr>
            <w:tcW w:w="2445"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10638</w:t>
            </w:r>
          </w:p>
        </w:tc>
        <w:tc>
          <w:tcPr>
            <w:tcW w:w="3272"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87,7</w:t>
            </w:r>
          </w:p>
        </w:tc>
      </w:tr>
      <w:tr w:rsidR="00607F96" w:rsidRPr="00607F96" w:rsidTr="008D25E4">
        <w:trPr>
          <w:trHeight w:val="330"/>
          <w:jc w:val="center"/>
        </w:trPr>
        <w:tc>
          <w:tcPr>
            <w:tcW w:w="0" w:type="auto"/>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2013</w:t>
            </w:r>
          </w:p>
        </w:tc>
        <w:tc>
          <w:tcPr>
            <w:tcW w:w="2672" w:type="dxa"/>
            <w:shd w:val="clear" w:color="auto" w:fill="auto"/>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11643</w:t>
            </w:r>
          </w:p>
        </w:tc>
        <w:tc>
          <w:tcPr>
            <w:tcW w:w="2445"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7329</w:t>
            </w:r>
          </w:p>
        </w:tc>
        <w:tc>
          <w:tcPr>
            <w:tcW w:w="3272"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158,9</w:t>
            </w:r>
          </w:p>
        </w:tc>
      </w:tr>
      <w:tr w:rsidR="00607F96" w:rsidRPr="00607F96" w:rsidTr="008D25E4">
        <w:trPr>
          <w:trHeight w:val="330"/>
          <w:jc w:val="center"/>
        </w:trPr>
        <w:tc>
          <w:tcPr>
            <w:tcW w:w="0" w:type="auto"/>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2014</w:t>
            </w:r>
          </w:p>
        </w:tc>
        <w:tc>
          <w:tcPr>
            <w:tcW w:w="2672" w:type="dxa"/>
            <w:shd w:val="clear" w:color="auto" w:fill="auto"/>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15722</w:t>
            </w:r>
          </w:p>
        </w:tc>
        <w:tc>
          <w:tcPr>
            <w:tcW w:w="2445"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3008</w:t>
            </w:r>
          </w:p>
        </w:tc>
        <w:tc>
          <w:tcPr>
            <w:tcW w:w="3272"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522,7</w:t>
            </w:r>
          </w:p>
        </w:tc>
      </w:tr>
      <w:tr w:rsidR="00607F96" w:rsidRPr="00607F96" w:rsidTr="008D25E4">
        <w:trPr>
          <w:trHeight w:val="300"/>
          <w:jc w:val="center"/>
        </w:trPr>
        <w:tc>
          <w:tcPr>
            <w:tcW w:w="0" w:type="auto"/>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2015</w:t>
            </w:r>
          </w:p>
        </w:tc>
        <w:tc>
          <w:tcPr>
            <w:tcW w:w="2672"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18494</w:t>
            </w:r>
          </w:p>
        </w:tc>
        <w:tc>
          <w:tcPr>
            <w:tcW w:w="2445"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998</w:t>
            </w:r>
          </w:p>
        </w:tc>
        <w:tc>
          <w:tcPr>
            <w:tcW w:w="3272"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1853,1</w:t>
            </w:r>
          </w:p>
        </w:tc>
      </w:tr>
      <w:tr w:rsidR="00607F96" w:rsidRPr="00607F96" w:rsidTr="008D25E4">
        <w:trPr>
          <w:trHeight w:val="300"/>
          <w:jc w:val="center"/>
        </w:trPr>
        <w:tc>
          <w:tcPr>
            <w:tcW w:w="0" w:type="auto"/>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2016</w:t>
            </w:r>
          </w:p>
        </w:tc>
        <w:tc>
          <w:tcPr>
            <w:tcW w:w="2672"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7940</w:t>
            </w:r>
          </w:p>
        </w:tc>
        <w:tc>
          <w:tcPr>
            <w:tcW w:w="2445"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1600</w:t>
            </w:r>
          </w:p>
        </w:tc>
        <w:tc>
          <w:tcPr>
            <w:tcW w:w="3272"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496,3</w:t>
            </w:r>
          </w:p>
        </w:tc>
      </w:tr>
      <w:tr w:rsidR="00607F96" w:rsidRPr="00607F96" w:rsidTr="008D25E4">
        <w:trPr>
          <w:trHeight w:val="300"/>
          <w:jc w:val="center"/>
        </w:trPr>
        <w:tc>
          <w:tcPr>
            <w:tcW w:w="0" w:type="auto"/>
            <w:shd w:val="clear" w:color="auto" w:fill="auto"/>
            <w:noWrap/>
            <w:tcMar>
              <w:top w:w="15" w:type="dxa"/>
              <w:left w:w="15" w:type="dxa"/>
              <w:bottom w:w="0" w:type="dxa"/>
              <w:right w:w="15" w:type="dxa"/>
            </w:tcMar>
            <w:vAlign w:val="center"/>
            <w:hideMark/>
          </w:tcPr>
          <w:p w:rsidR="00607F96" w:rsidRPr="00607F96" w:rsidRDefault="00607F96" w:rsidP="00673E4B">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2017</w:t>
            </w:r>
          </w:p>
        </w:tc>
        <w:tc>
          <w:tcPr>
            <w:tcW w:w="2672" w:type="dxa"/>
            <w:shd w:val="clear" w:color="auto" w:fill="auto"/>
            <w:noWrap/>
            <w:tcMar>
              <w:top w:w="15" w:type="dxa"/>
              <w:left w:w="15" w:type="dxa"/>
              <w:bottom w:w="0" w:type="dxa"/>
              <w:right w:w="15" w:type="dxa"/>
            </w:tcMar>
            <w:vAlign w:val="center"/>
            <w:hideMark/>
          </w:tcPr>
          <w:p w:rsidR="00607F96" w:rsidRPr="00607F96" w:rsidRDefault="00607F96" w:rsidP="00673E4B">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3874</w:t>
            </w:r>
          </w:p>
        </w:tc>
        <w:tc>
          <w:tcPr>
            <w:tcW w:w="2445" w:type="dxa"/>
            <w:shd w:val="clear" w:color="auto" w:fill="auto"/>
            <w:noWrap/>
            <w:tcMar>
              <w:top w:w="15" w:type="dxa"/>
              <w:left w:w="15" w:type="dxa"/>
              <w:bottom w:w="0" w:type="dxa"/>
              <w:right w:w="15" w:type="dxa"/>
            </w:tcMar>
            <w:vAlign w:val="center"/>
            <w:hideMark/>
          </w:tcPr>
          <w:p w:rsidR="00607F96" w:rsidRPr="00607F96" w:rsidRDefault="00607F96" w:rsidP="00673E4B">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16755</w:t>
            </w:r>
          </w:p>
        </w:tc>
        <w:tc>
          <w:tcPr>
            <w:tcW w:w="3272" w:type="dxa"/>
            <w:shd w:val="clear" w:color="auto" w:fill="auto"/>
            <w:noWrap/>
            <w:tcMar>
              <w:top w:w="15" w:type="dxa"/>
              <w:left w:w="15" w:type="dxa"/>
              <w:bottom w:w="0" w:type="dxa"/>
              <w:right w:w="15" w:type="dxa"/>
            </w:tcMar>
            <w:vAlign w:val="center"/>
            <w:hideMark/>
          </w:tcPr>
          <w:p w:rsidR="00607F96" w:rsidRPr="00607F96" w:rsidRDefault="00607F96" w:rsidP="00673E4B">
            <w:pPr>
              <w:spacing w:after="0" w:line="240" w:lineRule="auto"/>
              <w:jc w:val="center"/>
              <w:rPr>
                <w:rFonts w:ascii="Times New Roman" w:hAnsi="Times New Roman" w:cs="Times New Roman"/>
                <w:color w:val="000000"/>
                <w:sz w:val="24"/>
                <w:szCs w:val="24"/>
              </w:rPr>
            </w:pPr>
            <w:r w:rsidRPr="00607F96">
              <w:rPr>
                <w:rFonts w:ascii="Times New Roman" w:hAnsi="Times New Roman" w:cs="Times New Roman"/>
                <w:color w:val="000000"/>
                <w:sz w:val="24"/>
                <w:szCs w:val="24"/>
              </w:rPr>
              <w:t>23,1</w:t>
            </w:r>
          </w:p>
        </w:tc>
      </w:tr>
      <w:tr w:rsidR="00607F96" w:rsidRPr="00607F96" w:rsidTr="008D25E4">
        <w:trPr>
          <w:trHeight w:val="300"/>
          <w:jc w:val="center"/>
        </w:trPr>
        <w:tc>
          <w:tcPr>
            <w:tcW w:w="0" w:type="auto"/>
            <w:shd w:val="clear" w:color="auto" w:fill="auto"/>
            <w:noWrap/>
            <w:tcMar>
              <w:top w:w="15" w:type="dxa"/>
              <w:left w:w="15" w:type="dxa"/>
              <w:bottom w:w="0" w:type="dxa"/>
              <w:right w:w="15" w:type="dxa"/>
            </w:tcMar>
            <w:vAlign w:val="center"/>
            <w:hideMark/>
          </w:tcPr>
          <w:p w:rsidR="00607F96" w:rsidRPr="00607F96" w:rsidRDefault="00607F96" w:rsidP="00673E4B">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2018</w:t>
            </w:r>
          </w:p>
        </w:tc>
        <w:tc>
          <w:tcPr>
            <w:tcW w:w="2672" w:type="dxa"/>
            <w:shd w:val="clear" w:color="auto" w:fill="auto"/>
            <w:noWrap/>
            <w:tcMar>
              <w:top w:w="15" w:type="dxa"/>
              <w:left w:w="15" w:type="dxa"/>
              <w:bottom w:w="0" w:type="dxa"/>
              <w:right w:w="15" w:type="dxa"/>
            </w:tcMar>
            <w:vAlign w:val="center"/>
            <w:hideMark/>
          </w:tcPr>
          <w:p w:rsidR="00607F96" w:rsidRPr="00607F96" w:rsidRDefault="006803E6" w:rsidP="006803E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9</w:t>
            </w:r>
            <w:r w:rsidR="00607F96" w:rsidRPr="00607F96">
              <w:rPr>
                <w:rFonts w:ascii="Times New Roman" w:hAnsi="Times New Roman" w:cs="Times New Roman"/>
                <w:color w:val="000000"/>
                <w:sz w:val="24"/>
                <w:szCs w:val="24"/>
              </w:rPr>
              <w:t>3</w:t>
            </w:r>
            <w:r>
              <w:rPr>
                <w:rFonts w:ascii="Times New Roman" w:hAnsi="Times New Roman" w:cs="Times New Roman"/>
                <w:color w:val="000000"/>
                <w:sz w:val="24"/>
                <w:szCs w:val="24"/>
              </w:rPr>
              <w:t>62</w:t>
            </w:r>
          </w:p>
        </w:tc>
        <w:tc>
          <w:tcPr>
            <w:tcW w:w="2445" w:type="dxa"/>
            <w:shd w:val="clear" w:color="auto" w:fill="auto"/>
            <w:noWrap/>
            <w:tcMar>
              <w:top w:w="15" w:type="dxa"/>
              <w:left w:w="15" w:type="dxa"/>
              <w:bottom w:w="0" w:type="dxa"/>
              <w:right w:w="15" w:type="dxa"/>
            </w:tcMar>
            <w:vAlign w:val="center"/>
            <w:hideMark/>
          </w:tcPr>
          <w:p w:rsidR="00607F96" w:rsidRPr="00607F96" w:rsidRDefault="00607F96" w:rsidP="00673E4B">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26011</w:t>
            </w:r>
          </w:p>
        </w:tc>
        <w:tc>
          <w:tcPr>
            <w:tcW w:w="3272" w:type="dxa"/>
            <w:shd w:val="clear" w:color="auto" w:fill="auto"/>
            <w:noWrap/>
            <w:tcMar>
              <w:top w:w="15" w:type="dxa"/>
              <w:left w:w="15" w:type="dxa"/>
              <w:bottom w:w="0" w:type="dxa"/>
              <w:right w:w="15" w:type="dxa"/>
            </w:tcMar>
            <w:vAlign w:val="center"/>
            <w:hideMark/>
          </w:tcPr>
          <w:p w:rsidR="00607F96" w:rsidRPr="00607F96" w:rsidRDefault="006803E6" w:rsidP="00673E4B">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36,0</w:t>
            </w:r>
          </w:p>
        </w:tc>
      </w:tr>
      <w:tr w:rsidR="00607F96" w:rsidRPr="00607F96" w:rsidTr="008D25E4">
        <w:trPr>
          <w:trHeight w:val="300"/>
          <w:jc w:val="center"/>
        </w:trPr>
        <w:tc>
          <w:tcPr>
            <w:tcW w:w="0" w:type="auto"/>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2019</w:t>
            </w:r>
          </w:p>
        </w:tc>
        <w:tc>
          <w:tcPr>
            <w:tcW w:w="2672" w:type="dxa"/>
            <w:shd w:val="clear" w:color="auto" w:fill="auto"/>
            <w:noWrap/>
            <w:tcMar>
              <w:top w:w="15" w:type="dxa"/>
              <w:left w:w="15" w:type="dxa"/>
              <w:bottom w:w="0" w:type="dxa"/>
              <w:right w:w="15" w:type="dxa"/>
            </w:tcMar>
            <w:vAlign w:val="center"/>
            <w:hideMark/>
          </w:tcPr>
          <w:p w:rsidR="00607F96" w:rsidRPr="00607F96" w:rsidRDefault="006803E6" w:rsidP="00607F9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13870</w:t>
            </w:r>
          </w:p>
        </w:tc>
        <w:tc>
          <w:tcPr>
            <w:tcW w:w="2445" w:type="dxa"/>
            <w:shd w:val="clear" w:color="auto" w:fill="auto"/>
            <w:noWrap/>
            <w:tcMar>
              <w:top w:w="15" w:type="dxa"/>
              <w:left w:w="15" w:type="dxa"/>
              <w:bottom w:w="0" w:type="dxa"/>
              <w:right w:w="15" w:type="dxa"/>
            </w:tcMar>
            <w:vAlign w:val="center"/>
            <w:hideMark/>
          </w:tcPr>
          <w:p w:rsidR="00607F96" w:rsidRPr="00607F96" w:rsidRDefault="00607F96" w:rsidP="00607F9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32868</w:t>
            </w:r>
          </w:p>
        </w:tc>
        <w:tc>
          <w:tcPr>
            <w:tcW w:w="3272" w:type="dxa"/>
            <w:shd w:val="clear" w:color="auto" w:fill="auto"/>
            <w:noWrap/>
            <w:tcMar>
              <w:top w:w="15" w:type="dxa"/>
              <w:left w:w="15" w:type="dxa"/>
              <w:bottom w:w="0" w:type="dxa"/>
              <w:right w:w="15" w:type="dxa"/>
            </w:tcMar>
            <w:vAlign w:val="center"/>
            <w:hideMark/>
          </w:tcPr>
          <w:p w:rsidR="00607F96" w:rsidRPr="00607F96" w:rsidRDefault="006803E6" w:rsidP="00607F96">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42,2</w:t>
            </w:r>
          </w:p>
        </w:tc>
      </w:tr>
    </w:tbl>
    <w:p w:rsidR="00607F96" w:rsidRDefault="00607F96" w:rsidP="00196B38">
      <w:pPr>
        <w:autoSpaceDE w:val="0"/>
        <w:autoSpaceDN w:val="0"/>
        <w:adjustRightInd w:val="0"/>
        <w:spacing w:after="0" w:line="240" w:lineRule="auto"/>
        <w:ind w:firstLine="709"/>
        <w:jc w:val="both"/>
        <w:rPr>
          <w:rFonts w:ascii="Times New Roman" w:hAnsi="Times New Roman" w:cs="Times New Roman"/>
          <w:sz w:val="24"/>
          <w:szCs w:val="24"/>
        </w:rPr>
      </w:pPr>
    </w:p>
    <w:p w:rsidR="00196B38" w:rsidRPr="006803E6" w:rsidRDefault="00196B38" w:rsidP="00196B38">
      <w:pPr>
        <w:autoSpaceDE w:val="0"/>
        <w:autoSpaceDN w:val="0"/>
        <w:adjustRightInd w:val="0"/>
        <w:spacing w:after="0" w:line="240" w:lineRule="auto"/>
        <w:ind w:firstLine="709"/>
        <w:jc w:val="both"/>
        <w:rPr>
          <w:rFonts w:ascii="Times New Roman" w:hAnsi="Times New Roman" w:cs="Times New Roman"/>
          <w:sz w:val="24"/>
          <w:szCs w:val="24"/>
        </w:rPr>
      </w:pPr>
      <w:r w:rsidRPr="006803E6">
        <w:rPr>
          <w:rFonts w:ascii="Times New Roman" w:hAnsi="Times New Roman" w:cs="Times New Roman"/>
          <w:sz w:val="24"/>
          <w:szCs w:val="24"/>
        </w:rPr>
        <w:t xml:space="preserve">Как видим из данных таблицы, если за период 2002-2015 гг.. естественная убыль населения </w:t>
      </w:r>
      <w:r w:rsidR="00F05F82" w:rsidRPr="006803E6">
        <w:rPr>
          <w:rFonts w:ascii="Times New Roman" w:hAnsi="Times New Roman" w:cs="Times New Roman"/>
          <w:sz w:val="24"/>
          <w:szCs w:val="24"/>
        </w:rPr>
        <w:t xml:space="preserve">уменьшилась </w:t>
      </w:r>
      <w:r w:rsidR="005551C0">
        <w:rPr>
          <w:rFonts w:ascii="Times New Roman" w:hAnsi="Times New Roman" w:cs="Times New Roman"/>
          <w:sz w:val="24"/>
          <w:szCs w:val="24"/>
        </w:rPr>
        <w:t xml:space="preserve">с </w:t>
      </w:r>
      <w:r w:rsidRPr="006803E6">
        <w:rPr>
          <w:rFonts w:ascii="Times New Roman" w:hAnsi="Times New Roman" w:cs="Times New Roman"/>
          <w:sz w:val="24"/>
          <w:szCs w:val="24"/>
        </w:rPr>
        <w:t>57,9 тыс. чел</w:t>
      </w:r>
      <w:r w:rsidR="00F05F82" w:rsidRPr="006803E6">
        <w:rPr>
          <w:rFonts w:ascii="Times New Roman" w:hAnsi="Times New Roman" w:cs="Times New Roman"/>
          <w:sz w:val="24"/>
          <w:szCs w:val="24"/>
        </w:rPr>
        <w:t xml:space="preserve">. до </w:t>
      </w:r>
      <w:r w:rsidRPr="006803E6">
        <w:rPr>
          <w:rFonts w:ascii="Times New Roman" w:hAnsi="Times New Roman" w:cs="Times New Roman"/>
          <w:sz w:val="24"/>
          <w:szCs w:val="24"/>
        </w:rPr>
        <w:t>1,0 тыс.</w:t>
      </w:r>
      <w:r w:rsidR="005551C0">
        <w:rPr>
          <w:rFonts w:ascii="Times New Roman" w:hAnsi="Times New Roman" w:cs="Times New Roman"/>
          <w:sz w:val="24"/>
          <w:szCs w:val="24"/>
        </w:rPr>
        <w:t xml:space="preserve"> </w:t>
      </w:r>
      <w:r w:rsidRPr="006803E6">
        <w:rPr>
          <w:rFonts w:ascii="Times New Roman" w:hAnsi="Times New Roman" w:cs="Times New Roman"/>
          <w:sz w:val="24"/>
          <w:szCs w:val="24"/>
        </w:rPr>
        <w:t>чел.</w:t>
      </w:r>
      <w:r w:rsidR="005551C0">
        <w:rPr>
          <w:rFonts w:ascii="Times New Roman" w:hAnsi="Times New Roman" w:cs="Times New Roman"/>
          <w:sz w:val="24"/>
          <w:szCs w:val="24"/>
        </w:rPr>
        <w:t xml:space="preserve"> в 2015 г.</w:t>
      </w:r>
      <w:r w:rsidR="00F05F82" w:rsidRPr="006803E6">
        <w:rPr>
          <w:rFonts w:ascii="Times New Roman" w:hAnsi="Times New Roman" w:cs="Times New Roman"/>
          <w:sz w:val="24"/>
          <w:szCs w:val="24"/>
        </w:rPr>
        <w:t xml:space="preserve">, то в последующие годы показатель </w:t>
      </w:r>
      <w:r w:rsidR="00D358E5" w:rsidRPr="006803E6">
        <w:rPr>
          <w:rFonts w:ascii="Times New Roman" w:hAnsi="Times New Roman" w:cs="Times New Roman"/>
          <w:sz w:val="24"/>
          <w:szCs w:val="24"/>
        </w:rPr>
        <w:t>естественн</w:t>
      </w:r>
      <w:r w:rsidR="00D358E5">
        <w:rPr>
          <w:rFonts w:ascii="Times New Roman" w:hAnsi="Times New Roman" w:cs="Times New Roman"/>
          <w:sz w:val="24"/>
          <w:szCs w:val="24"/>
        </w:rPr>
        <w:t>ой</w:t>
      </w:r>
      <w:r w:rsidR="00D358E5" w:rsidRPr="006803E6">
        <w:rPr>
          <w:rFonts w:ascii="Times New Roman" w:hAnsi="Times New Roman" w:cs="Times New Roman"/>
          <w:sz w:val="24"/>
          <w:szCs w:val="24"/>
        </w:rPr>
        <w:t xml:space="preserve"> убыл</w:t>
      </w:r>
      <w:r w:rsidR="00D358E5">
        <w:rPr>
          <w:rFonts w:ascii="Times New Roman" w:hAnsi="Times New Roman" w:cs="Times New Roman"/>
          <w:sz w:val="24"/>
          <w:szCs w:val="24"/>
        </w:rPr>
        <w:t>и</w:t>
      </w:r>
      <w:r w:rsidR="00D358E5" w:rsidRPr="006803E6">
        <w:rPr>
          <w:rFonts w:ascii="Times New Roman" w:hAnsi="Times New Roman" w:cs="Times New Roman"/>
          <w:sz w:val="24"/>
          <w:szCs w:val="24"/>
        </w:rPr>
        <w:t xml:space="preserve"> населения </w:t>
      </w:r>
      <w:r w:rsidR="00F05F82" w:rsidRPr="006803E6">
        <w:rPr>
          <w:rFonts w:ascii="Times New Roman" w:hAnsi="Times New Roman" w:cs="Times New Roman"/>
          <w:sz w:val="24"/>
          <w:szCs w:val="24"/>
        </w:rPr>
        <w:t xml:space="preserve">резко </w:t>
      </w:r>
      <w:r w:rsidR="00D358E5">
        <w:rPr>
          <w:rFonts w:ascii="Times New Roman" w:hAnsi="Times New Roman" w:cs="Times New Roman"/>
          <w:sz w:val="24"/>
          <w:szCs w:val="24"/>
        </w:rPr>
        <w:t>вырос</w:t>
      </w:r>
      <w:r w:rsidR="00F05F82" w:rsidRPr="006803E6">
        <w:rPr>
          <w:rFonts w:ascii="Times New Roman" w:hAnsi="Times New Roman" w:cs="Times New Roman"/>
          <w:sz w:val="24"/>
          <w:szCs w:val="24"/>
        </w:rPr>
        <w:t>:</w:t>
      </w:r>
      <w:r w:rsidRPr="006803E6">
        <w:rPr>
          <w:rFonts w:ascii="Times New Roman" w:hAnsi="Times New Roman" w:cs="Times New Roman"/>
          <w:sz w:val="24"/>
          <w:szCs w:val="24"/>
        </w:rPr>
        <w:t xml:space="preserve">  2017 г. – 16,8 тыс. чел., </w:t>
      </w:r>
      <w:r w:rsidR="00F05F82" w:rsidRPr="006803E6">
        <w:rPr>
          <w:rFonts w:ascii="Times New Roman" w:hAnsi="Times New Roman" w:cs="Times New Roman"/>
          <w:sz w:val="24"/>
          <w:szCs w:val="24"/>
        </w:rPr>
        <w:t xml:space="preserve">2018 г. – </w:t>
      </w:r>
      <w:r w:rsidR="006803E6" w:rsidRPr="006803E6">
        <w:rPr>
          <w:rFonts w:ascii="Times New Roman" w:hAnsi="Times New Roman" w:cs="Times New Roman"/>
          <w:sz w:val="24"/>
          <w:szCs w:val="24"/>
        </w:rPr>
        <w:t xml:space="preserve"> 26,0 тыс. чел.,</w:t>
      </w:r>
      <w:r w:rsidRPr="006803E6">
        <w:rPr>
          <w:rFonts w:ascii="Times New Roman" w:hAnsi="Times New Roman" w:cs="Times New Roman"/>
          <w:sz w:val="24"/>
          <w:szCs w:val="24"/>
        </w:rPr>
        <w:t xml:space="preserve"> 2019 г. – 32,9 тыс. чел.</w:t>
      </w:r>
      <w:r w:rsidR="00F05F82" w:rsidRPr="006803E6">
        <w:rPr>
          <w:rFonts w:ascii="Times New Roman" w:hAnsi="Times New Roman" w:cs="Times New Roman"/>
          <w:sz w:val="24"/>
          <w:szCs w:val="24"/>
        </w:rPr>
        <w:t xml:space="preserve"> Одновременно</w:t>
      </w:r>
      <w:r w:rsidR="00D358E5">
        <w:rPr>
          <w:rFonts w:ascii="Times New Roman" w:hAnsi="Times New Roman" w:cs="Times New Roman"/>
          <w:sz w:val="24"/>
          <w:szCs w:val="24"/>
        </w:rPr>
        <w:t xml:space="preserve"> </w:t>
      </w:r>
      <w:r w:rsidRPr="001024B8">
        <w:rPr>
          <w:rFonts w:ascii="Times New Roman" w:hAnsi="Times New Roman" w:cs="Times New Roman"/>
          <w:sz w:val="24"/>
          <w:szCs w:val="24"/>
        </w:rPr>
        <w:t xml:space="preserve">положительное сальдо внешней миграции </w:t>
      </w:r>
      <w:r>
        <w:rPr>
          <w:rFonts w:ascii="Times New Roman" w:hAnsi="Times New Roman" w:cs="Times New Roman"/>
          <w:sz w:val="24"/>
          <w:szCs w:val="24"/>
        </w:rPr>
        <w:t xml:space="preserve">(миграционный прирост) </w:t>
      </w:r>
      <w:r w:rsidRPr="001024B8">
        <w:rPr>
          <w:rFonts w:ascii="Times New Roman" w:hAnsi="Times New Roman" w:cs="Times New Roman"/>
          <w:sz w:val="24"/>
          <w:szCs w:val="24"/>
        </w:rPr>
        <w:t xml:space="preserve">в 2019 г. по сравнению с 2015 г. сократилось в 1,3 раза, составив в 2019 г. 13,9 тыс. чел. против 18,5 тыс. чел. в 2015 г.[2] </w:t>
      </w:r>
      <w:r w:rsidR="00F91845">
        <w:rPr>
          <w:rFonts w:ascii="Times New Roman" w:hAnsi="Times New Roman" w:cs="Times New Roman"/>
          <w:sz w:val="24"/>
          <w:szCs w:val="24"/>
        </w:rPr>
        <w:t xml:space="preserve">В результате в 2017 г. </w:t>
      </w:r>
      <w:r w:rsidRPr="001024B8">
        <w:rPr>
          <w:rFonts w:ascii="Times New Roman" w:hAnsi="Times New Roman" w:cs="Times New Roman"/>
          <w:sz w:val="24"/>
          <w:szCs w:val="24"/>
        </w:rPr>
        <w:t xml:space="preserve"> </w:t>
      </w:r>
      <w:r w:rsidR="00F91845">
        <w:rPr>
          <w:rFonts w:ascii="Times New Roman" w:hAnsi="Times New Roman" w:cs="Times New Roman"/>
          <w:sz w:val="24"/>
          <w:szCs w:val="24"/>
        </w:rPr>
        <w:t xml:space="preserve">восполнение </w:t>
      </w:r>
      <w:r w:rsidR="00F91845" w:rsidRPr="001024B8">
        <w:rPr>
          <w:rFonts w:ascii="Times New Roman" w:hAnsi="Times New Roman" w:cs="Times New Roman"/>
          <w:sz w:val="24"/>
          <w:szCs w:val="24"/>
        </w:rPr>
        <w:t>естественной убыли населения Беларуси за сч</w:t>
      </w:r>
      <w:r w:rsidR="00F91845">
        <w:rPr>
          <w:rFonts w:ascii="Times New Roman" w:hAnsi="Times New Roman" w:cs="Times New Roman"/>
          <w:sz w:val="24"/>
          <w:szCs w:val="24"/>
        </w:rPr>
        <w:t xml:space="preserve">ет миграционного прироста </w:t>
      </w:r>
      <w:r w:rsidR="00F91845" w:rsidRPr="001024B8">
        <w:rPr>
          <w:rFonts w:ascii="Times New Roman" w:hAnsi="Times New Roman" w:cs="Times New Roman"/>
          <w:sz w:val="24"/>
          <w:szCs w:val="24"/>
        </w:rPr>
        <w:t>составил</w:t>
      </w:r>
      <w:r w:rsidR="00F91845">
        <w:rPr>
          <w:rFonts w:ascii="Times New Roman" w:hAnsi="Times New Roman" w:cs="Times New Roman"/>
          <w:sz w:val="24"/>
          <w:szCs w:val="24"/>
        </w:rPr>
        <w:t>о</w:t>
      </w:r>
      <w:r w:rsidR="00F91845" w:rsidRPr="001024B8">
        <w:rPr>
          <w:rFonts w:ascii="Times New Roman" w:hAnsi="Times New Roman" w:cs="Times New Roman"/>
          <w:sz w:val="24"/>
          <w:szCs w:val="24"/>
        </w:rPr>
        <w:t xml:space="preserve"> </w:t>
      </w:r>
      <w:r w:rsidR="00F91845">
        <w:rPr>
          <w:rFonts w:ascii="Times New Roman" w:hAnsi="Times New Roman" w:cs="Times New Roman"/>
          <w:sz w:val="24"/>
          <w:szCs w:val="24"/>
        </w:rPr>
        <w:t xml:space="preserve">всего лишь </w:t>
      </w:r>
      <w:r w:rsidR="00F91845" w:rsidRPr="001024B8">
        <w:rPr>
          <w:rFonts w:ascii="Times New Roman" w:hAnsi="Times New Roman" w:cs="Times New Roman"/>
          <w:sz w:val="24"/>
          <w:szCs w:val="24"/>
        </w:rPr>
        <w:t>23,1%, в 2018 г. – 36,0%, в 2019 г. – 42,2% [1, 2].</w:t>
      </w:r>
      <w:r w:rsidR="00F91845">
        <w:rPr>
          <w:rFonts w:ascii="Times New Roman" w:hAnsi="Times New Roman" w:cs="Times New Roman"/>
          <w:sz w:val="24"/>
          <w:szCs w:val="24"/>
        </w:rPr>
        <w:t xml:space="preserve"> </w:t>
      </w:r>
      <w:r w:rsidR="00F6182E">
        <w:rPr>
          <w:rFonts w:ascii="Times New Roman" w:hAnsi="Times New Roman" w:cs="Times New Roman"/>
          <w:sz w:val="24"/>
          <w:szCs w:val="24"/>
        </w:rPr>
        <w:t>Р</w:t>
      </w:r>
      <w:r w:rsidR="00F05F82">
        <w:rPr>
          <w:rFonts w:ascii="Times New Roman" w:hAnsi="Times New Roman" w:cs="Times New Roman"/>
          <w:sz w:val="24"/>
          <w:szCs w:val="24"/>
        </w:rPr>
        <w:t>ост</w:t>
      </w:r>
      <w:r w:rsidR="00F6182E">
        <w:rPr>
          <w:rFonts w:ascii="Times New Roman" w:hAnsi="Times New Roman" w:cs="Times New Roman"/>
          <w:sz w:val="24"/>
          <w:szCs w:val="24"/>
        </w:rPr>
        <w:t xml:space="preserve"> </w:t>
      </w:r>
      <w:r w:rsidR="00F05F82">
        <w:rPr>
          <w:rFonts w:ascii="Times New Roman" w:hAnsi="Times New Roman" w:cs="Times New Roman"/>
          <w:sz w:val="24"/>
          <w:szCs w:val="24"/>
        </w:rPr>
        <w:t xml:space="preserve"> </w:t>
      </w:r>
      <w:r w:rsidR="00F05F82" w:rsidRPr="001024B8">
        <w:rPr>
          <w:rFonts w:ascii="Times New Roman" w:hAnsi="Times New Roman" w:cs="Times New Roman"/>
          <w:sz w:val="24"/>
          <w:szCs w:val="24"/>
        </w:rPr>
        <w:t>естественн</w:t>
      </w:r>
      <w:r w:rsidR="00F05F82">
        <w:rPr>
          <w:rFonts w:ascii="Times New Roman" w:hAnsi="Times New Roman" w:cs="Times New Roman"/>
          <w:sz w:val="24"/>
          <w:szCs w:val="24"/>
        </w:rPr>
        <w:t>ой</w:t>
      </w:r>
      <w:r w:rsidR="00F05F82" w:rsidRPr="001024B8">
        <w:rPr>
          <w:rFonts w:ascii="Times New Roman" w:hAnsi="Times New Roman" w:cs="Times New Roman"/>
          <w:sz w:val="24"/>
          <w:szCs w:val="24"/>
        </w:rPr>
        <w:t xml:space="preserve"> убыл</w:t>
      </w:r>
      <w:r w:rsidR="00F05F82">
        <w:rPr>
          <w:rFonts w:ascii="Times New Roman" w:hAnsi="Times New Roman" w:cs="Times New Roman"/>
          <w:sz w:val="24"/>
          <w:szCs w:val="24"/>
        </w:rPr>
        <w:t>и</w:t>
      </w:r>
      <w:r w:rsidR="00F05F82" w:rsidRPr="001024B8">
        <w:rPr>
          <w:rFonts w:ascii="Times New Roman" w:hAnsi="Times New Roman" w:cs="Times New Roman"/>
          <w:sz w:val="24"/>
          <w:szCs w:val="24"/>
        </w:rPr>
        <w:t xml:space="preserve"> населения </w:t>
      </w:r>
      <w:r w:rsidR="00F05F82">
        <w:rPr>
          <w:rFonts w:ascii="Times New Roman" w:hAnsi="Times New Roman" w:cs="Times New Roman"/>
          <w:sz w:val="24"/>
          <w:szCs w:val="24"/>
        </w:rPr>
        <w:t>и с</w:t>
      </w:r>
      <w:r w:rsidRPr="001024B8">
        <w:rPr>
          <w:rFonts w:ascii="Times New Roman" w:hAnsi="Times New Roman" w:cs="Times New Roman"/>
          <w:sz w:val="24"/>
          <w:szCs w:val="24"/>
        </w:rPr>
        <w:t>окращени</w:t>
      </w:r>
      <w:r w:rsidR="00F6182E">
        <w:rPr>
          <w:rFonts w:ascii="Times New Roman" w:hAnsi="Times New Roman" w:cs="Times New Roman"/>
          <w:sz w:val="24"/>
          <w:szCs w:val="24"/>
        </w:rPr>
        <w:t>е</w:t>
      </w:r>
      <w:r w:rsidRPr="001024B8">
        <w:rPr>
          <w:rFonts w:ascii="Times New Roman" w:hAnsi="Times New Roman" w:cs="Times New Roman"/>
          <w:sz w:val="24"/>
          <w:szCs w:val="24"/>
        </w:rPr>
        <w:t xml:space="preserve"> </w:t>
      </w:r>
      <w:r w:rsidR="00F91845">
        <w:rPr>
          <w:rFonts w:ascii="Times New Roman" w:hAnsi="Times New Roman" w:cs="Times New Roman"/>
          <w:sz w:val="24"/>
          <w:szCs w:val="24"/>
        </w:rPr>
        <w:t>компенсаторной функции</w:t>
      </w:r>
      <w:r w:rsidRPr="001024B8">
        <w:rPr>
          <w:rFonts w:ascii="Times New Roman" w:hAnsi="Times New Roman" w:cs="Times New Roman"/>
          <w:sz w:val="24"/>
          <w:szCs w:val="24"/>
        </w:rPr>
        <w:t xml:space="preserve"> внешней миграции населения </w:t>
      </w:r>
      <w:r w:rsidR="00F6182E">
        <w:rPr>
          <w:rFonts w:ascii="Times New Roman" w:hAnsi="Times New Roman" w:cs="Times New Roman"/>
          <w:sz w:val="24"/>
          <w:szCs w:val="24"/>
        </w:rPr>
        <w:t>в последние годы привели к</w:t>
      </w:r>
      <w:r w:rsidRPr="001024B8">
        <w:rPr>
          <w:rFonts w:ascii="Times New Roman" w:hAnsi="Times New Roman" w:cs="Times New Roman"/>
          <w:sz w:val="24"/>
          <w:szCs w:val="24"/>
        </w:rPr>
        <w:t xml:space="preserve"> </w:t>
      </w:r>
      <w:r w:rsidR="00F6182E">
        <w:rPr>
          <w:rFonts w:ascii="Times New Roman" w:hAnsi="Times New Roman" w:cs="Times New Roman"/>
          <w:sz w:val="24"/>
          <w:szCs w:val="24"/>
        </w:rPr>
        <w:t xml:space="preserve">уменьшению </w:t>
      </w:r>
      <w:r w:rsidR="00D358E5">
        <w:rPr>
          <w:rFonts w:ascii="Times New Roman" w:hAnsi="Times New Roman" w:cs="Times New Roman"/>
          <w:sz w:val="24"/>
          <w:szCs w:val="24"/>
        </w:rPr>
        <w:t>численности населения страны</w:t>
      </w:r>
      <w:r w:rsidR="00F6182E">
        <w:rPr>
          <w:rFonts w:ascii="Times New Roman" w:hAnsi="Times New Roman" w:cs="Times New Roman"/>
          <w:sz w:val="24"/>
          <w:szCs w:val="24"/>
        </w:rPr>
        <w:t xml:space="preserve">. Так, за период 2017-2020 гг. </w:t>
      </w:r>
      <w:r w:rsidRPr="001024B8">
        <w:rPr>
          <w:rFonts w:ascii="Times New Roman" w:hAnsi="Times New Roman" w:cs="Times New Roman"/>
          <w:sz w:val="24"/>
          <w:szCs w:val="24"/>
        </w:rPr>
        <w:t xml:space="preserve">общая численность населения Беларуси </w:t>
      </w:r>
      <w:r w:rsidR="007419C5">
        <w:rPr>
          <w:rFonts w:ascii="Times New Roman" w:hAnsi="Times New Roman" w:cs="Times New Roman"/>
          <w:sz w:val="24"/>
          <w:szCs w:val="24"/>
        </w:rPr>
        <w:t>сократилась</w:t>
      </w:r>
      <w:r w:rsidRPr="001024B8">
        <w:rPr>
          <w:rFonts w:ascii="Times New Roman" w:hAnsi="Times New Roman" w:cs="Times New Roman"/>
          <w:sz w:val="24"/>
          <w:szCs w:val="24"/>
        </w:rPr>
        <w:t xml:space="preserve"> на </w:t>
      </w:r>
      <w:r w:rsidR="006803E6">
        <w:rPr>
          <w:rFonts w:ascii="Times New Roman" w:hAnsi="Times New Roman" w:cs="Times New Roman"/>
          <w:sz w:val="24"/>
          <w:szCs w:val="24"/>
        </w:rPr>
        <w:t>96,3</w:t>
      </w:r>
      <w:r w:rsidRPr="001024B8">
        <w:rPr>
          <w:rFonts w:ascii="Times New Roman" w:hAnsi="Times New Roman" w:cs="Times New Roman"/>
          <w:sz w:val="24"/>
          <w:szCs w:val="24"/>
        </w:rPr>
        <w:t>тысяч человек</w:t>
      </w:r>
      <w:r w:rsidRPr="006803E6">
        <w:rPr>
          <w:rFonts w:ascii="Times New Roman" w:hAnsi="Times New Roman" w:cs="Times New Roman"/>
          <w:sz w:val="24"/>
          <w:szCs w:val="24"/>
        </w:rPr>
        <w:t>.</w:t>
      </w:r>
    </w:p>
    <w:p w:rsidR="00B01751" w:rsidRPr="007419C5" w:rsidRDefault="00976363" w:rsidP="00B01751">
      <w:pPr>
        <w:pStyle w:val="a4"/>
        <w:spacing w:after="0" w:line="240" w:lineRule="auto"/>
        <w:ind w:firstLine="709"/>
        <w:jc w:val="both"/>
        <w:rPr>
          <w:sz w:val="24"/>
          <w:szCs w:val="24"/>
        </w:rPr>
      </w:pPr>
      <w:r>
        <w:rPr>
          <w:sz w:val="24"/>
          <w:szCs w:val="24"/>
        </w:rPr>
        <w:t>Следует отметить, что в</w:t>
      </w:r>
      <w:r w:rsidRPr="001024B8">
        <w:rPr>
          <w:sz w:val="24"/>
          <w:szCs w:val="24"/>
        </w:rPr>
        <w:t xml:space="preserve"> современных геополитических и экономических условиях для Беларуси задача сохранения в течение длительного времени стабильного миграционного прироста не менее сложная, чем задача снижения смертности и повышения рождаемости. Миграционный потенциал белорусской диаспоры постсоветского пространства практически исчерпан. </w:t>
      </w:r>
      <w:r w:rsidR="00B01751" w:rsidRPr="001024B8">
        <w:rPr>
          <w:sz w:val="24"/>
          <w:szCs w:val="24"/>
        </w:rPr>
        <w:t xml:space="preserve">Согласно демографическому прогнозу, </w:t>
      </w:r>
      <w:r w:rsidR="007419C5">
        <w:rPr>
          <w:sz w:val="24"/>
          <w:szCs w:val="24"/>
        </w:rPr>
        <w:t xml:space="preserve">ежегодное </w:t>
      </w:r>
      <w:r w:rsidR="00B01751" w:rsidRPr="001024B8">
        <w:rPr>
          <w:sz w:val="24"/>
          <w:szCs w:val="24"/>
        </w:rPr>
        <w:t>сальдо внешней миграции населения Республики Беларусь на 20</w:t>
      </w:r>
      <w:r w:rsidR="007419C5">
        <w:rPr>
          <w:sz w:val="24"/>
          <w:szCs w:val="24"/>
        </w:rPr>
        <w:t>21</w:t>
      </w:r>
      <w:r w:rsidR="00B01751" w:rsidRPr="001024B8">
        <w:rPr>
          <w:sz w:val="24"/>
          <w:szCs w:val="24"/>
        </w:rPr>
        <w:t xml:space="preserve">-2025 гг. прогнозируется на уровне 3,7 – 5,8 тыс. чел. и только к 2040 г. </w:t>
      </w:r>
      <w:r w:rsidR="007419C5">
        <w:rPr>
          <w:sz w:val="24"/>
          <w:szCs w:val="24"/>
        </w:rPr>
        <w:t xml:space="preserve">оно может </w:t>
      </w:r>
      <w:r w:rsidR="00B01751" w:rsidRPr="001024B8">
        <w:rPr>
          <w:sz w:val="24"/>
          <w:szCs w:val="24"/>
        </w:rPr>
        <w:t>достигн</w:t>
      </w:r>
      <w:r w:rsidR="007419C5">
        <w:rPr>
          <w:sz w:val="24"/>
          <w:szCs w:val="24"/>
        </w:rPr>
        <w:t>уть</w:t>
      </w:r>
      <w:r w:rsidR="00B01751" w:rsidRPr="001024B8">
        <w:rPr>
          <w:sz w:val="24"/>
          <w:szCs w:val="24"/>
        </w:rPr>
        <w:t xml:space="preserve"> 10</w:t>
      </w:r>
      <w:r w:rsidR="00B01751">
        <w:rPr>
          <w:sz w:val="24"/>
          <w:szCs w:val="24"/>
        </w:rPr>
        <w:t>,5 тыс.</w:t>
      </w:r>
      <w:r w:rsidR="00B01751" w:rsidRPr="001024B8">
        <w:rPr>
          <w:sz w:val="24"/>
          <w:szCs w:val="24"/>
        </w:rPr>
        <w:t xml:space="preserve"> чел. </w:t>
      </w:r>
      <w:r w:rsidR="006803E6" w:rsidRPr="007419C5">
        <w:rPr>
          <w:sz w:val="24"/>
          <w:szCs w:val="24"/>
        </w:rPr>
        <w:t>[3]</w:t>
      </w:r>
    </w:p>
    <w:p w:rsidR="00B01751" w:rsidRPr="001024B8" w:rsidRDefault="005E333A" w:rsidP="00E6598E">
      <w:pPr>
        <w:pStyle w:val="a4"/>
        <w:spacing w:after="0" w:line="240" w:lineRule="auto"/>
        <w:ind w:firstLine="709"/>
        <w:jc w:val="both"/>
        <w:rPr>
          <w:sz w:val="24"/>
          <w:szCs w:val="24"/>
        </w:rPr>
      </w:pPr>
      <w:r>
        <w:rPr>
          <w:sz w:val="24"/>
          <w:szCs w:val="24"/>
        </w:rPr>
        <w:t xml:space="preserve">Следует </w:t>
      </w:r>
      <w:r w:rsidR="00976363">
        <w:rPr>
          <w:sz w:val="24"/>
          <w:szCs w:val="24"/>
        </w:rPr>
        <w:t xml:space="preserve">также </w:t>
      </w:r>
      <w:r>
        <w:rPr>
          <w:sz w:val="24"/>
          <w:szCs w:val="24"/>
        </w:rPr>
        <w:t xml:space="preserve">отметить, что </w:t>
      </w:r>
      <w:r w:rsidR="00BF7D2D" w:rsidRPr="001024B8">
        <w:rPr>
          <w:sz w:val="24"/>
          <w:szCs w:val="24"/>
        </w:rPr>
        <w:t>рост показателей естественной убыли населения</w:t>
      </w:r>
      <w:r>
        <w:rPr>
          <w:sz w:val="24"/>
          <w:szCs w:val="24"/>
        </w:rPr>
        <w:t xml:space="preserve"> в последнее пятилетие</w:t>
      </w:r>
      <w:r w:rsidR="00BF7D2D" w:rsidRPr="001024B8">
        <w:rPr>
          <w:sz w:val="24"/>
          <w:szCs w:val="24"/>
        </w:rPr>
        <w:t xml:space="preserve"> </w:t>
      </w:r>
      <w:r w:rsidR="007419C5">
        <w:rPr>
          <w:sz w:val="24"/>
          <w:szCs w:val="24"/>
        </w:rPr>
        <w:t xml:space="preserve">определяется белорусскими демографами как следствие </w:t>
      </w:r>
      <w:r w:rsidR="00BF7D2D" w:rsidRPr="001024B8">
        <w:rPr>
          <w:sz w:val="24"/>
          <w:szCs w:val="24"/>
        </w:rPr>
        <w:t>вступлени</w:t>
      </w:r>
      <w:r w:rsidR="007419C5">
        <w:rPr>
          <w:sz w:val="24"/>
          <w:szCs w:val="24"/>
        </w:rPr>
        <w:t>я</w:t>
      </w:r>
      <w:r w:rsidR="00BF7D2D" w:rsidRPr="001024B8">
        <w:rPr>
          <w:sz w:val="24"/>
          <w:szCs w:val="24"/>
        </w:rPr>
        <w:t xml:space="preserve"> в репродуктивный возраст малочисленных когорт 1990-х гг. и их потомков. Причина их малой численности – резкий спад рождаемости в 1990-е гг., когда произошло сокращение абсолютного количества родившихся с 142,2 тыс. чел. в 1990 до 93,7 тыс.</w:t>
      </w:r>
      <w:r w:rsidR="00B01751">
        <w:rPr>
          <w:sz w:val="24"/>
          <w:szCs w:val="24"/>
        </w:rPr>
        <w:t xml:space="preserve"> чел.</w:t>
      </w:r>
      <w:r w:rsidR="00BF7D2D" w:rsidRPr="001024B8">
        <w:rPr>
          <w:sz w:val="24"/>
          <w:szCs w:val="24"/>
        </w:rPr>
        <w:t xml:space="preserve"> в 2000 г. Поэтому, как считают демографы, </w:t>
      </w:r>
      <w:r w:rsidR="00E6598E">
        <w:rPr>
          <w:sz w:val="24"/>
          <w:szCs w:val="24"/>
        </w:rPr>
        <w:t>с</w:t>
      </w:r>
      <w:r w:rsidR="00E6598E" w:rsidRPr="001024B8">
        <w:rPr>
          <w:sz w:val="24"/>
          <w:szCs w:val="24"/>
        </w:rPr>
        <w:t xml:space="preserve">ложившаяся к настоящему времени половозрастная структура населения </w:t>
      </w:r>
      <w:r w:rsidR="005551C0">
        <w:rPr>
          <w:sz w:val="24"/>
          <w:szCs w:val="24"/>
        </w:rPr>
        <w:t xml:space="preserve">республики </w:t>
      </w:r>
      <w:r w:rsidR="00E6598E" w:rsidRPr="001024B8">
        <w:rPr>
          <w:sz w:val="24"/>
          <w:szCs w:val="24"/>
        </w:rPr>
        <w:t xml:space="preserve">и параметры его воспроизводства будут обусловливать </w:t>
      </w:r>
      <w:r w:rsidR="005551C0">
        <w:rPr>
          <w:sz w:val="24"/>
          <w:szCs w:val="24"/>
        </w:rPr>
        <w:t xml:space="preserve">процесс </w:t>
      </w:r>
      <w:r w:rsidR="00E6598E" w:rsidRPr="001024B8">
        <w:rPr>
          <w:sz w:val="24"/>
          <w:szCs w:val="24"/>
        </w:rPr>
        <w:t>депопуляци</w:t>
      </w:r>
      <w:r w:rsidR="005551C0">
        <w:rPr>
          <w:sz w:val="24"/>
          <w:szCs w:val="24"/>
        </w:rPr>
        <w:t xml:space="preserve">и. Соответственно, </w:t>
      </w:r>
      <w:r w:rsidR="00E6598E" w:rsidRPr="001024B8">
        <w:rPr>
          <w:sz w:val="24"/>
          <w:szCs w:val="24"/>
        </w:rPr>
        <w:t xml:space="preserve">численность населения будет уменьшаться еще длительное время, особенно ощутимо – в третьем десятилетии </w:t>
      </w:r>
      <w:r w:rsidR="00E6598E" w:rsidRPr="001024B8">
        <w:rPr>
          <w:sz w:val="24"/>
          <w:szCs w:val="24"/>
          <w:lang w:val="be-BY"/>
        </w:rPr>
        <w:t xml:space="preserve">ХХІ </w:t>
      </w:r>
      <w:r w:rsidR="00E6598E" w:rsidRPr="001024B8">
        <w:rPr>
          <w:sz w:val="24"/>
          <w:szCs w:val="24"/>
        </w:rPr>
        <w:t xml:space="preserve">века. </w:t>
      </w:r>
      <w:r w:rsidR="00B01751" w:rsidRPr="001024B8">
        <w:rPr>
          <w:sz w:val="24"/>
          <w:szCs w:val="24"/>
        </w:rPr>
        <w:t>Согласно демографическому прогнозу, осуществленному НИЭИ Министерства экономики Республики Беларус</w:t>
      </w:r>
      <w:r w:rsidR="005A7AE8">
        <w:rPr>
          <w:sz w:val="24"/>
          <w:szCs w:val="24"/>
        </w:rPr>
        <w:t>ь, естественная убыль населения</w:t>
      </w:r>
      <w:r w:rsidR="00B01751" w:rsidRPr="001024B8">
        <w:rPr>
          <w:sz w:val="24"/>
          <w:szCs w:val="24"/>
        </w:rPr>
        <w:t xml:space="preserve"> Беларуси в 2025 г. </w:t>
      </w:r>
      <w:r w:rsidR="00B01751">
        <w:rPr>
          <w:sz w:val="24"/>
          <w:szCs w:val="24"/>
        </w:rPr>
        <w:t xml:space="preserve">составит </w:t>
      </w:r>
      <w:r w:rsidR="00B01751" w:rsidRPr="001024B8">
        <w:rPr>
          <w:sz w:val="24"/>
          <w:szCs w:val="24"/>
        </w:rPr>
        <w:t>28</w:t>
      </w:r>
      <w:r w:rsidR="00B01751">
        <w:rPr>
          <w:sz w:val="24"/>
          <w:szCs w:val="24"/>
        </w:rPr>
        <w:t>,</w:t>
      </w:r>
      <w:r w:rsidR="00B01751" w:rsidRPr="001024B8">
        <w:rPr>
          <w:sz w:val="24"/>
          <w:szCs w:val="24"/>
        </w:rPr>
        <w:t>2</w:t>
      </w:r>
      <w:r w:rsidR="00B01751">
        <w:rPr>
          <w:sz w:val="24"/>
          <w:szCs w:val="24"/>
        </w:rPr>
        <w:t xml:space="preserve"> тыс.</w:t>
      </w:r>
      <w:r w:rsidR="00B01751" w:rsidRPr="001024B8">
        <w:rPr>
          <w:sz w:val="24"/>
          <w:szCs w:val="24"/>
        </w:rPr>
        <w:t xml:space="preserve"> чел., в 2030 г. – 31</w:t>
      </w:r>
      <w:r w:rsidR="00B01751">
        <w:rPr>
          <w:sz w:val="24"/>
          <w:szCs w:val="24"/>
        </w:rPr>
        <w:t xml:space="preserve">,1 тыс. </w:t>
      </w:r>
      <w:r w:rsidR="00B01751" w:rsidRPr="001024B8">
        <w:rPr>
          <w:sz w:val="24"/>
          <w:szCs w:val="24"/>
        </w:rPr>
        <w:t>чел., в 2040 г. – 22</w:t>
      </w:r>
      <w:r w:rsidR="00B01751">
        <w:rPr>
          <w:sz w:val="24"/>
          <w:szCs w:val="24"/>
        </w:rPr>
        <w:t xml:space="preserve">,2 тыс. чел. </w:t>
      </w:r>
      <w:r w:rsidR="00DC065F" w:rsidRPr="00DC065F">
        <w:rPr>
          <w:sz w:val="24"/>
          <w:szCs w:val="24"/>
        </w:rPr>
        <w:t xml:space="preserve">[3] </w:t>
      </w:r>
      <w:r w:rsidR="00B01751">
        <w:rPr>
          <w:sz w:val="24"/>
          <w:szCs w:val="24"/>
        </w:rPr>
        <w:t xml:space="preserve">С учетом вышеприведенных прогнозных показателей </w:t>
      </w:r>
      <w:r w:rsidR="00400E5F">
        <w:rPr>
          <w:sz w:val="24"/>
          <w:szCs w:val="24"/>
        </w:rPr>
        <w:t xml:space="preserve">ежегодного </w:t>
      </w:r>
      <w:r w:rsidR="00B01751">
        <w:rPr>
          <w:sz w:val="24"/>
          <w:szCs w:val="24"/>
        </w:rPr>
        <w:t xml:space="preserve">положительного </w:t>
      </w:r>
      <w:r w:rsidR="00B01751" w:rsidRPr="001024B8">
        <w:rPr>
          <w:sz w:val="24"/>
          <w:szCs w:val="24"/>
        </w:rPr>
        <w:t>сальдо внешней миграции населения Республики Беларусь</w:t>
      </w:r>
      <w:r w:rsidR="007419C5">
        <w:rPr>
          <w:sz w:val="24"/>
          <w:szCs w:val="24"/>
        </w:rPr>
        <w:t xml:space="preserve"> </w:t>
      </w:r>
      <w:r w:rsidR="00400E5F">
        <w:rPr>
          <w:sz w:val="24"/>
          <w:szCs w:val="24"/>
        </w:rPr>
        <w:t xml:space="preserve">на период 2021-2040 гг. </w:t>
      </w:r>
      <w:r w:rsidR="00B01751" w:rsidRPr="001024B8">
        <w:rPr>
          <w:sz w:val="24"/>
          <w:szCs w:val="24"/>
        </w:rPr>
        <w:t xml:space="preserve">можно с высокой долей вероятности утверждать, что </w:t>
      </w:r>
      <w:r w:rsidR="00B01751">
        <w:rPr>
          <w:sz w:val="24"/>
          <w:szCs w:val="24"/>
        </w:rPr>
        <w:t>Беларусь ожидает</w:t>
      </w:r>
      <w:r w:rsidR="00B01751" w:rsidRPr="001024B8">
        <w:rPr>
          <w:sz w:val="24"/>
          <w:szCs w:val="24"/>
        </w:rPr>
        <w:t xml:space="preserve"> долговременное </w:t>
      </w:r>
      <w:r w:rsidR="005551C0">
        <w:rPr>
          <w:sz w:val="24"/>
          <w:szCs w:val="24"/>
        </w:rPr>
        <w:t>сокращение</w:t>
      </w:r>
      <w:r w:rsidR="00B01751" w:rsidRPr="001024B8">
        <w:rPr>
          <w:sz w:val="24"/>
          <w:szCs w:val="24"/>
        </w:rPr>
        <w:t xml:space="preserve"> численности населения, которое к 2040 году</w:t>
      </w:r>
      <w:r w:rsidR="007419C5">
        <w:rPr>
          <w:sz w:val="24"/>
          <w:szCs w:val="24"/>
        </w:rPr>
        <w:t xml:space="preserve">, согласно прогноза, </w:t>
      </w:r>
      <w:r w:rsidR="00B01751" w:rsidRPr="001024B8">
        <w:rPr>
          <w:sz w:val="24"/>
          <w:szCs w:val="24"/>
        </w:rPr>
        <w:t>составит</w:t>
      </w:r>
      <w:r w:rsidR="007419C5">
        <w:rPr>
          <w:sz w:val="24"/>
          <w:szCs w:val="24"/>
        </w:rPr>
        <w:t xml:space="preserve"> </w:t>
      </w:r>
      <w:r w:rsidR="00B01751" w:rsidRPr="001024B8">
        <w:rPr>
          <w:sz w:val="24"/>
          <w:szCs w:val="24"/>
        </w:rPr>
        <w:t xml:space="preserve">9048,1 тыс. чел. </w:t>
      </w:r>
    </w:p>
    <w:p w:rsidR="006C0C9E" w:rsidRPr="001024B8" w:rsidRDefault="006C0C9E" w:rsidP="001024B8">
      <w:pPr>
        <w:spacing w:after="0" w:line="240" w:lineRule="auto"/>
        <w:ind w:firstLine="709"/>
        <w:jc w:val="both"/>
        <w:rPr>
          <w:rFonts w:ascii="Times New Roman" w:hAnsi="Times New Roman" w:cs="Times New Roman"/>
          <w:sz w:val="24"/>
          <w:szCs w:val="24"/>
        </w:rPr>
      </w:pPr>
      <w:r w:rsidRPr="001024B8">
        <w:rPr>
          <w:rFonts w:ascii="Times New Roman" w:hAnsi="Times New Roman" w:cs="Times New Roman"/>
          <w:sz w:val="24"/>
          <w:szCs w:val="24"/>
        </w:rPr>
        <w:t xml:space="preserve">Таким образом, в долгосрочной перспективе </w:t>
      </w:r>
      <w:r w:rsidR="001024B8" w:rsidRPr="001024B8">
        <w:rPr>
          <w:rFonts w:ascii="Times New Roman" w:hAnsi="Times New Roman" w:cs="Times New Roman"/>
          <w:sz w:val="24"/>
          <w:szCs w:val="24"/>
        </w:rPr>
        <w:t>д</w:t>
      </w:r>
      <w:r w:rsidRPr="001024B8">
        <w:rPr>
          <w:rFonts w:ascii="Times New Roman" w:hAnsi="Times New Roman" w:cs="Times New Roman"/>
          <w:sz w:val="24"/>
          <w:szCs w:val="24"/>
        </w:rPr>
        <w:t xml:space="preserve">ля решения всего комплекса демографических и миграционных проблем, вставших перед Беларусью, необходимо формирование новой парадигмы развития государственной демографической и миграционной политики, способной предупредить и нивелировать большинство демографических </w:t>
      </w:r>
      <w:r w:rsidR="00F771F5" w:rsidRPr="001024B8">
        <w:rPr>
          <w:rFonts w:ascii="Times New Roman" w:hAnsi="Times New Roman" w:cs="Times New Roman"/>
          <w:sz w:val="24"/>
          <w:szCs w:val="24"/>
        </w:rPr>
        <w:t xml:space="preserve">и миграционных </w:t>
      </w:r>
      <w:r w:rsidRPr="001024B8">
        <w:rPr>
          <w:rFonts w:ascii="Times New Roman" w:hAnsi="Times New Roman" w:cs="Times New Roman"/>
          <w:sz w:val="24"/>
          <w:szCs w:val="24"/>
        </w:rPr>
        <w:t>угроз и способствовать формированию прогрессивного типа воспроизводства населения.</w:t>
      </w:r>
    </w:p>
    <w:p w:rsidR="00024E43" w:rsidRPr="001024B8" w:rsidRDefault="00024E43" w:rsidP="001024B8">
      <w:pPr>
        <w:spacing w:after="0" w:line="240" w:lineRule="auto"/>
        <w:ind w:firstLine="709"/>
        <w:jc w:val="both"/>
        <w:rPr>
          <w:rFonts w:ascii="Times New Roman" w:hAnsi="Times New Roman" w:cs="Times New Roman"/>
          <w:sz w:val="24"/>
          <w:szCs w:val="24"/>
          <w:shd w:val="clear" w:color="auto" w:fill="FFFFFF"/>
        </w:rPr>
      </w:pPr>
    </w:p>
    <w:p w:rsidR="006C0C9E" w:rsidRPr="001024B8" w:rsidRDefault="00024E43" w:rsidP="001024B8">
      <w:pPr>
        <w:autoSpaceDE w:val="0"/>
        <w:autoSpaceDN w:val="0"/>
        <w:adjustRightInd w:val="0"/>
        <w:spacing w:after="0" w:line="240" w:lineRule="auto"/>
        <w:ind w:firstLine="709"/>
        <w:jc w:val="center"/>
        <w:rPr>
          <w:rFonts w:ascii="Times New Roman" w:hAnsi="Times New Roman" w:cs="Times New Roman"/>
          <w:b/>
          <w:sz w:val="24"/>
          <w:szCs w:val="24"/>
        </w:rPr>
      </w:pPr>
      <w:r w:rsidRPr="001024B8">
        <w:rPr>
          <w:rFonts w:ascii="Times New Roman" w:hAnsi="Times New Roman" w:cs="Times New Roman"/>
          <w:b/>
          <w:sz w:val="24"/>
          <w:szCs w:val="24"/>
        </w:rPr>
        <w:t>Библиографический список</w:t>
      </w:r>
    </w:p>
    <w:p w:rsidR="00DE2E46" w:rsidRPr="001024B8" w:rsidRDefault="00DE2E46" w:rsidP="001024B8">
      <w:pPr>
        <w:spacing w:after="0" w:line="240" w:lineRule="auto"/>
        <w:ind w:firstLine="709"/>
        <w:jc w:val="both"/>
        <w:rPr>
          <w:rFonts w:ascii="Times New Roman" w:hAnsi="Times New Roman" w:cs="Times New Roman"/>
          <w:color w:val="000000"/>
          <w:sz w:val="24"/>
          <w:szCs w:val="24"/>
        </w:rPr>
      </w:pPr>
      <w:r w:rsidRPr="001024B8">
        <w:rPr>
          <w:rFonts w:ascii="Times New Roman" w:hAnsi="Times New Roman" w:cs="Times New Roman"/>
          <w:color w:val="000000"/>
          <w:sz w:val="24"/>
          <w:szCs w:val="24"/>
        </w:rPr>
        <w:t>1. </w:t>
      </w:r>
      <w:r w:rsidR="00CC51D0" w:rsidRPr="001024B8">
        <w:rPr>
          <w:rFonts w:ascii="Times New Roman" w:hAnsi="Times New Roman" w:cs="Times New Roman"/>
          <w:color w:val="000000"/>
          <w:sz w:val="24"/>
          <w:szCs w:val="24"/>
        </w:rPr>
        <w:t>Статистический</w:t>
      </w:r>
      <w:r w:rsidRPr="001024B8">
        <w:rPr>
          <w:rFonts w:ascii="Times New Roman" w:hAnsi="Times New Roman" w:cs="Times New Roman"/>
          <w:color w:val="000000"/>
          <w:sz w:val="24"/>
          <w:szCs w:val="24"/>
        </w:rPr>
        <w:t xml:space="preserve"> ежегодник Республики Беларусь: Статистический сборник. – Минск: Национальный статистический к</w:t>
      </w:r>
      <w:r w:rsidR="00CC51D0" w:rsidRPr="001024B8">
        <w:rPr>
          <w:rFonts w:ascii="Times New Roman" w:hAnsi="Times New Roman" w:cs="Times New Roman"/>
          <w:color w:val="000000"/>
          <w:sz w:val="24"/>
          <w:szCs w:val="24"/>
        </w:rPr>
        <w:t>омитет Республики Беларусь, 2020. – 4</w:t>
      </w:r>
      <w:r w:rsidR="004774FA" w:rsidRPr="001024B8">
        <w:rPr>
          <w:rFonts w:ascii="Times New Roman" w:hAnsi="Times New Roman" w:cs="Times New Roman"/>
          <w:color w:val="000000"/>
          <w:sz w:val="24"/>
          <w:szCs w:val="24"/>
        </w:rPr>
        <w:t>36 с</w:t>
      </w:r>
      <w:r w:rsidRPr="001024B8">
        <w:rPr>
          <w:rFonts w:ascii="Times New Roman" w:hAnsi="Times New Roman" w:cs="Times New Roman"/>
          <w:color w:val="000000"/>
          <w:sz w:val="24"/>
          <w:szCs w:val="24"/>
        </w:rPr>
        <w:t>.</w:t>
      </w:r>
    </w:p>
    <w:p w:rsidR="00DC065F" w:rsidRDefault="00C6546A" w:rsidP="00DC065F">
      <w:pPr>
        <w:spacing w:after="0" w:line="240" w:lineRule="auto"/>
        <w:ind w:firstLine="709"/>
        <w:jc w:val="both"/>
        <w:rPr>
          <w:rFonts w:ascii="Times New Roman" w:hAnsi="Times New Roman" w:cs="Times New Roman"/>
          <w:color w:val="000000"/>
          <w:sz w:val="24"/>
          <w:szCs w:val="24"/>
        </w:rPr>
      </w:pPr>
      <w:r w:rsidRPr="001024B8">
        <w:rPr>
          <w:rFonts w:ascii="Times New Roman" w:hAnsi="Times New Roman" w:cs="Times New Roman"/>
          <w:color w:val="000000"/>
          <w:sz w:val="24"/>
          <w:szCs w:val="24"/>
        </w:rPr>
        <w:t>2.</w:t>
      </w:r>
      <w:r w:rsidRPr="001024B8">
        <w:rPr>
          <w:rFonts w:ascii="Times New Roman" w:hAnsi="Times New Roman" w:cs="Times New Roman"/>
          <w:sz w:val="24"/>
          <w:szCs w:val="24"/>
        </w:rPr>
        <w:t> </w:t>
      </w:r>
      <w:r w:rsidR="004774FA" w:rsidRPr="001024B8">
        <w:rPr>
          <w:rFonts w:ascii="Times New Roman" w:hAnsi="Times New Roman" w:cs="Times New Roman"/>
          <w:color w:val="000000"/>
          <w:sz w:val="24"/>
          <w:szCs w:val="24"/>
        </w:rPr>
        <w:t>Демографический ежегодник Республики Беларусь: Статистический сборник. – Минск: Национальный статистический комитет Республики Беларусь, 2017. – 439 с.</w:t>
      </w:r>
    </w:p>
    <w:p w:rsidR="00DC065F" w:rsidRPr="00DC065F" w:rsidRDefault="00DC065F" w:rsidP="00DC065F">
      <w:pPr>
        <w:spacing w:after="0" w:line="240" w:lineRule="auto"/>
        <w:ind w:firstLine="709"/>
        <w:jc w:val="both"/>
        <w:rPr>
          <w:rFonts w:ascii="Times New Roman" w:hAnsi="Times New Roman" w:cs="Times New Roman"/>
          <w:color w:val="000000"/>
          <w:szCs w:val="24"/>
        </w:rPr>
      </w:pPr>
      <w:r w:rsidRPr="00DC065F">
        <w:rPr>
          <w:rFonts w:ascii="Times New Roman" w:eastAsiaTheme="minorEastAsia" w:hAnsi="Times New Roman" w:cs="Times New Roman"/>
          <w:sz w:val="24"/>
          <w:szCs w:val="28"/>
          <w:lang w:eastAsia="ru-RU"/>
        </w:rPr>
        <w:t xml:space="preserve">3.Привалова Н. Н., Станишевская Л.С. Прогноз демографического развития Беларуси </w:t>
      </w:r>
      <w:r>
        <w:rPr>
          <w:rFonts w:ascii="Times New Roman" w:eastAsiaTheme="minorEastAsia" w:hAnsi="Times New Roman" w:cs="Times New Roman"/>
          <w:sz w:val="24"/>
          <w:szCs w:val="28"/>
          <w:lang w:eastAsia="ru-RU"/>
        </w:rPr>
        <w:t>// Экономический бюллетень</w:t>
      </w:r>
      <w:r w:rsidRPr="00DC065F">
        <w:rPr>
          <w:rFonts w:ascii="Times New Roman" w:eastAsiaTheme="minorEastAsia" w:hAnsi="Times New Roman" w:cs="Times New Roman"/>
          <w:sz w:val="24"/>
          <w:szCs w:val="28"/>
          <w:lang w:eastAsia="ru-RU"/>
        </w:rPr>
        <w:t>. – 2013. – № 10. – С. 4–14.</w:t>
      </w:r>
    </w:p>
    <w:p w:rsidR="00214A47" w:rsidRPr="001024B8" w:rsidRDefault="00214A47" w:rsidP="001024B8">
      <w:pPr>
        <w:spacing w:after="0" w:line="240" w:lineRule="auto"/>
        <w:ind w:firstLine="709"/>
        <w:jc w:val="both"/>
        <w:rPr>
          <w:rFonts w:ascii="Times New Roman" w:hAnsi="Times New Roman" w:cs="Times New Roman"/>
          <w:sz w:val="24"/>
          <w:szCs w:val="24"/>
        </w:rPr>
      </w:pPr>
    </w:p>
    <w:p w:rsidR="00024E43" w:rsidRPr="001024B8" w:rsidRDefault="00024E43" w:rsidP="001024B8">
      <w:pPr>
        <w:spacing w:after="0" w:line="240" w:lineRule="auto"/>
        <w:jc w:val="center"/>
        <w:rPr>
          <w:rFonts w:ascii="Times New Roman" w:hAnsi="Times New Roman" w:cs="Times New Roman"/>
          <w:sz w:val="24"/>
          <w:szCs w:val="24"/>
        </w:rPr>
      </w:pPr>
      <w:r w:rsidRPr="001024B8">
        <w:rPr>
          <w:rFonts w:ascii="Times New Roman" w:eastAsia="Times New Roman" w:hAnsi="Times New Roman" w:cs="Times New Roman"/>
          <w:b/>
          <w:bCs/>
          <w:sz w:val="24"/>
          <w:szCs w:val="24"/>
        </w:rPr>
        <w:t>Информация об авторах</w:t>
      </w:r>
    </w:p>
    <w:p w:rsidR="00024E43" w:rsidRPr="001024B8" w:rsidRDefault="00024E43" w:rsidP="001024B8">
      <w:pPr>
        <w:spacing w:after="0" w:line="240" w:lineRule="auto"/>
        <w:ind w:firstLine="540"/>
        <w:jc w:val="both"/>
        <w:rPr>
          <w:rFonts w:ascii="Times New Roman" w:eastAsia="Times New Roman" w:hAnsi="Times New Roman" w:cs="Times New Roman"/>
          <w:sz w:val="24"/>
          <w:szCs w:val="24"/>
        </w:rPr>
      </w:pPr>
      <w:r w:rsidRPr="001024B8">
        <w:rPr>
          <w:rFonts w:ascii="Times New Roman" w:eastAsia="Times New Roman" w:hAnsi="Times New Roman" w:cs="Times New Roman"/>
          <w:sz w:val="24"/>
          <w:szCs w:val="24"/>
        </w:rPr>
        <w:t xml:space="preserve">Артюхин Михаил Иванович (Республика Беларусь, г. Минск) – кандидат философских наук, доцент, заведующий Центром мониторинга миграции научных и научно-педагогических кадров, Институт социологии НАН Беларуси (220072, г. Минск, ул. Сурганова, д.1, корп. 2, </w:t>
      </w:r>
      <w:hyperlink r:id="rId10" w:history="1">
        <w:r w:rsidRPr="001024B8">
          <w:rPr>
            <w:rStyle w:val="a6"/>
            <w:rFonts w:ascii="Times New Roman" w:eastAsia="Times New Roman" w:hAnsi="Times New Roman"/>
            <w:sz w:val="24"/>
            <w:szCs w:val="24"/>
            <w:lang w:val="en-US"/>
          </w:rPr>
          <w:t>art</w:t>
        </w:r>
        <w:r w:rsidRPr="001024B8">
          <w:rPr>
            <w:rStyle w:val="a6"/>
            <w:rFonts w:ascii="Times New Roman" w:eastAsia="Times New Roman" w:hAnsi="Times New Roman"/>
            <w:sz w:val="24"/>
            <w:szCs w:val="24"/>
          </w:rPr>
          <w:t>47@</w:t>
        </w:r>
        <w:r w:rsidRPr="001024B8">
          <w:rPr>
            <w:rStyle w:val="a6"/>
            <w:rFonts w:ascii="Times New Roman" w:eastAsia="Times New Roman" w:hAnsi="Times New Roman"/>
            <w:sz w:val="24"/>
            <w:szCs w:val="24"/>
            <w:lang w:val="en-US"/>
          </w:rPr>
          <w:t>mail</w:t>
        </w:r>
        <w:r w:rsidRPr="001024B8">
          <w:rPr>
            <w:rStyle w:val="a6"/>
            <w:rFonts w:ascii="Times New Roman" w:eastAsia="Times New Roman" w:hAnsi="Times New Roman"/>
            <w:sz w:val="24"/>
            <w:szCs w:val="24"/>
          </w:rPr>
          <w:t>.</w:t>
        </w:r>
        <w:r w:rsidRPr="001024B8">
          <w:rPr>
            <w:rStyle w:val="a6"/>
            <w:rFonts w:ascii="Times New Roman" w:eastAsia="Times New Roman" w:hAnsi="Times New Roman"/>
            <w:sz w:val="24"/>
            <w:szCs w:val="24"/>
            <w:lang w:val="en-US"/>
          </w:rPr>
          <w:t>ru</w:t>
        </w:r>
      </w:hyperlink>
      <w:r w:rsidRPr="001024B8">
        <w:rPr>
          <w:rFonts w:ascii="Times New Roman" w:eastAsia="Times New Roman" w:hAnsi="Times New Roman" w:cs="Times New Roman"/>
          <w:sz w:val="24"/>
          <w:szCs w:val="24"/>
        </w:rPr>
        <w:t>).</w:t>
      </w:r>
    </w:p>
    <w:p w:rsidR="00024E43" w:rsidRPr="001024B8" w:rsidRDefault="00024E43" w:rsidP="001024B8">
      <w:pPr>
        <w:spacing w:after="0" w:line="240" w:lineRule="auto"/>
        <w:ind w:firstLine="540"/>
        <w:jc w:val="both"/>
        <w:rPr>
          <w:rFonts w:ascii="Times New Roman" w:eastAsia="Times New Roman" w:hAnsi="Times New Roman" w:cs="Times New Roman"/>
          <w:sz w:val="24"/>
          <w:szCs w:val="24"/>
          <w:lang w:val="en-US"/>
        </w:rPr>
      </w:pPr>
      <w:r w:rsidRPr="001024B8">
        <w:rPr>
          <w:rFonts w:ascii="Times New Roman" w:eastAsia="Times New Roman" w:hAnsi="Times New Roman" w:cs="Times New Roman"/>
          <w:sz w:val="24"/>
          <w:szCs w:val="24"/>
        </w:rPr>
        <w:t xml:space="preserve">Пушкевич Сергей Александрович, </w:t>
      </w:r>
      <w:r w:rsidR="006516E6" w:rsidRPr="001024B8">
        <w:rPr>
          <w:rFonts w:ascii="Times New Roman" w:eastAsia="Times New Roman" w:hAnsi="Times New Roman" w:cs="Times New Roman"/>
          <w:sz w:val="24"/>
          <w:szCs w:val="24"/>
        </w:rPr>
        <w:t>научный сотрудник Центра мониторинга миграции научных и научно-педагогических кадров, Институт социологии НАН Беларуси (220072, г. Минск, ул. Сурганова</w:t>
      </w:r>
      <w:r w:rsidR="006516E6" w:rsidRPr="009641C7">
        <w:rPr>
          <w:rFonts w:ascii="Times New Roman" w:eastAsia="Times New Roman" w:hAnsi="Times New Roman" w:cs="Times New Roman"/>
          <w:sz w:val="24"/>
          <w:szCs w:val="24"/>
          <w:lang w:val="en-US"/>
        </w:rPr>
        <w:t xml:space="preserve">, </w:t>
      </w:r>
      <w:r w:rsidR="006516E6" w:rsidRPr="001024B8">
        <w:rPr>
          <w:rFonts w:ascii="Times New Roman" w:eastAsia="Times New Roman" w:hAnsi="Times New Roman" w:cs="Times New Roman"/>
          <w:sz w:val="24"/>
          <w:szCs w:val="24"/>
        </w:rPr>
        <w:t>д</w:t>
      </w:r>
      <w:r w:rsidR="006516E6" w:rsidRPr="009641C7">
        <w:rPr>
          <w:rFonts w:ascii="Times New Roman" w:eastAsia="Times New Roman" w:hAnsi="Times New Roman" w:cs="Times New Roman"/>
          <w:sz w:val="24"/>
          <w:szCs w:val="24"/>
          <w:lang w:val="en-US"/>
        </w:rPr>
        <w:t xml:space="preserve">.1, </w:t>
      </w:r>
      <w:r w:rsidR="006516E6" w:rsidRPr="001024B8">
        <w:rPr>
          <w:rFonts w:ascii="Times New Roman" w:eastAsia="Times New Roman" w:hAnsi="Times New Roman" w:cs="Times New Roman"/>
          <w:sz w:val="24"/>
          <w:szCs w:val="24"/>
        </w:rPr>
        <w:t>корп</w:t>
      </w:r>
      <w:r w:rsidR="006516E6" w:rsidRPr="009641C7">
        <w:rPr>
          <w:rFonts w:ascii="Times New Roman" w:eastAsia="Times New Roman" w:hAnsi="Times New Roman" w:cs="Times New Roman"/>
          <w:sz w:val="24"/>
          <w:szCs w:val="24"/>
          <w:lang w:val="en-US"/>
        </w:rPr>
        <w:t xml:space="preserve">. 2, </w:t>
      </w:r>
      <w:r w:rsidR="007932C6" w:rsidRPr="001024B8">
        <w:rPr>
          <w:rFonts w:ascii="Times New Roman" w:eastAsia="Times New Roman" w:hAnsi="Times New Roman" w:cs="Times New Roman"/>
          <w:sz w:val="24"/>
          <w:szCs w:val="24"/>
          <w:lang w:val="en-US"/>
        </w:rPr>
        <w:t>pushkevich@gmail.com</w:t>
      </w:r>
      <w:r w:rsidR="006516E6" w:rsidRPr="001024B8">
        <w:rPr>
          <w:rFonts w:ascii="Times New Roman" w:eastAsia="Times New Roman" w:hAnsi="Times New Roman" w:cs="Times New Roman"/>
          <w:sz w:val="24"/>
          <w:szCs w:val="24"/>
          <w:lang w:val="en-US"/>
        </w:rPr>
        <w:t>)</w:t>
      </w:r>
    </w:p>
    <w:p w:rsidR="00024E43" w:rsidRPr="009641C7" w:rsidRDefault="00024E43" w:rsidP="001024B8">
      <w:pPr>
        <w:spacing w:after="0" w:line="240" w:lineRule="auto"/>
        <w:ind w:firstLine="709"/>
        <w:jc w:val="both"/>
        <w:rPr>
          <w:rFonts w:ascii="Times New Roman" w:hAnsi="Times New Roman" w:cs="Times New Roman"/>
          <w:sz w:val="24"/>
          <w:szCs w:val="24"/>
          <w:lang w:val="en-US"/>
        </w:rPr>
      </w:pPr>
    </w:p>
    <w:p w:rsidR="00061A2C" w:rsidRPr="001024B8" w:rsidRDefault="00061A2C" w:rsidP="001024B8">
      <w:pPr>
        <w:spacing w:after="0" w:line="240" w:lineRule="auto"/>
        <w:ind w:firstLine="709"/>
        <w:jc w:val="right"/>
        <w:rPr>
          <w:rFonts w:ascii="Times New Roman" w:hAnsi="Times New Roman" w:cs="Times New Roman"/>
          <w:b/>
          <w:sz w:val="24"/>
          <w:szCs w:val="24"/>
          <w:lang w:val="en-US"/>
        </w:rPr>
      </w:pPr>
      <w:r w:rsidRPr="001024B8">
        <w:rPr>
          <w:rFonts w:ascii="Times New Roman" w:hAnsi="Times New Roman" w:cs="Times New Roman"/>
          <w:b/>
          <w:sz w:val="24"/>
          <w:szCs w:val="24"/>
          <w:lang w:val="en-US"/>
        </w:rPr>
        <w:t>M. Artyukhin, S. Pushkevich</w:t>
      </w:r>
    </w:p>
    <w:p w:rsidR="00227843" w:rsidRPr="001024B8" w:rsidRDefault="00024E43" w:rsidP="001024B8">
      <w:pPr>
        <w:spacing w:after="0" w:line="240" w:lineRule="auto"/>
        <w:ind w:firstLine="709"/>
        <w:jc w:val="center"/>
        <w:rPr>
          <w:rFonts w:ascii="Times New Roman" w:hAnsi="Times New Roman" w:cs="Times New Roman"/>
          <w:b/>
          <w:sz w:val="24"/>
          <w:szCs w:val="24"/>
          <w:lang w:val="en-US"/>
        </w:rPr>
      </w:pPr>
      <w:r w:rsidRPr="001024B8">
        <w:rPr>
          <w:rFonts w:ascii="Times New Roman" w:hAnsi="Times New Roman" w:cs="Times New Roman"/>
          <w:b/>
          <w:sz w:val="24"/>
          <w:szCs w:val="24"/>
          <w:lang w:val="en-US"/>
        </w:rPr>
        <w:t>DEMOGRAPHIC SECURITY OF BELARUS</w:t>
      </w:r>
      <w:r w:rsidR="008D25E4">
        <w:rPr>
          <w:rFonts w:ascii="Times New Roman" w:hAnsi="Times New Roman" w:cs="Times New Roman"/>
          <w:b/>
          <w:sz w:val="24"/>
          <w:szCs w:val="24"/>
          <w:lang w:val="en-US"/>
        </w:rPr>
        <w:t xml:space="preserve"> AND THE MAIN FACTORS OF ITS SUPPORT</w:t>
      </w:r>
    </w:p>
    <w:p w:rsidR="008D25E4" w:rsidRPr="00F1164C" w:rsidRDefault="008D25E4" w:rsidP="008D25E4">
      <w:pPr>
        <w:spacing w:after="0" w:line="240" w:lineRule="auto"/>
        <w:ind w:firstLine="709"/>
        <w:jc w:val="both"/>
        <w:rPr>
          <w:rFonts w:ascii="Times New Roman" w:hAnsi="Times New Roman" w:cs="Times New Roman"/>
          <w:i/>
          <w:sz w:val="24"/>
          <w:szCs w:val="24"/>
          <w:lang w:val="en-US"/>
        </w:rPr>
      </w:pPr>
      <w:r w:rsidRPr="00F1164C">
        <w:rPr>
          <w:rFonts w:ascii="Times New Roman" w:hAnsi="Times New Roman" w:cs="Times New Roman"/>
          <w:i/>
          <w:sz w:val="24"/>
          <w:szCs w:val="24"/>
          <w:lang w:val="en-US"/>
        </w:rPr>
        <w:t xml:space="preserve">The article examines the main stages in the development of the demographic situation in Belarus, as well as the evolution of the legal and organizational basis for ensuring the demographic security of the country. It is shown that the successful implementation of measures of national demographic programs made it possible mainly to solve the problem of creating socio-economic conditions sufficient to prevent and neutralize demographic threats and form the optimal type of population reproduction. </w:t>
      </w:r>
      <w:r w:rsidR="00F1164C" w:rsidRPr="00F1164C">
        <w:rPr>
          <w:rFonts w:ascii="Times New Roman" w:hAnsi="Times New Roman" w:cs="Times New Roman"/>
          <w:i/>
          <w:iCs/>
          <w:sz w:val="24"/>
          <w:szCs w:val="24"/>
          <w:lang w:val="en-US"/>
        </w:rPr>
        <w:t>As a result, over the period 2000-2019</w:t>
      </w:r>
      <w:r w:rsidR="00712EDC">
        <w:rPr>
          <w:rFonts w:ascii="Times New Roman" w:hAnsi="Times New Roman" w:cs="Times New Roman"/>
          <w:i/>
          <w:iCs/>
          <w:sz w:val="24"/>
          <w:szCs w:val="24"/>
          <w:lang w:val="en-US"/>
        </w:rPr>
        <w:t xml:space="preserve"> years</w:t>
      </w:r>
      <w:r w:rsidR="00F1164C" w:rsidRPr="00F1164C">
        <w:rPr>
          <w:rFonts w:ascii="Times New Roman" w:hAnsi="Times New Roman" w:cs="Times New Roman"/>
          <w:i/>
          <w:iCs/>
          <w:sz w:val="24"/>
          <w:szCs w:val="24"/>
          <w:lang w:val="en-US"/>
        </w:rPr>
        <w:t xml:space="preserve">, it was possible to significantly reduce the volume of natural decline in the population of Belarus and stabilize the population of the country. </w:t>
      </w:r>
      <w:r w:rsidRPr="00F1164C">
        <w:rPr>
          <w:rFonts w:ascii="Times New Roman" w:hAnsi="Times New Roman" w:cs="Times New Roman"/>
          <w:i/>
          <w:sz w:val="24"/>
          <w:szCs w:val="24"/>
          <w:lang w:val="en-US"/>
        </w:rPr>
        <w:t>The Migration is noted as the most important factor in the formation of positive quantitative and qualitative characteristics of demographic processes in the country. It is shown that the process of stabilization of the population of Belarus largely provided positive trends in the external migration of the population of the republic observed over the period 2010-2016</w:t>
      </w:r>
      <w:r w:rsidR="00712EDC" w:rsidRPr="00712EDC">
        <w:rPr>
          <w:rFonts w:ascii="Times New Roman" w:hAnsi="Times New Roman" w:cs="Times New Roman"/>
          <w:i/>
          <w:iCs/>
          <w:sz w:val="24"/>
          <w:szCs w:val="24"/>
          <w:lang w:val="en-US"/>
        </w:rPr>
        <w:t xml:space="preserve"> </w:t>
      </w:r>
      <w:r w:rsidR="00712EDC">
        <w:rPr>
          <w:rFonts w:ascii="Times New Roman" w:hAnsi="Times New Roman" w:cs="Times New Roman"/>
          <w:i/>
          <w:iCs/>
          <w:sz w:val="24"/>
          <w:szCs w:val="24"/>
          <w:lang w:val="en-US"/>
        </w:rPr>
        <w:t>years</w:t>
      </w:r>
      <w:r w:rsidRPr="00F1164C">
        <w:rPr>
          <w:rFonts w:ascii="Times New Roman" w:hAnsi="Times New Roman" w:cs="Times New Roman"/>
          <w:i/>
          <w:sz w:val="24"/>
          <w:szCs w:val="24"/>
          <w:lang w:val="en-US"/>
        </w:rPr>
        <w:t>. It is concluded that in the long term, one of the most problematic aspects of the national strategy for sustainable socio-economic development of Belarus and its regions is the task of ensuring their demographic and migration security.</w:t>
      </w:r>
    </w:p>
    <w:p w:rsidR="008D25E4" w:rsidRPr="008D25E4" w:rsidRDefault="008D25E4" w:rsidP="008D25E4">
      <w:pPr>
        <w:spacing w:after="0" w:line="240" w:lineRule="auto"/>
        <w:ind w:firstLine="709"/>
        <w:jc w:val="both"/>
        <w:rPr>
          <w:rFonts w:ascii="Times New Roman" w:hAnsi="Times New Roman" w:cs="Times New Roman"/>
          <w:i/>
          <w:sz w:val="24"/>
          <w:lang w:val="en-US"/>
        </w:rPr>
      </w:pPr>
      <w:r w:rsidRPr="008D25E4">
        <w:rPr>
          <w:rFonts w:ascii="Times New Roman" w:hAnsi="Times New Roman" w:cs="Times New Roman"/>
          <w:i/>
          <w:sz w:val="24"/>
          <w:lang w:val="en-US"/>
        </w:rPr>
        <w:t xml:space="preserve"> Key words: demographic situation, depopulation, external and internal migration of the population, demographic policy, migration policy</w:t>
      </w:r>
      <w:r>
        <w:rPr>
          <w:rFonts w:ascii="Times New Roman" w:hAnsi="Times New Roman" w:cs="Times New Roman"/>
          <w:i/>
          <w:sz w:val="24"/>
          <w:lang w:val="en-US"/>
        </w:rPr>
        <w:t>.</w:t>
      </w:r>
    </w:p>
    <w:p w:rsidR="008D25E4" w:rsidRDefault="008D25E4" w:rsidP="001024B8">
      <w:pPr>
        <w:spacing w:after="0" w:line="240" w:lineRule="auto"/>
        <w:ind w:firstLine="709"/>
        <w:jc w:val="center"/>
        <w:rPr>
          <w:rFonts w:ascii="Times New Roman" w:hAnsi="Times New Roman" w:cs="Times New Roman"/>
          <w:sz w:val="24"/>
          <w:lang w:val="en-US"/>
        </w:rPr>
      </w:pPr>
    </w:p>
    <w:p w:rsidR="007932C6" w:rsidRPr="001024B8" w:rsidRDefault="007932C6" w:rsidP="001024B8">
      <w:pPr>
        <w:spacing w:after="0" w:line="240" w:lineRule="auto"/>
        <w:ind w:firstLine="709"/>
        <w:jc w:val="center"/>
        <w:rPr>
          <w:rFonts w:ascii="Times New Roman" w:hAnsi="Times New Roman" w:cs="Times New Roman"/>
          <w:b/>
          <w:sz w:val="24"/>
          <w:szCs w:val="24"/>
          <w:lang w:val="en-US"/>
        </w:rPr>
      </w:pPr>
      <w:r w:rsidRPr="001024B8">
        <w:rPr>
          <w:rFonts w:ascii="Times New Roman" w:hAnsi="Times New Roman" w:cs="Times New Roman"/>
          <w:b/>
          <w:sz w:val="24"/>
          <w:szCs w:val="24"/>
          <w:lang w:val="en-US"/>
        </w:rPr>
        <w:t>About authors</w:t>
      </w:r>
    </w:p>
    <w:p w:rsidR="007932C6" w:rsidRPr="001024B8" w:rsidRDefault="007932C6" w:rsidP="001024B8">
      <w:pPr>
        <w:spacing w:after="0" w:line="240" w:lineRule="auto"/>
        <w:ind w:firstLine="709"/>
        <w:jc w:val="both"/>
        <w:rPr>
          <w:rFonts w:ascii="Times New Roman" w:hAnsi="Times New Roman" w:cs="Times New Roman"/>
          <w:sz w:val="24"/>
          <w:szCs w:val="24"/>
          <w:lang w:val="en-US"/>
        </w:rPr>
      </w:pPr>
      <w:r w:rsidRPr="001024B8">
        <w:rPr>
          <w:rFonts w:ascii="Times New Roman" w:hAnsi="Times New Roman" w:cs="Times New Roman"/>
          <w:sz w:val="24"/>
          <w:szCs w:val="24"/>
          <w:lang w:val="en-US"/>
        </w:rPr>
        <w:t>Artyuknin Mikhail, Candidate of Philosophical Sciences, Associate Professor, Head of the Centre for Monitoring the Migration of Scientific and Scientific-Pedagogical Personnel, Institute of Sociology of the NAS of Belarus (1 bld. 2, Surganova Street</w:t>
      </w:r>
      <w:r w:rsidR="0037591C" w:rsidRPr="001024B8">
        <w:rPr>
          <w:rFonts w:ascii="Times New Roman" w:hAnsi="Times New Roman" w:cs="Times New Roman"/>
          <w:sz w:val="24"/>
          <w:szCs w:val="24"/>
          <w:lang w:val="en-US"/>
        </w:rPr>
        <w:t xml:space="preserve">, 220072, Minsk, </w:t>
      </w:r>
      <w:hyperlink r:id="rId11" w:history="1">
        <w:r w:rsidR="00652C0E" w:rsidRPr="001024B8">
          <w:rPr>
            <w:rStyle w:val="a6"/>
            <w:rFonts w:ascii="Times New Roman" w:hAnsi="Times New Roman"/>
            <w:sz w:val="24"/>
            <w:szCs w:val="24"/>
            <w:lang w:val="en-US"/>
          </w:rPr>
          <w:t>art47@mail.ru</w:t>
        </w:r>
      </w:hyperlink>
      <w:r w:rsidR="0037591C" w:rsidRPr="001024B8">
        <w:rPr>
          <w:rFonts w:ascii="Times New Roman" w:hAnsi="Times New Roman" w:cs="Times New Roman"/>
          <w:sz w:val="24"/>
          <w:szCs w:val="24"/>
          <w:lang w:val="en-US"/>
        </w:rPr>
        <w:t>)</w:t>
      </w:r>
    </w:p>
    <w:p w:rsidR="00652C0E" w:rsidRPr="001024B8" w:rsidRDefault="00652C0E" w:rsidP="001024B8">
      <w:pPr>
        <w:spacing w:after="0" w:line="240" w:lineRule="auto"/>
        <w:ind w:firstLine="709"/>
        <w:jc w:val="both"/>
        <w:rPr>
          <w:rFonts w:ascii="Times New Roman" w:hAnsi="Times New Roman" w:cs="Times New Roman"/>
          <w:sz w:val="24"/>
          <w:szCs w:val="24"/>
          <w:lang w:val="en-US"/>
        </w:rPr>
      </w:pPr>
      <w:r w:rsidRPr="001024B8">
        <w:rPr>
          <w:rFonts w:ascii="Times New Roman" w:hAnsi="Times New Roman" w:cs="Times New Roman"/>
          <w:sz w:val="24"/>
          <w:szCs w:val="24"/>
          <w:lang w:val="en-US"/>
        </w:rPr>
        <w:t xml:space="preserve">Pushkevich Siarhey, Research Fellow, Centre for Monitoring the Migration of Scientific and Scientific-Pedagogical Personnel, Institute of Sociology of the NAS of Belarus (1 bld. 2, Surganova Street, 220072, Minsk, </w:t>
      </w:r>
      <w:hyperlink r:id="rId12" w:history="1">
        <w:r w:rsidR="00973DD1" w:rsidRPr="001024B8">
          <w:rPr>
            <w:rStyle w:val="a6"/>
            <w:rFonts w:ascii="Times New Roman" w:hAnsi="Times New Roman"/>
            <w:sz w:val="24"/>
            <w:szCs w:val="24"/>
            <w:lang w:val="en-US"/>
          </w:rPr>
          <w:t>pushkevich@gmail.com</w:t>
        </w:r>
      </w:hyperlink>
      <w:r w:rsidRPr="001024B8">
        <w:rPr>
          <w:rFonts w:ascii="Times New Roman" w:hAnsi="Times New Roman" w:cs="Times New Roman"/>
          <w:sz w:val="24"/>
          <w:szCs w:val="24"/>
          <w:lang w:val="en-US"/>
        </w:rPr>
        <w:t>)</w:t>
      </w:r>
    </w:p>
    <w:p w:rsidR="00973DD1" w:rsidRPr="001024B8" w:rsidRDefault="00973DD1" w:rsidP="001024B8">
      <w:pPr>
        <w:spacing w:after="0" w:line="240" w:lineRule="auto"/>
        <w:ind w:firstLine="709"/>
        <w:jc w:val="center"/>
        <w:rPr>
          <w:rFonts w:ascii="Times New Roman" w:hAnsi="Times New Roman" w:cs="Times New Roman"/>
          <w:b/>
          <w:sz w:val="24"/>
          <w:szCs w:val="24"/>
          <w:lang w:val="en-US"/>
        </w:rPr>
      </w:pPr>
      <w:r w:rsidRPr="001024B8">
        <w:rPr>
          <w:rFonts w:ascii="Times New Roman" w:hAnsi="Times New Roman" w:cs="Times New Roman"/>
          <w:b/>
          <w:sz w:val="24"/>
          <w:szCs w:val="24"/>
          <w:lang w:val="en-US"/>
        </w:rPr>
        <w:t>Bibliography</w:t>
      </w:r>
    </w:p>
    <w:p w:rsidR="00973DD1" w:rsidRPr="001024B8" w:rsidRDefault="00973DD1" w:rsidP="001024B8">
      <w:pPr>
        <w:spacing w:after="0" w:line="240" w:lineRule="auto"/>
        <w:ind w:firstLine="709"/>
        <w:jc w:val="both"/>
        <w:rPr>
          <w:rFonts w:ascii="Times New Roman" w:hAnsi="Times New Roman" w:cs="Times New Roman"/>
          <w:sz w:val="24"/>
          <w:szCs w:val="24"/>
          <w:lang w:val="en-US"/>
        </w:rPr>
      </w:pPr>
      <w:r w:rsidRPr="001024B8">
        <w:rPr>
          <w:rFonts w:ascii="Times New Roman" w:hAnsi="Times New Roman" w:cs="Times New Roman"/>
          <w:sz w:val="24"/>
          <w:szCs w:val="24"/>
          <w:lang w:val="en-US"/>
        </w:rPr>
        <w:t>1. Statistical Yearbook of the Republic of Belarus: Statistical Book. - Minsk: National Statistical Committee of the Republic of Belarus, 2020. - 436 p.</w:t>
      </w:r>
    </w:p>
    <w:p w:rsidR="008D25E4" w:rsidRDefault="00973DD1" w:rsidP="008D25E4">
      <w:pPr>
        <w:spacing w:after="0" w:line="240" w:lineRule="auto"/>
        <w:ind w:firstLine="709"/>
        <w:jc w:val="both"/>
        <w:rPr>
          <w:rFonts w:ascii="Times New Roman" w:hAnsi="Times New Roman" w:cs="Times New Roman"/>
          <w:sz w:val="24"/>
          <w:szCs w:val="24"/>
          <w:lang w:val="en-US"/>
        </w:rPr>
      </w:pPr>
      <w:r w:rsidRPr="001024B8">
        <w:rPr>
          <w:rFonts w:ascii="Times New Roman" w:hAnsi="Times New Roman" w:cs="Times New Roman"/>
          <w:sz w:val="24"/>
          <w:szCs w:val="24"/>
          <w:lang w:val="en-US"/>
        </w:rPr>
        <w:t>2. Demographic Yearbook of the Republic of Belarus: Statistical Book. - Minsk: National Statistical Committee of the Republic of Belarus, 2017. - 439 p.</w:t>
      </w:r>
    </w:p>
    <w:p w:rsidR="008D25E4" w:rsidRPr="008D25E4" w:rsidRDefault="008D25E4" w:rsidP="008D25E4">
      <w:pPr>
        <w:spacing w:after="0" w:line="240" w:lineRule="auto"/>
        <w:ind w:firstLine="709"/>
        <w:jc w:val="both"/>
        <w:rPr>
          <w:rFonts w:ascii="Times New Roman" w:hAnsi="Times New Roman" w:cs="Times New Roman"/>
          <w:sz w:val="24"/>
          <w:szCs w:val="24"/>
          <w:lang w:val="en-US"/>
        </w:rPr>
      </w:pPr>
      <w:r w:rsidRPr="008D25E4">
        <w:rPr>
          <w:rFonts w:ascii="Times New Roman" w:hAnsi="Times New Roman" w:cs="Times New Roman"/>
          <w:sz w:val="24"/>
          <w:lang w:val="en-US"/>
        </w:rPr>
        <w:t>3. Privalova N.N., Stanishevskaya L.S. Forecast of the demographic development of Belarus // Ec</w:t>
      </w:r>
      <w:r w:rsidR="003C00F8">
        <w:rPr>
          <w:rFonts w:ascii="Times New Roman" w:hAnsi="Times New Roman" w:cs="Times New Roman"/>
          <w:sz w:val="24"/>
          <w:lang w:val="en-US"/>
        </w:rPr>
        <w:t>onomic Bulletin</w:t>
      </w:r>
      <w:r w:rsidRPr="008D25E4">
        <w:rPr>
          <w:rFonts w:ascii="Times New Roman" w:hAnsi="Times New Roman" w:cs="Times New Roman"/>
          <w:sz w:val="24"/>
          <w:lang w:val="en-US"/>
        </w:rPr>
        <w:t>. - 2013. - No. 10. - P. 4–14.</w:t>
      </w:r>
    </w:p>
    <w:sectPr w:rsidR="008D25E4" w:rsidRPr="008D25E4" w:rsidSect="000F3850">
      <w:headerReference w:type="default" r:id="rId13"/>
      <w:pgSz w:w="11906" w:h="16838"/>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29AA" w:rsidRDefault="00FA29AA" w:rsidP="00FE7DCD">
      <w:pPr>
        <w:spacing w:after="0" w:line="240" w:lineRule="auto"/>
      </w:pPr>
      <w:r>
        <w:separator/>
      </w:r>
    </w:p>
  </w:endnote>
  <w:endnote w:type="continuationSeparator" w:id="1">
    <w:p w:rsidR="00FA29AA" w:rsidRDefault="00FA29AA" w:rsidP="00FE7DC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29AA" w:rsidRDefault="00FA29AA" w:rsidP="00FE7DCD">
      <w:pPr>
        <w:spacing w:after="0" w:line="240" w:lineRule="auto"/>
      </w:pPr>
      <w:r>
        <w:separator/>
      </w:r>
    </w:p>
  </w:footnote>
  <w:footnote w:type="continuationSeparator" w:id="1">
    <w:p w:rsidR="00FA29AA" w:rsidRDefault="00FA29AA" w:rsidP="00FE7DC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53248947"/>
      <w:docPartObj>
        <w:docPartGallery w:val="Page Numbers (Top of Page)"/>
        <w:docPartUnique/>
      </w:docPartObj>
    </w:sdtPr>
    <w:sdtEndPr>
      <w:rPr>
        <w:rFonts w:ascii="Times New Roman" w:hAnsi="Times New Roman" w:cs="Times New Roman"/>
        <w:sz w:val="24"/>
      </w:rPr>
    </w:sdtEndPr>
    <w:sdtContent>
      <w:p w:rsidR="003D4F05" w:rsidRPr="00227843" w:rsidRDefault="003572FB" w:rsidP="00494623">
        <w:pPr>
          <w:pStyle w:val="a9"/>
          <w:jc w:val="right"/>
          <w:rPr>
            <w:rFonts w:ascii="Times New Roman" w:hAnsi="Times New Roman" w:cs="Times New Roman"/>
            <w:sz w:val="24"/>
          </w:rPr>
        </w:pPr>
        <w:r w:rsidRPr="00227843">
          <w:rPr>
            <w:rFonts w:ascii="Times New Roman" w:hAnsi="Times New Roman" w:cs="Times New Roman"/>
            <w:sz w:val="24"/>
          </w:rPr>
          <w:fldChar w:fldCharType="begin"/>
        </w:r>
        <w:r w:rsidR="003D4F05" w:rsidRPr="00227843">
          <w:rPr>
            <w:rFonts w:ascii="Times New Roman" w:hAnsi="Times New Roman" w:cs="Times New Roman"/>
            <w:sz w:val="24"/>
          </w:rPr>
          <w:instrText>PAGE   \* MERGEFORMAT</w:instrText>
        </w:r>
        <w:r w:rsidRPr="00227843">
          <w:rPr>
            <w:rFonts w:ascii="Times New Roman" w:hAnsi="Times New Roman" w:cs="Times New Roman"/>
            <w:sz w:val="24"/>
          </w:rPr>
          <w:fldChar w:fldCharType="separate"/>
        </w:r>
        <w:r w:rsidR="005551C0">
          <w:rPr>
            <w:rFonts w:ascii="Times New Roman" w:hAnsi="Times New Roman" w:cs="Times New Roman"/>
            <w:noProof/>
            <w:sz w:val="24"/>
          </w:rPr>
          <w:t>5</w:t>
        </w:r>
        <w:r w:rsidRPr="00227843">
          <w:rPr>
            <w:rFonts w:ascii="Times New Roman" w:hAnsi="Times New Roman" w:cs="Times New Roman"/>
            <w:sz w:val="24"/>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65E06"/>
    <w:multiLevelType w:val="multilevel"/>
    <w:tmpl w:val="C3F07F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E111FAA"/>
    <w:multiLevelType w:val="hybridMultilevel"/>
    <w:tmpl w:val="B52603FC"/>
    <w:lvl w:ilvl="0" w:tplc="35CE8F5C">
      <w:start w:val="1"/>
      <w:numFmt w:val="bullet"/>
      <w:lvlText w:val="•"/>
      <w:lvlJc w:val="left"/>
      <w:pPr>
        <w:tabs>
          <w:tab w:val="num" w:pos="720"/>
        </w:tabs>
        <w:ind w:left="720" w:hanging="360"/>
      </w:pPr>
      <w:rPr>
        <w:rFonts w:ascii="Arial" w:hAnsi="Arial" w:hint="default"/>
      </w:rPr>
    </w:lvl>
    <w:lvl w:ilvl="1" w:tplc="5172FBC6" w:tentative="1">
      <w:start w:val="1"/>
      <w:numFmt w:val="bullet"/>
      <w:lvlText w:val="•"/>
      <w:lvlJc w:val="left"/>
      <w:pPr>
        <w:tabs>
          <w:tab w:val="num" w:pos="1440"/>
        </w:tabs>
        <w:ind w:left="1440" w:hanging="360"/>
      </w:pPr>
      <w:rPr>
        <w:rFonts w:ascii="Arial" w:hAnsi="Arial" w:hint="default"/>
      </w:rPr>
    </w:lvl>
    <w:lvl w:ilvl="2" w:tplc="7B063584" w:tentative="1">
      <w:start w:val="1"/>
      <w:numFmt w:val="bullet"/>
      <w:lvlText w:val="•"/>
      <w:lvlJc w:val="left"/>
      <w:pPr>
        <w:tabs>
          <w:tab w:val="num" w:pos="2160"/>
        </w:tabs>
        <w:ind w:left="2160" w:hanging="360"/>
      </w:pPr>
      <w:rPr>
        <w:rFonts w:ascii="Arial" w:hAnsi="Arial" w:hint="default"/>
      </w:rPr>
    </w:lvl>
    <w:lvl w:ilvl="3" w:tplc="66EA8594" w:tentative="1">
      <w:start w:val="1"/>
      <w:numFmt w:val="bullet"/>
      <w:lvlText w:val="•"/>
      <w:lvlJc w:val="left"/>
      <w:pPr>
        <w:tabs>
          <w:tab w:val="num" w:pos="2880"/>
        </w:tabs>
        <w:ind w:left="2880" w:hanging="360"/>
      </w:pPr>
      <w:rPr>
        <w:rFonts w:ascii="Arial" w:hAnsi="Arial" w:hint="default"/>
      </w:rPr>
    </w:lvl>
    <w:lvl w:ilvl="4" w:tplc="0ABE6C70" w:tentative="1">
      <w:start w:val="1"/>
      <w:numFmt w:val="bullet"/>
      <w:lvlText w:val="•"/>
      <w:lvlJc w:val="left"/>
      <w:pPr>
        <w:tabs>
          <w:tab w:val="num" w:pos="3600"/>
        </w:tabs>
        <w:ind w:left="3600" w:hanging="360"/>
      </w:pPr>
      <w:rPr>
        <w:rFonts w:ascii="Arial" w:hAnsi="Arial" w:hint="default"/>
      </w:rPr>
    </w:lvl>
    <w:lvl w:ilvl="5" w:tplc="995E26BA" w:tentative="1">
      <w:start w:val="1"/>
      <w:numFmt w:val="bullet"/>
      <w:lvlText w:val="•"/>
      <w:lvlJc w:val="left"/>
      <w:pPr>
        <w:tabs>
          <w:tab w:val="num" w:pos="4320"/>
        </w:tabs>
        <w:ind w:left="4320" w:hanging="360"/>
      </w:pPr>
      <w:rPr>
        <w:rFonts w:ascii="Arial" w:hAnsi="Arial" w:hint="default"/>
      </w:rPr>
    </w:lvl>
    <w:lvl w:ilvl="6" w:tplc="F8D0CEE2" w:tentative="1">
      <w:start w:val="1"/>
      <w:numFmt w:val="bullet"/>
      <w:lvlText w:val="•"/>
      <w:lvlJc w:val="left"/>
      <w:pPr>
        <w:tabs>
          <w:tab w:val="num" w:pos="5040"/>
        </w:tabs>
        <w:ind w:left="5040" w:hanging="360"/>
      </w:pPr>
      <w:rPr>
        <w:rFonts w:ascii="Arial" w:hAnsi="Arial" w:hint="default"/>
      </w:rPr>
    </w:lvl>
    <w:lvl w:ilvl="7" w:tplc="390605B0" w:tentative="1">
      <w:start w:val="1"/>
      <w:numFmt w:val="bullet"/>
      <w:lvlText w:val="•"/>
      <w:lvlJc w:val="left"/>
      <w:pPr>
        <w:tabs>
          <w:tab w:val="num" w:pos="5760"/>
        </w:tabs>
        <w:ind w:left="5760" w:hanging="360"/>
      </w:pPr>
      <w:rPr>
        <w:rFonts w:ascii="Arial" w:hAnsi="Arial" w:hint="default"/>
      </w:rPr>
    </w:lvl>
    <w:lvl w:ilvl="8" w:tplc="8334EE7E" w:tentative="1">
      <w:start w:val="1"/>
      <w:numFmt w:val="bullet"/>
      <w:lvlText w:val="•"/>
      <w:lvlJc w:val="left"/>
      <w:pPr>
        <w:tabs>
          <w:tab w:val="num" w:pos="6480"/>
        </w:tabs>
        <w:ind w:left="6480" w:hanging="360"/>
      </w:pPr>
      <w:rPr>
        <w:rFonts w:ascii="Arial" w:hAnsi="Arial"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6C0C9E"/>
    <w:rsid w:val="000133C1"/>
    <w:rsid w:val="00021260"/>
    <w:rsid w:val="00021FC4"/>
    <w:rsid w:val="00024E43"/>
    <w:rsid w:val="00030C37"/>
    <w:rsid w:val="0003747E"/>
    <w:rsid w:val="00042DAD"/>
    <w:rsid w:val="00054378"/>
    <w:rsid w:val="00061A2C"/>
    <w:rsid w:val="00065B4F"/>
    <w:rsid w:val="000779EA"/>
    <w:rsid w:val="000842A9"/>
    <w:rsid w:val="000968A1"/>
    <w:rsid w:val="000978CD"/>
    <w:rsid w:val="000D3E47"/>
    <w:rsid w:val="000D6223"/>
    <w:rsid w:val="000F3850"/>
    <w:rsid w:val="001024B8"/>
    <w:rsid w:val="0010709B"/>
    <w:rsid w:val="001265C9"/>
    <w:rsid w:val="00132A24"/>
    <w:rsid w:val="00140FB2"/>
    <w:rsid w:val="00152166"/>
    <w:rsid w:val="00157E3F"/>
    <w:rsid w:val="00196B38"/>
    <w:rsid w:val="001C45F3"/>
    <w:rsid w:val="001E6DA9"/>
    <w:rsid w:val="001F363A"/>
    <w:rsid w:val="001F45EC"/>
    <w:rsid w:val="00214A47"/>
    <w:rsid w:val="0022242F"/>
    <w:rsid w:val="00227843"/>
    <w:rsid w:val="0023527A"/>
    <w:rsid w:val="002440B7"/>
    <w:rsid w:val="00247C95"/>
    <w:rsid w:val="00256816"/>
    <w:rsid w:val="002854EF"/>
    <w:rsid w:val="00290131"/>
    <w:rsid w:val="002B255D"/>
    <w:rsid w:val="002B4306"/>
    <w:rsid w:val="002D38B0"/>
    <w:rsid w:val="002F421A"/>
    <w:rsid w:val="00304B7E"/>
    <w:rsid w:val="0033053D"/>
    <w:rsid w:val="00330F8E"/>
    <w:rsid w:val="0034101E"/>
    <w:rsid w:val="003444B9"/>
    <w:rsid w:val="00350746"/>
    <w:rsid w:val="003572FB"/>
    <w:rsid w:val="003624EC"/>
    <w:rsid w:val="003711D3"/>
    <w:rsid w:val="0037458E"/>
    <w:rsid w:val="0037591C"/>
    <w:rsid w:val="00377FB6"/>
    <w:rsid w:val="003872F7"/>
    <w:rsid w:val="003A133E"/>
    <w:rsid w:val="003B27A2"/>
    <w:rsid w:val="003C00F8"/>
    <w:rsid w:val="003C3B49"/>
    <w:rsid w:val="003D4F05"/>
    <w:rsid w:val="003F2940"/>
    <w:rsid w:val="00400E5F"/>
    <w:rsid w:val="004155A4"/>
    <w:rsid w:val="00435E69"/>
    <w:rsid w:val="004436A9"/>
    <w:rsid w:val="00446FCE"/>
    <w:rsid w:val="0045483C"/>
    <w:rsid w:val="00457584"/>
    <w:rsid w:val="00466444"/>
    <w:rsid w:val="0047702B"/>
    <w:rsid w:val="004774FA"/>
    <w:rsid w:val="004942F1"/>
    <w:rsid w:val="00494623"/>
    <w:rsid w:val="00496AC1"/>
    <w:rsid w:val="004B24CB"/>
    <w:rsid w:val="004D3411"/>
    <w:rsid w:val="00500146"/>
    <w:rsid w:val="00503D6C"/>
    <w:rsid w:val="0051290E"/>
    <w:rsid w:val="005325BD"/>
    <w:rsid w:val="00550E49"/>
    <w:rsid w:val="005551C0"/>
    <w:rsid w:val="005701A2"/>
    <w:rsid w:val="005A083D"/>
    <w:rsid w:val="005A7AE8"/>
    <w:rsid w:val="005D2D36"/>
    <w:rsid w:val="005E1E5C"/>
    <w:rsid w:val="005E333A"/>
    <w:rsid w:val="005F0B71"/>
    <w:rsid w:val="005F5E1B"/>
    <w:rsid w:val="00602BA9"/>
    <w:rsid w:val="00607F96"/>
    <w:rsid w:val="006516E6"/>
    <w:rsid w:val="00652C0E"/>
    <w:rsid w:val="0065781C"/>
    <w:rsid w:val="00660D9F"/>
    <w:rsid w:val="0066120E"/>
    <w:rsid w:val="00661EEA"/>
    <w:rsid w:val="00677038"/>
    <w:rsid w:val="006803E6"/>
    <w:rsid w:val="00691A78"/>
    <w:rsid w:val="006C0C9E"/>
    <w:rsid w:val="006D14F5"/>
    <w:rsid w:val="00712EDC"/>
    <w:rsid w:val="00736796"/>
    <w:rsid w:val="007419C5"/>
    <w:rsid w:val="00775FE4"/>
    <w:rsid w:val="00780804"/>
    <w:rsid w:val="007932C6"/>
    <w:rsid w:val="00793B12"/>
    <w:rsid w:val="007B4233"/>
    <w:rsid w:val="007D0332"/>
    <w:rsid w:val="00800862"/>
    <w:rsid w:val="0084777F"/>
    <w:rsid w:val="00871F6D"/>
    <w:rsid w:val="008777BB"/>
    <w:rsid w:val="00882C68"/>
    <w:rsid w:val="008B379E"/>
    <w:rsid w:val="008D25E4"/>
    <w:rsid w:val="0091417D"/>
    <w:rsid w:val="00920638"/>
    <w:rsid w:val="00944087"/>
    <w:rsid w:val="009641C7"/>
    <w:rsid w:val="0096651F"/>
    <w:rsid w:val="00971AB6"/>
    <w:rsid w:val="00973DD1"/>
    <w:rsid w:val="00974262"/>
    <w:rsid w:val="009752F8"/>
    <w:rsid w:val="00976363"/>
    <w:rsid w:val="009A2878"/>
    <w:rsid w:val="009A4B46"/>
    <w:rsid w:val="009B226B"/>
    <w:rsid w:val="009B384E"/>
    <w:rsid w:val="009F0EF2"/>
    <w:rsid w:val="00A03F0F"/>
    <w:rsid w:val="00A11760"/>
    <w:rsid w:val="00A632B2"/>
    <w:rsid w:val="00A70A19"/>
    <w:rsid w:val="00A83CFE"/>
    <w:rsid w:val="00AA41F2"/>
    <w:rsid w:val="00AA580E"/>
    <w:rsid w:val="00AB3A92"/>
    <w:rsid w:val="00AB41D7"/>
    <w:rsid w:val="00AB74F3"/>
    <w:rsid w:val="00AE454A"/>
    <w:rsid w:val="00B01751"/>
    <w:rsid w:val="00B17B96"/>
    <w:rsid w:val="00B40CFB"/>
    <w:rsid w:val="00B44BD8"/>
    <w:rsid w:val="00B46113"/>
    <w:rsid w:val="00B51F27"/>
    <w:rsid w:val="00B53E03"/>
    <w:rsid w:val="00B611B3"/>
    <w:rsid w:val="00B73A5A"/>
    <w:rsid w:val="00B92DC9"/>
    <w:rsid w:val="00BB307E"/>
    <w:rsid w:val="00BC1DF0"/>
    <w:rsid w:val="00BC42E5"/>
    <w:rsid w:val="00BC5B1D"/>
    <w:rsid w:val="00BD50B0"/>
    <w:rsid w:val="00BE6857"/>
    <w:rsid w:val="00BF7D2D"/>
    <w:rsid w:val="00C24318"/>
    <w:rsid w:val="00C36881"/>
    <w:rsid w:val="00C46F00"/>
    <w:rsid w:val="00C6546A"/>
    <w:rsid w:val="00C748C8"/>
    <w:rsid w:val="00C87853"/>
    <w:rsid w:val="00CA0966"/>
    <w:rsid w:val="00CB36EC"/>
    <w:rsid w:val="00CC51D0"/>
    <w:rsid w:val="00CD0E11"/>
    <w:rsid w:val="00CD2F8A"/>
    <w:rsid w:val="00CD3D3A"/>
    <w:rsid w:val="00CE76E0"/>
    <w:rsid w:val="00D037BF"/>
    <w:rsid w:val="00D16743"/>
    <w:rsid w:val="00D358E5"/>
    <w:rsid w:val="00D43616"/>
    <w:rsid w:val="00D44379"/>
    <w:rsid w:val="00D54F8F"/>
    <w:rsid w:val="00D94F0B"/>
    <w:rsid w:val="00DA4827"/>
    <w:rsid w:val="00DC065F"/>
    <w:rsid w:val="00DC4A82"/>
    <w:rsid w:val="00DE2E46"/>
    <w:rsid w:val="00DF067A"/>
    <w:rsid w:val="00DF2AD1"/>
    <w:rsid w:val="00E001B2"/>
    <w:rsid w:val="00E02701"/>
    <w:rsid w:val="00E124CC"/>
    <w:rsid w:val="00E13560"/>
    <w:rsid w:val="00E31B9B"/>
    <w:rsid w:val="00E6598E"/>
    <w:rsid w:val="00E76DC2"/>
    <w:rsid w:val="00EB3F6E"/>
    <w:rsid w:val="00EC5D93"/>
    <w:rsid w:val="00EC6194"/>
    <w:rsid w:val="00EF7A5A"/>
    <w:rsid w:val="00F053EB"/>
    <w:rsid w:val="00F05F82"/>
    <w:rsid w:val="00F1164C"/>
    <w:rsid w:val="00F25F6A"/>
    <w:rsid w:val="00F33610"/>
    <w:rsid w:val="00F400BA"/>
    <w:rsid w:val="00F6182E"/>
    <w:rsid w:val="00F62885"/>
    <w:rsid w:val="00F76E42"/>
    <w:rsid w:val="00F771F5"/>
    <w:rsid w:val="00F819F1"/>
    <w:rsid w:val="00F91845"/>
    <w:rsid w:val="00F92947"/>
    <w:rsid w:val="00FA29AA"/>
    <w:rsid w:val="00FB0C7C"/>
    <w:rsid w:val="00FB66BA"/>
    <w:rsid w:val="00FC78BB"/>
    <w:rsid w:val="00FE7DCD"/>
    <w:rsid w:val="00FF5B1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0746"/>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2">
    <w:name w:val="p2"/>
    <w:basedOn w:val="a"/>
    <w:rsid w:val="006C0C9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aliases w:val="Обычный (Web),Обычный (веб) Знак1,Обычный (веб) Знак Знак,Обычный (веб) Знак1 Знак Знак,Обычный (веб) Знак Знак Знак Знак Знак,Обычный (веб) Знак,Обычный (веб) Знак1 Знак,Обычный (веб) Знак Знак Знак"/>
    <w:basedOn w:val="a"/>
    <w:link w:val="2"/>
    <w:uiPriority w:val="99"/>
    <w:unhideWhenUsed/>
    <w:rsid w:val="006C0C9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footnote text"/>
    <w:aliases w:val="Заголовок таблицы,Текст сноски Знак Знак,Заголовок таблицы Знак Знак,Текст сноски Знак1 Знак Знак,Текст сноски Знак Знак Знак Знак,Текст сноски Знак2 Знак,Текст сноски Знак1 Знак1 Знак Знак,Текст сноски Знак2,Текст сноски1 Знак,F1"/>
    <w:basedOn w:val="a"/>
    <w:link w:val="a5"/>
    <w:unhideWhenUsed/>
    <w:rsid w:val="006C0C9E"/>
    <w:rPr>
      <w:rFonts w:ascii="Times New Roman" w:eastAsia="Calibri" w:hAnsi="Times New Roman" w:cs="Times New Roman"/>
      <w:sz w:val="20"/>
      <w:szCs w:val="20"/>
    </w:rPr>
  </w:style>
  <w:style w:type="character" w:customStyle="1" w:styleId="a5">
    <w:name w:val="Текст сноски Знак"/>
    <w:aliases w:val="Заголовок таблицы Знак,Текст сноски Знак Знак Знак,Заголовок таблицы Знак Знак Знак,Текст сноски Знак1 Знак Знак Знак,Текст сноски Знак Знак Знак Знак Знак,Текст сноски Знак2 Знак Знак,Текст сноски Знак1 Знак1 Знак Знак Знак,F1 Знак"/>
    <w:basedOn w:val="a0"/>
    <w:link w:val="a4"/>
    <w:rsid w:val="006C0C9E"/>
    <w:rPr>
      <w:rFonts w:ascii="Times New Roman" w:eastAsia="Calibri" w:hAnsi="Times New Roman" w:cs="Times New Roman"/>
      <w:sz w:val="20"/>
      <w:szCs w:val="20"/>
    </w:rPr>
  </w:style>
  <w:style w:type="character" w:customStyle="1" w:styleId="apple-converted-space">
    <w:name w:val="apple-converted-space"/>
    <w:rsid w:val="006C0C9E"/>
  </w:style>
  <w:style w:type="paragraph" w:styleId="20">
    <w:name w:val="Body Text Indent 2"/>
    <w:aliases w:val="Основной текст с отступом 2 Знак2,Основной текст с отступом 2 Знак1 Знак,Основной текст с отступом 2 Знак Знак Знак,Знак6 Знак Знак2 Знак,Знак6 Знак3 Знак,Основной текст с отступом 2 Знак Знак1,Знак6 Знак Знак3"/>
    <w:basedOn w:val="a"/>
    <w:link w:val="21"/>
    <w:rsid w:val="006C0C9E"/>
    <w:pPr>
      <w:spacing w:after="0" w:line="240" w:lineRule="auto"/>
      <w:ind w:firstLine="840"/>
      <w:jc w:val="both"/>
    </w:pPr>
    <w:rPr>
      <w:rFonts w:ascii="Times New Roman" w:eastAsia="Times New Roman" w:hAnsi="Times New Roman" w:cs="Times New Roman"/>
      <w:sz w:val="28"/>
      <w:szCs w:val="24"/>
      <w:lang w:eastAsia="ru-RU"/>
    </w:rPr>
  </w:style>
  <w:style w:type="character" w:customStyle="1" w:styleId="21">
    <w:name w:val="Основной текст с отступом 2 Знак"/>
    <w:aliases w:val="Основной текст с отступом 2 Знак2 Знак,Основной текст с отступом 2 Знак1 Знак Знак,Основной текст с отступом 2 Знак Знак Знак Знак,Знак6 Знак Знак2 Знак Знак,Знак6 Знак3 Знак Знак,Знак6 Знак Знак3 Знак"/>
    <w:basedOn w:val="a0"/>
    <w:link w:val="20"/>
    <w:rsid w:val="006C0C9E"/>
    <w:rPr>
      <w:rFonts w:ascii="Times New Roman" w:eastAsia="Times New Roman" w:hAnsi="Times New Roman" w:cs="Times New Roman"/>
      <w:sz w:val="28"/>
      <w:szCs w:val="24"/>
      <w:lang w:eastAsia="ru-RU"/>
    </w:rPr>
  </w:style>
  <w:style w:type="paragraph" w:styleId="22">
    <w:name w:val="Body Text 2"/>
    <w:basedOn w:val="a"/>
    <w:link w:val="23"/>
    <w:uiPriority w:val="99"/>
    <w:semiHidden/>
    <w:unhideWhenUsed/>
    <w:rsid w:val="006C0C9E"/>
    <w:pPr>
      <w:spacing w:after="120" w:line="480" w:lineRule="auto"/>
    </w:pPr>
    <w:rPr>
      <w:rFonts w:ascii="Times New Roman" w:eastAsia="Times New Roman" w:hAnsi="Times New Roman" w:cs="Times New Roman"/>
      <w:sz w:val="24"/>
      <w:szCs w:val="24"/>
      <w:lang w:eastAsia="ru-RU"/>
    </w:rPr>
  </w:style>
  <w:style w:type="character" w:customStyle="1" w:styleId="23">
    <w:name w:val="Основной текст 2 Знак"/>
    <w:basedOn w:val="a0"/>
    <w:link w:val="22"/>
    <w:uiPriority w:val="99"/>
    <w:semiHidden/>
    <w:rsid w:val="006C0C9E"/>
    <w:rPr>
      <w:rFonts w:ascii="Times New Roman" w:eastAsia="Times New Roman" w:hAnsi="Times New Roman" w:cs="Times New Roman"/>
      <w:sz w:val="24"/>
      <w:szCs w:val="24"/>
      <w:lang w:eastAsia="ru-RU"/>
    </w:rPr>
  </w:style>
  <w:style w:type="character" w:styleId="a6">
    <w:name w:val="Hyperlink"/>
    <w:rsid w:val="006C0C9E"/>
    <w:rPr>
      <w:rFonts w:cs="Times New Roman"/>
      <w:color w:val="0000FF"/>
      <w:u w:val="single"/>
    </w:rPr>
  </w:style>
  <w:style w:type="paragraph" w:styleId="a7">
    <w:name w:val="Balloon Text"/>
    <w:basedOn w:val="a"/>
    <w:link w:val="a8"/>
    <w:uiPriority w:val="99"/>
    <w:semiHidden/>
    <w:unhideWhenUsed/>
    <w:rsid w:val="006C0C9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C0C9E"/>
    <w:rPr>
      <w:rFonts w:ascii="Tahoma" w:hAnsi="Tahoma" w:cs="Tahoma"/>
      <w:sz w:val="16"/>
      <w:szCs w:val="16"/>
    </w:rPr>
  </w:style>
  <w:style w:type="paragraph" w:styleId="a9">
    <w:name w:val="header"/>
    <w:basedOn w:val="a"/>
    <w:link w:val="aa"/>
    <w:uiPriority w:val="99"/>
    <w:unhideWhenUsed/>
    <w:rsid w:val="00FE7DCD"/>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FE7DCD"/>
  </w:style>
  <w:style w:type="paragraph" w:styleId="ab">
    <w:name w:val="footer"/>
    <w:basedOn w:val="a"/>
    <w:link w:val="ac"/>
    <w:uiPriority w:val="99"/>
    <w:unhideWhenUsed/>
    <w:rsid w:val="00FE7DCD"/>
    <w:pPr>
      <w:tabs>
        <w:tab w:val="center" w:pos="4677"/>
        <w:tab w:val="right" w:pos="9355"/>
      </w:tabs>
      <w:spacing w:after="0" w:line="240" w:lineRule="auto"/>
    </w:pPr>
  </w:style>
  <w:style w:type="character" w:customStyle="1" w:styleId="ac">
    <w:name w:val="Нижний колонтитул Знак"/>
    <w:basedOn w:val="a0"/>
    <w:link w:val="ab"/>
    <w:uiPriority w:val="99"/>
    <w:rsid w:val="00FE7DCD"/>
  </w:style>
  <w:style w:type="character" w:styleId="ad">
    <w:name w:val="Strong"/>
    <w:basedOn w:val="a0"/>
    <w:uiPriority w:val="22"/>
    <w:qFormat/>
    <w:rsid w:val="00140FB2"/>
    <w:rPr>
      <w:b/>
      <w:bCs/>
    </w:rPr>
  </w:style>
  <w:style w:type="character" w:styleId="ae">
    <w:name w:val="footnote reference"/>
    <w:basedOn w:val="a0"/>
    <w:uiPriority w:val="99"/>
    <w:semiHidden/>
    <w:unhideWhenUsed/>
    <w:rsid w:val="003444B9"/>
    <w:rPr>
      <w:vertAlign w:val="superscript"/>
    </w:rPr>
  </w:style>
  <w:style w:type="paragraph" w:customStyle="1" w:styleId="msonormalmailrucssattributepostfix">
    <w:name w:val="msonormal_mailru_css_attribute_postfix"/>
    <w:basedOn w:val="a"/>
    <w:rsid w:val="00F25F6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ame">
    <w:name w:val="name"/>
    <w:basedOn w:val="a0"/>
    <w:rsid w:val="0037458E"/>
  </w:style>
  <w:style w:type="paragraph" w:styleId="af">
    <w:name w:val="List Paragraph"/>
    <w:basedOn w:val="a"/>
    <w:uiPriority w:val="34"/>
    <w:qFormat/>
    <w:rsid w:val="00C6546A"/>
    <w:pPr>
      <w:ind w:left="720"/>
      <w:contextualSpacing/>
    </w:pPr>
  </w:style>
  <w:style w:type="paragraph" w:customStyle="1" w:styleId="newncpi0">
    <w:name w:val="newncpi0"/>
    <w:basedOn w:val="a"/>
    <w:rsid w:val="00C748C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
    <w:name w:val="Обычный (веб) Знак2"/>
    <w:aliases w:val="Обычный (Web) Знак,Обычный (веб) Знак1 Знак1,Обычный (веб) Знак Знак Знак1,Обычный (веб) Знак1 Знак Знак Знак,Обычный (веб) Знак Знак Знак Знак Знак Знак,Обычный (веб) Знак Знак1,Обычный (веб) Знак1 Знак Знак1"/>
    <w:link w:val="a3"/>
    <w:uiPriority w:val="99"/>
    <w:rsid w:val="00BF7D2D"/>
    <w:rPr>
      <w:rFonts w:ascii="Times New Roman" w:eastAsia="Times New Roman" w:hAnsi="Times New Roman" w:cs="Times New Roman"/>
      <w:sz w:val="24"/>
      <w:szCs w:val="24"/>
      <w:lang w:eastAsia="ru-RU"/>
    </w:rPr>
  </w:style>
  <w:style w:type="character" w:customStyle="1" w:styleId="jlqj4b">
    <w:name w:val="jlqj4b"/>
    <w:basedOn w:val="a0"/>
    <w:rsid w:val="008D25E4"/>
  </w:style>
  <w:style w:type="character" w:customStyle="1" w:styleId="viiyi">
    <w:name w:val="viiyi"/>
    <w:basedOn w:val="a0"/>
    <w:rsid w:val="008D25E4"/>
  </w:style>
</w:styles>
</file>

<file path=word/webSettings.xml><?xml version="1.0" encoding="utf-8"?>
<w:webSettings xmlns:r="http://schemas.openxmlformats.org/officeDocument/2006/relationships" xmlns:w="http://schemas.openxmlformats.org/wordprocessingml/2006/main">
  <w:divs>
    <w:div w:id="214708687">
      <w:bodyDiv w:val="1"/>
      <w:marLeft w:val="0"/>
      <w:marRight w:val="0"/>
      <w:marTop w:val="0"/>
      <w:marBottom w:val="0"/>
      <w:divBdr>
        <w:top w:val="none" w:sz="0" w:space="0" w:color="auto"/>
        <w:left w:val="none" w:sz="0" w:space="0" w:color="auto"/>
        <w:bottom w:val="none" w:sz="0" w:space="0" w:color="auto"/>
        <w:right w:val="none" w:sz="0" w:space="0" w:color="auto"/>
      </w:divBdr>
      <w:divsChild>
        <w:div w:id="1291131777">
          <w:marLeft w:val="0"/>
          <w:marRight w:val="0"/>
          <w:marTop w:val="0"/>
          <w:marBottom w:val="0"/>
          <w:divBdr>
            <w:top w:val="none" w:sz="0" w:space="0" w:color="auto"/>
            <w:left w:val="none" w:sz="0" w:space="0" w:color="auto"/>
            <w:bottom w:val="none" w:sz="0" w:space="0" w:color="auto"/>
            <w:right w:val="none" w:sz="0" w:space="0" w:color="auto"/>
          </w:divBdr>
        </w:div>
        <w:div w:id="686753759">
          <w:marLeft w:val="0"/>
          <w:marRight w:val="0"/>
          <w:marTop w:val="0"/>
          <w:marBottom w:val="0"/>
          <w:divBdr>
            <w:top w:val="none" w:sz="0" w:space="0" w:color="auto"/>
            <w:left w:val="none" w:sz="0" w:space="0" w:color="auto"/>
            <w:bottom w:val="none" w:sz="0" w:space="0" w:color="auto"/>
            <w:right w:val="none" w:sz="0" w:space="0" w:color="auto"/>
          </w:divBdr>
        </w:div>
      </w:divsChild>
    </w:div>
    <w:div w:id="374818332">
      <w:bodyDiv w:val="1"/>
      <w:marLeft w:val="0"/>
      <w:marRight w:val="0"/>
      <w:marTop w:val="0"/>
      <w:marBottom w:val="0"/>
      <w:divBdr>
        <w:top w:val="none" w:sz="0" w:space="0" w:color="auto"/>
        <w:left w:val="none" w:sz="0" w:space="0" w:color="auto"/>
        <w:bottom w:val="none" w:sz="0" w:space="0" w:color="auto"/>
        <w:right w:val="none" w:sz="0" w:space="0" w:color="auto"/>
      </w:divBdr>
    </w:div>
    <w:div w:id="760099341">
      <w:bodyDiv w:val="1"/>
      <w:marLeft w:val="0"/>
      <w:marRight w:val="0"/>
      <w:marTop w:val="0"/>
      <w:marBottom w:val="0"/>
      <w:divBdr>
        <w:top w:val="none" w:sz="0" w:space="0" w:color="auto"/>
        <w:left w:val="none" w:sz="0" w:space="0" w:color="auto"/>
        <w:bottom w:val="none" w:sz="0" w:space="0" w:color="auto"/>
        <w:right w:val="none" w:sz="0" w:space="0" w:color="auto"/>
      </w:divBdr>
    </w:div>
    <w:div w:id="1367488464">
      <w:bodyDiv w:val="1"/>
      <w:marLeft w:val="0"/>
      <w:marRight w:val="0"/>
      <w:marTop w:val="0"/>
      <w:marBottom w:val="0"/>
      <w:divBdr>
        <w:top w:val="none" w:sz="0" w:space="0" w:color="auto"/>
        <w:left w:val="none" w:sz="0" w:space="0" w:color="auto"/>
        <w:bottom w:val="none" w:sz="0" w:space="0" w:color="auto"/>
        <w:right w:val="none" w:sz="0" w:space="0" w:color="auto"/>
      </w:divBdr>
      <w:divsChild>
        <w:div w:id="139153485">
          <w:marLeft w:val="547"/>
          <w:marRight w:val="0"/>
          <w:marTop w:val="96"/>
          <w:marBottom w:val="0"/>
          <w:divBdr>
            <w:top w:val="none" w:sz="0" w:space="0" w:color="auto"/>
            <w:left w:val="none" w:sz="0" w:space="0" w:color="auto"/>
            <w:bottom w:val="none" w:sz="0" w:space="0" w:color="auto"/>
            <w:right w:val="none" w:sz="0" w:space="0" w:color="auto"/>
          </w:divBdr>
        </w:div>
        <w:div w:id="819271910">
          <w:marLeft w:val="547"/>
          <w:marRight w:val="0"/>
          <w:marTop w:val="96"/>
          <w:marBottom w:val="0"/>
          <w:divBdr>
            <w:top w:val="none" w:sz="0" w:space="0" w:color="auto"/>
            <w:left w:val="none" w:sz="0" w:space="0" w:color="auto"/>
            <w:bottom w:val="none" w:sz="0" w:space="0" w:color="auto"/>
            <w:right w:val="none" w:sz="0" w:space="0" w:color="auto"/>
          </w:divBdr>
        </w:div>
      </w:divsChild>
    </w:div>
    <w:div w:id="1729761406">
      <w:bodyDiv w:val="1"/>
      <w:marLeft w:val="0"/>
      <w:marRight w:val="0"/>
      <w:marTop w:val="0"/>
      <w:marBottom w:val="0"/>
      <w:divBdr>
        <w:top w:val="none" w:sz="0" w:space="0" w:color="auto"/>
        <w:left w:val="none" w:sz="0" w:space="0" w:color="auto"/>
        <w:bottom w:val="none" w:sz="0" w:space="0" w:color="auto"/>
        <w:right w:val="none" w:sz="0" w:space="0" w:color="auto"/>
      </w:divBdr>
    </w:div>
    <w:div w:id="2098285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ushkevich@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rt47@mail.ru"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art47@mail.ru"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7"/>
  <c:clrMapOvr bg1="lt1" tx1="dk1" bg2="lt2" tx2="dk2" accent1="accent1" accent2="accent2" accent3="accent3" accent4="accent4" accent5="accent5" accent6="accent6" hlink="hlink" folHlink="folHlink"/>
  <c:chart>
    <c:plotArea>
      <c:layout>
        <c:manualLayout>
          <c:layoutTarget val="inner"/>
          <c:xMode val="edge"/>
          <c:yMode val="edge"/>
          <c:x val="8.5886826960700297E-2"/>
          <c:y val="2.7785154306692043E-2"/>
          <c:w val="0.89728238744026245"/>
          <c:h val="0.68045267620899652"/>
        </c:manualLayout>
      </c:layout>
      <c:lineChart>
        <c:grouping val="standard"/>
        <c:ser>
          <c:idx val="0"/>
          <c:order val="0"/>
          <c:tx>
            <c:strRef>
              <c:f>Лист1!$B$1</c:f>
              <c:strCache>
                <c:ptCount val="1"/>
                <c:pt idx="0">
                  <c:v>рождаемость</c:v>
                </c:pt>
              </c:strCache>
            </c:strRef>
          </c:tx>
          <c:marker>
            <c:spPr>
              <a:solidFill>
                <a:sysClr val="window" lastClr="FFFFFF"/>
              </a:solidFill>
            </c:spPr>
          </c:marker>
          <c:dLbls>
            <c:spPr>
              <a:noFill/>
              <a:ln>
                <a:noFill/>
              </a:ln>
              <a:effectLst/>
            </c:spPr>
            <c:txPr>
              <a:bodyPr rot="0" vert="horz"/>
              <a:lstStyle/>
              <a:p>
                <a:pPr>
                  <a:defRPr sz="700"/>
                </a:pPr>
                <a:endParaRPr lang="ru-RU"/>
              </a:p>
            </c:txPr>
            <c:dLblPos val="b"/>
            <c:showVal val="1"/>
            <c:extLst xmlns:c16r2="http://schemas.microsoft.com/office/drawing/2015/06/chart">
              <c:ext xmlns:c15="http://schemas.microsoft.com/office/drawing/2012/chart" uri="{CE6537A1-D6FC-4f65-9D91-7224C49458BB}">
                <c15:showLeaderLines val="0"/>
              </c:ext>
            </c:extLst>
          </c:dLbls>
          <c:cat>
            <c:numRef>
              <c:f>Лист1!$A$2:$A$21</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Лист1!$B$2:$B$21</c:f>
              <c:numCache>
                <c:formatCode>0.0</c:formatCode>
                <c:ptCount val="20"/>
                <c:pt idx="0">
                  <c:v>93.7</c:v>
                </c:pt>
                <c:pt idx="1">
                  <c:v>91.7</c:v>
                </c:pt>
                <c:pt idx="2">
                  <c:v>88.7</c:v>
                </c:pt>
                <c:pt idx="3">
                  <c:v>88.5</c:v>
                </c:pt>
                <c:pt idx="4">
                  <c:v>88.9</c:v>
                </c:pt>
                <c:pt idx="5">
                  <c:v>90.5</c:v>
                </c:pt>
                <c:pt idx="6">
                  <c:v>96.7</c:v>
                </c:pt>
                <c:pt idx="7">
                  <c:v>103.6</c:v>
                </c:pt>
                <c:pt idx="8">
                  <c:v>107.9</c:v>
                </c:pt>
                <c:pt idx="9">
                  <c:v>109.2</c:v>
                </c:pt>
                <c:pt idx="10">
                  <c:v>108.1</c:v>
                </c:pt>
                <c:pt idx="11">
                  <c:v>109.1</c:v>
                </c:pt>
                <c:pt idx="12">
                  <c:v>115.9</c:v>
                </c:pt>
                <c:pt idx="13">
                  <c:v>118</c:v>
                </c:pt>
                <c:pt idx="14">
                  <c:v>118.5</c:v>
                </c:pt>
                <c:pt idx="15">
                  <c:v>119</c:v>
                </c:pt>
                <c:pt idx="16">
                  <c:v>117.7</c:v>
                </c:pt>
                <c:pt idx="17">
                  <c:v>102.5</c:v>
                </c:pt>
                <c:pt idx="18">
                  <c:v>94</c:v>
                </c:pt>
                <c:pt idx="19">
                  <c:v>87.6</c:v>
                </c:pt>
              </c:numCache>
            </c:numRef>
          </c:val>
          <c:extLst xmlns:c16r2="http://schemas.microsoft.com/office/drawing/2015/06/chart">
            <c:ext xmlns:c16="http://schemas.microsoft.com/office/drawing/2014/chart" uri="{C3380CC4-5D6E-409C-BE32-E72D297353CC}">
              <c16:uniqueId val="{00000011-658D-4FD8-865E-8E196389380F}"/>
            </c:ext>
          </c:extLst>
        </c:ser>
        <c:ser>
          <c:idx val="1"/>
          <c:order val="1"/>
          <c:tx>
            <c:strRef>
              <c:f>Лист1!$C$1</c:f>
              <c:strCache>
                <c:ptCount val="1"/>
                <c:pt idx="0">
                  <c:v>смертность</c:v>
                </c:pt>
              </c:strCache>
            </c:strRef>
          </c:tx>
          <c:marker>
            <c:spPr>
              <a:solidFill>
                <a:sysClr val="window" lastClr="FFFFFF"/>
              </a:solidFill>
            </c:spPr>
          </c:marker>
          <c:dLbls>
            <c:spPr>
              <a:noFill/>
              <a:ln>
                <a:noFill/>
              </a:ln>
              <a:effectLst/>
            </c:spPr>
            <c:txPr>
              <a:bodyPr rot="0" vert="horz"/>
              <a:lstStyle/>
              <a:p>
                <a:pPr>
                  <a:defRPr sz="700"/>
                </a:pPr>
                <a:endParaRPr lang="ru-RU"/>
              </a:p>
            </c:txPr>
            <c:dLblPos val="t"/>
            <c:showVal val="1"/>
            <c:extLst xmlns:c16r2="http://schemas.microsoft.com/office/drawing/2015/06/chart">
              <c:ext xmlns:c15="http://schemas.microsoft.com/office/drawing/2012/chart" uri="{CE6537A1-D6FC-4f65-9D91-7224C49458BB}">
                <c15:showLeaderLines val="0"/>
              </c:ext>
            </c:extLst>
          </c:dLbls>
          <c:cat>
            <c:numRef>
              <c:f>Лист1!$A$2:$A$21</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Лист1!$C$2:$C$21</c:f>
              <c:numCache>
                <c:formatCode>0.0</c:formatCode>
                <c:ptCount val="20"/>
                <c:pt idx="0">
                  <c:v>134.9</c:v>
                </c:pt>
                <c:pt idx="1">
                  <c:v>140.30000000000001</c:v>
                </c:pt>
                <c:pt idx="2">
                  <c:v>146.6</c:v>
                </c:pt>
                <c:pt idx="3">
                  <c:v>143.19999999999999</c:v>
                </c:pt>
                <c:pt idx="4">
                  <c:v>140.1</c:v>
                </c:pt>
                <c:pt idx="5">
                  <c:v>141.9</c:v>
                </c:pt>
                <c:pt idx="6">
                  <c:v>138.4</c:v>
                </c:pt>
                <c:pt idx="7">
                  <c:v>133</c:v>
                </c:pt>
                <c:pt idx="8">
                  <c:v>133.9</c:v>
                </c:pt>
                <c:pt idx="9">
                  <c:v>135.1</c:v>
                </c:pt>
                <c:pt idx="10">
                  <c:v>137.1</c:v>
                </c:pt>
                <c:pt idx="11">
                  <c:v>135.1</c:v>
                </c:pt>
                <c:pt idx="12">
                  <c:v>126.5</c:v>
                </c:pt>
                <c:pt idx="13">
                  <c:v>125.3</c:v>
                </c:pt>
                <c:pt idx="14">
                  <c:v>121.5</c:v>
                </c:pt>
                <c:pt idx="15">
                  <c:v>120</c:v>
                </c:pt>
                <c:pt idx="16">
                  <c:v>119.3</c:v>
                </c:pt>
                <c:pt idx="17">
                  <c:v>119.3</c:v>
                </c:pt>
                <c:pt idx="18">
                  <c:v>120.1</c:v>
                </c:pt>
                <c:pt idx="19">
                  <c:v>120.5</c:v>
                </c:pt>
              </c:numCache>
            </c:numRef>
          </c:val>
          <c:extLst xmlns:c16r2="http://schemas.microsoft.com/office/drawing/2015/06/chart">
            <c:ext xmlns:c16="http://schemas.microsoft.com/office/drawing/2014/chart" uri="{C3380CC4-5D6E-409C-BE32-E72D297353CC}">
              <c16:uniqueId val="{00000024-658D-4FD8-865E-8E196389380F}"/>
            </c:ext>
          </c:extLst>
        </c:ser>
        <c:ser>
          <c:idx val="2"/>
          <c:order val="2"/>
          <c:tx>
            <c:strRef>
              <c:f>Лист1!$D$1</c:f>
              <c:strCache>
                <c:ptCount val="1"/>
                <c:pt idx="0">
                  <c:v>естественный прирост</c:v>
                </c:pt>
              </c:strCache>
            </c:strRef>
          </c:tx>
          <c:marker>
            <c:spPr>
              <a:solidFill>
                <a:sysClr val="window" lastClr="FFFFFF"/>
              </a:solidFill>
            </c:spPr>
          </c:marker>
          <c:dLbls>
            <c:dLbl>
              <c:idx val="14"/>
              <c:layout>
                <c:manualLayout>
                  <c:x val="-3.9292976078524978E-2"/>
                  <c:y val="0.12313941339856788"/>
                </c:manualLayout>
              </c:layout>
              <c:dLblPos val="r"/>
              <c:showVal val="1"/>
            </c:dLbl>
            <c:dLbl>
              <c:idx val="15"/>
              <c:layout>
                <c:manualLayout>
                  <c:x val="-3.9292976078524978E-2"/>
                  <c:y val="0.12313941339856788"/>
                </c:manualLayout>
              </c:layout>
              <c:dLblPos val="r"/>
              <c:showVal val="1"/>
            </c:dLbl>
            <c:dLbl>
              <c:idx val="16"/>
              <c:layout>
                <c:manualLayout>
                  <c:x val="-3.9292976078524978E-2"/>
                  <c:y val="0.12961190530795302"/>
                </c:manualLayout>
              </c:layout>
              <c:dLblPos val="r"/>
              <c:showVal val="1"/>
            </c:dLbl>
            <c:txPr>
              <a:bodyPr/>
              <a:lstStyle/>
              <a:p>
                <a:pPr>
                  <a:defRPr sz="700"/>
                </a:pPr>
                <a:endParaRPr lang="ru-RU"/>
              </a:p>
            </c:txPr>
            <c:dLblPos val="b"/>
            <c:showVal val="1"/>
          </c:dLbls>
          <c:cat>
            <c:numRef>
              <c:f>Лист1!$A$2:$A$21</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Лист1!$D$2:$D$21</c:f>
              <c:numCache>
                <c:formatCode>0.0</c:formatCode>
                <c:ptCount val="20"/>
                <c:pt idx="0">
                  <c:v>-41.2</c:v>
                </c:pt>
                <c:pt idx="1">
                  <c:v>-48.600000000000009</c:v>
                </c:pt>
                <c:pt idx="2">
                  <c:v>-57.9</c:v>
                </c:pt>
                <c:pt idx="3">
                  <c:v>-54.70000000000001</c:v>
                </c:pt>
                <c:pt idx="4">
                  <c:v>-51.20000000000001</c:v>
                </c:pt>
                <c:pt idx="5">
                  <c:v>-51.400000000000006</c:v>
                </c:pt>
                <c:pt idx="6">
                  <c:v>-41.7</c:v>
                </c:pt>
                <c:pt idx="7">
                  <c:v>-29.400000000000006</c:v>
                </c:pt>
                <c:pt idx="8">
                  <c:v>-26</c:v>
                </c:pt>
                <c:pt idx="9">
                  <c:v>-25.899999999999988</c:v>
                </c:pt>
                <c:pt idx="10">
                  <c:v>-29</c:v>
                </c:pt>
                <c:pt idx="11">
                  <c:v>-26</c:v>
                </c:pt>
                <c:pt idx="12">
                  <c:v>-10.600000000000001</c:v>
                </c:pt>
                <c:pt idx="13">
                  <c:v>-7.2999999999999972</c:v>
                </c:pt>
                <c:pt idx="14">
                  <c:v>-3</c:v>
                </c:pt>
                <c:pt idx="15">
                  <c:v>-1</c:v>
                </c:pt>
                <c:pt idx="16">
                  <c:v>-1.5999999999999928</c:v>
                </c:pt>
                <c:pt idx="17">
                  <c:v>-16.799999999999986</c:v>
                </c:pt>
                <c:pt idx="18">
                  <c:v>-26.099999999999987</c:v>
                </c:pt>
                <c:pt idx="19">
                  <c:v>-32.900000000000006</c:v>
                </c:pt>
              </c:numCache>
            </c:numRef>
          </c:val>
          <c:extLst xmlns:c16r2="http://schemas.microsoft.com/office/drawing/2015/06/chart">
            <c:ext xmlns:c16="http://schemas.microsoft.com/office/drawing/2014/chart" uri="{C3380CC4-5D6E-409C-BE32-E72D297353CC}">
              <c16:uniqueId val="{00000037-658D-4FD8-865E-8E196389380F}"/>
            </c:ext>
          </c:extLst>
        </c:ser>
        <c:marker val="1"/>
        <c:axId val="142576256"/>
        <c:axId val="135807744"/>
      </c:lineChart>
      <c:catAx>
        <c:axId val="142576256"/>
        <c:scaling>
          <c:orientation val="minMax"/>
        </c:scaling>
        <c:axPos val="b"/>
        <c:title>
          <c:tx>
            <c:rich>
              <a:bodyPr/>
              <a:lstStyle/>
              <a:p>
                <a:pPr>
                  <a:defRPr sz="1000" b="0" i="1" u="none" strike="noStrike" baseline="0">
                    <a:solidFill>
                      <a:srgbClr val="000000"/>
                    </a:solidFill>
                    <a:latin typeface="Arial"/>
                    <a:ea typeface="Arial"/>
                    <a:cs typeface="Arial"/>
                  </a:defRPr>
                </a:pPr>
                <a:r>
                  <a:rPr lang="ru-RU" b="0"/>
                  <a:t>годы</a:t>
                </a:r>
              </a:p>
            </c:rich>
          </c:tx>
          <c:layout>
            <c:manualLayout>
              <c:xMode val="edge"/>
              <c:yMode val="edge"/>
              <c:x val="0.49691505139397701"/>
              <c:y val="0.77239099966873104"/>
            </c:manualLayout>
          </c:layout>
        </c:title>
        <c:numFmt formatCode="General" sourceLinked="1"/>
        <c:tickLblPos val="low"/>
        <c:txPr>
          <a:bodyPr rot="0" vert="horz"/>
          <a:lstStyle/>
          <a:p>
            <a:pPr>
              <a:defRPr sz="900"/>
            </a:pPr>
            <a:endParaRPr lang="ru-RU"/>
          </a:p>
        </c:txPr>
        <c:crossAx val="135807744"/>
        <c:crosses val="autoZero"/>
        <c:auto val="1"/>
        <c:lblAlgn val="ctr"/>
        <c:lblOffset val="100"/>
      </c:catAx>
      <c:valAx>
        <c:axId val="135807744"/>
        <c:scaling>
          <c:orientation val="minMax"/>
        </c:scaling>
        <c:axPos val="l"/>
        <c:title>
          <c:tx>
            <c:rich>
              <a:bodyPr/>
              <a:lstStyle/>
              <a:p>
                <a:pPr>
                  <a:defRPr sz="1000" b="0" i="1" u="none" strike="noStrike" baseline="0">
                    <a:solidFill>
                      <a:srgbClr val="000000"/>
                    </a:solidFill>
                    <a:latin typeface="Arial"/>
                    <a:ea typeface="Arial"/>
                    <a:cs typeface="Arial"/>
                  </a:defRPr>
                </a:pPr>
                <a:r>
                  <a:rPr lang="ru-RU"/>
                  <a:t>тыс. чел.</a:t>
                </a:r>
              </a:p>
            </c:rich>
          </c:tx>
        </c:title>
        <c:numFmt formatCode="0.0" sourceLinked="1"/>
        <c:tickLblPos val="nextTo"/>
        <c:txPr>
          <a:bodyPr rot="0" vert="horz"/>
          <a:lstStyle/>
          <a:p>
            <a:pPr>
              <a:defRPr sz="800"/>
            </a:pPr>
            <a:endParaRPr lang="ru-RU"/>
          </a:p>
        </c:txPr>
        <c:crossAx val="142576256"/>
        <c:crosses val="autoZero"/>
        <c:crossBetween val="between"/>
      </c:valAx>
    </c:plotArea>
    <c:legend>
      <c:legendPos val="b"/>
      <c:layout>
        <c:manualLayout>
          <c:xMode val="edge"/>
          <c:yMode val="edge"/>
          <c:x val="5.0000000000000031E-2"/>
          <c:y val="0.85139508470532088"/>
          <c:w val="0.94999995840456786"/>
          <c:h val="9.3072284883308459E-2"/>
        </c:manualLayout>
      </c:layout>
    </c:legend>
    <c:plotVisOnly val="1"/>
    <c:dispBlanksAs val="gap"/>
  </c:chart>
  <c:spPr>
    <a:ln>
      <a:noFill/>
    </a:ln>
  </c:spPr>
  <c:txPr>
    <a:bodyPr/>
    <a:lstStyle/>
    <a:p>
      <a:pPr>
        <a:defRPr i="1">
          <a:latin typeface="Arial" pitchFamily="34" charset="0"/>
          <a:cs typeface="Arial" pitchFamily="34" charset="0"/>
        </a:defRPr>
      </a:pPr>
      <a:endParaRPr lang="ru-RU"/>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18"/>
  <c:chart>
    <c:plotArea>
      <c:layout>
        <c:manualLayout>
          <c:layoutTarget val="inner"/>
          <c:xMode val="edge"/>
          <c:yMode val="edge"/>
          <c:x val="9.6899023622047248E-2"/>
          <c:y val="6.586551479126497E-2"/>
          <c:w val="0.86874977427822253"/>
          <c:h val="0.70474777749556106"/>
        </c:manualLayout>
      </c:layout>
      <c:lineChart>
        <c:grouping val="standard"/>
        <c:ser>
          <c:idx val="0"/>
          <c:order val="0"/>
          <c:tx>
            <c:strRef>
              <c:f>Лист1!$B$1</c:f>
              <c:strCache>
                <c:ptCount val="1"/>
                <c:pt idx="0">
                  <c:v>Численность прибывших мигрантов</c:v>
                </c:pt>
              </c:strCache>
            </c:strRef>
          </c:tx>
          <c:spPr>
            <a:ln>
              <a:solidFill>
                <a:schemeClr val="tx1"/>
              </a:solidFill>
            </a:ln>
          </c:spPr>
          <c:marker>
            <c:spPr>
              <a:solidFill>
                <a:schemeClr val="bg1"/>
              </a:solidFill>
              <a:ln>
                <a:solidFill>
                  <a:schemeClr val="tx1">
                    <a:lumMod val="75000"/>
                    <a:lumOff val="25000"/>
                  </a:schemeClr>
                </a:solidFill>
              </a:ln>
            </c:spPr>
          </c:marker>
          <c:dLbls>
            <c:dLbl>
              <c:idx val="0"/>
              <c:layout>
                <c:manualLayout>
                  <c:x val="-3.8461538461538484E-2"/>
                  <c:y val="-4.7281323877068564E-2"/>
                </c:manualLayout>
              </c:layout>
              <c:spPr>
                <a:noFill/>
                <a:ln w="25399">
                  <a:noFill/>
                </a:ln>
              </c:spPr>
              <c:txPr>
                <a:bodyPr/>
                <a:lstStyle/>
                <a:p>
                  <a:pPr>
                    <a:defRPr sz="800"/>
                  </a:pPr>
                  <a:endParaRPr lang="ru-RU"/>
                </a:p>
              </c:txPr>
              <c:dLblPos val="r"/>
              <c:showVal val="1"/>
            </c:dLbl>
            <c:dLbl>
              <c:idx val="1"/>
              <c:layout>
                <c:manualLayout>
                  <c:x val="-1.4957264957264856E-2"/>
                  <c:y val="-4.7281323877068564E-2"/>
                </c:manualLayout>
              </c:layout>
              <c:spPr>
                <a:noFill/>
                <a:ln w="25399">
                  <a:noFill/>
                </a:ln>
              </c:spPr>
              <c:txPr>
                <a:bodyPr/>
                <a:lstStyle/>
                <a:p>
                  <a:pPr>
                    <a:defRPr sz="800"/>
                  </a:pPr>
                  <a:endParaRPr lang="ru-RU"/>
                </a:p>
              </c:txPr>
              <c:dLblPos val="r"/>
              <c:showVal val="1"/>
            </c:dLbl>
            <c:dLbl>
              <c:idx val="2"/>
              <c:layout>
                <c:manualLayout>
                  <c:x val="-3.8461538461538498E-2"/>
                  <c:y val="-4.7281323877068564E-2"/>
                </c:manualLayout>
              </c:layout>
              <c:spPr>
                <a:noFill/>
                <a:ln w="25399">
                  <a:noFill/>
                </a:ln>
              </c:spPr>
              <c:txPr>
                <a:bodyPr/>
                <a:lstStyle/>
                <a:p>
                  <a:pPr>
                    <a:defRPr sz="800"/>
                  </a:pPr>
                  <a:endParaRPr lang="ru-RU"/>
                </a:p>
              </c:txPr>
              <c:dLblPos val="r"/>
              <c:showVal val="1"/>
            </c:dLbl>
            <c:dLbl>
              <c:idx val="3"/>
              <c:layout>
                <c:manualLayout>
                  <c:x val="-2.5641025641026011E-2"/>
                  <c:y val="-4.7281323877068564E-2"/>
                </c:manualLayout>
              </c:layout>
              <c:spPr>
                <a:noFill/>
                <a:ln w="25399">
                  <a:noFill/>
                </a:ln>
              </c:spPr>
              <c:txPr>
                <a:bodyPr/>
                <a:lstStyle/>
                <a:p>
                  <a:pPr>
                    <a:defRPr sz="800"/>
                  </a:pPr>
                  <a:endParaRPr lang="ru-RU"/>
                </a:p>
              </c:txPr>
              <c:dLblPos val="r"/>
              <c:showVal val="1"/>
            </c:dLbl>
            <c:dLbl>
              <c:idx val="4"/>
              <c:layout>
                <c:manualLayout>
                  <c:x val="-3.8461538461538471E-2"/>
                  <c:y val="-6.1465721040189131E-2"/>
                </c:manualLayout>
              </c:layout>
              <c:spPr>
                <a:noFill/>
                <a:ln w="25399">
                  <a:noFill/>
                </a:ln>
              </c:spPr>
              <c:txPr>
                <a:bodyPr/>
                <a:lstStyle/>
                <a:p>
                  <a:pPr>
                    <a:defRPr sz="800"/>
                  </a:pPr>
                  <a:endParaRPr lang="ru-RU"/>
                </a:p>
              </c:txPr>
              <c:dLblPos val="r"/>
              <c:showVal val="1"/>
            </c:dLbl>
            <c:dLbl>
              <c:idx val="5"/>
              <c:layout>
                <c:manualLayout>
                  <c:x val="-4.4871794871794914E-2"/>
                  <c:y val="-4.7281323877068564E-2"/>
                </c:manualLayout>
              </c:layout>
              <c:spPr>
                <a:noFill/>
                <a:ln w="25399">
                  <a:noFill/>
                </a:ln>
              </c:spPr>
              <c:txPr>
                <a:bodyPr/>
                <a:lstStyle/>
                <a:p>
                  <a:pPr>
                    <a:defRPr sz="800"/>
                  </a:pPr>
                  <a:endParaRPr lang="ru-RU"/>
                </a:p>
              </c:txPr>
              <c:dLblPos val="r"/>
              <c:showVal val="1"/>
            </c:dLbl>
            <c:dLbl>
              <c:idx val="6"/>
              <c:layout>
                <c:manualLayout>
                  <c:x val="-5.769230769230773E-2"/>
                  <c:y val="-7.5650118203309691E-2"/>
                </c:manualLayout>
              </c:layout>
              <c:spPr>
                <a:noFill/>
                <a:ln w="25399">
                  <a:noFill/>
                </a:ln>
              </c:spPr>
              <c:txPr>
                <a:bodyPr/>
                <a:lstStyle/>
                <a:p>
                  <a:pPr>
                    <a:defRPr sz="800"/>
                  </a:pPr>
                  <a:endParaRPr lang="ru-RU"/>
                </a:p>
              </c:txPr>
              <c:dLblPos val="r"/>
              <c:showVal val="1"/>
            </c:dLbl>
            <c:dLbl>
              <c:idx val="7"/>
              <c:layout>
                <c:manualLayout>
                  <c:x val="-4.9145299145299151E-2"/>
                  <c:y val="-4.2553191489361784E-2"/>
                </c:manualLayout>
              </c:layout>
              <c:spPr>
                <a:noFill/>
                <a:ln w="25399">
                  <a:noFill/>
                </a:ln>
              </c:spPr>
              <c:txPr>
                <a:bodyPr/>
                <a:lstStyle/>
                <a:p>
                  <a:pPr>
                    <a:defRPr sz="800"/>
                  </a:pPr>
                  <a:endParaRPr lang="ru-RU"/>
                </a:p>
              </c:txPr>
              <c:dLblPos val="r"/>
              <c:showVal val="1"/>
            </c:dLbl>
            <c:dLbl>
              <c:idx val="8"/>
              <c:layout>
                <c:manualLayout>
                  <c:x val="-6.5216504335062431E-2"/>
                  <c:y val="-4.8223060545085947E-2"/>
                </c:manualLayout>
              </c:layout>
              <c:spPr>
                <a:noFill/>
                <a:ln w="25399">
                  <a:noFill/>
                </a:ln>
              </c:spPr>
              <c:txPr>
                <a:bodyPr/>
                <a:lstStyle/>
                <a:p>
                  <a:pPr>
                    <a:defRPr sz="800"/>
                  </a:pPr>
                  <a:endParaRPr lang="ru-RU"/>
                </a:p>
              </c:txPr>
              <c:dLblPos val="r"/>
              <c:showVal val="1"/>
            </c:dLbl>
            <c:dLbl>
              <c:idx val="9"/>
              <c:layout>
                <c:manualLayout>
                  <c:x val="-5.0907315495515693E-2"/>
                  <c:y val="-4.3965726241989793E-2"/>
                </c:manualLayout>
              </c:layout>
              <c:spPr>
                <a:noFill/>
                <a:ln w="25399">
                  <a:noFill/>
                </a:ln>
              </c:spPr>
              <c:txPr>
                <a:bodyPr/>
                <a:lstStyle/>
                <a:p>
                  <a:pPr>
                    <a:defRPr sz="800"/>
                  </a:pPr>
                  <a:endParaRPr lang="ru-RU"/>
                </a:p>
              </c:txPr>
              <c:dLblPos val="r"/>
              <c:showVal val="1"/>
            </c:dLbl>
            <c:dLbl>
              <c:idx val="10"/>
              <c:layout>
                <c:manualLayout>
                  <c:x val="-7.2102722941623967E-2"/>
                  <c:y val="-1.8833963962179251E-3"/>
                </c:manualLayout>
              </c:layout>
              <c:spPr>
                <a:noFill/>
                <a:ln w="25399">
                  <a:noFill/>
                </a:ln>
              </c:spPr>
              <c:txPr>
                <a:bodyPr/>
                <a:lstStyle/>
                <a:p>
                  <a:pPr>
                    <a:defRPr sz="800"/>
                  </a:pPr>
                  <a:endParaRPr lang="ru-RU"/>
                </a:p>
              </c:txPr>
              <c:dLblPos val="r"/>
              <c:showVal val="1"/>
            </c:dLbl>
            <c:dLbl>
              <c:idx val="11"/>
              <c:layout>
                <c:manualLayout>
                  <c:x val="-5.7510044656740929E-2"/>
                  <c:y val="4.3024028043880815E-2"/>
                </c:manualLayout>
              </c:layout>
              <c:spPr>
                <a:noFill/>
                <a:ln w="25399">
                  <a:noFill/>
                </a:ln>
              </c:spPr>
              <c:txPr>
                <a:bodyPr/>
                <a:lstStyle/>
                <a:p>
                  <a:pPr>
                    <a:defRPr sz="800"/>
                  </a:pPr>
                  <a:endParaRPr lang="ru-RU"/>
                </a:p>
              </c:txPr>
              <c:dLblPos val="r"/>
              <c:showVal val="1"/>
            </c:dLbl>
            <c:dLbl>
              <c:idx val="12"/>
              <c:layout>
                <c:manualLayout>
                  <c:x val="-3.5950044159172051E-2"/>
                  <c:y val="3.484943677344441E-2"/>
                </c:manualLayout>
              </c:layout>
              <c:spPr>
                <a:noFill/>
                <a:ln w="25399">
                  <a:noFill/>
                </a:ln>
              </c:spPr>
              <c:txPr>
                <a:bodyPr/>
                <a:lstStyle/>
                <a:p>
                  <a:pPr>
                    <a:defRPr sz="800"/>
                  </a:pPr>
                  <a:endParaRPr lang="ru-RU"/>
                </a:p>
              </c:txPr>
              <c:dLblPos val="r"/>
              <c:showVal val="1"/>
            </c:dLbl>
            <c:dLbl>
              <c:idx val="13"/>
              <c:layout>
                <c:manualLayout>
                  <c:x val="-3.9109601821099405E-2"/>
                  <c:y val="-5.1558035305781853E-2"/>
                </c:manualLayout>
              </c:layout>
              <c:spPr>
                <a:noFill/>
                <a:ln w="25399">
                  <a:noFill/>
                </a:ln>
              </c:spPr>
              <c:txPr>
                <a:bodyPr/>
                <a:lstStyle/>
                <a:p>
                  <a:pPr>
                    <a:defRPr sz="800"/>
                  </a:pPr>
                  <a:endParaRPr lang="ru-RU"/>
                </a:p>
              </c:txPr>
              <c:dLblPos val="r"/>
              <c:showVal val="1"/>
            </c:dLbl>
            <c:dLbl>
              <c:idx val="14"/>
              <c:layout>
                <c:manualLayout>
                  <c:x val="-6.0317448470599944E-2"/>
                  <c:y val="-3.2702374315246516E-2"/>
                </c:manualLayout>
              </c:layout>
              <c:spPr>
                <a:noFill/>
                <a:ln w="25399">
                  <a:noFill/>
                </a:ln>
              </c:spPr>
              <c:txPr>
                <a:bodyPr/>
                <a:lstStyle/>
                <a:p>
                  <a:pPr>
                    <a:defRPr sz="800"/>
                  </a:pPr>
                  <a:endParaRPr lang="ru-RU"/>
                </a:p>
              </c:txPr>
              <c:dLblPos val="r"/>
              <c:showVal val="1"/>
            </c:dLbl>
            <c:dLbl>
              <c:idx val="15"/>
              <c:layout>
                <c:manualLayout>
                  <c:x val="-2.689075630252101E-2"/>
                  <c:y val="-6.9204152249134954E-2"/>
                </c:manualLayout>
              </c:layout>
              <c:spPr>
                <a:noFill/>
                <a:ln w="25399">
                  <a:noFill/>
                </a:ln>
              </c:spPr>
              <c:txPr>
                <a:bodyPr/>
                <a:lstStyle/>
                <a:p>
                  <a:pPr>
                    <a:defRPr sz="800"/>
                  </a:pPr>
                  <a:endParaRPr lang="ru-RU"/>
                </a:p>
              </c:txPr>
              <c:dLblPos val="r"/>
              <c:showVal val="1"/>
            </c:dLbl>
            <c:dLbl>
              <c:idx val="16"/>
              <c:layout>
                <c:manualLayout>
                  <c:x val="-3.2000000000000042E-2"/>
                  <c:y val="-3.294657522648383E-2"/>
                </c:manualLayout>
              </c:layout>
              <c:spPr>
                <a:noFill/>
                <a:ln w="25399">
                  <a:noFill/>
                </a:ln>
              </c:spPr>
              <c:txPr>
                <a:bodyPr/>
                <a:lstStyle/>
                <a:p>
                  <a:pPr>
                    <a:defRPr sz="800"/>
                  </a:pPr>
                  <a:endParaRPr lang="ru-RU"/>
                </a:p>
              </c:txPr>
              <c:dLblPos val="r"/>
              <c:showVal val="1"/>
            </c:dLbl>
            <c:dLbl>
              <c:idx val="17"/>
              <c:layout>
                <c:manualLayout>
                  <c:x val="-5.3333333333333441E-2"/>
                  <c:y val="2.1505545677758052E-2"/>
                </c:manualLayout>
              </c:layout>
              <c:spPr>
                <a:noFill/>
                <a:ln w="25399">
                  <a:noFill/>
                </a:ln>
              </c:spPr>
              <c:txPr>
                <a:bodyPr/>
                <a:lstStyle/>
                <a:p>
                  <a:pPr>
                    <a:defRPr sz="800"/>
                  </a:pPr>
                  <a:endParaRPr lang="ru-RU"/>
                </a:p>
              </c:txPr>
              <c:dLblPos val="r"/>
              <c:showVal val="1"/>
            </c:dLbl>
            <c:dLbl>
              <c:idx val="18"/>
              <c:layout>
                <c:manualLayout>
                  <c:x val="-1.0666666666666678E-2"/>
                  <c:y val="-3.4408602150537634E-2"/>
                </c:manualLayout>
              </c:layout>
              <c:showVal val="1"/>
            </c:dLbl>
            <c:dLbl>
              <c:idx val="19"/>
              <c:layout>
                <c:manualLayout>
                  <c:x val="-1.9199999999999998E-2"/>
                  <c:y val="-4.7311827956989363E-2"/>
                </c:manualLayout>
              </c:layout>
              <c:showVal val="1"/>
            </c:dLbl>
            <c:spPr>
              <a:noFill/>
              <a:ln w="25399">
                <a:noFill/>
              </a:ln>
            </c:spPr>
            <c:txPr>
              <a:bodyPr wrap="square" lIns="38100" tIns="19050" rIns="38100" bIns="19050" anchor="ctr">
                <a:spAutoFit/>
              </a:bodyPr>
              <a:lstStyle/>
              <a:p>
                <a:pPr>
                  <a:defRPr sz="800"/>
                </a:pPr>
                <a:endParaRPr lang="ru-RU"/>
              </a:p>
            </c:txPr>
            <c:showVal val="1"/>
            <c:extLst xmlns:c16r2="http://schemas.microsoft.com/office/drawing/2015/06/chart">
              <c:ext xmlns:c15="http://schemas.microsoft.com/office/drawing/2012/chart" uri="{CE6537A1-D6FC-4f65-9D91-7224C49458BB}">
                <c15:showLeaderLines val="0"/>
              </c:ext>
            </c:extLst>
          </c:dLbls>
          <c:cat>
            <c:numRef>
              <c:f>Лист1!$A$2:$A$21</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Лист1!$B$2:$B$21</c:f>
              <c:numCache>
                <c:formatCode>General</c:formatCode>
                <c:ptCount val="20"/>
                <c:pt idx="0">
                  <c:v>25943</c:v>
                </c:pt>
                <c:pt idx="1">
                  <c:v>23355</c:v>
                </c:pt>
                <c:pt idx="2">
                  <c:v>18939</c:v>
                </c:pt>
                <c:pt idx="3">
                  <c:v>18146</c:v>
                </c:pt>
                <c:pt idx="4">
                  <c:v>14642</c:v>
                </c:pt>
                <c:pt idx="5">
                  <c:v>13031</c:v>
                </c:pt>
                <c:pt idx="6">
                  <c:v>14124</c:v>
                </c:pt>
                <c:pt idx="7">
                  <c:v>14155</c:v>
                </c:pt>
                <c:pt idx="8">
                  <c:v>17413</c:v>
                </c:pt>
                <c:pt idx="9">
                  <c:v>19892</c:v>
                </c:pt>
                <c:pt idx="10">
                  <c:v>17169</c:v>
                </c:pt>
                <c:pt idx="11">
                  <c:v>17510</c:v>
                </c:pt>
                <c:pt idx="12">
                  <c:v>18040</c:v>
                </c:pt>
                <c:pt idx="13">
                  <c:v>19435</c:v>
                </c:pt>
                <c:pt idx="14">
                  <c:v>24941</c:v>
                </c:pt>
                <c:pt idx="15">
                  <c:v>28349</c:v>
                </c:pt>
                <c:pt idx="16">
                  <c:v>21038</c:v>
                </c:pt>
                <c:pt idx="17">
                  <c:v>18961</c:v>
                </c:pt>
                <c:pt idx="18">
                  <c:v>24601</c:v>
                </c:pt>
                <c:pt idx="19">
                  <c:v>34846</c:v>
                </c:pt>
              </c:numCache>
            </c:numRef>
          </c:val>
          <c:extLst xmlns:c16r2="http://schemas.microsoft.com/office/drawing/2015/06/chart">
            <c:ext xmlns:c16="http://schemas.microsoft.com/office/drawing/2014/chart" uri="{C3380CC4-5D6E-409C-BE32-E72D297353CC}">
              <c16:uniqueId val="{00000012-5D2D-4123-A15A-99E2243809E1}"/>
            </c:ext>
          </c:extLst>
        </c:ser>
        <c:ser>
          <c:idx val="1"/>
          <c:order val="1"/>
          <c:tx>
            <c:strRef>
              <c:f>Лист1!$C$1</c:f>
              <c:strCache>
                <c:ptCount val="1"/>
                <c:pt idx="0">
                  <c:v>Численность выбывших мигрантов</c:v>
                </c:pt>
              </c:strCache>
            </c:strRef>
          </c:tx>
          <c:spPr>
            <a:ln>
              <a:solidFill>
                <a:schemeClr val="tx1">
                  <a:lumMod val="50000"/>
                  <a:lumOff val="50000"/>
                </a:schemeClr>
              </a:solidFill>
            </a:ln>
          </c:spPr>
          <c:marker>
            <c:spPr>
              <a:solidFill>
                <a:schemeClr val="bg1"/>
              </a:solidFill>
              <a:ln>
                <a:solidFill>
                  <a:schemeClr val="tx1"/>
                </a:solidFill>
              </a:ln>
            </c:spPr>
          </c:marker>
          <c:dLbls>
            <c:dLbl>
              <c:idx val="0"/>
              <c:layout>
                <c:manualLayout>
                  <c:x val="-5.128205128205128E-2"/>
                  <c:y val="-5.2009456264775406E-2"/>
                </c:manualLayout>
              </c:layout>
              <c:spPr>
                <a:noFill/>
                <a:ln w="25399">
                  <a:noFill/>
                </a:ln>
              </c:spPr>
              <c:txPr>
                <a:bodyPr/>
                <a:lstStyle/>
                <a:p>
                  <a:pPr>
                    <a:defRPr sz="800"/>
                  </a:pPr>
                  <a:endParaRPr lang="ru-RU"/>
                </a:p>
              </c:txPr>
              <c:dLblPos val="r"/>
              <c:showVal val="1"/>
            </c:dLbl>
            <c:dLbl>
              <c:idx val="1"/>
              <c:layout>
                <c:manualLayout>
                  <c:x val="-3.8461538461538471E-2"/>
                  <c:y val="-5.6737588652482303E-2"/>
                </c:manualLayout>
              </c:layout>
              <c:spPr>
                <a:noFill/>
                <a:ln w="25399">
                  <a:noFill/>
                </a:ln>
              </c:spPr>
              <c:txPr>
                <a:bodyPr/>
                <a:lstStyle/>
                <a:p>
                  <a:pPr>
                    <a:defRPr sz="800"/>
                  </a:pPr>
                  <a:endParaRPr lang="ru-RU"/>
                </a:p>
              </c:txPr>
              <c:dLblPos val="r"/>
              <c:showVal val="1"/>
            </c:dLbl>
            <c:dLbl>
              <c:idx val="2"/>
              <c:layout>
                <c:manualLayout>
                  <c:x val="-5.1282051282051294E-2"/>
                  <c:y val="4.7281323877068564E-2"/>
                </c:manualLayout>
              </c:layout>
              <c:spPr>
                <a:noFill/>
                <a:ln w="25399">
                  <a:noFill/>
                </a:ln>
              </c:spPr>
              <c:txPr>
                <a:bodyPr/>
                <a:lstStyle/>
                <a:p>
                  <a:pPr>
                    <a:defRPr sz="800"/>
                  </a:pPr>
                  <a:endParaRPr lang="ru-RU"/>
                </a:p>
              </c:txPr>
              <c:dLblPos val="r"/>
              <c:showVal val="1"/>
            </c:dLbl>
            <c:dLbl>
              <c:idx val="3"/>
              <c:layout>
                <c:manualLayout>
                  <c:x val="-4.4871794871794914E-2"/>
                  <c:y val="-4.2553191489361784E-2"/>
                </c:manualLayout>
              </c:layout>
              <c:spPr>
                <a:noFill/>
                <a:ln w="25399">
                  <a:noFill/>
                </a:ln>
              </c:spPr>
              <c:txPr>
                <a:bodyPr/>
                <a:lstStyle/>
                <a:p>
                  <a:pPr>
                    <a:defRPr sz="800"/>
                  </a:pPr>
                  <a:endParaRPr lang="ru-RU"/>
                </a:p>
              </c:txPr>
              <c:dLblPos val="r"/>
              <c:showVal val="1"/>
            </c:dLbl>
            <c:dLbl>
              <c:idx val="4"/>
              <c:layout>
                <c:manualLayout>
                  <c:x val="-7.4786324786325076E-2"/>
                  <c:y val="3.309692671394799E-2"/>
                </c:manualLayout>
              </c:layout>
              <c:spPr>
                <a:noFill/>
                <a:ln w="25399">
                  <a:noFill/>
                </a:ln>
              </c:spPr>
              <c:txPr>
                <a:bodyPr/>
                <a:lstStyle/>
                <a:p>
                  <a:pPr>
                    <a:defRPr sz="800"/>
                  </a:pPr>
                  <a:endParaRPr lang="ru-RU"/>
                </a:p>
              </c:txPr>
              <c:dLblPos val="r"/>
              <c:showVal val="1"/>
            </c:dLbl>
            <c:dLbl>
              <c:idx val="5"/>
              <c:layout>
                <c:manualLayout>
                  <c:x val="-6.4102564102564125E-2"/>
                  <c:y val="4.2553191489361784E-2"/>
                </c:manualLayout>
              </c:layout>
              <c:spPr>
                <a:noFill/>
                <a:ln w="25399">
                  <a:noFill/>
                </a:ln>
              </c:spPr>
              <c:txPr>
                <a:bodyPr/>
                <a:lstStyle/>
                <a:p>
                  <a:pPr>
                    <a:defRPr sz="800"/>
                  </a:pPr>
                  <a:endParaRPr lang="ru-RU"/>
                </a:p>
              </c:txPr>
              <c:dLblPos val="r"/>
              <c:showVal val="1"/>
            </c:dLbl>
            <c:dLbl>
              <c:idx val="6"/>
              <c:layout>
                <c:manualLayout>
                  <c:x val="-4.7008547008547084E-2"/>
                  <c:y val="-5.2009456264775406E-2"/>
                </c:manualLayout>
              </c:layout>
              <c:spPr>
                <a:noFill/>
                <a:ln w="25399">
                  <a:noFill/>
                </a:ln>
              </c:spPr>
              <c:txPr>
                <a:bodyPr/>
                <a:lstStyle/>
                <a:p>
                  <a:pPr>
                    <a:defRPr sz="800"/>
                  </a:pPr>
                  <a:endParaRPr lang="ru-RU"/>
                </a:p>
              </c:txPr>
              <c:dLblPos val="r"/>
              <c:showVal val="1"/>
            </c:dLbl>
            <c:dLbl>
              <c:idx val="7"/>
              <c:layout>
                <c:manualLayout>
                  <c:x val="-3.4188034188034191E-2"/>
                  <c:y val="-4.2553191489361784E-2"/>
                </c:manualLayout>
              </c:layout>
              <c:spPr>
                <a:noFill/>
                <a:ln w="25399">
                  <a:noFill/>
                </a:ln>
              </c:spPr>
              <c:txPr>
                <a:bodyPr/>
                <a:lstStyle/>
                <a:p>
                  <a:pPr>
                    <a:defRPr sz="800"/>
                  </a:pPr>
                  <a:endParaRPr lang="ru-RU"/>
                </a:p>
              </c:txPr>
              <c:dLblPos val="r"/>
              <c:showVal val="1"/>
            </c:dLbl>
            <c:dLbl>
              <c:idx val="8"/>
              <c:layout>
                <c:manualLayout>
                  <c:x val="-4.2735042735042764E-2"/>
                  <c:y val="-5.6737588652482324E-2"/>
                </c:manualLayout>
              </c:layout>
              <c:spPr>
                <a:noFill/>
                <a:ln w="25399">
                  <a:noFill/>
                </a:ln>
              </c:spPr>
              <c:txPr>
                <a:bodyPr/>
                <a:lstStyle/>
                <a:p>
                  <a:pPr>
                    <a:defRPr sz="800"/>
                  </a:pPr>
                  <a:endParaRPr lang="ru-RU"/>
                </a:p>
              </c:txPr>
              <c:dLblPos val="r"/>
              <c:showVal val="1"/>
            </c:dLbl>
            <c:dLbl>
              <c:idx val="9"/>
              <c:layout>
                <c:manualLayout>
                  <c:x val="-4.0598290598290704E-2"/>
                  <c:y val="4.2553191489361784E-2"/>
                </c:manualLayout>
              </c:layout>
              <c:spPr>
                <a:noFill/>
                <a:ln w="25399">
                  <a:noFill/>
                </a:ln>
              </c:spPr>
              <c:txPr>
                <a:bodyPr/>
                <a:lstStyle/>
                <a:p>
                  <a:pPr>
                    <a:defRPr sz="800"/>
                  </a:pPr>
                  <a:endParaRPr lang="ru-RU"/>
                </a:p>
              </c:txPr>
              <c:dLblPos val="r"/>
              <c:showVal val="1"/>
            </c:dLbl>
            <c:dLbl>
              <c:idx val="10"/>
              <c:layout>
                <c:manualLayout>
                  <c:x val="-3.2051282051282062E-2"/>
                  <c:y val="6.1465721040189131E-2"/>
                </c:manualLayout>
              </c:layout>
              <c:spPr>
                <a:noFill/>
                <a:ln w="25399">
                  <a:noFill/>
                </a:ln>
              </c:spPr>
              <c:txPr>
                <a:bodyPr/>
                <a:lstStyle/>
                <a:p>
                  <a:pPr>
                    <a:defRPr sz="800"/>
                  </a:pPr>
                  <a:endParaRPr lang="ru-RU"/>
                </a:p>
              </c:txPr>
              <c:dLblPos val="r"/>
              <c:showVal val="1"/>
            </c:dLbl>
            <c:dLbl>
              <c:idx val="11"/>
              <c:layout>
                <c:manualLayout>
                  <c:x val="-3.8461538461538471E-2"/>
                  <c:y val="5.2009456264775406E-2"/>
                </c:manualLayout>
              </c:layout>
              <c:spPr>
                <a:noFill/>
                <a:ln w="25399">
                  <a:noFill/>
                </a:ln>
              </c:spPr>
              <c:txPr>
                <a:bodyPr/>
                <a:lstStyle/>
                <a:p>
                  <a:pPr>
                    <a:defRPr sz="800"/>
                  </a:pPr>
                  <a:endParaRPr lang="ru-RU"/>
                </a:p>
              </c:txPr>
              <c:dLblPos val="r"/>
              <c:showVal val="1"/>
            </c:dLbl>
            <c:dLbl>
              <c:idx val="12"/>
              <c:layout>
                <c:manualLayout>
                  <c:x val="-4.0598290598290704E-2"/>
                  <c:y val="4.2553191489361784E-2"/>
                </c:manualLayout>
              </c:layout>
              <c:spPr>
                <a:noFill/>
                <a:ln w="25399">
                  <a:noFill/>
                </a:ln>
              </c:spPr>
              <c:txPr>
                <a:bodyPr/>
                <a:lstStyle/>
                <a:p>
                  <a:pPr>
                    <a:defRPr sz="800"/>
                  </a:pPr>
                  <a:endParaRPr lang="ru-RU"/>
                </a:p>
              </c:txPr>
              <c:dLblPos val="r"/>
              <c:showVal val="1"/>
            </c:dLbl>
            <c:dLbl>
              <c:idx val="13"/>
              <c:layout>
                <c:manualLayout>
                  <c:x val="-3.6324786324786335E-2"/>
                  <c:y val="3.7825059101654852E-2"/>
                </c:manualLayout>
              </c:layout>
              <c:spPr>
                <a:noFill/>
                <a:ln w="25399">
                  <a:noFill/>
                </a:ln>
              </c:spPr>
              <c:txPr>
                <a:bodyPr/>
                <a:lstStyle/>
                <a:p>
                  <a:pPr>
                    <a:defRPr sz="800"/>
                  </a:pPr>
                  <a:endParaRPr lang="ru-RU"/>
                </a:p>
              </c:txPr>
              <c:dLblPos val="r"/>
              <c:showVal val="1"/>
            </c:dLbl>
            <c:dLbl>
              <c:idx val="14"/>
              <c:layout>
                <c:manualLayout>
                  <c:x val="-2.689075630252101E-2"/>
                  <c:y val="3.0920996467137116E-2"/>
                </c:manualLayout>
              </c:layout>
              <c:spPr>
                <a:noFill/>
                <a:ln w="25399">
                  <a:noFill/>
                </a:ln>
              </c:spPr>
              <c:txPr>
                <a:bodyPr/>
                <a:lstStyle/>
                <a:p>
                  <a:pPr>
                    <a:defRPr sz="800"/>
                  </a:pPr>
                  <a:endParaRPr lang="ru-RU"/>
                </a:p>
              </c:txPr>
              <c:dLblPos val="r"/>
              <c:showVal val="1"/>
            </c:dLbl>
            <c:dLbl>
              <c:idx val="15"/>
              <c:layout>
                <c:manualLayout>
                  <c:x val="-5.2939881329999702E-2"/>
                  <c:y val="-4.1522452179277775E-2"/>
                </c:manualLayout>
              </c:layout>
              <c:spPr>
                <a:noFill/>
                <a:ln w="25399">
                  <a:noFill/>
                </a:ln>
              </c:spPr>
              <c:txPr>
                <a:bodyPr/>
                <a:lstStyle/>
                <a:p>
                  <a:pPr>
                    <a:defRPr sz="800"/>
                  </a:pPr>
                  <a:endParaRPr lang="ru-RU"/>
                </a:p>
              </c:txPr>
              <c:dLblPos val="r"/>
              <c:showVal val="1"/>
            </c:dLbl>
            <c:dLbl>
              <c:idx val="16"/>
              <c:layout>
                <c:manualLayout>
                  <c:x val="-5.2618078740157476E-2"/>
                  <c:y val="5.3614427228854462E-2"/>
                </c:manualLayout>
              </c:layout>
              <c:spPr>
                <a:noFill/>
                <a:ln w="25399">
                  <a:noFill/>
                </a:ln>
              </c:spPr>
              <c:txPr>
                <a:bodyPr/>
                <a:lstStyle/>
                <a:p>
                  <a:pPr>
                    <a:defRPr sz="800"/>
                  </a:pPr>
                  <a:endParaRPr lang="ru-RU"/>
                </a:p>
              </c:txPr>
              <c:dLblPos val="r"/>
              <c:showVal val="1"/>
            </c:dLbl>
            <c:dLbl>
              <c:idx val="17"/>
              <c:layout>
                <c:manualLayout>
                  <c:x val="-3.8399999999999997E-2"/>
                  <c:y val="5.5913978494623727E-2"/>
                </c:manualLayout>
              </c:layout>
              <c:spPr>
                <a:noFill/>
                <a:ln w="25399">
                  <a:noFill/>
                </a:ln>
              </c:spPr>
              <c:txPr>
                <a:bodyPr/>
                <a:lstStyle/>
                <a:p>
                  <a:pPr>
                    <a:defRPr sz="800"/>
                  </a:pPr>
                  <a:endParaRPr lang="ru-RU"/>
                </a:p>
              </c:txPr>
              <c:dLblPos val="r"/>
              <c:showVal val="1"/>
            </c:dLbl>
            <c:dLbl>
              <c:idx val="18"/>
              <c:layout>
                <c:manualLayout>
                  <c:x val="-4.2666666666668299E-3"/>
                  <c:y val="-1.7204301075268821E-2"/>
                </c:manualLayout>
              </c:layout>
              <c:showVal val="1"/>
            </c:dLbl>
            <c:dLbl>
              <c:idx val="19"/>
              <c:layout>
                <c:manualLayout>
                  <c:x val="0"/>
                  <c:y val="-3.4408602150537676E-2"/>
                </c:manualLayout>
              </c:layout>
              <c:showVal val="1"/>
            </c:dLbl>
            <c:spPr>
              <a:noFill/>
              <a:ln w="25399">
                <a:noFill/>
              </a:ln>
            </c:spPr>
            <c:txPr>
              <a:bodyPr wrap="square" lIns="38100" tIns="19050" rIns="38100" bIns="19050" anchor="ctr">
                <a:spAutoFit/>
              </a:bodyPr>
              <a:lstStyle/>
              <a:p>
                <a:pPr>
                  <a:defRPr sz="800"/>
                </a:pPr>
                <a:endParaRPr lang="ru-RU"/>
              </a:p>
            </c:txPr>
            <c:showVal val="1"/>
            <c:extLst xmlns:c16r2="http://schemas.microsoft.com/office/drawing/2015/06/chart">
              <c:ext xmlns:c15="http://schemas.microsoft.com/office/drawing/2012/chart" uri="{CE6537A1-D6FC-4f65-9D91-7224C49458BB}">
                <c15:showLeaderLines val="0"/>
              </c:ext>
            </c:extLst>
          </c:dLbls>
          <c:cat>
            <c:numRef>
              <c:f>Лист1!$A$2:$A$21</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Лист1!$C$2:$C$21</c:f>
              <c:numCache>
                <c:formatCode>General</c:formatCode>
                <c:ptCount val="20"/>
                <c:pt idx="0">
                  <c:v>13812</c:v>
                </c:pt>
                <c:pt idx="1">
                  <c:v>14270</c:v>
                </c:pt>
                <c:pt idx="2">
                  <c:v>13378</c:v>
                </c:pt>
                <c:pt idx="3">
                  <c:v>12986</c:v>
                </c:pt>
                <c:pt idx="4">
                  <c:v>12510</c:v>
                </c:pt>
                <c:pt idx="5">
                  <c:v>11082</c:v>
                </c:pt>
                <c:pt idx="6">
                  <c:v>8498</c:v>
                </c:pt>
                <c:pt idx="7">
                  <c:v>9479</c:v>
                </c:pt>
                <c:pt idx="8">
                  <c:v>9268</c:v>
                </c:pt>
                <c:pt idx="9">
                  <c:v>7643</c:v>
                </c:pt>
                <c:pt idx="10">
                  <c:v>6866</c:v>
                </c:pt>
                <c:pt idx="11">
                  <c:v>7610</c:v>
                </c:pt>
                <c:pt idx="12">
                  <c:v>8712</c:v>
                </c:pt>
                <c:pt idx="13">
                  <c:v>7792</c:v>
                </c:pt>
                <c:pt idx="14">
                  <c:v>9219</c:v>
                </c:pt>
                <c:pt idx="15">
                  <c:v>9855</c:v>
                </c:pt>
                <c:pt idx="16">
                  <c:v>13098</c:v>
                </c:pt>
                <c:pt idx="17">
                  <c:v>15087</c:v>
                </c:pt>
                <c:pt idx="18">
                  <c:v>15239</c:v>
                </c:pt>
                <c:pt idx="19">
                  <c:v>20976</c:v>
                </c:pt>
              </c:numCache>
            </c:numRef>
          </c:val>
          <c:extLst xmlns:c16r2="http://schemas.microsoft.com/office/drawing/2015/06/chart">
            <c:ext xmlns:c16="http://schemas.microsoft.com/office/drawing/2014/chart" uri="{C3380CC4-5D6E-409C-BE32-E72D297353CC}">
              <c16:uniqueId val="{00000025-5D2D-4123-A15A-99E2243809E1}"/>
            </c:ext>
          </c:extLst>
        </c:ser>
        <c:ser>
          <c:idx val="2"/>
          <c:order val="2"/>
          <c:tx>
            <c:strRef>
              <c:f>Лист1!$D$1</c:f>
              <c:strCache>
                <c:ptCount val="1"/>
                <c:pt idx="0">
                  <c:v>Миграционный прирост</c:v>
                </c:pt>
              </c:strCache>
            </c:strRef>
          </c:tx>
          <c:spPr>
            <a:ln>
              <a:solidFill>
                <a:schemeClr val="tx1">
                  <a:lumMod val="75000"/>
                  <a:lumOff val="25000"/>
                </a:schemeClr>
              </a:solidFill>
            </a:ln>
          </c:spPr>
          <c:marker>
            <c:spPr>
              <a:solidFill>
                <a:schemeClr val="bg1"/>
              </a:solidFill>
              <a:ln>
                <a:solidFill>
                  <a:schemeClr val="tx1"/>
                </a:solidFill>
              </a:ln>
            </c:spPr>
          </c:marker>
          <c:dLbls>
            <c:dLbl>
              <c:idx val="0"/>
              <c:layout>
                <c:manualLayout>
                  <c:x val="-4.2735042735042722E-2"/>
                  <c:y val="5.6737588652482324E-2"/>
                </c:manualLayout>
              </c:layout>
              <c:spPr>
                <a:noFill/>
                <a:ln w="25399">
                  <a:noFill/>
                </a:ln>
              </c:spPr>
              <c:txPr>
                <a:bodyPr/>
                <a:lstStyle/>
                <a:p>
                  <a:pPr>
                    <a:defRPr sz="800"/>
                  </a:pPr>
                  <a:endParaRPr lang="ru-RU"/>
                </a:p>
              </c:txPr>
              <c:dLblPos val="r"/>
              <c:showVal val="1"/>
            </c:dLbl>
            <c:dLbl>
              <c:idx val="1"/>
              <c:layout>
                <c:manualLayout>
                  <c:x val="-4.4871794871794914E-2"/>
                  <c:y val="5.2009456264775406E-2"/>
                </c:manualLayout>
              </c:layout>
              <c:spPr>
                <a:noFill/>
                <a:ln w="25399">
                  <a:noFill/>
                </a:ln>
              </c:spPr>
              <c:txPr>
                <a:bodyPr/>
                <a:lstStyle/>
                <a:p>
                  <a:pPr>
                    <a:defRPr sz="800"/>
                  </a:pPr>
                  <a:endParaRPr lang="ru-RU"/>
                </a:p>
              </c:txPr>
              <c:dLblPos val="r"/>
              <c:showVal val="1"/>
            </c:dLbl>
            <c:dLbl>
              <c:idx val="2"/>
              <c:layout>
                <c:manualLayout>
                  <c:x val="-6.8376068376068383E-2"/>
                  <c:y val="3.7825059101654852E-2"/>
                </c:manualLayout>
              </c:layout>
              <c:spPr>
                <a:noFill/>
                <a:ln w="25399">
                  <a:noFill/>
                </a:ln>
              </c:spPr>
              <c:txPr>
                <a:bodyPr/>
                <a:lstStyle/>
                <a:p>
                  <a:pPr>
                    <a:defRPr sz="800"/>
                  </a:pPr>
                  <a:endParaRPr lang="ru-RU"/>
                </a:p>
              </c:txPr>
              <c:dLblPos val="r"/>
              <c:showVal val="1"/>
            </c:dLbl>
            <c:dLbl>
              <c:idx val="3"/>
              <c:layout>
                <c:manualLayout>
                  <c:x val="-6.1965811965812002E-2"/>
                  <c:y val="4.2553191489361784E-2"/>
                </c:manualLayout>
              </c:layout>
              <c:spPr>
                <a:noFill/>
                <a:ln w="25399">
                  <a:noFill/>
                </a:ln>
              </c:spPr>
              <c:txPr>
                <a:bodyPr/>
                <a:lstStyle/>
                <a:p>
                  <a:pPr>
                    <a:defRPr sz="800"/>
                  </a:pPr>
                  <a:endParaRPr lang="ru-RU"/>
                </a:p>
              </c:txPr>
              <c:dLblPos val="r"/>
              <c:showVal val="1"/>
            </c:dLbl>
            <c:dLbl>
              <c:idx val="4"/>
              <c:layout>
                <c:manualLayout>
                  <c:x val="-3.8461538461538471E-2"/>
                  <c:y val="-4.7281323877068564E-2"/>
                </c:manualLayout>
              </c:layout>
              <c:spPr>
                <a:noFill/>
                <a:ln w="25399">
                  <a:noFill/>
                </a:ln>
              </c:spPr>
              <c:txPr>
                <a:bodyPr/>
                <a:lstStyle/>
                <a:p>
                  <a:pPr>
                    <a:defRPr sz="800"/>
                  </a:pPr>
                  <a:endParaRPr lang="ru-RU"/>
                </a:p>
              </c:txPr>
              <c:dLblPos val="r"/>
              <c:showVal val="1"/>
            </c:dLbl>
            <c:dLbl>
              <c:idx val="5"/>
              <c:layout>
                <c:manualLayout>
                  <c:x val="-4.0598290598290704E-2"/>
                  <c:y val="-4.2553191489361784E-2"/>
                </c:manualLayout>
              </c:layout>
              <c:spPr>
                <a:noFill/>
                <a:ln w="25399">
                  <a:noFill/>
                </a:ln>
              </c:spPr>
              <c:txPr>
                <a:bodyPr/>
                <a:lstStyle/>
                <a:p>
                  <a:pPr>
                    <a:defRPr sz="800"/>
                  </a:pPr>
                  <a:endParaRPr lang="ru-RU"/>
                </a:p>
              </c:txPr>
              <c:dLblPos val="r"/>
              <c:showVal val="1"/>
            </c:dLbl>
            <c:dLbl>
              <c:idx val="6"/>
              <c:layout>
                <c:manualLayout>
                  <c:x val="-3.8461538461538471E-2"/>
                  <c:y val="5.2009456264775496E-2"/>
                </c:manualLayout>
              </c:layout>
              <c:spPr>
                <a:noFill/>
                <a:ln w="25399">
                  <a:noFill/>
                </a:ln>
              </c:spPr>
              <c:txPr>
                <a:bodyPr/>
                <a:lstStyle/>
                <a:p>
                  <a:pPr>
                    <a:defRPr sz="800"/>
                  </a:pPr>
                  <a:endParaRPr lang="ru-RU"/>
                </a:p>
              </c:txPr>
              <c:dLblPos val="r"/>
              <c:showVal val="1"/>
            </c:dLbl>
            <c:dLbl>
              <c:idx val="7"/>
              <c:layout>
                <c:manualLayout>
                  <c:x val="-3.4188034188034191E-2"/>
                  <c:y val="3.309692671394799E-2"/>
                </c:manualLayout>
              </c:layout>
              <c:spPr>
                <a:noFill/>
                <a:ln w="25399">
                  <a:noFill/>
                </a:ln>
              </c:spPr>
              <c:txPr>
                <a:bodyPr/>
                <a:lstStyle/>
                <a:p>
                  <a:pPr>
                    <a:defRPr sz="800"/>
                  </a:pPr>
                  <a:endParaRPr lang="ru-RU"/>
                </a:p>
              </c:txPr>
              <c:dLblPos val="r"/>
              <c:showVal val="1"/>
            </c:dLbl>
            <c:dLbl>
              <c:idx val="8"/>
              <c:layout>
                <c:manualLayout>
                  <c:x val="-4.0598290598290704E-2"/>
                  <c:y val="4.7281323877068564E-2"/>
                </c:manualLayout>
              </c:layout>
              <c:spPr>
                <a:noFill/>
                <a:ln w="25399">
                  <a:noFill/>
                </a:ln>
              </c:spPr>
              <c:txPr>
                <a:bodyPr/>
                <a:lstStyle/>
                <a:p>
                  <a:pPr>
                    <a:defRPr sz="800"/>
                  </a:pPr>
                  <a:endParaRPr lang="ru-RU"/>
                </a:p>
              </c:txPr>
              <c:dLblPos val="r"/>
              <c:showVal val="1"/>
            </c:dLbl>
            <c:dLbl>
              <c:idx val="9"/>
              <c:layout>
                <c:manualLayout>
                  <c:x val="-5.5555555555555455E-2"/>
                  <c:y val="-4.2553191489361784E-2"/>
                </c:manualLayout>
              </c:layout>
              <c:spPr>
                <a:noFill/>
                <a:ln w="25399">
                  <a:noFill/>
                </a:ln>
              </c:spPr>
              <c:txPr>
                <a:bodyPr/>
                <a:lstStyle/>
                <a:p>
                  <a:pPr>
                    <a:defRPr sz="800"/>
                  </a:pPr>
                  <a:endParaRPr lang="ru-RU"/>
                </a:p>
              </c:txPr>
              <c:dLblPos val="r"/>
              <c:showVal val="1"/>
            </c:dLbl>
            <c:dLbl>
              <c:idx val="10"/>
              <c:layout>
                <c:manualLayout>
                  <c:x val="-5.1282051282051294E-2"/>
                  <c:y val="-4.7281323877068564E-2"/>
                </c:manualLayout>
              </c:layout>
              <c:spPr>
                <a:noFill/>
                <a:ln w="25399">
                  <a:noFill/>
                </a:ln>
              </c:spPr>
              <c:txPr>
                <a:bodyPr/>
                <a:lstStyle/>
                <a:p>
                  <a:pPr>
                    <a:defRPr sz="800"/>
                  </a:pPr>
                  <a:endParaRPr lang="ru-RU"/>
                </a:p>
              </c:txPr>
              <c:dLblPos val="r"/>
              <c:showVal val="1"/>
            </c:dLbl>
            <c:dLbl>
              <c:idx val="11"/>
              <c:layout>
                <c:manualLayout>
                  <c:x val="-4.2735042735042764E-2"/>
                  <c:y val="-4.7281323877068564E-2"/>
                </c:manualLayout>
              </c:layout>
              <c:spPr>
                <a:noFill/>
                <a:ln w="25399">
                  <a:noFill/>
                </a:ln>
              </c:spPr>
              <c:txPr>
                <a:bodyPr/>
                <a:lstStyle/>
                <a:p>
                  <a:pPr>
                    <a:defRPr sz="800"/>
                  </a:pPr>
                  <a:endParaRPr lang="ru-RU"/>
                </a:p>
              </c:txPr>
              <c:dLblPos val="r"/>
              <c:showVal val="1"/>
            </c:dLbl>
            <c:dLbl>
              <c:idx val="12"/>
              <c:layout>
                <c:manualLayout>
                  <c:x val="-4.4871794871794914E-2"/>
                  <c:y val="-4.2553191489361784E-2"/>
                </c:manualLayout>
              </c:layout>
              <c:spPr>
                <a:noFill/>
                <a:ln w="25399">
                  <a:noFill/>
                </a:ln>
              </c:spPr>
              <c:txPr>
                <a:bodyPr/>
                <a:lstStyle/>
                <a:p>
                  <a:pPr>
                    <a:defRPr sz="800"/>
                  </a:pPr>
                  <a:endParaRPr lang="ru-RU"/>
                </a:p>
              </c:txPr>
              <c:dLblPos val="r"/>
              <c:showVal val="1"/>
            </c:dLbl>
            <c:dLbl>
              <c:idx val="13"/>
              <c:layout>
                <c:manualLayout>
                  <c:x val="-5.9829059829059825E-2"/>
                  <c:y val="-3.7825059101654852E-2"/>
                </c:manualLayout>
              </c:layout>
              <c:spPr>
                <a:noFill/>
                <a:ln w="25399">
                  <a:noFill/>
                </a:ln>
              </c:spPr>
              <c:txPr>
                <a:bodyPr/>
                <a:lstStyle/>
                <a:p>
                  <a:pPr>
                    <a:defRPr sz="800"/>
                  </a:pPr>
                  <a:endParaRPr lang="ru-RU"/>
                </a:p>
              </c:txPr>
              <c:dLblPos val="r"/>
              <c:showVal val="1"/>
            </c:dLbl>
            <c:dLbl>
              <c:idx val="14"/>
              <c:layout>
                <c:manualLayout>
                  <c:x val="-6.8021544700277395E-2"/>
                  <c:y val="-2.9363390321049995E-2"/>
                </c:manualLayout>
              </c:layout>
              <c:spPr>
                <a:noFill/>
                <a:ln w="25399">
                  <a:noFill/>
                </a:ln>
              </c:spPr>
              <c:txPr>
                <a:bodyPr/>
                <a:lstStyle/>
                <a:p>
                  <a:pPr>
                    <a:defRPr sz="800"/>
                  </a:pPr>
                  <a:endParaRPr lang="ru-RU"/>
                </a:p>
              </c:txPr>
              <c:dLblPos val="r"/>
              <c:showVal val="1"/>
            </c:dLbl>
            <c:dLbl>
              <c:idx val="15"/>
              <c:layout>
                <c:manualLayout>
                  <c:x val="-6.983391076115486E-2"/>
                  <c:y val="-2.3667090000846668E-2"/>
                </c:manualLayout>
              </c:layout>
              <c:spPr>
                <a:noFill/>
                <a:ln w="25399">
                  <a:noFill/>
                </a:ln>
              </c:spPr>
              <c:txPr>
                <a:bodyPr/>
                <a:lstStyle/>
                <a:p>
                  <a:pPr>
                    <a:defRPr sz="800"/>
                  </a:pPr>
                  <a:endParaRPr lang="ru-RU"/>
                </a:p>
              </c:txPr>
              <c:dLblPos val="r"/>
              <c:showVal val="1"/>
            </c:dLbl>
            <c:dLbl>
              <c:idx val="16"/>
              <c:layout>
                <c:manualLayout>
                  <c:x val="-5.1199999999999996E-2"/>
                  <c:y val="7.3118279569892558E-2"/>
                </c:manualLayout>
              </c:layout>
              <c:spPr>
                <a:noFill/>
                <a:ln w="25399">
                  <a:noFill/>
                </a:ln>
              </c:spPr>
              <c:txPr>
                <a:bodyPr/>
                <a:lstStyle/>
                <a:p>
                  <a:pPr>
                    <a:defRPr sz="800"/>
                  </a:pPr>
                  <a:endParaRPr lang="ru-RU"/>
                </a:p>
              </c:txPr>
              <c:dLblPos val="r"/>
              <c:showVal val="1"/>
            </c:dLbl>
            <c:dLbl>
              <c:idx val="17"/>
              <c:layout>
                <c:manualLayout>
                  <c:x val="-3.8399999999999997E-2"/>
                  <c:y val="3.8709677419354889E-2"/>
                </c:manualLayout>
              </c:layout>
              <c:showVal val="1"/>
            </c:dLbl>
            <c:dLbl>
              <c:idx val="18"/>
              <c:layout>
                <c:manualLayout>
                  <c:x val="-3.2000000000000042E-2"/>
                  <c:y val="3.8709677419354813E-2"/>
                </c:manualLayout>
              </c:layout>
              <c:showVal val="1"/>
            </c:dLbl>
            <c:dLbl>
              <c:idx val="19"/>
              <c:layout>
                <c:manualLayout>
                  <c:x val="0"/>
                  <c:y val="6.0215053763440857E-2"/>
                </c:manualLayout>
              </c:layout>
              <c:showVal val="1"/>
            </c:dLbl>
            <c:spPr>
              <a:noFill/>
              <a:ln w="25399">
                <a:noFill/>
              </a:ln>
            </c:spPr>
            <c:txPr>
              <a:bodyPr wrap="square" lIns="38100" tIns="19050" rIns="38100" bIns="19050" anchor="ctr">
                <a:spAutoFit/>
              </a:bodyPr>
              <a:lstStyle/>
              <a:p>
                <a:pPr>
                  <a:defRPr sz="800"/>
                </a:pPr>
                <a:endParaRPr lang="ru-RU"/>
              </a:p>
            </c:txPr>
            <c:showVal val="1"/>
            <c:extLst xmlns:c16r2="http://schemas.microsoft.com/office/drawing/2015/06/chart">
              <c:ext xmlns:c15="http://schemas.microsoft.com/office/drawing/2012/chart" uri="{CE6537A1-D6FC-4f65-9D91-7224C49458BB}">
                <c15:showLeaderLines val="0"/>
              </c:ext>
            </c:extLst>
          </c:dLbls>
          <c:cat>
            <c:numRef>
              <c:f>Лист1!$A$2:$A$21</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Лист1!$D$2:$D$21</c:f>
              <c:numCache>
                <c:formatCode>General</c:formatCode>
                <c:ptCount val="20"/>
                <c:pt idx="0">
                  <c:v>12131</c:v>
                </c:pt>
                <c:pt idx="1">
                  <c:v>9085</c:v>
                </c:pt>
                <c:pt idx="2">
                  <c:v>5561</c:v>
                </c:pt>
                <c:pt idx="3">
                  <c:v>5160</c:v>
                </c:pt>
                <c:pt idx="4">
                  <c:v>2132</c:v>
                </c:pt>
                <c:pt idx="5">
                  <c:v>1949</c:v>
                </c:pt>
                <c:pt idx="6">
                  <c:v>5626</c:v>
                </c:pt>
                <c:pt idx="7">
                  <c:v>4676</c:v>
                </c:pt>
                <c:pt idx="8">
                  <c:v>8145</c:v>
                </c:pt>
                <c:pt idx="9">
                  <c:v>12249</c:v>
                </c:pt>
                <c:pt idx="10">
                  <c:v>10303</c:v>
                </c:pt>
                <c:pt idx="11">
                  <c:v>9900</c:v>
                </c:pt>
                <c:pt idx="12">
                  <c:v>9328</c:v>
                </c:pt>
                <c:pt idx="13">
                  <c:v>11643</c:v>
                </c:pt>
                <c:pt idx="14">
                  <c:v>15722</c:v>
                </c:pt>
                <c:pt idx="15">
                  <c:v>18494</c:v>
                </c:pt>
                <c:pt idx="16">
                  <c:v>7940</c:v>
                </c:pt>
                <c:pt idx="17">
                  <c:v>3874</c:v>
                </c:pt>
                <c:pt idx="18">
                  <c:v>9362</c:v>
                </c:pt>
                <c:pt idx="19">
                  <c:v>13870</c:v>
                </c:pt>
              </c:numCache>
            </c:numRef>
          </c:val>
          <c:extLst xmlns:c16r2="http://schemas.microsoft.com/office/drawing/2015/06/chart">
            <c:ext xmlns:c16="http://schemas.microsoft.com/office/drawing/2014/chart" uri="{C3380CC4-5D6E-409C-BE32-E72D297353CC}">
              <c16:uniqueId val="{00000037-5D2D-4123-A15A-99E2243809E1}"/>
            </c:ext>
          </c:extLst>
        </c:ser>
        <c:marker val="1"/>
        <c:axId val="138404224"/>
        <c:axId val="138405760"/>
      </c:lineChart>
      <c:catAx>
        <c:axId val="138404224"/>
        <c:scaling>
          <c:orientation val="minMax"/>
        </c:scaling>
        <c:axPos val="b"/>
        <c:numFmt formatCode="General" sourceLinked="1"/>
        <c:tickLblPos val="low"/>
        <c:txPr>
          <a:bodyPr rot="0" vert="horz"/>
          <a:lstStyle/>
          <a:p>
            <a:pPr>
              <a:defRPr sz="700"/>
            </a:pPr>
            <a:endParaRPr lang="ru-RU"/>
          </a:p>
        </c:txPr>
        <c:crossAx val="138405760"/>
        <c:crosses val="autoZero"/>
        <c:auto val="1"/>
        <c:lblAlgn val="ctr"/>
        <c:lblOffset val="100"/>
      </c:catAx>
      <c:valAx>
        <c:axId val="138405760"/>
        <c:scaling>
          <c:orientation val="minMax"/>
        </c:scaling>
        <c:axPos val="l"/>
        <c:majorGridlines/>
        <c:title>
          <c:tx>
            <c:rich>
              <a:bodyPr/>
              <a:lstStyle/>
              <a:p>
                <a:pPr>
                  <a:defRPr sz="900" b="0" i="1" u="none" strike="noStrike" baseline="0">
                    <a:solidFill>
                      <a:srgbClr val="000000"/>
                    </a:solidFill>
                    <a:latin typeface="Arial"/>
                    <a:ea typeface="Arial"/>
                    <a:cs typeface="Arial"/>
                  </a:defRPr>
                </a:pPr>
                <a:r>
                  <a:rPr lang="ru-RU"/>
                  <a:t>человек</a:t>
                </a:r>
              </a:p>
            </c:rich>
          </c:tx>
        </c:title>
        <c:numFmt formatCode="General" sourceLinked="1"/>
        <c:tickLblPos val="nextTo"/>
        <c:txPr>
          <a:bodyPr rot="0" vert="horz"/>
          <a:lstStyle/>
          <a:p>
            <a:pPr>
              <a:defRPr/>
            </a:pPr>
            <a:endParaRPr lang="ru-RU"/>
          </a:p>
        </c:txPr>
        <c:crossAx val="138404224"/>
        <c:crosses val="autoZero"/>
        <c:crossBetween val="between"/>
      </c:valAx>
      <c:spPr>
        <a:noFill/>
        <a:ln w="25399">
          <a:noFill/>
        </a:ln>
      </c:spPr>
    </c:plotArea>
    <c:legend>
      <c:legendPos val="b"/>
      <c:layout>
        <c:manualLayout>
          <c:xMode val="edge"/>
          <c:yMode val="edge"/>
          <c:x val="2.2089632322365198E-2"/>
          <c:y val="0.85503145440153383"/>
          <c:w val="0.89222032935831919"/>
          <c:h val="0.11322251385243512"/>
        </c:manualLayout>
      </c:layout>
    </c:legend>
    <c:plotVisOnly val="1"/>
    <c:dispBlanksAs val="gap"/>
  </c:chart>
  <c:spPr>
    <a:ln>
      <a:noFill/>
    </a:ln>
  </c:spPr>
  <c:txPr>
    <a:bodyPr/>
    <a:lstStyle/>
    <a:p>
      <a:pPr>
        <a:defRPr sz="900" b="0" i="1" u="none" strike="noStrike" baseline="0">
          <a:solidFill>
            <a:srgbClr val="000000"/>
          </a:solidFill>
          <a:latin typeface="Arial"/>
          <a:ea typeface="Arial"/>
          <a:cs typeface="Arial"/>
        </a:defRPr>
      </a:pPr>
      <a:endParaRPr lang="ru-RU"/>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497D55-C0EC-469C-B9D7-AC94E97C53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2133</Words>
  <Characters>12163</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14268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UserMiha</cp:lastModifiedBy>
  <cp:revision>2</cp:revision>
  <dcterms:created xsi:type="dcterms:W3CDTF">2021-03-23T11:06:00Z</dcterms:created>
  <dcterms:modified xsi:type="dcterms:W3CDTF">2021-03-23T11:06:00Z</dcterms:modified>
</cp:coreProperties>
</file>