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58" w:rsidRDefault="002E0258" w:rsidP="002E0258">
      <w:pPr>
        <w:spacing w:after="0" w:line="240" w:lineRule="auto"/>
        <w:ind w:firstLine="709"/>
        <w:rPr>
          <w:rFonts w:ascii="Times New Roman" w:hAnsi="Times New Roman" w:cs="Times New Roman"/>
          <w:b/>
          <w:sz w:val="24"/>
        </w:rPr>
      </w:pPr>
      <w:r>
        <w:rPr>
          <w:rFonts w:ascii="Times New Roman" w:hAnsi="Times New Roman" w:cs="Times New Roman"/>
          <w:b/>
          <w:sz w:val="24"/>
        </w:rPr>
        <w:t>332.1/</w:t>
      </w:r>
      <w:r w:rsidRPr="002E0258">
        <w:t xml:space="preserve"> </w:t>
      </w:r>
      <w:r w:rsidRPr="002E0258">
        <w:rPr>
          <w:rFonts w:ascii="Times New Roman" w:hAnsi="Times New Roman" w:cs="Times New Roman"/>
          <w:b/>
          <w:sz w:val="24"/>
        </w:rPr>
        <w:t>65.9(2Рос…)</w:t>
      </w:r>
    </w:p>
    <w:p w:rsidR="00126226" w:rsidRDefault="00126226" w:rsidP="00126226">
      <w:pPr>
        <w:spacing w:after="0" w:line="240" w:lineRule="auto"/>
        <w:ind w:firstLine="709"/>
        <w:jc w:val="right"/>
        <w:rPr>
          <w:rFonts w:ascii="Times New Roman" w:hAnsi="Times New Roman" w:cs="Times New Roman"/>
          <w:b/>
          <w:sz w:val="24"/>
        </w:rPr>
      </w:pPr>
      <w:r>
        <w:rPr>
          <w:rFonts w:ascii="Times New Roman" w:hAnsi="Times New Roman" w:cs="Times New Roman"/>
          <w:b/>
          <w:sz w:val="24"/>
        </w:rPr>
        <w:t>Широкова Е.Ю.</w:t>
      </w:r>
    </w:p>
    <w:p w:rsidR="002E0258" w:rsidRDefault="002E0258" w:rsidP="00784A16">
      <w:pPr>
        <w:spacing w:after="0" w:line="240" w:lineRule="auto"/>
        <w:ind w:firstLine="709"/>
        <w:jc w:val="center"/>
        <w:rPr>
          <w:rFonts w:ascii="Times New Roman" w:hAnsi="Times New Roman" w:cs="Times New Roman"/>
          <w:b/>
          <w:sz w:val="24"/>
        </w:rPr>
      </w:pPr>
      <w:r w:rsidRPr="002E0258">
        <w:rPr>
          <w:rFonts w:ascii="Times New Roman" w:hAnsi="Times New Roman" w:cs="Times New Roman"/>
          <w:b/>
          <w:sz w:val="24"/>
        </w:rPr>
        <w:t xml:space="preserve">КОНЦЕПЦИЯ АКТИВНОГО РАЗВИТИЯ ВЫСОКИХ ТЕХНОЛОГИЙ </w:t>
      </w:r>
    </w:p>
    <w:p w:rsidR="0094013B" w:rsidRPr="002E0258" w:rsidRDefault="002E0258" w:rsidP="00784A16">
      <w:pPr>
        <w:spacing w:after="0" w:line="240" w:lineRule="auto"/>
        <w:ind w:firstLine="709"/>
        <w:jc w:val="center"/>
        <w:rPr>
          <w:rFonts w:ascii="Times New Roman" w:hAnsi="Times New Roman" w:cs="Times New Roman"/>
          <w:b/>
          <w:sz w:val="24"/>
        </w:rPr>
      </w:pPr>
      <w:r w:rsidRPr="002E0258">
        <w:rPr>
          <w:rFonts w:ascii="Times New Roman" w:hAnsi="Times New Roman" w:cs="Times New Roman"/>
          <w:b/>
          <w:sz w:val="24"/>
        </w:rPr>
        <w:t>В РЕГИОНЕ</w:t>
      </w:r>
    </w:p>
    <w:p w:rsidR="005126CB" w:rsidRDefault="005126CB" w:rsidP="00784A16">
      <w:pPr>
        <w:spacing w:after="0" w:line="240" w:lineRule="auto"/>
        <w:ind w:firstLine="709"/>
        <w:jc w:val="center"/>
        <w:rPr>
          <w:rFonts w:ascii="Times New Roman" w:hAnsi="Times New Roman" w:cs="Times New Roman"/>
          <w:sz w:val="24"/>
        </w:rPr>
      </w:pPr>
    </w:p>
    <w:p w:rsidR="003E50C9" w:rsidRPr="001273C0" w:rsidRDefault="001273C0" w:rsidP="00102E1E">
      <w:pPr>
        <w:spacing w:after="0" w:line="240" w:lineRule="auto"/>
        <w:ind w:firstLine="709"/>
        <w:jc w:val="both"/>
        <w:rPr>
          <w:rFonts w:ascii="Times New Roman" w:hAnsi="Times New Roman" w:cs="Times New Roman"/>
          <w:sz w:val="20"/>
          <w:szCs w:val="24"/>
        </w:rPr>
      </w:pPr>
      <w:r>
        <w:rPr>
          <w:rFonts w:ascii="Times New Roman" w:hAnsi="Times New Roman" w:cs="Times New Roman"/>
          <w:sz w:val="20"/>
          <w:szCs w:val="24"/>
        </w:rPr>
        <w:t>Доклад</w:t>
      </w:r>
      <w:r w:rsidR="003E50C9" w:rsidRPr="001273C0">
        <w:rPr>
          <w:rFonts w:ascii="Times New Roman" w:hAnsi="Times New Roman" w:cs="Times New Roman"/>
          <w:sz w:val="20"/>
          <w:szCs w:val="24"/>
        </w:rPr>
        <w:t xml:space="preserve"> подготовлен в соответствии с государственным заданием для ФГБУН «Вологодский научный центр РАН» по теме НИР № 0168-2019-0005 «Исследование факторов и методов устойчивого развития территориальных систем в изменяющихся мировых геополитических и геоэкономических условиях».</w:t>
      </w:r>
    </w:p>
    <w:p w:rsidR="003E50C9" w:rsidRDefault="003E50C9" w:rsidP="00102E1E">
      <w:pPr>
        <w:spacing w:after="0" w:line="240" w:lineRule="auto"/>
        <w:ind w:firstLine="709"/>
        <w:jc w:val="both"/>
        <w:rPr>
          <w:sz w:val="24"/>
          <w:szCs w:val="24"/>
        </w:rPr>
      </w:pPr>
    </w:p>
    <w:p w:rsidR="00E032CD" w:rsidRDefault="00B52BC9" w:rsidP="00102E1E">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Высокие технологии во всем мире являются базой развития экономических систем. В Российской Федерации этот сектор за последние годы не демонстрирует активного роста. Концепция «тройной спирали» показала высокие результаты в активном развитии сектора высоких технологий в зарубежных странах. В исследовании приводится пример реализации концепции на региональном уровне.</w:t>
      </w:r>
    </w:p>
    <w:p w:rsidR="00B52BC9" w:rsidRPr="00E032CD" w:rsidRDefault="00B52BC9" w:rsidP="00102E1E">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Высокотехнологичный сектор, наука, образование, регион</w:t>
      </w:r>
    </w:p>
    <w:p w:rsidR="00B52BC9" w:rsidRDefault="00B52BC9" w:rsidP="00102E1E">
      <w:pPr>
        <w:spacing w:after="0" w:line="240" w:lineRule="auto"/>
        <w:ind w:firstLine="709"/>
        <w:jc w:val="both"/>
        <w:rPr>
          <w:rFonts w:ascii="Times New Roman" w:hAnsi="Times New Roman" w:cs="Times New Roman"/>
          <w:sz w:val="24"/>
        </w:rPr>
      </w:pPr>
    </w:p>
    <w:p w:rsidR="00102E1E" w:rsidRDefault="00102E1E" w:rsidP="00102E1E">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С учетом тенденций мирового развития базовым элементом </w:t>
      </w:r>
      <w:r w:rsidR="002D08B3">
        <w:rPr>
          <w:rFonts w:ascii="Times New Roman" w:hAnsi="Times New Roman" w:cs="Times New Roman"/>
          <w:sz w:val="24"/>
        </w:rPr>
        <w:t>роста</w:t>
      </w:r>
      <w:r>
        <w:rPr>
          <w:rFonts w:ascii="Times New Roman" w:hAnsi="Times New Roman" w:cs="Times New Roman"/>
          <w:sz w:val="24"/>
        </w:rPr>
        <w:t xml:space="preserve"> любой экономики становятся высокие технологии. Существующее пристальное внимание ведущих стран мира к негативному влиянию человека на экологию приводит к росту актуальности задач, связанных с минимизацией негативного влияния производств на окружающую среду и ресурсосбережение. Инновационные продукты </w:t>
      </w:r>
      <w:r w:rsidR="002D08B3">
        <w:rPr>
          <w:rFonts w:ascii="Times New Roman" w:hAnsi="Times New Roman" w:cs="Times New Roman"/>
          <w:sz w:val="24"/>
        </w:rPr>
        <w:t>разрабатываются для</w:t>
      </w:r>
      <w:r>
        <w:rPr>
          <w:rFonts w:ascii="Times New Roman" w:hAnsi="Times New Roman" w:cs="Times New Roman"/>
          <w:sz w:val="24"/>
        </w:rPr>
        <w:t xml:space="preserve"> </w:t>
      </w:r>
      <w:r w:rsidR="002D08B3">
        <w:rPr>
          <w:rFonts w:ascii="Times New Roman" w:hAnsi="Times New Roman" w:cs="Times New Roman"/>
          <w:sz w:val="24"/>
        </w:rPr>
        <w:t>решения</w:t>
      </w:r>
      <w:r>
        <w:rPr>
          <w:rFonts w:ascii="Times New Roman" w:hAnsi="Times New Roman" w:cs="Times New Roman"/>
          <w:sz w:val="24"/>
        </w:rPr>
        <w:t xml:space="preserve"> назревших проблем </w:t>
      </w:r>
      <w:r w:rsidR="002D08B3">
        <w:rPr>
          <w:rFonts w:ascii="Times New Roman" w:hAnsi="Times New Roman" w:cs="Times New Roman"/>
          <w:sz w:val="24"/>
        </w:rPr>
        <w:t>человечества, роста производительности труда</w:t>
      </w:r>
      <w:r>
        <w:rPr>
          <w:rFonts w:ascii="Times New Roman" w:hAnsi="Times New Roman" w:cs="Times New Roman"/>
          <w:sz w:val="24"/>
        </w:rPr>
        <w:t xml:space="preserve">, </w:t>
      </w:r>
      <w:r w:rsidR="002D08B3">
        <w:rPr>
          <w:rFonts w:ascii="Times New Roman" w:hAnsi="Times New Roman" w:cs="Times New Roman"/>
          <w:sz w:val="24"/>
        </w:rPr>
        <w:t>эффективности производств и т.д.</w:t>
      </w:r>
    </w:p>
    <w:p w:rsidR="005126CB" w:rsidRDefault="00102E1E" w:rsidP="00102E1E">
      <w:pPr>
        <w:spacing w:after="0" w:line="240" w:lineRule="auto"/>
        <w:ind w:firstLine="709"/>
        <w:jc w:val="both"/>
        <w:rPr>
          <w:rFonts w:ascii="Times New Roman" w:hAnsi="Times New Roman" w:cs="Times New Roman"/>
          <w:sz w:val="24"/>
        </w:rPr>
      </w:pPr>
      <w:r>
        <w:rPr>
          <w:rFonts w:ascii="Times New Roman" w:hAnsi="Times New Roman" w:cs="Times New Roman"/>
          <w:sz w:val="24"/>
        </w:rPr>
        <w:t>В условиях пандемии высокие технологии</w:t>
      </w:r>
      <w:r w:rsidR="002D08B3">
        <w:rPr>
          <w:rFonts w:ascii="Times New Roman" w:hAnsi="Times New Roman" w:cs="Times New Roman"/>
          <w:sz w:val="24"/>
        </w:rPr>
        <w:t xml:space="preserve"> помогли решить задачу сохранения рабочих мест и способствовали сохранению процесса обучения для школьников и студентов, благодаря им оперативно появились нескольких видов вакцин. Но в Российской Федерации ситуация с </w:t>
      </w:r>
      <w:r w:rsidR="009B6A23">
        <w:rPr>
          <w:rFonts w:ascii="Times New Roman" w:hAnsi="Times New Roman" w:cs="Times New Roman"/>
          <w:sz w:val="24"/>
        </w:rPr>
        <w:t>развитием высокотехнологичного сектора не вызывает оптимизма. Доля продукции высокотехнологичных и наукоемких отраслей в ВВП страны за последние годы существенно не изменилась (рис. 1).</w:t>
      </w:r>
    </w:p>
    <w:p w:rsidR="009B6A23" w:rsidRDefault="009B6A23" w:rsidP="00102E1E">
      <w:pPr>
        <w:spacing w:after="0" w:line="240" w:lineRule="auto"/>
        <w:ind w:firstLine="709"/>
        <w:jc w:val="both"/>
        <w:rPr>
          <w:rFonts w:ascii="Times New Roman" w:hAnsi="Times New Roman" w:cs="Times New Roman"/>
          <w:sz w:val="24"/>
        </w:rPr>
      </w:pPr>
    </w:p>
    <w:p w:rsidR="009B6A23" w:rsidRDefault="009B6A23" w:rsidP="009B6A23">
      <w:pPr>
        <w:spacing w:after="0" w:line="240" w:lineRule="auto"/>
        <w:jc w:val="center"/>
        <w:rPr>
          <w:rFonts w:ascii="Times New Roman" w:hAnsi="Times New Roman" w:cs="Times New Roman"/>
          <w:sz w:val="24"/>
          <w:lang w:val="en-US"/>
        </w:rPr>
      </w:pPr>
      <w:r>
        <w:rPr>
          <w:rFonts w:ascii="Times New Roman" w:hAnsi="Times New Roman" w:cs="Times New Roman"/>
          <w:noProof/>
          <w:sz w:val="24"/>
          <w:lang w:eastAsia="ru-RU"/>
        </w:rPr>
        <w:drawing>
          <wp:inline distT="0" distB="0" distL="0" distR="0">
            <wp:extent cx="4532812" cy="2377440"/>
            <wp:effectExtent l="0" t="0" r="127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6A23" w:rsidRDefault="009B6A23" w:rsidP="009B6A23">
      <w:pPr>
        <w:spacing w:after="0" w:line="240" w:lineRule="auto"/>
        <w:ind w:firstLine="709"/>
        <w:jc w:val="center"/>
        <w:rPr>
          <w:rFonts w:ascii="Times New Roman" w:hAnsi="Times New Roman" w:cs="Times New Roman"/>
          <w:sz w:val="24"/>
        </w:rPr>
      </w:pPr>
      <w:r>
        <w:rPr>
          <w:rFonts w:ascii="Times New Roman" w:hAnsi="Times New Roman" w:cs="Times New Roman"/>
          <w:sz w:val="24"/>
        </w:rPr>
        <w:t xml:space="preserve">Рисунок 1. </w:t>
      </w:r>
      <w:r w:rsidRPr="009B6A23">
        <w:rPr>
          <w:rFonts w:ascii="Times New Roman" w:hAnsi="Times New Roman" w:cs="Times New Roman"/>
          <w:sz w:val="24"/>
        </w:rPr>
        <w:t xml:space="preserve">Доля продукции высокотехнологичных и наукоемких отраслей в валовом внутреннем продукте </w:t>
      </w:r>
      <w:r w:rsidR="006C2935">
        <w:rPr>
          <w:rFonts w:ascii="Times New Roman" w:hAnsi="Times New Roman" w:cs="Times New Roman"/>
          <w:sz w:val="24"/>
        </w:rPr>
        <w:t xml:space="preserve">РФ </w:t>
      </w:r>
      <w:r w:rsidRPr="009B6A23">
        <w:rPr>
          <w:rFonts w:ascii="Times New Roman" w:hAnsi="Times New Roman" w:cs="Times New Roman"/>
          <w:sz w:val="24"/>
        </w:rPr>
        <w:t>(ОКВЭД 2)</w:t>
      </w:r>
      <w:r>
        <w:rPr>
          <w:rFonts w:ascii="Times New Roman" w:hAnsi="Times New Roman" w:cs="Times New Roman"/>
          <w:sz w:val="24"/>
        </w:rPr>
        <w:t>, %</w:t>
      </w:r>
    </w:p>
    <w:p w:rsidR="009B6A23" w:rsidRDefault="009B6A23" w:rsidP="009B6A23">
      <w:pPr>
        <w:spacing w:after="0" w:line="240" w:lineRule="auto"/>
        <w:ind w:firstLine="709"/>
        <w:rPr>
          <w:rFonts w:ascii="Times New Roman" w:hAnsi="Times New Roman" w:cs="Times New Roman"/>
          <w:sz w:val="20"/>
        </w:rPr>
      </w:pPr>
      <w:r w:rsidRPr="009B6A23">
        <w:rPr>
          <w:rFonts w:ascii="Times New Roman" w:hAnsi="Times New Roman" w:cs="Times New Roman"/>
          <w:sz w:val="20"/>
        </w:rPr>
        <w:t>Источник: ЕМИСС.</w:t>
      </w:r>
    </w:p>
    <w:p w:rsidR="00CC69B6" w:rsidRDefault="00CC69B6" w:rsidP="009B6A23">
      <w:pPr>
        <w:spacing w:after="0" w:line="240" w:lineRule="auto"/>
        <w:ind w:firstLine="709"/>
        <w:rPr>
          <w:rFonts w:ascii="Times New Roman" w:hAnsi="Times New Roman" w:cs="Times New Roman"/>
          <w:sz w:val="20"/>
        </w:rPr>
      </w:pPr>
    </w:p>
    <w:p w:rsidR="00CC69B6" w:rsidRDefault="005F778D" w:rsidP="005F778D">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 сравнении с зарубежными странами доля высокотехнологичной продукции в объеме экспорта промышленных товаров в стране </w:t>
      </w:r>
      <w:r w:rsidR="000B1F24">
        <w:rPr>
          <w:rFonts w:ascii="Times New Roman" w:hAnsi="Times New Roman" w:cs="Times New Roman"/>
          <w:sz w:val="24"/>
        </w:rPr>
        <w:t xml:space="preserve">также находится на невысоком уровне </w:t>
      </w:r>
      <w:r>
        <w:rPr>
          <w:rFonts w:ascii="Times New Roman" w:hAnsi="Times New Roman" w:cs="Times New Roman"/>
          <w:sz w:val="24"/>
        </w:rPr>
        <w:t>(рис. 2).</w:t>
      </w:r>
    </w:p>
    <w:p w:rsidR="005F778D" w:rsidRDefault="005F778D" w:rsidP="005F778D">
      <w:pPr>
        <w:spacing w:after="0" w:line="240" w:lineRule="auto"/>
        <w:ind w:firstLine="709"/>
        <w:jc w:val="both"/>
        <w:rPr>
          <w:rFonts w:ascii="Times New Roman" w:hAnsi="Times New Roman" w:cs="Times New Roman"/>
          <w:sz w:val="24"/>
        </w:rPr>
      </w:pPr>
    </w:p>
    <w:p w:rsidR="005F778D" w:rsidRDefault="005F778D" w:rsidP="005F778D">
      <w:pPr>
        <w:spacing w:after="0" w:line="240" w:lineRule="auto"/>
        <w:ind w:firstLine="709"/>
        <w:jc w:val="both"/>
        <w:rPr>
          <w:rFonts w:ascii="Times New Roman" w:hAnsi="Times New Roman" w:cs="Times New Roman"/>
          <w:sz w:val="24"/>
        </w:rPr>
      </w:pPr>
      <w:r>
        <w:rPr>
          <w:rFonts w:ascii="Times New Roman" w:hAnsi="Times New Roman" w:cs="Times New Roman"/>
          <w:noProof/>
          <w:sz w:val="24"/>
          <w:lang w:eastAsia="ru-RU"/>
        </w:rPr>
        <w:lastRenderedPageBreak/>
        <w:drawing>
          <wp:inline distT="0" distB="0" distL="0" distR="0" wp14:anchorId="13CFC786" wp14:editId="25260BE4">
            <wp:extent cx="5277394" cy="2756263"/>
            <wp:effectExtent l="0" t="0" r="0"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778D" w:rsidRDefault="005F778D" w:rsidP="005F778D">
      <w:pPr>
        <w:spacing w:after="0" w:line="240" w:lineRule="auto"/>
        <w:ind w:firstLine="709"/>
        <w:jc w:val="center"/>
        <w:rPr>
          <w:rFonts w:ascii="Times New Roman" w:hAnsi="Times New Roman" w:cs="Times New Roman"/>
          <w:sz w:val="24"/>
        </w:rPr>
      </w:pPr>
      <w:r>
        <w:rPr>
          <w:rFonts w:ascii="Times New Roman" w:hAnsi="Times New Roman" w:cs="Times New Roman"/>
          <w:sz w:val="24"/>
        </w:rPr>
        <w:t>Рисунок 2. Экспорт высокотехнологичной продукции, % от экспорта промышленной продукции</w:t>
      </w:r>
    </w:p>
    <w:p w:rsidR="005F778D" w:rsidRDefault="005F778D" w:rsidP="005F778D">
      <w:pPr>
        <w:spacing w:after="0" w:line="240" w:lineRule="auto"/>
        <w:ind w:firstLine="709"/>
        <w:rPr>
          <w:rFonts w:ascii="Times New Roman" w:hAnsi="Times New Roman" w:cs="Times New Roman"/>
          <w:sz w:val="20"/>
        </w:rPr>
      </w:pPr>
      <w:r>
        <w:rPr>
          <w:rFonts w:ascii="Times New Roman" w:hAnsi="Times New Roman" w:cs="Times New Roman"/>
          <w:sz w:val="20"/>
        </w:rPr>
        <w:t>Источник: Всемирный банк.</w:t>
      </w:r>
    </w:p>
    <w:p w:rsidR="000B1F24" w:rsidRDefault="000B1F24" w:rsidP="005F778D">
      <w:pPr>
        <w:spacing w:after="0" w:line="240" w:lineRule="auto"/>
        <w:ind w:firstLine="709"/>
        <w:rPr>
          <w:rFonts w:ascii="Times New Roman" w:hAnsi="Times New Roman" w:cs="Times New Roman"/>
          <w:sz w:val="20"/>
        </w:rPr>
      </w:pPr>
    </w:p>
    <w:p w:rsidR="000B1F24" w:rsidRDefault="00B51FBF" w:rsidP="00B51FBF">
      <w:pPr>
        <w:spacing w:after="0" w:line="240" w:lineRule="auto"/>
        <w:ind w:firstLine="709"/>
        <w:jc w:val="both"/>
        <w:rPr>
          <w:rFonts w:ascii="Times New Roman" w:hAnsi="Times New Roman" w:cs="Times New Roman"/>
          <w:sz w:val="24"/>
        </w:rPr>
      </w:pPr>
      <w:r>
        <w:rPr>
          <w:rFonts w:ascii="Times New Roman" w:hAnsi="Times New Roman" w:cs="Times New Roman"/>
          <w:sz w:val="24"/>
        </w:rPr>
        <w:t>В связи с отсутствием тенденции к активному развитию высокотехнологичного сектора в России возникает вопрос о т</w:t>
      </w:r>
      <w:r w:rsidR="007A1A1A">
        <w:rPr>
          <w:rFonts w:ascii="Times New Roman" w:hAnsi="Times New Roman" w:cs="Times New Roman"/>
          <w:sz w:val="24"/>
        </w:rPr>
        <w:t>ом</w:t>
      </w:r>
      <w:r>
        <w:rPr>
          <w:rFonts w:ascii="Times New Roman" w:hAnsi="Times New Roman" w:cs="Times New Roman"/>
          <w:sz w:val="24"/>
        </w:rPr>
        <w:t xml:space="preserve">, </w:t>
      </w:r>
      <w:r w:rsidR="007A1A1A">
        <w:rPr>
          <w:rFonts w:ascii="Times New Roman" w:hAnsi="Times New Roman" w:cs="Times New Roman"/>
          <w:sz w:val="24"/>
        </w:rPr>
        <w:t>что станет фактором, способным</w:t>
      </w:r>
      <w:r>
        <w:rPr>
          <w:rFonts w:ascii="Times New Roman" w:hAnsi="Times New Roman" w:cs="Times New Roman"/>
          <w:sz w:val="24"/>
        </w:rPr>
        <w:t xml:space="preserve"> преодолеть сложившуюся ситуацию. В ряде работ авторы, сравнивая меры поддержки предприятий сектора высоких технологий в России и зарубежных странах, приходят к выводу, что наиболее распространенной и эффективной </w:t>
      </w:r>
      <w:r w:rsidR="000D486D">
        <w:rPr>
          <w:rFonts w:ascii="Times New Roman" w:hAnsi="Times New Roman" w:cs="Times New Roman"/>
          <w:sz w:val="24"/>
        </w:rPr>
        <w:t xml:space="preserve">моделью развития сектора </w:t>
      </w:r>
      <w:r>
        <w:rPr>
          <w:rFonts w:ascii="Times New Roman" w:hAnsi="Times New Roman" w:cs="Times New Roman"/>
          <w:sz w:val="24"/>
        </w:rPr>
        <w:t>является концепци</w:t>
      </w:r>
      <w:r w:rsidR="000D486D">
        <w:rPr>
          <w:rFonts w:ascii="Times New Roman" w:hAnsi="Times New Roman" w:cs="Times New Roman"/>
          <w:sz w:val="24"/>
        </w:rPr>
        <w:t>я</w:t>
      </w:r>
      <w:r>
        <w:rPr>
          <w:rFonts w:ascii="Times New Roman" w:hAnsi="Times New Roman" w:cs="Times New Roman"/>
          <w:sz w:val="24"/>
        </w:rPr>
        <w:t xml:space="preserve"> «тройной спирали»</w:t>
      </w:r>
      <w:r w:rsidR="00EB6AFB">
        <w:rPr>
          <w:rFonts w:ascii="Times New Roman" w:hAnsi="Times New Roman" w:cs="Times New Roman"/>
          <w:sz w:val="24"/>
        </w:rPr>
        <w:t xml:space="preserve"> </w:t>
      </w:r>
      <w:r w:rsidR="00EB6AFB" w:rsidRPr="00EB6AFB">
        <w:rPr>
          <w:rFonts w:ascii="Times New Roman" w:hAnsi="Times New Roman" w:cs="Times New Roman"/>
          <w:sz w:val="24"/>
        </w:rPr>
        <w:t>[</w:t>
      </w:r>
      <w:r w:rsidR="00EB6AFB">
        <w:rPr>
          <w:rFonts w:ascii="Times New Roman" w:hAnsi="Times New Roman" w:cs="Times New Roman"/>
          <w:sz w:val="24"/>
        </w:rPr>
        <w:t>1</w:t>
      </w:r>
      <w:r w:rsidR="002E5C57">
        <w:rPr>
          <w:rFonts w:ascii="Times New Roman" w:hAnsi="Times New Roman" w:cs="Times New Roman"/>
          <w:sz w:val="24"/>
        </w:rPr>
        <w:t>,2</w:t>
      </w:r>
      <w:r w:rsidR="00EB6AFB" w:rsidRPr="00EB6AFB">
        <w:rPr>
          <w:rFonts w:ascii="Times New Roman" w:hAnsi="Times New Roman" w:cs="Times New Roman"/>
          <w:sz w:val="24"/>
        </w:rPr>
        <w:t>]</w:t>
      </w:r>
      <w:r>
        <w:rPr>
          <w:rFonts w:ascii="Times New Roman" w:hAnsi="Times New Roman" w:cs="Times New Roman"/>
          <w:sz w:val="24"/>
        </w:rPr>
        <w:t>.</w:t>
      </w:r>
      <w:r w:rsidR="00347F45">
        <w:rPr>
          <w:rFonts w:ascii="Times New Roman" w:hAnsi="Times New Roman" w:cs="Times New Roman"/>
          <w:sz w:val="24"/>
        </w:rPr>
        <w:t xml:space="preserve"> </w:t>
      </w:r>
      <w:r w:rsidR="000D486D">
        <w:rPr>
          <w:rFonts w:ascii="Times New Roman" w:hAnsi="Times New Roman" w:cs="Times New Roman"/>
          <w:sz w:val="24"/>
        </w:rPr>
        <w:t>Она</w:t>
      </w:r>
      <w:r w:rsidR="00347F45">
        <w:rPr>
          <w:rFonts w:ascii="Times New Roman" w:hAnsi="Times New Roman" w:cs="Times New Roman"/>
          <w:sz w:val="24"/>
        </w:rPr>
        <w:t xml:space="preserve"> предполагает тесное взаимодействие между образовательными организациями, бизнес-структурами и государством.</w:t>
      </w:r>
    </w:p>
    <w:p w:rsidR="00241923" w:rsidRDefault="00347F45" w:rsidP="00B51FBF">
      <w:pPr>
        <w:spacing w:after="0" w:line="240" w:lineRule="auto"/>
        <w:ind w:firstLine="709"/>
        <w:jc w:val="both"/>
        <w:rPr>
          <w:rFonts w:ascii="Times New Roman" w:hAnsi="Times New Roman" w:cs="Times New Roman"/>
          <w:sz w:val="24"/>
        </w:rPr>
      </w:pPr>
      <w:r>
        <w:rPr>
          <w:rFonts w:ascii="Times New Roman" w:hAnsi="Times New Roman" w:cs="Times New Roman"/>
          <w:sz w:val="24"/>
        </w:rPr>
        <w:t>Если в США основными элементами структуры являются институты и бизнес, то для стран ЕС</w:t>
      </w:r>
      <w:r w:rsidR="00241923">
        <w:rPr>
          <w:rFonts w:ascii="Times New Roman" w:hAnsi="Times New Roman" w:cs="Times New Roman"/>
          <w:sz w:val="24"/>
        </w:rPr>
        <w:t xml:space="preserve"> традиционно более широкое участие государства. Зарождение подобного сотрудничества произошло в США и стало следствием первых попыток к</w:t>
      </w:r>
      <w:r w:rsidR="00241923" w:rsidRPr="00241923">
        <w:rPr>
          <w:rFonts w:ascii="Times New Roman" w:hAnsi="Times New Roman" w:cs="Times New Roman"/>
          <w:sz w:val="24"/>
        </w:rPr>
        <w:t>оммерциализаци</w:t>
      </w:r>
      <w:r w:rsidR="00241923">
        <w:rPr>
          <w:rFonts w:ascii="Times New Roman" w:hAnsi="Times New Roman" w:cs="Times New Roman"/>
          <w:sz w:val="24"/>
        </w:rPr>
        <w:t>и научных разработок.</w:t>
      </w:r>
      <w:r w:rsidR="00241923" w:rsidRPr="00241923">
        <w:rPr>
          <w:rFonts w:ascii="Times New Roman" w:hAnsi="Times New Roman" w:cs="Times New Roman"/>
          <w:sz w:val="24"/>
        </w:rPr>
        <w:t xml:space="preserve"> </w:t>
      </w:r>
      <w:r w:rsidR="00241923">
        <w:rPr>
          <w:rFonts w:ascii="Times New Roman" w:hAnsi="Times New Roman" w:cs="Times New Roman"/>
          <w:sz w:val="24"/>
        </w:rPr>
        <w:t>Для решения этой задачи были разработаны специальные нормативно-правовые акты, которые</w:t>
      </w:r>
      <w:r w:rsidR="00241923" w:rsidRPr="00241923">
        <w:rPr>
          <w:rFonts w:ascii="Times New Roman" w:hAnsi="Times New Roman" w:cs="Times New Roman"/>
          <w:sz w:val="24"/>
        </w:rPr>
        <w:t xml:space="preserve"> вв</w:t>
      </w:r>
      <w:r w:rsidR="00241923">
        <w:rPr>
          <w:rFonts w:ascii="Times New Roman" w:hAnsi="Times New Roman" w:cs="Times New Roman"/>
          <w:sz w:val="24"/>
        </w:rPr>
        <w:t>одили</w:t>
      </w:r>
      <w:r w:rsidR="00241923" w:rsidRPr="00241923">
        <w:rPr>
          <w:rFonts w:ascii="Times New Roman" w:hAnsi="Times New Roman" w:cs="Times New Roman"/>
          <w:sz w:val="24"/>
        </w:rPr>
        <w:t xml:space="preserve"> обязанность по патентованию научных исследований и их последующему использованию. </w:t>
      </w:r>
      <w:r w:rsidR="00241923">
        <w:rPr>
          <w:rFonts w:ascii="Times New Roman" w:hAnsi="Times New Roman" w:cs="Times New Roman"/>
          <w:sz w:val="24"/>
        </w:rPr>
        <w:t xml:space="preserve">В результате </w:t>
      </w:r>
      <w:r w:rsidR="00241923" w:rsidRPr="00241923">
        <w:rPr>
          <w:rFonts w:ascii="Times New Roman" w:hAnsi="Times New Roman" w:cs="Times New Roman"/>
          <w:sz w:val="24"/>
        </w:rPr>
        <w:t xml:space="preserve">многие университеты стали создавать инновационные компании на основе своих исследований. Необходимость патентования и последующей коммерциализации существенно изменила соотношение государственных и частных НИОКР, стимулировала развитие венчурных инвестиций. В итоге сложилась модель, в которой взаимодействуют наука, государство и бизнес. </w:t>
      </w:r>
    </w:p>
    <w:p w:rsidR="00347F45" w:rsidRDefault="00241923" w:rsidP="00B51FBF">
      <w:pPr>
        <w:spacing w:after="0" w:line="240" w:lineRule="auto"/>
        <w:ind w:firstLine="709"/>
        <w:jc w:val="both"/>
        <w:rPr>
          <w:rFonts w:ascii="Times New Roman" w:hAnsi="Times New Roman" w:cs="Times New Roman"/>
          <w:sz w:val="24"/>
        </w:rPr>
      </w:pPr>
      <w:r w:rsidRPr="00241923">
        <w:rPr>
          <w:rFonts w:ascii="Times New Roman" w:hAnsi="Times New Roman" w:cs="Times New Roman"/>
          <w:sz w:val="24"/>
        </w:rPr>
        <w:t>Известны</w:t>
      </w:r>
      <w:r>
        <w:rPr>
          <w:rFonts w:ascii="Times New Roman" w:hAnsi="Times New Roman" w:cs="Times New Roman"/>
          <w:sz w:val="24"/>
        </w:rPr>
        <w:t>м</w:t>
      </w:r>
      <w:r w:rsidRPr="00241923">
        <w:rPr>
          <w:rFonts w:ascii="Times New Roman" w:hAnsi="Times New Roman" w:cs="Times New Roman"/>
          <w:sz w:val="24"/>
        </w:rPr>
        <w:t xml:space="preserve"> пример</w:t>
      </w:r>
      <w:r>
        <w:rPr>
          <w:rFonts w:ascii="Times New Roman" w:hAnsi="Times New Roman" w:cs="Times New Roman"/>
          <w:sz w:val="24"/>
        </w:rPr>
        <w:t>ом</w:t>
      </w:r>
      <w:r w:rsidRPr="00241923">
        <w:rPr>
          <w:rFonts w:ascii="Times New Roman" w:hAnsi="Times New Roman" w:cs="Times New Roman"/>
          <w:sz w:val="24"/>
        </w:rPr>
        <w:t xml:space="preserve"> такой спирали </w:t>
      </w:r>
      <w:r>
        <w:rPr>
          <w:rFonts w:ascii="Times New Roman" w:hAnsi="Times New Roman" w:cs="Times New Roman"/>
          <w:sz w:val="24"/>
        </w:rPr>
        <w:t>стала</w:t>
      </w:r>
      <w:r w:rsidRPr="00241923">
        <w:rPr>
          <w:rFonts w:ascii="Times New Roman" w:hAnsi="Times New Roman" w:cs="Times New Roman"/>
          <w:sz w:val="24"/>
        </w:rPr>
        <w:t xml:space="preserve"> Кремниевая долина, которая была создана на базе университета в Стэнфорде. Кремниевая долина стала местом, в котором стали развиваться инновации в компьютерных технологиях, которые приносят огромные прибыли. На основе опыта долины в России был создан научный центр «</w:t>
      </w:r>
      <w:proofErr w:type="spellStart"/>
      <w:r w:rsidRPr="00241923">
        <w:rPr>
          <w:rFonts w:ascii="Times New Roman" w:hAnsi="Times New Roman" w:cs="Times New Roman"/>
          <w:sz w:val="24"/>
        </w:rPr>
        <w:t>Сколково</w:t>
      </w:r>
      <w:proofErr w:type="spellEnd"/>
      <w:r w:rsidRPr="00241923">
        <w:rPr>
          <w:rFonts w:ascii="Times New Roman" w:hAnsi="Times New Roman" w:cs="Times New Roman"/>
          <w:sz w:val="24"/>
        </w:rPr>
        <w:t>». Но повторить такой успех, как у Кремниевой долины и превзойти его не получилось</w:t>
      </w:r>
      <w:r>
        <w:rPr>
          <w:rFonts w:ascii="Times New Roman" w:hAnsi="Times New Roman" w:cs="Times New Roman"/>
          <w:sz w:val="24"/>
        </w:rPr>
        <w:t>.</w:t>
      </w:r>
    </w:p>
    <w:p w:rsidR="000F2988" w:rsidRDefault="000F2988" w:rsidP="00B51FB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Высокотехнологичные производства предполагают наличие современного оборудования и высококвалифицированного персонала. Выпуск конкурентной продукции предполагает регулярную модернизацию производственного оборудования и повышение квалификации персонала. Кроме этого, чем выше первоначальные компетенции работников, тем меньше затрат предприятия уходит на их обучение и адаптацию к рабочему процессу. </w:t>
      </w:r>
    </w:p>
    <w:p w:rsidR="000F2988" w:rsidRDefault="000F2988" w:rsidP="00B51FB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С ростом автоматизации и </w:t>
      </w:r>
      <w:proofErr w:type="spellStart"/>
      <w:r>
        <w:rPr>
          <w:rFonts w:ascii="Times New Roman" w:hAnsi="Times New Roman" w:cs="Times New Roman"/>
          <w:sz w:val="24"/>
        </w:rPr>
        <w:t>цифровизации</w:t>
      </w:r>
      <w:proofErr w:type="spellEnd"/>
      <w:r>
        <w:rPr>
          <w:rFonts w:ascii="Times New Roman" w:hAnsi="Times New Roman" w:cs="Times New Roman"/>
          <w:sz w:val="24"/>
        </w:rPr>
        <w:t xml:space="preserve"> предприятий навыки обращения с электронными устройствами, компьютеризированными станками и цифровыми платформами</w:t>
      </w:r>
      <w:r w:rsidR="00B0777C">
        <w:rPr>
          <w:rFonts w:ascii="Times New Roman" w:hAnsi="Times New Roman" w:cs="Times New Roman"/>
          <w:sz w:val="24"/>
        </w:rPr>
        <w:t xml:space="preserve"> должны присутствовать у подавляющего большинства населения. Под изменяющиеся требования к потенциальным работникам подстраивается учебная программа в школах, средних и высших учебных заведениях. Но для успешной реализации концепции «тройной спирали» в России необходимо создание тесной взаимосвязи между государством, </w:t>
      </w:r>
      <w:r w:rsidR="00B0777C">
        <w:rPr>
          <w:rFonts w:ascii="Times New Roman" w:hAnsi="Times New Roman" w:cs="Times New Roman"/>
          <w:sz w:val="24"/>
        </w:rPr>
        <w:lastRenderedPageBreak/>
        <w:t>бизнесом и образованием. В настоящее время все эти структуры разобщены и не заинтересованы в сотрудничестве.</w:t>
      </w:r>
    </w:p>
    <w:p w:rsidR="00166622" w:rsidRDefault="00166622" w:rsidP="00B51FBF">
      <w:pPr>
        <w:spacing w:after="0" w:line="240" w:lineRule="auto"/>
        <w:ind w:firstLine="709"/>
        <w:jc w:val="both"/>
        <w:rPr>
          <w:rFonts w:ascii="Times New Roman" w:hAnsi="Times New Roman" w:cs="Times New Roman"/>
          <w:sz w:val="24"/>
        </w:rPr>
      </w:pPr>
      <w:r>
        <w:rPr>
          <w:rFonts w:ascii="Times New Roman" w:hAnsi="Times New Roman" w:cs="Times New Roman"/>
          <w:sz w:val="24"/>
        </w:rPr>
        <w:t>На примере Вологодской области можно отметить, что подобное взаимодействие заинтересованы представители государства, бизнеса и власти. Так, на территории региона создается единое информационное и научно-методическое пространство по работе с молодежью и одаренными детьми. Руководство данного субъекта страны оказывает поддержку дополнительному образованию детей в сферах</w:t>
      </w:r>
      <w:r w:rsidRPr="00166622">
        <w:rPr>
          <w:rFonts w:ascii="Times New Roman" w:hAnsi="Times New Roman" w:cs="Times New Roman"/>
          <w:sz w:val="24"/>
        </w:rPr>
        <w:t xml:space="preserve"> </w:t>
      </w:r>
      <w:r>
        <w:rPr>
          <w:rFonts w:ascii="Times New Roman" w:hAnsi="Times New Roman" w:cs="Times New Roman"/>
          <w:sz w:val="24"/>
        </w:rPr>
        <w:t>науки, искусства и спорта</w:t>
      </w:r>
      <w:r w:rsidR="00507939">
        <w:rPr>
          <w:rStyle w:val="a8"/>
          <w:rFonts w:ascii="Times New Roman" w:hAnsi="Times New Roman" w:cs="Times New Roman"/>
          <w:sz w:val="24"/>
        </w:rPr>
        <w:footnoteReference w:id="1"/>
      </w:r>
      <w:r>
        <w:rPr>
          <w:rFonts w:ascii="Times New Roman" w:hAnsi="Times New Roman" w:cs="Times New Roman"/>
          <w:sz w:val="24"/>
        </w:rPr>
        <w:t>. Так в настоящее время в области уже работают</w:t>
      </w:r>
      <w:r w:rsidR="00507939">
        <w:rPr>
          <w:rFonts w:ascii="Times New Roman" w:hAnsi="Times New Roman" w:cs="Times New Roman"/>
          <w:sz w:val="24"/>
        </w:rPr>
        <w:t xml:space="preserve"> два детских технопарка «</w:t>
      </w:r>
      <w:proofErr w:type="spellStart"/>
      <w:r w:rsidR="00507939">
        <w:rPr>
          <w:rFonts w:ascii="Times New Roman" w:hAnsi="Times New Roman" w:cs="Times New Roman"/>
          <w:sz w:val="24"/>
        </w:rPr>
        <w:t>Кванториум</w:t>
      </w:r>
      <w:proofErr w:type="spellEnd"/>
      <w:r w:rsidR="00507939">
        <w:rPr>
          <w:rFonts w:ascii="Times New Roman" w:hAnsi="Times New Roman" w:cs="Times New Roman"/>
          <w:sz w:val="24"/>
        </w:rPr>
        <w:t xml:space="preserve">» в Вологде и Череповце, </w:t>
      </w:r>
      <w:r w:rsidR="00507939" w:rsidRPr="00507939">
        <w:rPr>
          <w:rFonts w:ascii="Times New Roman" w:hAnsi="Times New Roman" w:cs="Times New Roman"/>
          <w:sz w:val="24"/>
        </w:rPr>
        <w:t>кроме того, в областной столице открыт Центр детского IT-творчества «IT-</w:t>
      </w:r>
      <w:proofErr w:type="spellStart"/>
      <w:r w:rsidR="00507939" w:rsidRPr="00507939">
        <w:rPr>
          <w:rFonts w:ascii="Times New Roman" w:hAnsi="Times New Roman" w:cs="Times New Roman"/>
          <w:sz w:val="24"/>
        </w:rPr>
        <w:t>cube</w:t>
      </w:r>
      <w:proofErr w:type="spellEnd"/>
      <w:r w:rsidR="00507939" w:rsidRPr="00507939">
        <w:rPr>
          <w:rFonts w:ascii="Times New Roman" w:hAnsi="Times New Roman" w:cs="Times New Roman"/>
          <w:sz w:val="24"/>
        </w:rPr>
        <w:t xml:space="preserve">» и Дом научной </w:t>
      </w:r>
      <w:proofErr w:type="spellStart"/>
      <w:r w:rsidR="00507939" w:rsidRPr="00507939">
        <w:rPr>
          <w:rFonts w:ascii="Times New Roman" w:hAnsi="Times New Roman" w:cs="Times New Roman"/>
          <w:sz w:val="24"/>
        </w:rPr>
        <w:t>коллаборации</w:t>
      </w:r>
      <w:proofErr w:type="spellEnd"/>
      <w:r w:rsidR="00507939" w:rsidRPr="00507939">
        <w:rPr>
          <w:rFonts w:ascii="Times New Roman" w:hAnsi="Times New Roman" w:cs="Times New Roman"/>
          <w:sz w:val="24"/>
        </w:rPr>
        <w:t xml:space="preserve"> в Во</w:t>
      </w:r>
      <w:r w:rsidR="00507939">
        <w:rPr>
          <w:rFonts w:ascii="Times New Roman" w:hAnsi="Times New Roman" w:cs="Times New Roman"/>
          <w:sz w:val="24"/>
        </w:rPr>
        <w:t>логодском государственном университете</w:t>
      </w:r>
      <w:r w:rsidR="00507939" w:rsidRPr="00507939">
        <w:rPr>
          <w:rFonts w:ascii="Times New Roman" w:hAnsi="Times New Roman" w:cs="Times New Roman"/>
          <w:sz w:val="24"/>
        </w:rPr>
        <w:t>.</w:t>
      </w:r>
    </w:p>
    <w:p w:rsidR="00087558" w:rsidRDefault="00507939" w:rsidP="00B51FBF">
      <w:pPr>
        <w:spacing w:after="0" w:line="240" w:lineRule="auto"/>
        <w:ind w:firstLine="709"/>
        <w:jc w:val="both"/>
        <w:rPr>
          <w:rFonts w:ascii="Times New Roman" w:hAnsi="Times New Roman" w:cs="Times New Roman"/>
          <w:sz w:val="24"/>
        </w:rPr>
      </w:pPr>
      <w:r>
        <w:rPr>
          <w:rFonts w:ascii="Times New Roman" w:hAnsi="Times New Roman" w:cs="Times New Roman"/>
          <w:sz w:val="24"/>
        </w:rPr>
        <w:t>В конце 2019 года состоялось открытие</w:t>
      </w:r>
      <w:r w:rsidR="00572797">
        <w:rPr>
          <w:rFonts w:ascii="Times New Roman" w:hAnsi="Times New Roman" w:cs="Times New Roman"/>
          <w:sz w:val="24"/>
        </w:rPr>
        <w:t xml:space="preserve"> </w:t>
      </w:r>
      <w:r w:rsidR="00572797" w:rsidRPr="00572797">
        <w:rPr>
          <w:rFonts w:ascii="Times New Roman" w:hAnsi="Times New Roman" w:cs="Times New Roman"/>
          <w:sz w:val="24"/>
        </w:rPr>
        <w:t>Центр</w:t>
      </w:r>
      <w:r w:rsidR="00572797">
        <w:rPr>
          <w:rFonts w:ascii="Times New Roman" w:hAnsi="Times New Roman" w:cs="Times New Roman"/>
          <w:sz w:val="24"/>
        </w:rPr>
        <w:t>а</w:t>
      </w:r>
      <w:r w:rsidR="00572797" w:rsidRPr="00572797">
        <w:rPr>
          <w:rFonts w:ascii="Times New Roman" w:hAnsi="Times New Roman" w:cs="Times New Roman"/>
          <w:sz w:val="24"/>
        </w:rPr>
        <w:t xml:space="preserve"> выявления, поддержки и развития способностей и талантов у детей и молодежи области</w:t>
      </w:r>
      <w:r w:rsidR="00572797">
        <w:rPr>
          <w:rFonts w:ascii="Times New Roman" w:hAnsi="Times New Roman" w:cs="Times New Roman"/>
          <w:sz w:val="24"/>
        </w:rPr>
        <w:t xml:space="preserve"> «Импульс». Он был </w:t>
      </w:r>
      <w:r w:rsidR="00B11AD9">
        <w:rPr>
          <w:rFonts w:ascii="Times New Roman" w:hAnsi="Times New Roman" w:cs="Times New Roman"/>
          <w:sz w:val="24"/>
        </w:rPr>
        <w:t xml:space="preserve">создан на основе модели образовательного центра «Сириус» в г. Сочи. Отметим, что деятельностью Центра и обучающимися в его стенах школьниками заинтересовались также высшие учебные заведения и крупные предприятия. </w:t>
      </w:r>
      <w:r w:rsidR="00247693">
        <w:rPr>
          <w:rFonts w:ascii="Times New Roman" w:hAnsi="Times New Roman" w:cs="Times New Roman"/>
          <w:sz w:val="24"/>
        </w:rPr>
        <w:t>Преподавание для школьников</w:t>
      </w:r>
      <w:r w:rsidR="00043A75">
        <w:rPr>
          <w:rFonts w:ascii="Times New Roman" w:hAnsi="Times New Roman" w:cs="Times New Roman"/>
          <w:sz w:val="24"/>
        </w:rPr>
        <w:t xml:space="preserve"> ведется как местными, так и приглашенными специалистами, которые отмечают высокий уровень оснащения лабораторий и кабинетов. </w:t>
      </w:r>
      <w:r w:rsidR="000D619A">
        <w:rPr>
          <w:rFonts w:ascii="Times New Roman" w:hAnsi="Times New Roman" w:cs="Times New Roman"/>
          <w:sz w:val="24"/>
        </w:rPr>
        <w:t>Соглашения о сотрудничестве подписаны с многими образовательными организациями Вологодской области и других регионов страны.</w:t>
      </w:r>
    </w:p>
    <w:p w:rsidR="00507939" w:rsidRDefault="00043A75" w:rsidP="00B51FBF">
      <w:pPr>
        <w:spacing w:after="0" w:line="240" w:lineRule="auto"/>
        <w:ind w:firstLine="709"/>
        <w:jc w:val="both"/>
        <w:rPr>
          <w:rFonts w:ascii="Times New Roman" w:hAnsi="Times New Roman" w:cs="Times New Roman"/>
          <w:sz w:val="24"/>
        </w:rPr>
      </w:pPr>
      <w:r>
        <w:rPr>
          <w:rFonts w:ascii="Times New Roman" w:hAnsi="Times New Roman" w:cs="Times New Roman"/>
          <w:sz w:val="24"/>
        </w:rPr>
        <w:t>Сотрудничество с предприятиями и организациями страны поможет ребятам определиться с той сферой, в которой они хотели бы работать в дальнейшем.</w:t>
      </w:r>
      <w:r w:rsidR="00087558">
        <w:rPr>
          <w:rFonts w:ascii="Times New Roman" w:hAnsi="Times New Roman" w:cs="Times New Roman"/>
          <w:sz w:val="24"/>
        </w:rPr>
        <w:t xml:space="preserve"> Партнерами центра в настоящее время являются АО ГК «Вологодские лесопромышленники», Вологодский филиал ПАО «Ростелеком», ООО «</w:t>
      </w:r>
      <w:proofErr w:type="spellStart"/>
      <w:r w:rsidR="00087558">
        <w:rPr>
          <w:rFonts w:ascii="Times New Roman" w:hAnsi="Times New Roman" w:cs="Times New Roman"/>
          <w:sz w:val="24"/>
        </w:rPr>
        <w:t>Плэйрикс</w:t>
      </w:r>
      <w:proofErr w:type="spellEnd"/>
      <w:r w:rsidR="00087558">
        <w:rPr>
          <w:rFonts w:ascii="Times New Roman" w:hAnsi="Times New Roman" w:cs="Times New Roman"/>
          <w:sz w:val="24"/>
        </w:rPr>
        <w:t>», АО «Апатит» и др.</w:t>
      </w:r>
    </w:p>
    <w:p w:rsidR="006822D0" w:rsidRDefault="00732D6F" w:rsidP="00B51FBF">
      <w:pPr>
        <w:spacing w:after="0" w:line="240" w:lineRule="auto"/>
        <w:ind w:firstLine="709"/>
        <w:jc w:val="both"/>
        <w:rPr>
          <w:rFonts w:ascii="Times New Roman" w:hAnsi="Times New Roman" w:cs="Times New Roman"/>
          <w:sz w:val="24"/>
        </w:rPr>
      </w:pPr>
      <w:r>
        <w:rPr>
          <w:rFonts w:ascii="Times New Roman" w:hAnsi="Times New Roman" w:cs="Times New Roman"/>
          <w:sz w:val="24"/>
        </w:rPr>
        <w:t>Стоит отметить, что центры, осуществляющие дополнительную подготовку одаренных детей</w:t>
      </w:r>
      <w:r w:rsidR="002255FD">
        <w:rPr>
          <w:rFonts w:ascii="Times New Roman" w:hAnsi="Times New Roman" w:cs="Times New Roman"/>
          <w:sz w:val="24"/>
        </w:rPr>
        <w:t>,</w:t>
      </w:r>
      <w:bookmarkStart w:id="0" w:name="_GoBack"/>
      <w:bookmarkEnd w:id="0"/>
      <w:r>
        <w:rPr>
          <w:rFonts w:ascii="Times New Roman" w:hAnsi="Times New Roman" w:cs="Times New Roman"/>
          <w:sz w:val="24"/>
        </w:rPr>
        <w:t xml:space="preserve"> не являются единичными в регионах. Одаренные дети имеют возможность проявить себя в Ленинградской области, где находится </w:t>
      </w:r>
      <w:r w:rsidRPr="00732D6F">
        <w:rPr>
          <w:rFonts w:ascii="Times New Roman" w:hAnsi="Times New Roman" w:cs="Times New Roman"/>
          <w:sz w:val="24"/>
        </w:rPr>
        <w:t>Региональн</w:t>
      </w:r>
      <w:r>
        <w:rPr>
          <w:rFonts w:ascii="Times New Roman" w:hAnsi="Times New Roman" w:cs="Times New Roman"/>
          <w:sz w:val="24"/>
        </w:rPr>
        <w:t>ый</w:t>
      </w:r>
      <w:r w:rsidRPr="00732D6F">
        <w:rPr>
          <w:rFonts w:ascii="Times New Roman" w:hAnsi="Times New Roman" w:cs="Times New Roman"/>
          <w:sz w:val="24"/>
        </w:rPr>
        <w:t xml:space="preserve"> центр выявления и поддержки одаренных детей Ленинградской области «Интеллект»</w:t>
      </w:r>
      <w:r>
        <w:rPr>
          <w:rFonts w:ascii="Times New Roman" w:hAnsi="Times New Roman" w:cs="Times New Roman"/>
          <w:sz w:val="24"/>
        </w:rPr>
        <w:t xml:space="preserve">. В Чувашской Республике в 2019 году был создан </w:t>
      </w:r>
      <w:r w:rsidR="000D619A" w:rsidRPr="000D619A">
        <w:rPr>
          <w:rFonts w:ascii="Times New Roman" w:hAnsi="Times New Roman" w:cs="Times New Roman"/>
          <w:sz w:val="24"/>
        </w:rPr>
        <w:t>Центр по выявлению, поддержке, развитию талантов и способностей у детей и молодежи Чувашской республики «</w:t>
      </w:r>
      <w:proofErr w:type="spellStart"/>
      <w:r w:rsidR="000D619A" w:rsidRPr="000D619A">
        <w:rPr>
          <w:rFonts w:ascii="Times New Roman" w:hAnsi="Times New Roman" w:cs="Times New Roman"/>
          <w:sz w:val="24"/>
        </w:rPr>
        <w:t>Эткер</w:t>
      </w:r>
      <w:proofErr w:type="spellEnd"/>
      <w:r w:rsidR="000D619A" w:rsidRPr="000D619A">
        <w:rPr>
          <w:rFonts w:ascii="Times New Roman" w:hAnsi="Times New Roman" w:cs="Times New Roman"/>
          <w:sz w:val="24"/>
        </w:rPr>
        <w:t>»</w:t>
      </w:r>
      <w:r>
        <w:rPr>
          <w:rFonts w:ascii="Times New Roman" w:hAnsi="Times New Roman" w:cs="Times New Roman"/>
          <w:sz w:val="24"/>
        </w:rPr>
        <w:t>, в Орловской</w:t>
      </w:r>
      <w:r w:rsidR="00573777">
        <w:rPr>
          <w:rFonts w:ascii="Times New Roman" w:hAnsi="Times New Roman" w:cs="Times New Roman"/>
          <w:sz w:val="24"/>
        </w:rPr>
        <w:t xml:space="preserve"> области</w:t>
      </w:r>
      <w:r>
        <w:rPr>
          <w:rFonts w:ascii="Times New Roman" w:hAnsi="Times New Roman" w:cs="Times New Roman"/>
          <w:sz w:val="24"/>
        </w:rPr>
        <w:t xml:space="preserve"> находится Региональный центр «Созвездие орла».</w:t>
      </w:r>
    </w:p>
    <w:p w:rsidR="00B0777C" w:rsidRDefault="00312229" w:rsidP="00B51FB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Таким образом, концепция «тройной спирали» находит своих сторонников на региональном уровне. Активное взаимодействие между государством, бизнесом и образованием </w:t>
      </w:r>
      <w:r w:rsidR="002052CE">
        <w:rPr>
          <w:rFonts w:ascii="Times New Roman" w:hAnsi="Times New Roman" w:cs="Times New Roman"/>
          <w:sz w:val="24"/>
        </w:rPr>
        <w:t>является фундаментом для быстрого развития высокотехнологичного се</w:t>
      </w:r>
      <w:r w:rsidR="002052CE">
        <w:rPr>
          <w:rFonts w:ascii="Times New Roman" w:hAnsi="Times New Roman" w:cs="Times New Roman"/>
          <w:sz w:val="24"/>
        </w:rPr>
        <w:t>к</w:t>
      </w:r>
      <w:r w:rsidR="002052CE">
        <w:rPr>
          <w:rFonts w:ascii="Times New Roman" w:hAnsi="Times New Roman" w:cs="Times New Roman"/>
          <w:sz w:val="24"/>
        </w:rPr>
        <w:t xml:space="preserve">тора, </w:t>
      </w:r>
      <w:r w:rsidR="00DE5D22">
        <w:rPr>
          <w:rFonts w:ascii="Times New Roman" w:hAnsi="Times New Roman" w:cs="Times New Roman"/>
          <w:sz w:val="24"/>
        </w:rPr>
        <w:t xml:space="preserve">повышения престижа </w:t>
      </w:r>
      <w:r w:rsidR="002052CE">
        <w:rPr>
          <w:rFonts w:ascii="Times New Roman" w:hAnsi="Times New Roman" w:cs="Times New Roman"/>
          <w:sz w:val="24"/>
        </w:rPr>
        <w:t>науки и образования</w:t>
      </w:r>
      <w:r w:rsidR="00DE5D22">
        <w:rPr>
          <w:rFonts w:ascii="Times New Roman" w:hAnsi="Times New Roman" w:cs="Times New Roman"/>
          <w:sz w:val="24"/>
        </w:rPr>
        <w:t xml:space="preserve"> в стране и регионе</w:t>
      </w:r>
      <w:r w:rsidR="002052CE">
        <w:rPr>
          <w:rFonts w:ascii="Times New Roman" w:hAnsi="Times New Roman" w:cs="Times New Roman"/>
          <w:sz w:val="24"/>
        </w:rPr>
        <w:t>.</w:t>
      </w:r>
      <w:r>
        <w:rPr>
          <w:rFonts w:ascii="Times New Roman" w:hAnsi="Times New Roman" w:cs="Times New Roman"/>
          <w:sz w:val="24"/>
        </w:rPr>
        <w:t xml:space="preserve"> </w:t>
      </w:r>
    </w:p>
    <w:p w:rsidR="00EB6AFB" w:rsidRDefault="00EB6AFB" w:rsidP="00B51FBF">
      <w:pPr>
        <w:spacing w:after="0" w:line="240" w:lineRule="auto"/>
        <w:ind w:firstLine="709"/>
        <w:jc w:val="both"/>
        <w:rPr>
          <w:rFonts w:ascii="Times New Roman" w:hAnsi="Times New Roman" w:cs="Times New Roman"/>
          <w:sz w:val="24"/>
        </w:rPr>
      </w:pPr>
    </w:p>
    <w:p w:rsidR="00EB6AFB" w:rsidRPr="00330E4F" w:rsidRDefault="00EB6AFB" w:rsidP="00EB6AFB">
      <w:pPr>
        <w:spacing w:after="0" w:line="240" w:lineRule="auto"/>
        <w:ind w:firstLine="709"/>
        <w:jc w:val="center"/>
        <w:rPr>
          <w:rFonts w:ascii="Times New Roman" w:hAnsi="Times New Roman" w:cs="Times New Roman"/>
          <w:b/>
          <w:sz w:val="24"/>
        </w:rPr>
      </w:pPr>
      <w:r w:rsidRPr="00330E4F">
        <w:rPr>
          <w:rFonts w:ascii="Times New Roman" w:hAnsi="Times New Roman" w:cs="Times New Roman"/>
          <w:b/>
          <w:sz w:val="24"/>
        </w:rPr>
        <w:t>Библиографический список</w:t>
      </w:r>
    </w:p>
    <w:p w:rsidR="00EB6AFB" w:rsidRPr="00FA7DF7" w:rsidRDefault="00FA7DF7" w:rsidP="001B3D4E">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 </w:t>
      </w:r>
      <w:r w:rsidR="00EB6AFB" w:rsidRPr="00FA7DF7">
        <w:rPr>
          <w:rFonts w:ascii="Times New Roman" w:hAnsi="Times New Roman" w:cs="Times New Roman"/>
          <w:sz w:val="24"/>
        </w:rPr>
        <w:t>Бондаренко Н.Е., Дубовик М.В., Губарев Р.В. "Тройная спираль" как основа создания инновационных систем // Вестник РЭА им. Г.В. Плеханова. 2018. №2 (98). URL: https://cyberleninka.ru/article/n/troynaya-spiral-kak-osnova-sozdaniya-innovatsionnyh-sistem (дата обращения: 23.03.2021).</w:t>
      </w:r>
    </w:p>
    <w:p w:rsidR="002E5C57" w:rsidRDefault="00FA7DF7" w:rsidP="001B3D4E">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 </w:t>
      </w:r>
      <w:r w:rsidR="002E5C57" w:rsidRPr="00FA7DF7">
        <w:rPr>
          <w:rFonts w:ascii="Times New Roman" w:hAnsi="Times New Roman" w:cs="Times New Roman"/>
          <w:sz w:val="24"/>
        </w:rPr>
        <w:t xml:space="preserve">Юрченко Н.Ю., </w:t>
      </w:r>
      <w:proofErr w:type="spellStart"/>
      <w:r w:rsidR="002E5C57" w:rsidRPr="00FA7DF7">
        <w:rPr>
          <w:rFonts w:ascii="Times New Roman" w:hAnsi="Times New Roman" w:cs="Times New Roman"/>
          <w:sz w:val="24"/>
        </w:rPr>
        <w:t>Вивчарик</w:t>
      </w:r>
      <w:proofErr w:type="spellEnd"/>
      <w:r w:rsidR="002E5C57" w:rsidRPr="00FA7DF7">
        <w:rPr>
          <w:rFonts w:ascii="Times New Roman" w:hAnsi="Times New Roman" w:cs="Times New Roman"/>
          <w:sz w:val="24"/>
        </w:rPr>
        <w:t xml:space="preserve"> А.А. Использование зарубежного опыта  стимулирования инновационной деятельности в условиях российской экономики // Инновации и инвестиции. 2020. № 6. С. 20–24.</w:t>
      </w:r>
    </w:p>
    <w:p w:rsidR="00330E4F" w:rsidRDefault="00330E4F" w:rsidP="00330E4F">
      <w:pPr>
        <w:spacing w:after="0" w:line="240" w:lineRule="auto"/>
        <w:ind w:firstLine="709"/>
        <w:jc w:val="both"/>
        <w:rPr>
          <w:rFonts w:ascii="Times New Roman" w:hAnsi="Times New Roman" w:cs="Times New Roman"/>
          <w:sz w:val="24"/>
        </w:rPr>
      </w:pPr>
    </w:p>
    <w:p w:rsidR="00330E4F" w:rsidRDefault="00330E4F" w:rsidP="00330E4F">
      <w:pPr>
        <w:spacing w:after="0" w:line="240" w:lineRule="auto"/>
        <w:ind w:firstLine="709"/>
        <w:jc w:val="center"/>
        <w:rPr>
          <w:rFonts w:ascii="Times New Roman" w:hAnsi="Times New Roman" w:cs="Times New Roman"/>
          <w:b/>
          <w:sz w:val="24"/>
        </w:rPr>
      </w:pPr>
      <w:r w:rsidRPr="00330E4F">
        <w:rPr>
          <w:rFonts w:ascii="Times New Roman" w:hAnsi="Times New Roman" w:cs="Times New Roman"/>
          <w:b/>
          <w:sz w:val="24"/>
        </w:rPr>
        <w:t>Информация об авторе</w:t>
      </w:r>
    </w:p>
    <w:p w:rsidR="00593D86" w:rsidRDefault="00593D86" w:rsidP="00593D8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Широкова Елена Юрьевна (Россия, г. Вологда) – младший научный сотрудник ФГБУН </w:t>
      </w:r>
      <w:proofErr w:type="spellStart"/>
      <w:r>
        <w:rPr>
          <w:rFonts w:ascii="Times New Roman" w:hAnsi="Times New Roman" w:cs="Times New Roman"/>
          <w:sz w:val="24"/>
        </w:rPr>
        <w:t>ВолНЦ</w:t>
      </w:r>
      <w:proofErr w:type="spellEnd"/>
      <w:r>
        <w:rPr>
          <w:rFonts w:ascii="Times New Roman" w:hAnsi="Times New Roman" w:cs="Times New Roman"/>
          <w:sz w:val="24"/>
        </w:rPr>
        <w:t xml:space="preserve"> РАН (</w:t>
      </w:r>
      <w:r w:rsidRPr="00593D86">
        <w:rPr>
          <w:rFonts w:ascii="Times New Roman" w:hAnsi="Times New Roman" w:cs="Times New Roman"/>
          <w:sz w:val="24"/>
        </w:rPr>
        <w:t>Россия, 160014, г. Вологда, ул. Горького, д. 56а</w:t>
      </w:r>
      <w:r>
        <w:rPr>
          <w:rFonts w:ascii="Times New Roman" w:hAnsi="Times New Roman" w:cs="Times New Roman"/>
          <w:sz w:val="24"/>
        </w:rPr>
        <w:t xml:space="preserve">, </w:t>
      </w:r>
      <w:r>
        <w:rPr>
          <w:rFonts w:ascii="Times New Roman" w:hAnsi="Times New Roman" w:cs="Times New Roman"/>
          <w:sz w:val="24"/>
          <w:lang w:val="en-US"/>
        </w:rPr>
        <w:t>e-mail</w:t>
      </w:r>
      <w:r>
        <w:rPr>
          <w:rFonts w:ascii="Times New Roman" w:hAnsi="Times New Roman" w:cs="Times New Roman"/>
          <w:sz w:val="24"/>
        </w:rPr>
        <w:t xml:space="preserve">: </w:t>
      </w:r>
      <w:hyperlink r:id="rId11" w:history="1">
        <w:r w:rsidRPr="00023929">
          <w:rPr>
            <w:rStyle w:val="a9"/>
            <w:rFonts w:ascii="Times New Roman" w:hAnsi="Times New Roman" w:cs="Times New Roman"/>
            <w:sz w:val="24"/>
            <w:lang w:val="en-US"/>
          </w:rPr>
          <w:t>shir11@bk.ru</w:t>
        </w:r>
      </w:hyperlink>
      <w:r>
        <w:rPr>
          <w:rFonts w:ascii="Times New Roman" w:hAnsi="Times New Roman" w:cs="Times New Roman"/>
          <w:sz w:val="24"/>
        </w:rPr>
        <w:t>).</w:t>
      </w:r>
    </w:p>
    <w:p w:rsidR="00593D86" w:rsidRDefault="00593D86" w:rsidP="00593D86">
      <w:pPr>
        <w:spacing w:after="0" w:line="240" w:lineRule="auto"/>
        <w:ind w:firstLine="709"/>
        <w:jc w:val="both"/>
        <w:rPr>
          <w:rFonts w:ascii="Times New Roman" w:hAnsi="Times New Roman" w:cs="Times New Roman"/>
          <w:sz w:val="24"/>
        </w:rPr>
      </w:pPr>
    </w:p>
    <w:p w:rsidR="00593D86" w:rsidRDefault="00593D86" w:rsidP="00593D86">
      <w:pPr>
        <w:spacing w:after="0" w:line="240" w:lineRule="auto"/>
        <w:ind w:firstLine="709"/>
        <w:jc w:val="right"/>
        <w:rPr>
          <w:rFonts w:ascii="Times New Roman" w:hAnsi="Times New Roman" w:cs="Times New Roman"/>
          <w:b/>
          <w:sz w:val="24"/>
          <w:lang w:val="en-US"/>
        </w:rPr>
      </w:pPr>
      <w:proofErr w:type="spellStart"/>
      <w:r w:rsidRPr="00593D86">
        <w:rPr>
          <w:rFonts w:ascii="Times New Roman" w:hAnsi="Times New Roman" w:cs="Times New Roman"/>
          <w:b/>
          <w:sz w:val="24"/>
          <w:lang w:val="en-US"/>
        </w:rPr>
        <w:t>Shirokova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E.Yu</w:t>
      </w:r>
      <w:proofErr w:type="spellEnd"/>
      <w:r>
        <w:rPr>
          <w:rFonts w:ascii="Times New Roman" w:hAnsi="Times New Roman" w:cs="Times New Roman"/>
          <w:b/>
          <w:sz w:val="24"/>
          <w:lang w:val="en-US"/>
        </w:rPr>
        <w:t>.</w:t>
      </w:r>
    </w:p>
    <w:p w:rsidR="00593D86" w:rsidRPr="00593D86" w:rsidRDefault="00593D86" w:rsidP="00593D86">
      <w:pPr>
        <w:spacing w:after="0" w:line="240" w:lineRule="auto"/>
        <w:ind w:firstLine="709"/>
        <w:jc w:val="right"/>
        <w:rPr>
          <w:rFonts w:ascii="Times New Roman" w:hAnsi="Times New Roman" w:cs="Times New Roman"/>
          <w:b/>
          <w:sz w:val="24"/>
          <w:lang w:val="en-US"/>
        </w:rPr>
      </w:pPr>
    </w:p>
    <w:p w:rsidR="00EB6AFB" w:rsidRDefault="00C802E0" w:rsidP="007E75FB">
      <w:pPr>
        <w:pStyle w:val="a5"/>
        <w:spacing w:after="0" w:line="240" w:lineRule="auto"/>
        <w:ind w:left="0" w:firstLine="709"/>
        <w:jc w:val="both"/>
        <w:rPr>
          <w:rFonts w:ascii="Times New Roman" w:hAnsi="Times New Roman" w:cs="Times New Roman"/>
          <w:b/>
          <w:sz w:val="24"/>
          <w:lang w:val="en-US"/>
        </w:rPr>
      </w:pPr>
      <w:r w:rsidRPr="00C802E0">
        <w:rPr>
          <w:rFonts w:ascii="Times New Roman" w:hAnsi="Times New Roman" w:cs="Times New Roman"/>
          <w:b/>
          <w:sz w:val="24"/>
          <w:lang w:val="en-US"/>
        </w:rPr>
        <w:t xml:space="preserve">THE CONCEPT OF ACTIVE </w:t>
      </w:r>
      <w:r w:rsidR="00953B2D" w:rsidRPr="00C802E0">
        <w:rPr>
          <w:rFonts w:ascii="Times New Roman" w:hAnsi="Times New Roman" w:cs="Times New Roman"/>
          <w:b/>
          <w:sz w:val="24"/>
          <w:lang w:val="en-US"/>
        </w:rPr>
        <w:t>HIGH TECH</w:t>
      </w:r>
      <w:r w:rsidR="00953B2D" w:rsidRPr="00C802E0">
        <w:rPr>
          <w:rFonts w:ascii="Times New Roman" w:hAnsi="Times New Roman" w:cs="Times New Roman"/>
          <w:b/>
          <w:sz w:val="24"/>
          <w:lang w:val="en-US"/>
        </w:rPr>
        <w:t xml:space="preserve"> </w:t>
      </w:r>
      <w:r w:rsidRPr="00C802E0">
        <w:rPr>
          <w:rFonts w:ascii="Times New Roman" w:hAnsi="Times New Roman" w:cs="Times New Roman"/>
          <w:b/>
          <w:sz w:val="24"/>
          <w:lang w:val="en-US"/>
        </w:rPr>
        <w:t xml:space="preserve">DEVELOPMENT </w:t>
      </w:r>
      <w:r w:rsidRPr="00337376">
        <w:rPr>
          <w:rFonts w:ascii="Times New Roman" w:hAnsi="Times New Roman" w:cs="Times New Roman"/>
          <w:b/>
          <w:sz w:val="24"/>
          <w:lang w:val="en-US"/>
        </w:rPr>
        <w:t>IN THE REGION</w:t>
      </w:r>
    </w:p>
    <w:p w:rsidR="00337376" w:rsidRDefault="00337376" w:rsidP="00953B2D">
      <w:pPr>
        <w:pStyle w:val="a5"/>
        <w:spacing w:after="0" w:line="240" w:lineRule="auto"/>
        <w:ind w:left="1069"/>
        <w:jc w:val="both"/>
        <w:rPr>
          <w:rFonts w:ascii="Times New Roman" w:hAnsi="Times New Roman" w:cs="Times New Roman"/>
          <w:b/>
          <w:sz w:val="24"/>
          <w:lang w:val="en-US"/>
        </w:rPr>
      </w:pPr>
    </w:p>
    <w:p w:rsidR="00337376" w:rsidRPr="00337376" w:rsidRDefault="00337376" w:rsidP="00337376">
      <w:pPr>
        <w:spacing w:after="0" w:line="240" w:lineRule="auto"/>
        <w:ind w:firstLine="709"/>
        <w:jc w:val="both"/>
        <w:rPr>
          <w:rFonts w:ascii="Times New Roman" w:hAnsi="Times New Roman" w:cs="Times New Roman"/>
          <w:i/>
          <w:sz w:val="24"/>
          <w:szCs w:val="24"/>
        </w:rPr>
      </w:pPr>
      <w:r w:rsidRPr="00337376">
        <w:rPr>
          <w:rFonts w:ascii="Times New Roman" w:hAnsi="Times New Roman" w:cs="Times New Roman"/>
          <w:i/>
          <w:sz w:val="24"/>
          <w:szCs w:val="24"/>
        </w:rPr>
        <w:t>High technologies all over the world are the basis for the development of economic systems. In the Russian Federation, this sector has not shown active growth in recent years. The concept of the "triple helix" has shown high results in the active development of the high-tech sector in foreign countries. The study provides an example of the implementation of the concept at the regional level.</w:t>
      </w:r>
    </w:p>
    <w:p w:rsidR="00337376" w:rsidRDefault="00337376" w:rsidP="00337376">
      <w:pPr>
        <w:spacing w:after="0" w:line="240" w:lineRule="auto"/>
        <w:ind w:firstLine="709"/>
        <w:jc w:val="both"/>
        <w:rPr>
          <w:rFonts w:ascii="Times New Roman" w:hAnsi="Times New Roman" w:cs="Times New Roman"/>
          <w:i/>
          <w:sz w:val="24"/>
          <w:szCs w:val="24"/>
          <w:lang w:val="en-US"/>
        </w:rPr>
      </w:pPr>
      <w:r w:rsidRPr="00337376">
        <w:rPr>
          <w:rFonts w:ascii="Times New Roman" w:hAnsi="Times New Roman" w:cs="Times New Roman"/>
          <w:i/>
          <w:sz w:val="24"/>
          <w:szCs w:val="24"/>
        </w:rPr>
        <w:t xml:space="preserve">High-tech </w:t>
      </w:r>
      <w:proofErr w:type="spellStart"/>
      <w:r w:rsidRPr="00337376">
        <w:rPr>
          <w:rFonts w:ascii="Times New Roman" w:hAnsi="Times New Roman" w:cs="Times New Roman"/>
          <w:i/>
          <w:sz w:val="24"/>
          <w:szCs w:val="24"/>
        </w:rPr>
        <w:t>sector</w:t>
      </w:r>
      <w:proofErr w:type="spellEnd"/>
      <w:r w:rsidRPr="00337376">
        <w:rPr>
          <w:rFonts w:ascii="Times New Roman" w:hAnsi="Times New Roman" w:cs="Times New Roman"/>
          <w:i/>
          <w:sz w:val="24"/>
          <w:szCs w:val="24"/>
        </w:rPr>
        <w:t xml:space="preserve">, </w:t>
      </w:r>
      <w:proofErr w:type="spellStart"/>
      <w:r w:rsidRPr="00337376">
        <w:rPr>
          <w:rFonts w:ascii="Times New Roman" w:hAnsi="Times New Roman" w:cs="Times New Roman"/>
          <w:i/>
          <w:sz w:val="24"/>
          <w:szCs w:val="24"/>
        </w:rPr>
        <w:t>science</w:t>
      </w:r>
      <w:proofErr w:type="spellEnd"/>
      <w:r w:rsidRPr="00337376">
        <w:rPr>
          <w:rFonts w:ascii="Times New Roman" w:hAnsi="Times New Roman" w:cs="Times New Roman"/>
          <w:i/>
          <w:sz w:val="24"/>
          <w:szCs w:val="24"/>
        </w:rPr>
        <w:t xml:space="preserve">, </w:t>
      </w:r>
      <w:proofErr w:type="spellStart"/>
      <w:r w:rsidRPr="00337376">
        <w:rPr>
          <w:rFonts w:ascii="Times New Roman" w:hAnsi="Times New Roman" w:cs="Times New Roman"/>
          <w:i/>
          <w:sz w:val="24"/>
          <w:szCs w:val="24"/>
        </w:rPr>
        <w:t>education</w:t>
      </w:r>
      <w:proofErr w:type="spellEnd"/>
      <w:r w:rsidRPr="00337376">
        <w:rPr>
          <w:rFonts w:ascii="Times New Roman" w:hAnsi="Times New Roman" w:cs="Times New Roman"/>
          <w:i/>
          <w:sz w:val="24"/>
          <w:szCs w:val="24"/>
        </w:rPr>
        <w:t xml:space="preserve">, </w:t>
      </w:r>
      <w:proofErr w:type="spellStart"/>
      <w:r w:rsidRPr="00337376">
        <w:rPr>
          <w:rFonts w:ascii="Times New Roman" w:hAnsi="Times New Roman" w:cs="Times New Roman"/>
          <w:i/>
          <w:sz w:val="24"/>
          <w:szCs w:val="24"/>
        </w:rPr>
        <w:t>region</w:t>
      </w:r>
      <w:proofErr w:type="spellEnd"/>
    </w:p>
    <w:p w:rsidR="008A256D" w:rsidRDefault="008A256D" w:rsidP="00337376">
      <w:pPr>
        <w:spacing w:after="0" w:line="240" w:lineRule="auto"/>
        <w:ind w:firstLine="709"/>
        <w:jc w:val="both"/>
        <w:rPr>
          <w:rFonts w:ascii="Times New Roman" w:hAnsi="Times New Roman" w:cs="Times New Roman"/>
          <w:i/>
          <w:sz w:val="24"/>
          <w:szCs w:val="24"/>
          <w:lang w:val="en-US"/>
        </w:rPr>
      </w:pPr>
    </w:p>
    <w:p w:rsidR="008A256D" w:rsidRPr="008A256D" w:rsidRDefault="008A256D" w:rsidP="008A256D">
      <w:pPr>
        <w:spacing w:after="0" w:line="240" w:lineRule="auto"/>
        <w:ind w:firstLine="709"/>
        <w:jc w:val="center"/>
        <w:rPr>
          <w:rFonts w:ascii="Times New Roman" w:hAnsi="Times New Roman" w:cs="Times New Roman"/>
          <w:b/>
          <w:sz w:val="24"/>
          <w:szCs w:val="24"/>
          <w:lang w:val="en-US"/>
        </w:rPr>
      </w:pPr>
      <w:r w:rsidRPr="008A256D">
        <w:rPr>
          <w:rFonts w:ascii="Times New Roman" w:hAnsi="Times New Roman" w:cs="Times New Roman"/>
          <w:b/>
          <w:sz w:val="24"/>
          <w:szCs w:val="24"/>
          <w:lang w:val="en-US"/>
        </w:rPr>
        <w:t>Information about the author</w:t>
      </w:r>
    </w:p>
    <w:p w:rsidR="008A256D" w:rsidRDefault="008A256D" w:rsidP="008A256D">
      <w:pPr>
        <w:spacing w:after="0" w:line="240" w:lineRule="auto"/>
        <w:ind w:firstLine="709"/>
        <w:jc w:val="both"/>
        <w:rPr>
          <w:rFonts w:ascii="Times New Roman" w:hAnsi="Times New Roman" w:cs="Times New Roman"/>
          <w:sz w:val="24"/>
          <w:szCs w:val="24"/>
          <w:lang w:val="en-US"/>
        </w:rPr>
      </w:pPr>
      <w:r w:rsidRPr="008A256D">
        <w:rPr>
          <w:rFonts w:ascii="Times New Roman" w:hAnsi="Times New Roman" w:cs="Times New Roman"/>
          <w:sz w:val="24"/>
          <w:szCs w:val="24"/>
          <w:lang w:val="en-US"/>
        </w:rPr>
        <w:t xml:space="preserve">Elena </w:t>
      </w:r>
      <w:proofErr w:type="spellStart"/>
      <w:r w:rsidRPr="008A256D">
        <w:rPr>
          <w:rFonts w:ascii="Times New Roman" w:hAnsi="Times New Roman" w:cs="Times New Roman"/>
          <w:sz w:val="24"/>
          <w:szCs w:val="24"/>
          <w:lang w:val="en-US"/>
        </w:rPr>
        <w:t>Shirokova</w:t>
      </w:r>
      <w:proofErr w:type="spellEnd"/>
      <w:r w:rsidRPr="008A256D">
        <w:rPr>
          <w:rFonts w:ascii="Times New Roman" w:hAnsi="Times New Roman" w:cs="Times New Roman"/>
          <w:sz w:val="24"/>
          <w:szCs w:val="24"/>
          <w:lang w:val="en-US"/>
        </w:rPr>
        <w:t xml:space="preserve"> (Vologda, Russia) - </w:t>
      </w:r>
      <w:r w:rsidRPr="008A256D">
        <w:rPr>
          <w:rFonts w:ascii="Times New Roman" w:hAnsi="Times New Roman" w:cs="Times New Roman"/>
          <w:sz w:val="24"/>
          <w:szCs w:val="24"/>
          <w:lang w:val="en-US"/>
        </w:rPr>
        <w:t>junior research</w:t>
      </w:r>
      <w:r>
        <w:rPr>
          <w:rFonts w:ascii="Times New Roman" w:hAnsi="Times New Roman" w:cs="Times New Roman"/>
          <w:sz w:val="24"/>
          <w:szCs w:val="24"/>
          <w:lang w:val="en-US"/>
        </w:rPr>
        <w:t xml:space="preserve"> associate,</w:t>
      </w:r>
      <w:r w:rsidRPr="008A256D">
        <w:rPr>
          <w:rFonts w:ascii="Times New Roman" w:hAnsi="Times New Roman" w:cs="Times New Roman"/>
          <w:sz w:val="24"/>
          <w:szCs w:val="24"/>
          <w:lang w:val="en-US"/>
        </w:rPr>
        <w:t xml:space="preserve"> Federal State Budgetary Institution of Sciences</w:t>
      </w:r>
      <w:r>
        <w:rPr>
          <w:rFonts w:ascii="Times New Roman" w:hAnsi="Times New Roman" w:cs="Times New Roman"/>
          <w:sz w:val="24"/>
          <w:szCs w:val="24"/>
          <w:lang w:val="en-US"/>
        </w:rPr>
        <w:t xml:space="preserve"> </w:t>
      </w:r>
      <w:r w:rsidRPr="008A256D">
        <w:rPr>
          <w:rFonts w:ascii="Times New Roman" w:hAnsi="Times New Roman" w:cs="Times New Roman"/>
          <w:sz w:val="24"/>
          <w:szCs w:val="24"/>
          <w:lang w:val="en-US"/>
        </w:rPr>
        <w:t>Vologda Research Center of the Russian Academy of Sciences (</w:t>
      </w:r>
      <w:proofErr w:type="spellStart"/>
      <w:r w:rsidRPr="008A256D">
        <w:rPr>
          <w:rFonts w:ascii="Times New Roman" w:hAnsi="Times New Roman" w:cs="Times New Roman"/>
          <w:sz w:val="24"/>
          <w:szCs w:val="24"/>
          <w:lang w:val="en-US"/>
        </w:rPr>
        <w:t>VolRC</w:t>
      </w:r>
      <w:proofErr w:type="spellEnd"/>
      <w:r w:rsidRPr="008A256D">
        <w:rPr>
          <w:rFonts w:ascii="Times New Roman" w:hAnsi="Times New Roman" w:cs="Times New Roman"/>
          <w:sz w:val="24"/>
          <w:szCs w:val="24"/>
          <w:lang w:val="en-US"/>
        </w:rPr>
        <w:t xml:space="preserve"> RAS) (</w:t>
      </w:r>
      <w:r w:rsidRPr="008A256D">
        <w:rPr>
          <w:rFonts w:ascii="Times New Roman" w:hAnsi="Times New Roman" w:cs="Times New Roman"/>
          <w:sz w:val="24"/>
          <w:szCs w:val="24"/>
          <w:lang w:val="en-US"/>
        </w:rPr>
        <w:t>56A, Gorky Street, Vologda, 160014, Russia</w:t>
      </w:r>
      <w:r w:rsidRPr="008A256D">
        <w:rPr>
          <w:rFonts w:ascii="Times New Roman" w:hAnsi="Times New Roman" w:cs="Times New Roman"/>
          <w:sz w:val="24"/>
          <w:szCs w:val="24"/>
          <w:lang w:val="en-US"/>
        </w:rPr>
        <w:t xml:space="preserve">, e-mail: </w:t>
      </w:r>
      <w:hyperlink r:id="rId12" w:history="1">
        <w:r w:rsidR="00AF46E0" w:rsidRPr="00023929">
          <w:rPr>
            <w:rStyle w:val="a9"/>
            <w:rFonts w:ascii="Times New Roman" w:hAnsi="Times New Roman" w:cs="Times New Roman"/>
            <w:sz w:val="24"/>
            <w:szCs w:val="24"/>
            <w:lang w:val="en-US"/>
          </w:rPr>
          <w:t>shir11@bk.ru</w:t>
        </w:r>
      </w:hyperlink>
      <w:r w:rsidRPr="008A256D">
        <w:rPr>
          <w:rFonts w:ascii="Times New Roman" w:hAnsi="Times New Roman" w:cs="Times New Roman"/>
          <w:sz w:val="24"/>
          <w:szCs w:val="24"/>
          <w:lang w:val="en-US"/>
        </w:rPr>
        <w:t>).</w:t>
      </w:r>
    </w:p>
    <w:p w:rsidR="00AF46E0" w:rsidRDefault="00AF46E0" w:rsidP="008A256D">
      <w:pPr>
        <w:spacing w:after="0" w:line="240" w:lineRule="auto"/>
        <w:ind w:firstLine="709"/>
        <w:jc w:val="both"/>
        <w:rPr>
          <w:rFonts w:ascii="Times New Roman" w:hAnsi="Times New Roman" w:cs="Times New Roman"/>
          <w:sz w:val="24"/>
          <w:szCs w:val="24"/>
          <w:lang w:val="en-US"/>
        </w:rPr>
      </w:pPr>
    </w:p>
    <w:p w:rsidR="00AF46E0" w:rsidRPr="00AF46E0" w:rsidRDefault="00AF46E0" w:rsidP="00AF46E0">
      <w:pPr>
        <w:spacing w:after="0" w:line="240" w:lineRule="auto"/>
        <w:ind w:firstLine="709"/>
        <w:jc w:val="center"/>
        <w:rPr>
          <w:rFonts w:ascii="Times New Roman" w:hAnsi="Times New Roman" w:cs="Times New Roman"/>
          <w:b/>
          <w:sz w:val="24"/>
          <w:szCs w:val="24"/>
          <w:lang w:val="en-US"/>
        </w:rPr>
      </w:pPr>
      <w:r w:rsidRPr="00AF46E0">
        <w:rPr>
          <w:rFonts w:ascii="Times New Roman" w:hAnsi="Times New Roman" w:cs="Times New Roman"/>
          <w:b/>
          <w:sz w:val="24"/>
          <w:szCs w:val="24"/>
          <w:lang w:val="en-US"/>
        </w:rPr>
        <w:t>References</w:t>
      </w:r>
    </w:p>
    <w:p w:rsidR="00AF46E0" w:rsidRPr="00AF46E0" w:rsidRDefault="00AF46E0" w:rsidP="001B3D4E">
      <w:pPr>
        <w:spacing w:after="0" w:line="240" w:lineRule="auto"/>
        <w:ind w:firstLine="709"/>
        <w:jc w:val="both"/>
        <w:rPr>
          <w:rFonts w:ascii="Times New Roman" w:hAnsi="Times New Roman" w:cs="Times New Roman"/>
          <w:sz w:val="24"/>
          <w:szCs w:val="24"/>
          <w:lang w:val="en-US"/>
        </w:rPr>
      </w:pPr>
      <w:r w:rsidRPr="00AF46E0">
        <w:rPr>
          <w:rFonts w:ascii="Times New Roman" w:hAnsi="Times New Roman" w:cs="Times New Roman"/>
          <w:sz w:val="24"/>
          <w:szCs w:val="24"/>
          <w:lang w:val="en-US"/>
        </w:rPr>
        <w:t xml:space="preserve">1. </w:t>
      </w:r>
      <w:proofErr w:type="spellStart"/>
      <w:r w:rsidRPr="00AF46E0">
        <w:rPr>
          <w:rFonts w:ascii="Times New Roman" w:hAnsi="Times New Roman" w:cs="Times New Roman"/>
          <w:sz w:val="24"/>
          <w:szCs w:val="24"/>
          <w:lang w:val="en-US"/>
        </w:rPr>
        <w:t>Bondarenko</w:t>
      </w:r>
      <w:proofErr w:type="spellEnd"/>
      <w:r w:rsidRPr="00AF46E0">
        <w:rPr>
          <w:rFonts w:ascii="Times New Roman" w:hAnsi="Times New Roman" w:cs="Times New Roman"/>
          <w:sz w:val="24"/>
          <w:szCs w:val="24"/>
          <w:lang w:val="en-US"/>
        </w:rPr>
        <w:t xml:space="preserve"> N.E., </w:t>
      </w:r>
      <w:proofErr w:type="spellStart"/>
      <w:r w:rsidRPr="00AF46E0">
        <w:rPr>
          <w:rFonts w:ascii="Times New Roman" w:hAnsi="Times New Roman" w:cs="Times New Roman"/>
          <w:sz w:val="24"/>
          <w:szCs w:val="24"/>
          <w:lang w:val="en-US"/>
        </w:rPr>
        <w:t>Dubovik</w:t>
      </w:r>
      <w:proofErr w:type="spellEnd"/>
      <w:r w:rsidRPr="00AF46E0">
        <w:rPr>
          <w:rFonts w:ascii="Times New Roman" w:hAnsi="Times New Roman" w:cs="Times New Roman"/>
          <w:sz w:val="24"/>
          <w:szCs w:val="24"/>
          <w:lang w:val="en-US"/>
        </w:rPr>
        <w:t xml:space="preserve"> M. V., </w:t>
      </w:r>
      <w:proofErr w:type="spellStart"/>
      <w:r w:rsidRPr="00AF46E0">
        <w:rPr>
          <w:rFonts w:ascii="Times New Roman" w:hAnsi="Times New Roman" w:cs="Times New Roman"/>
          <w:sz w:val="24"/>
          <w:szCs w:val="24"/>
          <w:lang w:val="en-US"/>
        </w:rPr>
        <w:t>Gubarev</w:t>
      </w:r>
      <w:proofErr w:type="spellEnd"/>
      <w:r w:rsidRPr="00AF46E0">
        <w:rPr>
          <w:rFonts w:ascii="Times New Roman" w:hAnsi="Times New Roman" w:cs="Times New Roman"/>
          <w:sz w:val="24"/>
          <w:szCs w:val="24"/>
          <w:lang w:val="en-US"/>
        </w:rPr>
        <w:t xml:space="preserve"> R. V. "Triple spiral" as the basis for creating innovative systems // Bulletin of the Plekhanov Russian Academy of Economics. 2018. No. 2 (98). URL: https://cyberleninka.ru/article/n/troynaya-spiral-kak-osnova-sozdaniya-innovatsionnyh-sistem (accessed: 23.03.2021).</w:t>
      </w:r>
    </w:p>
    <w:p w:rsidR="00AF46E0" w:rsidRPr="008A256D" w:rsidRDefault="00AF46E0" w:rsidP="001B3D4E">
      <w:pPr>
        <w:spacing w:after="0" w:line="240" w:lineRule="auto"/>
        <w:ind w:firstLine="709"/>
        <w:jc w:val="both"/>
        <w:rPr>
          <w:rFonts w:ascii="Times New Roman" w:hAnsi="Times New Roman" w:cs="Times New Roman"/>
          <w:sz w:val="24"/>
          <w:szCs w:val="24"/>
          <w:lang w:val="en-US"/>
        </w:rPr>
      </w:pPr>
      <w:r w:rsidRPr="00AF46E0">
        <w:rPr>
          <w:rFonts w:ascii="Times New Roman" w:hAnsi="Times New Roman" w:cs="Times New Roman"/>
          <w:sz w:val="24"/>
          <w:szCs w:val="24"/>
          <w:lang w:val="en-US"/>
        </w:rPr>
        <w:t xml:space="preserve">2. </w:t>
      </w:r>
      <w:proofErr w:type="spellStart"/>
      <w:r w:rsidRPr="00AF46E0">
        <w:rPr>
          <w:rFonts w:ascii="Times New Roman" w:hAnsi="Times New Roman" w:cs="Times New Roman"/>
          <w:sz w:val="24"/>
          <w:szCs w:val="24"/>
          <w:lang w:val="en-US"/>
        </w:rPr>
        <w:t>Yurchenko</w:t>
      </w:r>
      <w:proofErr w:type="spellEnd"/>
      <w:r w:rsidRPr="00AF46E0">
        <w:rPr>
          <w:rFonts w:ascii="Times New Roman" w:hAnsi="Times New Roman" w:cs="Times New Roman"/>
          <w:sz w:val="24"/>
          <w:szCs w:val="24"/>
          <w:lang w:val="en-US"/>
        </w:rPr>
        <w:t xml:space="preserve"> N. Yu., </w:t>
      </w:r>
      <w:proofErr w:type="spellStart"/>
      <w:r w:rsidRPr="00AF46E0">
        <w:rPr>
          <w:rFonts w:ascii="Times New Roman" w:hAnsi="Times New Roman" w:cs="Times New Roman"/>
          <w:sz w:val="24"/>
          <w:szCs w:val="24"/>
          <w:lang w:val="en-US"/>
        </w:rPr>
        <w:t>Vivcharik</w:t>
      </w:r>
      <w:proofErr w:type="spellEnd"/>
      <w:r w:rsidRPr="00AF46E0">
        <w:rPr>
          <w:rFonts w:ascii="Times New Roman" w:hAnsi="Times New Roman" w:cs="Times New Roman"/>
          <w:sz w:val="24"/>
          <w:szCs w:val="24"/>
          <w:lang w:val="en-US"/>
        </w:rPr>
        <w:t xml:space="preserve"> A. A. The use of foreign experience in stimulating innovative activity in the conditions of the Russian economy / / Innovations and Investments. 2020. No. 6. </w:t>
      </w:r>
      <w:r w:rsidR="00881D25" w:rsidRPr="00AF46E0">
        <w:rPr>
          <w:rFonts w:ascii="Times New Roman" w:hAnsi="Times New Roman" w:cs="Times New Roman"/>
          <w:sz w:val="24"/>
          <w:szCs w:val="24"/>
          <w:lang w:val="en-US"/>
        </w:rPr>
        <w:t>Pp</w:t>
      </w:r>
      <w:r w:rsidRPr="00AF46E0">
        <w:rPr>
          <w:rFonts w:ascii="Times New Roman" w:hAnsi="Times New Roman" w:cs="Times New Roman"/>
          <w:sz w:val="24"/>
          <w:szCs w:val="24"/>
          <w:lang w:val="en-US"/>
        </w:rPr>
        <w:t>. 20</w:t>
      </w:r>
      <w:r w:rsidR="00881D25">
        <w:rPr>
          <w:rFonts w:ascii="Times New Roman" w:hAnsi="Times New Roman" w:cs="Times New Roman"/>
          <w:sz w:val="24"/>
          <w:szCs w:val="24"/>
          <w:lang w:val="en-US"/>
        </w:rPr>
        <w:t>–</w:t>
      </w:r>
      <w:r w:rsidRPr="00AF46E0">
        <w:rPr>
          <w:rFonts w:ascii="Times New Roman" w:hAnsi="Times New Roman" w:cs="Times New Roman"/>
          <w:sz w:val="24"/>
          <w:szCs w:val="24"/>
          <w:lang w:val="en-US"/>
        </w:rPr>
        <w:t>24.</w:t>
      </w:r>
    </w:p>
    <w:sectPr w:rsidR="00AF46E0" w:rsidRPr="008A256D" w:rsidSect="00784A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39" w:rsidRDefault="00507939" w:rsidP="00507939">
      <w:pPr>
        <w:spacing w:after="0" w:line="240" w:lineRule="auto"/>
      </w:pPr>
      <w:r>
        <w:separator/>
      </w:r>
    </w:p>
  </w:endnote>
  <w:endnote w:type="continuationSeparator" w:id="0">
    <w:p w:rsidR="00507939" w:rsidRDefault="00507939" w:rsidP="0050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39" w:rsidRDefault="00507939" w:rsidP="00507939">
      <w:pPr>
        <w:spacing w:after="0" w:line="240" w:lineRule="auto"/>
      </w:pPr>
      <w:r>
        <w:separator/>
      </w:r>
    </w:p>
  </w:footnote>
  <w:footnote w:type="continuationSeparator" w:id="0">
    <w:p w:rsidR="00507939" w:rsidRDefault="00507939" w:rsidP="00507939">
      <w:pPr>
        <w:spacing w:after="0" w:line="240" w:lineRule="auto"/>
      </w:pPr>
      <w:r>
        <w:continuationSeparator/>
      </w:r>
    </w:p>
  </w:footnote>
  <w:footnote w:id="1">
    <w:p w:rsidR="00507939" w:rsidRPr="00507939" w:rsidRDefault="00507939">
      <w:pPr>
        <w:pStyle w:val="a6"/>
      </w:pPr>
      <w:r>
        <w:rPr>
          <w:rStyle w:val="a8"/>
        </w:rPr>
        <w:footnoteRef/>
      </w:r>
      <w:r>
        <w:t xml:space="preserve"> </w:t>
      </w:r>
      <w:r w:rsidRPr="00507939">
        <w:rPr>
          <w:rFonts w:ascii="Times New Roman" w:hAnsi="Times New Roman" w:cs="Times New Roman"/>
        </w:rPr>
        <w:t>Импульс для развития юных талантов</w:t>
      </w:r>
      <w:r>
        <w:rPr>
          <w:rFonts w:ascii="Times New Roman" w:hAnsi="Times New Roman" w:cs="Times New Roman"/>
        </w:rPr>
        <w:t xml:space="preserve">: на Вологодчине открыли центр поддержки одаренных детей / Официальный портал Правительства Вологодской области. </w:t>
      </w:r>
      <w:r>
        <w:rPr>
          <w:rFonts w:ascii="Times New Roman" w:hAnsi="Times New Roman" w:cs="Times New Roman"/>
          <w:lang w:val="en-US"/>
        </w:rPr>
        <w:t>URL</w:t>
      </w:r>
      <w:r w:rsidRPr="00507939">
        <w:rPr>
          <w:rFonts w:ascii="Times New Roman" w:hAnsi="Times New Roman" w:cs="Times New Roman"/>
        </w:rPr>
        <w:t>:</w:t>
      </w:r>
      <w:r w:rsidRPr="00507939">
        <w:t xml:space="preserve"> </w:t>
      </w:r>
      <w:hyperlink r:id="rId1" w:history="1">
        <w:r w:rsidRPr="000851EA">
          <w:rPr>
            <w:rStyle w:val="a9"/>
            <w:rFonts w:ascii="Times New Roman" w:hAnsi="Times New Roman" w:cs="Times New Roman"/>
            <w:lang w:val="en-US"/>
          </w:rPr>
          <w:t>http</w:t>
        </w:r>
        <w:r w:rsidRPr="00507939">
          <w:rPr>
            <w:rStyle w:val="a9"/>
            <w:rFonts w:ascii="Times New Roman" w:hAnsi="Times New Roman" w:cs="Times New Roman"/>
          </w:rPr>
          <w:t>://</w:t>
        </w:r>
        <w:r w:rsidRPr="000851EA">
          <w:rPr>
            <w:rStyle w:val="a9"/>
            <w:rFonts w:ascii="Times New Roman" w:hAnsi="Times New Roman" w:cs="Times New Roman"/>
            <w:lang w:val="en-US"/>
          </w:rPr>
          <w:t>www</w:t>
        </w:r>
        <w:r w:rsidRPr="00507939">
          <w:rPr>
            <w:rStyle w:val="a9"/>
            <w:rFonts w:ascii="Times New Roman" w:hAnsi="Times New Roman" w:cs="Times New Roman"/>
          </w:rPr>
          <w:t>.</w:t>
        </w:r>
        <w:r w:rsidRPr="000851EA">
          <w:rPr>
            <w:rStyle w:val="a9"/>
            <w:rFonts w:ascii="Times New Roman" w:hAnsi="Times New Roman" w:cs="Times New Roman"/>
            <w:lang w:val="en-US"/>
          </w:rPr>
          <w:t>vologda</w:t>
        </w:r>
        <w:r w:rsidRPr="00507939">
          <w:rPr>
            <w:rStyle w:val="a9"/>
            <w:rFonts w:ascii="Times New Roman" w:hAnsi="Times New Roman" w:cs="Times New Roman"/>
          </w:rPr>
          <w:t>-</w:t>
        </w:r>
        <w:r w:rsidRPr="000851EA">
          <w:rPr>
            <w:rStyle w:val="a9"/>
            <w:rFonts w:ascii="Times New Roman" w:hAnsi="Times New Roman" w:cs="Times New Roman"/>
            <w:lang w:val="en-US"/>
          </w:rPr>
          <w:t>oblast</w:t>
        </w:r>
        <w:r w:rsidRPr="00507939">
          <w:rPr>
            <w:rStyle w:val="a9"/>
            <w:rFonts w:ascii="Times New Roman" w:hAnsi="Times New Roman" w:cs="Times New Roman"/>
          </w:rPr>
          <w:t>.</w:t>
        </w:r>
        <w:r w:rsidRPr="000851EA">
          <w:rPr>
            <w:rStyle w:val="a9"/>
            <w:rFonts w:ascii="Times New Roman" w:hAnsi="Times New Roman" w:cs="Times New Roman"/>
            <w:lang w:val="en-US"/>
          </w:rPr>
          <w:t>ru</w:t>
        </w:r>
        <w:r w:rsidRPr="00507939">
          <w:rPr>
            <w:rStyle w:val="a9"/>
            <w:rFonts w:ascii="Times New Roman" w:hAnsi="Times New Roman" w:cs="Times New Roman"/>
          </w:rPr>
          <w:t>/</w:t>
        </w:r>
        <w:r w:rsidRPr="000851EA">
          <w:rPr>
            <w:rStyle w:val="a9"/>
            <w:rFonts w:ascii="Times New Roman" w:hAnsi="Times New Roman" w:cs="Times New Roman"/>
            <w:lang w:val="en-US"/>
          </w:rPr>
          <w:t>novosti</w:t>
        </w:r>
        <w:r w:rsidRPr="00507939">
          <w:rPr>
            <w:rStyle w:val="a9"/>
            <w:rFonts w:ascii="Times New Roman" w:hAnsi="Times New Roman" w:cs="Times New Roman"/>
          </w:rPr>
          <w:t>/</w:t>
        </w:r>
        <w:r w:rsidRPr="000851EA">
          <w:rPr>
            <w:rStyle w:val="a9"/>
            <w:rFonts w:ascii="Times New Roman" w:hAnsi="Times New Roman" w:cs="Times New Roman"/>
            <w:lang w:val="en-US"/>
          </w:rPr>
          <w:t>glavnoe</w:t>
        </w:r>
        <w:r w:rsidRPr="00507939">
          <w:rPr>
            <w:rStyle w:val="a9"/>
            <w:rFonts w:ascii="Times New Roman" w:hAnsi="Times New Roman" w:cs="Times New Roman"/>
          </w:rPr>
          <w:t>/</w:t>
        </w:r>
        <w:r w:rsidRPr="000851EA">
          <w:rPr>
            <w:rStyle w:val="a9"/>
            <w:rFonts w:ascii="Times New Roman" w:hAnsi="Times New Roman" w:cs="Times New Roman"/>
            <w:lang w:val="en-US"/>
          </w:rPr>
          <w:t>impuls</w:t>
        </w:r>
        <w:r w:rsidRPr="00507939">
          <w:rPr>
            <w:rStyle w:val="a9"/>
            <w:rFonts w:ascii="Times New Roman" w:hAnsi="Times New Roman" w:cs="Times New Roman"/>
          </w:rPr>
          <w:t>_</w:t>
        </w:r>
        <w:r w:rsidRPr="000851EA">
          <w:rPr>
            <w:rStyle w:val="a9"/>
            <w:rFonts w:ascii="Times New Roman" w:hAnsi="Times New Roman" w:cs="Times New Roman"/>
            <w:lang w:val="en-US"/>
          </w:rPr>
          <w:t>dlya</w:t>
        </w:r>
        <w:r w:rsidRPr="00507939">
          <w:rPr>
            <w:rStyle w:val="a9"/>
            <w:rFonts w:ascii="Times New Roman" w:hAnsi="Times New Roman" w:cs="Times New Roman"/>
          </w:rPr>
          <w:t>_</w:t>
        </w:r>
        <w:r w:rsidRPr="000851EA">
          <w:rPr>
            <w:rStyle w:val="a9"/>
            <w:rFonts w:ascii="Times New Roman" w:hAnsi="Times New Roman" w:cs="Times New Roman"/>
            <w:lang w:val="en-US"/>
          </w:rPr>
          <w:t>razvitiya</w:t>
        </w:r>
        <w:r w:rsidRPr="00507939">
          <w:rPr>
            <w:rStyle w:val="a9"/>
            <w:rFonts w:ascii="Times New Roman" w:hAnsi="Times New Roman" w:cs="Times New Roman"/>
          </w:rPr>
          <w:t>_</w:t>
        </w:r>
        <w:r w:rsidRPr="000851EA">
          <w:rPr>
            <w:rStyle w:val="a9"/>
            <w:rFonts w:ascii="Times New Roman" w:hAnsi="Times New Roman" w:cs="Times New Roman"/>
            <w:lang w:val="en-US"/>
          </w:rPr>
          <w:t>yunykh</w:t>
        </w:r>
        <w:r w:rsidRPr="00507939">
          <w:rPr>
            <w:rStyle w:val="a9"/>
            <w:rFonts w:ascii="Times New Roman" w:hAnsi="Times New Roman" w:cs="Times New Roman"/>
          </w:rPr>
          <w:t>_</w:t>
        </w:r>
        <w:r w:rsidRPr="000851EA">
          <w:rPr>
            <w:rStyle w:val="a9"/>
            <w:rFonts w:ascii="Times New Roman" w:hAnsi="Times New Roman" w:cs="Times New Roman"/>
            <w:lang w:val="en-US"/>
          </w:rPr>
          <w:t>talantov</w:t>
        </w:r>
        <w:r w:rsidRPr="00507939">
          <w:rPr>
            <w:rStyle w:val="a9"/>
            <w:rFonts w:ascii="Times New Roman" w:hAnsi="Times New Roman" w:cs="Times New Roman"/>
          </w:rPr>
          <w:t>_</w:t>
        </w:r>
        <w:r w:rsidRPr="000851EA">
          <w:rPr>
            <w:rStyle w:val="a9"/>
            <w:rFonts w:ascii="Times New Roman" w:hAnsi="Times New Roman" w:cs="Times New Roman"/>
            <w:lang w:val="en-US"/>
          </w:rPr>
          <w:t>na</w:t>
        </w:r>
        <w:r w:rsidRPr="00507939">
          <w:rPr>
            <w:rStyle w:val="a9"/>
            <w:rFonts w:ascii="Times New Roman" w:hAnsi="Times New Roman" w:cs="Times New Roman"/>
          </w:rPr>
          <w:t>_</w:t>
        </w:r>
        <w:r w:rsidRPr="000851EA">
          <w:rPr>
            <w:rStyle w:val="a9"/>
            <w:rFonts w:ascii="Times New Roman" w:hAnsi="Times New Roman" w:cs="Times New Roman"/>
            <w:lang w:val="en-US"/>
          </w:rPr>
          <w:t>vologodchine</w:t>
        </w:r>
        <w:r w:rsidRPr="00507939">
          <w:rPr>
            <w:rStyle w:val="a9"/>
            <w:rFonts w:ascii="Times New Roman" w:hAnsi="Times New Roman" w:cs="Times New Roman"/>
          </w:rPr>
          <w:t>_</w:t>
        </w:r>
        <w:r w:rsidRPr="000851EA">
          <w:rPr>
            <w:rStyle w:val="a9"/>
            <w:rFonts w:ascii="Times New Roman" w:hAnsi="Times New Roman" w:cs="Times New Roman"/>
            <w:lang w:val="en-US"/>
          </w:rPr>
          <w:t>otkryli</w:t>
        </w:r>
        <w:r w:rsidRPr="00507939">
          <w:rPr>
            <w:rStyle w:val="a9"/>
            <w:rFonts w:ascii="Times New Roman" w:hAnsi="Times New Roman" w:cs="Times New Roman"/>
          </w:rPr>
          <w:t>_</w:t>
        </w:r>
        <w:r w:rsidRPr="000851EA">
          <w:rPr>
            <w:rStyle w:val="a9"/>
            <w:rFonts w:ascii="Times New Roman" w:hAnsi="Times New Roman" w:cs="Times New Roman"/>
            <w:lang w:val="en-US"/>
          </w:rPr>
          <w:t>tsentr</w:t>
        </w:r>
        <w:r w:rsidRPr="00507939">
          <w:rPr>
            <w:rStyle w:val="a9"/>
            <w:rFonts w:ascii="Times New Roman" w:hAnsi="Times New Roman" w:cs="Times New Roman"/>
          </w:rPr>
          <w:t>_</w:t>
        </w:r>
        <w:r w:rsidRPr="000851EA">
          <w:rPr>
            <w:rStyle w:val="a9"/>
            <w:rFonts w:ascii="Times New Roman" w:hAnsi="Times New Roman" w:cs="Times New Roman"/>
            <w:lang w:val="en-US"/>
          </w:rPr>
          <w:t>podderzhki</w:t>
        </w:r>
        <w:r w:rsidRPr="00507939">
          <w:rPr>
            <w:rStyle w:val="a9"/>
            <w:rFonts w:ascii="Times New Roman" w:hAnsi="Times New Roman" w:cs="Times New Roman"/>
          </w:rPr>
          <w:t>_</w:t>
        </w:r>
        <w:r w:rsidRPr="000851EA">
          <w:rPr>
            <w:rStyle w:val="a9"/>
            <w:rFonts w:ascii="Times New Roman" w:hAnsi="Times New Roman" w:cs="Times New Roman"/>
            <w:lang w:val="en-US"/>
          </w:rPr>
          <w:t>odarennykh</w:t>
        </w:r>
        <w:r w:rsidRPr="00507939">
          <w:rPr>
            <w:rStyle w:val="a9"/>
            <w:rFonts w:ascii="Times New Roman" w:hAnsi="Times New Roman" w:cs="Times New Roman"/>
          </w:rPr>
          <w:t>_</w:t>
        </w:r>
        <w:r w:rsidRPr="000851EA">
          <w:rPr>
            <w:rStyle w:val="a9"/>
            <w:rFonts w:ascii="Times New Roman" w:hAnsi="Times New Roman" w:cs="Times New Roman"/>
            <w:lang w:val="en-US"/>
          </w:rPr>
          <w:t>detey</w:t>
        </w:r>
        <w:r w:rsidRPr="00507939">
          <w:rPr>
            <w:rStyle w:val="a9"/>
            <w:rFonts w:ascii="Times New Roman" w:hAnsi="Times New Roman" w:cs="Times New Roman"/>
          </w:rPr>
          <w:t>/</w:t>
        </w:r>
      </w:hyperlink>
      <w:r w:rsidRPr="00507939">
        <w:rPr>
          <w:rFonts w:ascii="Times New Roman" w:hAnsi="Times New Roman" w:cs="Times New Roman"/>
        </w:rPr>
        <w:t xml:space="preserve"> (</w:t>
      </w:r>
      <w:r>
        <w:rPr>
          <w:rFonts w:ascii="Times New Roman" w:hAnsi="Times New Roman" w:cs="Times New Roman"/>
        </w:rPr>
        <w:t>дата обращения: 24.03.2021 г.</w:t>
      </w:r>
      <w:r w:rsidRPr="00507939">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D82"/>
    <w:multiLevelType w:val="hybridMultilevel"/>
    <w:tmpl w:val="6D3CFEA8"/>
    <w:lvl w:ilvl="0" w:tplc="03B8201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0E3844"/>
    <w:multiLevelType w:val="hybridMultilevel"/>
    <w:tmpl w:val="E410D9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B54929"/>
    <w:multiLevelType w:val="hybridMultilevel"/>
    <w:tmpl w:val="196825E2"/>
    <w:lvl w:ilvl="0" w:tplc="90EE5F3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4A"/>
    <w:rsid w:val="00043A75"/>
    <w:rsid w:val="00087558"/>
    <w:rsid w:val="000B1F24"/>
    <w:rsid w:val="000D486D"/>
    <w:rsid w:val="000D619A"/>
    <w:rsid w:val="000E1F33"/>
    <w:rsid w:val="000F2988"/>
    <w:rsid w:val="00102E1E"/>
    <w:rsid w:val="00126226"/>
    <w:rsid w:val="001273C0"/>
    <w:rsid w:val="00166622"/>
    <w:rsid w:val="001B3D4E"/>
    <w:rsid w:val="002052CE"/>
    <w:rsid w:val="002255FD"/>
    <w:rsid w:val="00241923"/>
    <w:rsid w:val="00247693"/>
    <w:rsid w:val="002D08B3"/>
    <w:rsid w:val="002E0258"/>
    <w:rsid w:val="002E5C57"/>
    <w:rsid w:val="00312229"/>
    <w:rsid w:val="00330E4F"/>
    <w:rsid w:val="00337376"/>
    <w:rsid w:val="00347F45"/>
    <w:rsid w:val="003E50C9"/>
    <w:rsid w:val="00507939"/>
    <w:rsid w:val="005126CB"/>
    <w:rsid w:val="00572797"/>
    <w:rsid w:val="00573777"/>
    <w:rsid w:val="00593D86"/>
    <w:rsid w:val="005F778D"/>
    <w:rsid w:val="006822D0"/>
    <w:rsid w:val="006C2935"/>
    <w:rsid w:val="00732D6F"/>
    <w:rsid w:val="00784A16"/>
    <w:rsid w:val="00796287"/>
    <w:rsid w:val="007A1A1A"/>
    <w:rsid w:val="007E75FB"/>
    <w:rsid w:val="007F4A87"/>
    <w:rsid w:val="00881D25"/>
    <w:rsid w:val="008A256D"/>
    <w:rsid w:val="008B3095"/>
    <w:rsid w:val="00923992"/>
    <w:rsid w:val="00953B2D"/>
    <w:rsid w:val="009B6A23"/>
    <w:rsid w:val="00A04E94"/>
    <w:rsid w:val="00AF46E0"/>
    <w:rsid w:val="00B0777C"/>
    <w:rsid w:val="00B11AD9"/>
    <w:rsid w:val="00B51FBF"/>
    <w:rsid w:val="00B52BC9"/>
    <w:rsid w:val="00C369AA"/>
    <w:rsid w:val="00C802E0"/>
    <w:rsid w:val="00CC69B6"/>
    <w:rsid w:val="00D22B4A"/>
    <w:rsid w:val="00DE5D22"/>
    <w:rsid w:val="00E032CD"/>
    <w:rsid w:val="00EB6AFB"/>
    <w:rsid w:val="00FA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A23"/>
    <w:rPr>
      <w:rFonts w:ascii="Tahoma" w:hAnsi="Tahoma" w:cs="Tahoma"/>
      <w:sz w:val="16"/>
      <w:szCs w:val="16"/>
    </w:rPr>
  </w:style>
  <w:style w:type="paragraph" w:styleId="a5">
    <w:name w:val="List Paragraph"/>
    <w:basedOn w:val="a"/>
    <w:uiPriority w:val="34"/>
    <w:qFormat/>
    <w:rsid w:val="00EB6AFB"/>
    <w:pPr>
      <w:ind w:left="720"/>
      <w:contextualSpacing/>
    </w:pPr>
  </w:style>
  <w:style w:type="paragraph" w:styleId="a6">
    <w:name w:val="footnote text"/>
    <w:basedOn w:val="a"/>
    <w:link w:val="a7"/>
    <w:uiPriority w:val="99"/>
    <w:semiHidden/>
    <w:unhideWhenUsed/>
    <w:rsid w:val="00507939"/>
    <w:pPr>
      <w:spacing w:after="0" w:line="240" w:lineRule="auto"/>
    </w:pPr>
    <w:rPr>
      <w:sz w:val="20"/>
      <w:szCs w:val="20"/>
    </w:rPr>
  </w:style>
  <w:style w:type="character" w:customStyle="1" w:styleId="a7">
    <w:name w:val="Текст сноски Знак"/>
    <w:basedOn w:val="a0"/>
    <w:link w:val="a6"/>
    <w:uiPriority w:val="99"/>
    <w:semiHidden/>
    <w:rsid w:val="00507939"/>
    <w:rPr>
      <w:sz w:val="20"/>
      <w:szCs w:val="20"/>
    </w:rPr>
  </w:style>
  <w:style w:type="character" w:styleId="a8">
    <w:name w:val="footnote reference"/>
    <w:basedOn w:val="a0"/>
    <w:uiPriority w:val="99"/>
    <w:semiHidden/>
    <w:unhideWhenUsed/>
    <w:rsid w:val="00507939"/>
    <w:rPr>
      <w:vertAlign w:val="superscript"/>
    </w:rPr>
  </w:style>
  <w:style w:type="character" w:styleId="a9">
    <w:name w:val="Hyperlink"/>
    <w:basedOn w:val="a0"/>
    <w:uiPriority w:val="99"/>
    <w:unhideWhenUsed/>
    <w:rsid w:val="005079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A23"/>
    <w:rPr>
      <w:rFonts w:ascii="Tahoma" w:hAnsi="Tahoma" w:cs="Tahoma"/>
      <w:sz w:val="16"/>
      <w:szCs w:val="16"/>
    </w:rPr>
  </w:style>
  <w:style w:type="paragraph" w:styleId="a5">
    <w:name w:val="List Paragraph"/>
    <w:basedOn w:val="a"/>
    <w:uiPriority w:val="34"/>
    <w:qFormat/>
    <w:rsid w:val="00EB6AFB"/>
    <w:pPr>
      <w:ind w:left="720"/>
      <w:contextualSpacing/>
    </w:pPr>
  </w:style>
  <w:style w:type="paragraph" w:styleId="a6">
    <w:name w:val="footnote text"/>
    <w:basedOn w:val="a"/>
    <w:link w:val="a7"/>
    <w:uiPriority w:val="99"/>
    <w:semiHidden/>
    <w:unhideWhenUsed/>
    <w:rsid w:val="00507939"/>
    <w:pPr>
      <w:spacing w:after="0" w:line="240" w:lineRule="auto"/>
    </w:pPr>
    <w:rPr>
      <w:sz w:val="20"/>
      <w:szCs w:val="20"/>
    </w:rPr>
  </w:style>
  <w:style w:type="character" w:customStyle="1" w:styleId="a7">
    <w:name w:val="Текст сноски Знак"/>
    <w:basedOn w:val="a0"/>
    <w:link w:val="a6"/>
    <w:uiPriority w:val="99"/>
    <w:semiHidden/>
    <w:rsid w:val="00507939"/>
    <w:rPr>
      <w:sz w:val="20"/>
      <w:szCs w:val="20"/>
    </w:rPr>
  </w:style>
  <w:style w:type="character" w:styleId="a8">
    <w:name w:val="footnote reference"/>
    <w:basedOn w:val="a0"/>
    <w:uiPriority w:val="99"/>
    <w:semiHidden/>
    <w:unhideWhenUsed/>
    <w:rsid w:val="00507939"/>
    <w:rPr>
      <w:vertAlign w:val="superscript"/>
    </w:rPr>
  </w:style>
  <w:style w:type="character" w:styleId="a9">
    <w:name w:val="Hyperlink"/>
    <w:basedOn w:val="a0"/>
    <w:uiPriority w:val="99"/>
    <w:unhideWhenUsed/>
    <w:rsid w:val="00507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ir11@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r11@bk.ru" TargetMode="Externa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ologda-oblast.ru/novosti/glavnoe/impuls_dlya_razvitiya_yunykh_talantov_na_vologodchine_otkryli_tsentr_podderzhki_odarennykh_dete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Ряд 1</c:v>
                </c:pt>
              </c:strCache>
            </c:strRef>
          </c:tx>
          <c:marker>
            <c:symbol val="none"/>
          </c:marker>
          <c:dLbls>
            <c:showLegendKey val="0"/>
            <c:showVal val="1"/>
            <c:showCatName val="0"/>
            <c:showSerName val="0"/>
            <c:showPercent val="0"/>
            <c:showBubbleSize val="0"/>
            <c:showLeaderLines val="0"/>
          </c:dLbls>
          <c:cat>
            <c:strRef>
              <c:f>Лист1!$A$2:$A$10</c:f>
              <c:strCache>
                <c:ptCount val="9"/>
                <c:pt idx="0">
                  <c:v>2011 г.</c:v>
                </c:pt>
                <c:pt idx="1">
                  <c:v>2012 г.</c:v>
                </c:pt>
                <c:pt idx="2">
                  <c:v>2013 г.</c:v>
                </c:pt>
                <c:pt idx="3">
                  <c:v>2014 г.</c:v>
                </c:pt>
                <c:pt idx="4">
                  <c:v>2015 г.</c:v>
                </c:pt>
                <c:pt idx="5">
                  <c:v>2016 г.</c:v>
                </c:pt>
                <c:pt idx="6">
                  <c:v>2017 г.</c:v>
                </c:pt>
                <c:pt idx="7">
                  <c:v>2018 г.</c:v>
                </c:pt>
                <c:pt idx="8">
                  <c:v>2019 г.</c:v>
                </c:pt>
              </c:strCache>
            </c:strRef>
          </c:cat>
          <c:val>
            <c:numRef>
              <c:f>Лист1!$B$2:$B$10</c:f>
              <c:numCache>
                <c:formatCode>General</c:formatCode>
                <c:ptCount val="9"/>
                <c:pt idx="0">
                  <c:v>19.600000000000001</c:v>
                </c:pt>
                <c:pt idx="1">
                  <c:v>20.2</c:v>
                </c:pt>
                <c:pt idx="2">
                  <c:v>21</c:v>
                </c:pt>
                <c:pt idx="3">
                  <c:v>21.6</c:v>
                </c:pt>
                <c:pt idx="4">
                  <c:v>21.1</c:v>
                </c:pt>
                <c:pt idx="5">
                  <c:v>21.3</c:v>
                </c:pt>
                <c:pt idx="6">
                  <c:v>21.8</c:v>
                </c:pt>
                <c:pt idx="7">
                  <c:v>21.3</c:v>
                </c:pt>
                <c:pt idx="8">
                  <c:v>21.8</c:v>
                </c:pt>
              </c:numCache>
            </c:numRef>
          </c:val>
          <c:smooth val="0"/>
        </c:ser>
        <c:dLbls>
          <c:showLegendKey val="0"/>
          <c:showVal val="0"/>
          <c:showCatName val="0"/>
          <c:showSerName val="0"/>
          <c:showPercent val="0"/>
          <c:showBubbleSize val="0"/>
        </c:dLbls>
        <c:marker val="1"/>
        <c:smooth val="0"/>
        <c:axId val="155551616"/>
        <c:axId val="155553152"/>
      </c:lineChart>
      <c:catAx>
        <c:axId val="155551616"/>
        <c:scaling>
          <c:orientation val="minMax"/>
        </c:scaling>
        <c:delete val="0"/>
        <c:axPos val="b"/>
        <c:majorTickMark val="out"/>
        <c:minorTickMark val="none"/>
        <c:tickLblPos val="nextTo"/>
        <c:crossAx val="155553152"/>
        <c:crosses val="autoZero"/>
        <c:auto val="1"/>
        <c:lblAlgn val="ctr"/>
        <c:lblOffset val="100"/>
        <c:noMultiLvlLbl val="0"/>
      </c:catAx>
      <c:valAx>
        <c:axId val="155553152"/>
        <c:scaling>
          <c:orientation val="minMax"/>
          <c:min val="19.5"/>
        </c:scaling>
        <c:delete val="0"/>
        <c:axPos val="l"/>
        <c:majorGridlines/>
        <c:numFmt formatCode="General" sourceLinked="1"/>
        <c:majorTickMark val="out"/>
        <c:minorTickMark val="none"/>
        <c:tickLblPos val="nextTo"/>
        <c:crossAx val="155551616"/>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Китай</c:v>
                </c:pt>
              </c:strCache>
            </c:strRef>
          </c:tx>
          <c:spPr>
            <a:ln>
              <a:prstDash val="sysDot"/>
            </a:ln>
          </c:spPr>
          <c:marker>
            <c:symbol val="none"/>
          </c:marker>
          <c:cat>
            <c:strRef>
              <c:f>Лист1!$A$2:$A$10</c:f>
              <c:strCache>
                <c:ptCount val="9"/>
                <c:pt idx="0">
                  <c:v>2011 г.</c:v>
                </c:pt>
                <c:pt idx="1">
                  <c:v>2012 г.</c:v>
                </c:pt>
                <c:pt idx="2">
                  <c:v>2013 г.</c:v>
                </c:pt>
                <c:pt idx="3">
                  <c:v>2014 г.</c:v>
                </c:pt>
                <c:pt idx="4">
                  <c:v>2015 г.</c:v>
                </c:pt>
                <c:pt idx="5">
                  <c:v>2016 г.</c:v>
                </c:pt>
                <c:pt idx="6">
                  <c:v>2017 г.</c:v>
                </c:pt>
                <c:pt idx="7">
                  <c:v>2018 г.</c:v>
                </c:pt>
                <c:pt idx="8">
                  <c:v>2019 г.</c:v>
                </c:pt>
              </c:strCache>
            </c:strRef>
          </c:cat>
          <c:val>
            <c:numRef>
              <c:f>Лист1!$B$2:$B$10</c:f>
              <c:numCache>
                <c:formatCode>0.0</c:formatCode>
                <c:ptCount val="9"/>
                <c:pt idx="0">
                  <c:v>30.485462927062979</c:v>
                </c:pt>
                <c:pt idx="1">
                  <c:v>30.850595346606859</c:v>
                </c:pt>
                <c:pt idx="2">
                  <c:v>31.579128064765978</c:v>
                </c:pt>
                <c:pt idx="3">
                  <c:v>29.696451028365466</c:v>
                </c:pt>
                <c:pt idx="4">
                  <c:v>30.423108044590258</c:v>
                </c:pt>
                <c:pt idx="5">
                  <c:v>30.244219815759038</c:v>
                </c:pt>
                <c:pt idx="6">
                  <c:v>30.908694135620951</c:v>
                </c:pt>
                <c:pt idx="7">
                  <c:v>31.469580926089723</c:v>
                </c:pt>
                <c:pt idx="8">
                  <c:v>30.785012088282826</c:v>
                </c:pt>
              </c:numCache>
            </c:numRef>
          </c:val>
          <c:smooth val="0"/>
        </c:ser>
        <c:ser>
          <c:idx val="1"/>
          <c:order val="1"/>
          <c:tx>
            <c:strRef>
              <c:f>Лист1!$C$1</c:f>
              <c:strCache>
                <c:ptCount val="1"/>
                <c:pt idx="0">
                  <c:v>Германия</c:v>
                </c:pt>
              </c:strCache>
            </c:strRef>
          </c:tx>
          <c:spPr>
            <a:ln cmpd="dbl"/>
          </c:spPr>
          <c:marker>
            <c:symbol val="none"/>
          </c:marker>
          <c:cat>
            <c:strRef>
              <c:f>Лист1!$A$2:$A$10</c:f>
              <c:strCache>
                <c:ptCount val="9"/>
                <c:pt idx="0">
                  <c:v>2011 г.</c:v>
                </c:pt>
                <c:pt idx="1">
                  <c:v>2012 г.</c:v>
                </c:pt>
                <c:pt idx="2">
                  <c:v>2013 г.</c:v>
                </c:pt>
                <c:pt idx="3">
                  <c:v>2014 г.</c:v>
                </c:pt>
                <c:pt idx="4">
                  <c:v>2015 г.</c:v>
                </c:pt>
                <c:pt idx="5">
                  <c:v>2016 г.</c:v>
                </c:pt>
                <c:pt idx="6">
                  <c:v>2017 г.</c:v>
                </c:pt>
                <c:pt idx="7">
                  <c:v>2018 г.</c:v>
                </c:pt>
                <c:pt idx="8">
                  <c:v>2019 г.</c:v>
                </c:pt>
              </c:strCache>
            </c:strRef>
          </c:cat>
          <c:val>
            <c:numRef>
              <c:f>Лист1!$C$2:$C$10</c:f>
              <c:numCache>
                <c:formatCode>0.0</c:formatCode>
                <c:ptCount val="9"/>
                <c:pt idx="0">
                  <c:v>16.415135947732569</c:v>
                </c:pt>
                <c:pt idx="1">
                  <c:v>17.332490784791524</c:v>
                </c:pt>
                <c:pt idx="2">
                  <c:v>17.366162676981187</c:v>
                </c:pt>
                <c:pt idx="3">
                  <c:v>17.260476923257038</c:v>
                </c:pt>
                <c:pt idx="4">
                  <c:v>17.854059208045626</c:v>
                </c:pt>
                <c:pt idx="5">
                  <c:v>18.172528692112127</c:v>
                </c:pt>
                <c:pt idx="6">
                  <c:v>15.848958462655011</c:v>
                </c:pt>
                <c:pt idx="7">
                  <c:v>15.771462050209175</c:v>
                </c:pt>
                <c:pt idx="8">
                  <c:v>16.426327094147631</c:v>
                </c:pt>
              </c:numCache>
            </c:numRef>
          </c:val>
          <c:smooth val="0"/>
        </c:ser>
        <c:ser>
          <c:idx val="2"/>
          <c:order val="2"/>
          <c:tx>
            <c:strRef>
              <c:f>Лист1!$D$1</c:f>
              <c:strCache>
                <c:ptCount val="1"/>
                <c:pt idx="0">
                  <c:v>Франция</c:v>
                </c:pt>
              </c:strCache>
            </c:strRef>
          </c:tx>
          <c:spPr>
            <a:ln>
              <a:prstDash val="sysDash"/>
            </a:ln>
          </c:spPr>
          <c:marker>
            <c:symbol val="none"/>
          </c:marker>
          <c:cat>
            <c:strRef>
              <c:f>Лист1!$A$2:$A$10</c:f>
              <c:strCache>
                <c:ptCount val="9"/>
                <c:pt idx="0">
                  <c:v>2011 г.</c:v>
                </c:pt>
                <c:pt idx="1">
                  <c:v>2012 г.</c:v>
                </c:pt>
                <c:pt idx="2">
                  <c:v>2013 г.</c:v>
                </c:pt>
                <c:pt idx="3">
                  <c:v>2014 г.</c:v>
                </c:pt>
                <c:pt idx="4">
                  <c:v>2015 г.</c:v>
                </c:pt>
                <c:pt idx="5">
                  <c:v>2016 г.</c:v>
                </c:pt>
                <c:pt idx="6">
                  <c:v>2017 г.</c:v>
                </c:pt>
                <c:pt idx="7">
                  <c:v>2018 г.</c:v>
                </c:pt>
                <c:pt idx="8">
                  <c:v>2019 г.</c:v>
                </c:pt>
              </c:strCache>
            </c:strRef>
          </c:cat>
          <c:val>
            <c:numRef>
              <c:f>Лист1!$D$2:$D$10</c:f>
              <c:numCache>
                <c:formatCode>0.0</c:formatCode>
                <c:ptCount val="9"/>
                <c:pt idx="0">
                  <c:v>25.322149261008569</c:v>
                </c:pt>
                <c:pt idx="1">
                  <c:v>26.869894428991142</c:v>
                </c:pt>
                <c:pt idx="2">
                  <c:v>27.294715701757333</c:v>
                </c:pt>
                <c:pt idx="3">
                  <c:v>27.620241310889366</c:v>
                </c:pt>
                <c:pt idx="4">
                  <c:v>28.33858301957423</c:v>
                </c:pt>
                <c:pt idx="5">
                  <c:v>28.056374292977349</c:v>
                </c:pt>
                <c:pt idx="6">
                  <c:v>26.13545185080854</c:v>
                </c:pt>
                <c:pt idx="7">
                  <c:v>25.969833024471257</c:v>
                </c:pt>
                <c:pt idx="8">
                  <c:v>26.992411844924781</c:v>
                </c:pt>
              </c:numCache>
            </c:numRef>
          </c:val>
          <c:smooth val="0"/>
        </c:ser>
        <c:ser>
          <c:idx val="3"/>
          <c:order val="3"/>
          <c:tx>
            <c:strRef>
              <c:f>Лист1!$E$1</c:f>
              <c:strCache>
                <c:ptCount val="1"/>
                <c:pt idx="0">
                  <c:v>Япония</c:v>
                </c:pt>
              </c:strCache>
            </c:strRef>
          </c:tx>
          <c:spPr>
            <a:ln>
              <a:prstDash val="lgDashDotDot"/>
            </a:ln>
          </c:spPr>
          <c:marker>
            <c:symbol val="none"/>
          </c:marker>
          <c:cat>
            <c:strRef>
              <c:f>Лист1!$A$2:$A$10</c:f>
              <c:strCache>
                <c:ptCount val="9"/>
                <c:pt idx="0">
                  <c:v>2011 г.</c:v>
                </c:pt>
                <c:pt idx="1">
                  <c:v>2012 г.</c:v>
                </c:pt>
                <c:pt idx="2">
                  <c:v>2013 г.</c:v>
                </c:pt>
                <c:pt idx="3">
                  <c:v>2014 г.</c:v>
                </c:pt>
                <c:pt idx="4">
                  <c:v>2015 г.</c:v>
                </c:pt>
                <c:pt idx="5">
                  <c:v>2016 г.</c:v>
                </c:pt>
                <c:pt idx="6">
                  <c:v>2017 г.</c:v>
                </c:pt>
                <c:pt idx="7">
                  <c:v>2018 г.</c:v>
                </c:pt>
                <c:pt idx="8">
                  <c:v>2019 г.</c:v>
                </c:pt>
              </c:strCache>
            </c:strRef>
          </c:cat>
          <c:val>
            <c:numRef>
              <c:f>Лист1!$E$2:$E$10</c:f>
              <c:numCache>
                <c:formatCode>0.0</c:formatCode>
                <c:ptCount val="9"/>
                <c:pt idx="0">
                  <c:v>18.408837736510552</c:v>
                </c:pt>
                <c:pt idx="1">
                  <c:v>18.2798967283968</c:v>
                </c:pt>
                <c:pt idx="2">
                  <c:v>17.808680691132569</c:v>
                </c:pt>
                <c:pt idx="3">
                  <c:v>17.790963645666483</c:v>
                </c:pt>
                <c:pt idx="4">
                  <c:v>18.071684472489984</c:v>
                </c:pt>
                <c:pt idx="5">
                  <c:v>17.625851192104065</c:v>
                </c:pt>
                <c:pt idx="6">
                  <c:v>17.604213902845018</c:v>
                </c:pt>
                <c:pt idx="7">
                  <c:v>17.311401548473981</c:v>
                </c:pt>
                <c:pt idx="8">
                  <c:v>17.022891755880753</c:v>
                </c:pt>
              </c:numCache>
            </c:numRef>
          </c:val>
          <c:smooth val="0"/>
        </c:ser>
        <c:ser>
          <c:idx val="4"/>
          <c:order val="4"/>
          <c:tx>
            <c:strRef>
              <c:f>Лист1!$F$1</c:f>
              <c:strCache>
                <c:ptCount val="1"/>
                <c:pt idx="0">
                  <c:v>Россия</c:v>
                </c:pt>
              </c:strCache>
            </c:strRef>
          </c:tx>
          <c:marker>
            <c:symbol val="none"/>
          </c:marker>
          <c:cat>
            <c:strRef>
              <c:f>Лист1!$A$2:$A$10</c:f>
              <c:strCache>
                <c:ptCount val="9"/>
                <c:pt idx="0">
                  <c:v>2011 г.</c:v>
                </c:pt>
                <c:pt idx="1">
                  <c:v>2012 г.</c:v>
                </c:pt>
                <c:pt idx="2">
                  <c:v>2013 г.</c:v>
                </c:pt>
                <c:pt idx="3">
                  <c:v>2014 г.</c:v>
                </c:pt>
                <c:pt idx="4">
                  <c:v>2015 г.</c:v>
                </c:pt>
                <c:pt idx="5">
                  <c:v>2016 г.</c:v>
                </c:pt>
                <c:pt idx="6">
                  <c:v>2017 г.</c:v>
                </c:pt>
                <c:pt idx="7">
                  <c:v>2018 г.</c:v>
                </c:pt>
                <c:pt idx="8">
                  <c:v>2019 г.</c:v>
                </c:pt>
              </c:strCache>
            </c:strRef>
          </c:cat>
          <c:val>
            <c:numRef>
              <c:f>Лист1!$F$2:$F$10</c:f>
              <c:numCache>
                <c:formatCode>0.0</c:formatCode>
                <c:ptCount val="9"/>
                <c:pt idx="0">
                  <c:v>8.5056577960218878</c:v>
                </c:pt>
                <c:pt idx="1">
                  <c:v>9.159842813244655</c:v>
                </c:pt>
                <c:pt idx="2">
                  <c:v>10.732814744274984</c:v>
                </c:pt>
                <c:pt idx="3">
                  <c:v>12.18386152285767</c:v>
                </c:pt>
                <c:pt idx="4">
                  <c:v>16.081989794657684</c:v>
                </c:pt>
                <c:pt idx="5">
                  <c:v>15.863821992405125</c:v>
                </c:pt>
                <c:pt idx="6">
                  <c:v>12.441068262106702</c:v>
                </c:pt>
                <c:pt idx="7">
                  <c:v>11.439704665029446</c:v>
                </c:pt>
                <c:pt idx="8">
                  <c:v>13.002764938397284</c:v>
                </c:pt>
              </c:numCache>
            </c:numRef>
          </c:val>
          <c:smooth val="0"/>
        </c:ser>
        <c:ser>
          <c:idx val="5"/>
          <c:order val="5"/>
          <c:tx>
            <c:strRef>
              <c:f>Лист1!$G$1</c:f>
              <c:strCache>
                <c:ptCount val="1"/>
                <c:pt idx="0">
                  <c:v>США</c:v>
                </c:pt>
              </c:strCache>
            </c:strRef>
          </c:tx>
          <c:spPr>
            <a:ln>
              <a:noFill/>
              <a:prstDash val="dash"/>
            </a:ln>
          </c:spPr>
          <c:marker>
            <c:symbol val="none"/>
          </c:marker>
          <c:cat>
            <c:strRef>
              <c:f>Лист1!$A$2:$A$10</c:f>
              <c:strCache>
                <c:ptCount val="9"/>
                <c:pt idx="0">
                  <c:v>2011 г.</c:v>
                </c:pt>
                <c:pt idx="1">
                  <c:v>2012 г.</c:v>
                </c:pt>
                <c:pt idx="2">
                  <c:v>2013 г.</c:v>
                </c:pt>
                <c:pt idx="3">
                  <c:v>2014 г.</c:v>
                </c:pt>
                <c:pt idx="4">
                  <c:v>2015 г.</c:v>
                </c:pt>
                <c:pt idx="5">
                  <c:v>2016 г.</c:v>
                </c:pt>
                <c:pt idx="6">
                  <c:v>2017 г.</c:v>
                </c:pt>
                <c:pt idx="7">
                  <c:v>2018 г.</c:v>
                </c:pt>
                <c:pt idx="8">
                  <c:v>2019 г.</c:v>
                </c:pt>
              </c:strCache>
            </c:strRef>
          </c:cat>
          <c:val>
            <c:numRef>
              <c:f>Лист1!$G$2:$G$10</c:f>
              <c:numCache>
                <c:formatCode>0.0</c:formatCode>
                <c:ptCount val="9"/>
                <c:pt idx="0">
                  <c:v>20.984579475779654</c:v>
                </c:pt>
                <c:pt idx="1">
                  <c:v>20.559404322611176</c:v>
                </c:pt>
                <c:pt idx="2">
                  <c:v>20.526846085317047</c:v>
                </c:pt>
                <c:pt idx="3">
                  <c:v>20.860797352806767</c:v>
                </c:pt>
                <c:pt idx="4">
                  <c:v>21.759867124823074</c:v>
                </c:pt>
                <c:pt idx="5">
                  <c:v>22.72374713739843</c:v>
                </c:pt>
                <c:pt idx="6">
                  <c:v>19.519901696038314</c:v>
                </c:pt>
                <c:pt idx="7">
                  <c:v>18.741740539846859</c:v>
                </c:pt>
                <c:pt idx="8">
                  <c:v>18.933547986363521</c:v>
                </c:pt>
              </c:numCache>
            </c:numRef>
          </c:val>
          <c:smooth val="0"/>
        </c:ser>
        <c:ser>
          <c:idx val="6"/>
          <c:order val="6"/>
          <c:tx>
            <c:strRef>
              <c:f>Лист1!$H$1</c:f>
              <c:strCache>
                <c:ptCount val="1"/>
                <c:pt idx="0">
                  <c:v>Мир</c:v>
                </c:pt>
              </c:strCache>
            </c:strRef>
          </c:tx>
          <c:spPr>
            <a:ln>
              <a:prstDash val="lgDash"/>
            </a:ln>
          </c:spPr>
          <c:marker>
            <c:symbol val="none"/>
          </c:marker>
          <c:cat>
            <c:strRef>
              <c:f>Лист1!$A$2:$A$10</c:f>
              <c:strCache>
                <c:ptCount val="9"/>
                <c:pt idx="0">
                  <c:v>2011 г.</c:v>
                </c:pt>
                <c:pt idx="1">
                  <c:v>2012 г.</c:v>
                </c:pt>
                <c:pt idx="2">
                  <c:v>2013 г.</c:v>
                </c:pt>
                <c:pt idx="3">
                  <c:v>2014 г.</c:v>
                </c:pt>
                <c:pt idx="4">
                  <c:v>2015 г.</c:v>
                </c:pt>
                <c:pt idx="5">
                  <c:v>2016 г.</c:v>
                </c:pt>
                <c:pt idx="6">
                  <c:v>2017 г.</c:v>
                </c:pt>
                <c:pt idx="7">
                  <c:v>2018 г.</c:v>
                </c:pt>
                <c:pt idx="8">
                  <c:v>2019 г.</c:v>
                </c:pt>
              </c:strCache>
            </c:strRef>
          </c:cat>
          <c:val>
            <c:numRef>
              <c:f>Лист1!$H$2:$H$10</c:f>
              <c:numCache>
                <c:formatCode>0.0</c:formatCode>
                <c:ptCount val="9"/>
                <c:pt idx="0">
                  <c:v>18.740970051359778</c:v>
                </c:pt>
                <c:pt idx="1">
                  <c:v>18.946265188452514</c:v>
                </c:pt>
                <c:pt idx="2">
                  <c:v>19.046419054918104</c:v>
                </c:pt>
                <c:pt idx="3">
                  <c:v>19.056772949922923</c:v>
                </c:pt>
                <c:pt idx="4">
                  <c:v>20.040111658905815</c:v>
                </c:pt>
                <c:pt idx="5">
                  <c:v>20.11567892273851</c:v>
                </c:pt>
                <c:pt idx="6">
                  <c:v>20.566588479169646</c:v>
                </c:pt>
                <c:pt idx="7">
                  <c:v>20.495750666135532</c:v>
                </c:pt>
                <c:pt idx="8">
                  <c:v>21.228853868283</c:v>
                </c:pt>
              </c:numCache>
            </c:numRef>
          </c:val>
          <c:smooth val="0"/>
        </c:ser>
        <c:dLbls>
          <c:showLegendKey val="0"/>
          <c:showVal val="0"/>
          <c:showCatName val="0"/>
          <c:showSerName val="0"/>
          <c:showPercent val="0"/>
          <c:showBubbleSize val="0"/>
        </c:dLbls>
        <c:marker val="1"/>
        <c:smooth val="0"/>
        <c:axId val="155676672"/>
        <c:axId val="155678208"/>
      </c:lineChart>
      <c:catAx>
        <c:axId val="155676672"/>
        <c:scaling>
          <c:orientation val="minMax"/>
        </c:scaling>
        <c:delete val="0"/>
        <c:axPos val="b"/>
        <c:majorTickMark val="out"/>
        <c:minorTickMark val="none"/>
        <c:tickLblPos val="nextTo"/>
        <c:crossAx val="155678208"/>
        <c:crosses val="autoZero"/>
        <c:auto val="1"/>
        <c:lblAlgn val="ctr"/>
        <c:lblOffset val="100"/>
        <c:noMultiLvlLbl val="0"/>
      </c:catAx>
      <c:valAx>
        <c:axId val="155678208"/>
        <c:scaling>
          <c:orientation val="minMax"/>
          <c:min val="5"/>
        </c:scaling>
        <c:delete val="0"/>
        <c:axPos val="l"/>
        <c:majorGridlines>
          <c:spPr>
            <a:ln>
              <a:noFill/>
            </a:ln>
          </c:spPr>
        </c:majorGridlines>
        <c:numFmt formatCode="0.0" sourceLinked="1"/>
        <c:majorTickMark val="out"/>
        <c:minorTickMark val="none"/>
        <c:tickLblPos val="nextTo"/>
        <c:crossAx val="155676672"/>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C0C9-E44B-45B9-994B-DD8D674A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 Широкова</dc:creator>
  <cp:keywords/>
  <dc:description/>
  <cp:lastModifiedBy>Елена Ю. Широкова</cp:lastModifiedBy>
  <cp:revision>53</cp:revision>
  <dcterms:created xsi:type="dcterms:W3CDTF">2021-03-23T11:46:00Z</dcterms:created>
  <dcterms:modified xsi:type="dcterms:W3CDTF">2021-03-24T07:06:00Z</dcterms:modified>
</cp:coreProperties>
</file>