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6A1" w:rsidRDefault="003666A1" w:rsidP="003666A1">
      <w:pPr>
        <w:pStyle w:val="a3"/>
        <w:ind w:left="0" w:firstLine="709"/>
        <w:jc w:val="left"/>
        <w:rPr>
          <w:sz w:val="24"/>
          <w:szCs w:val="24"/>
        </w:rPr>
      </w:pPr>
      <w:r>
        <w:rPr>
          <w:sz w:val="24"/>
          <w:szCs w:val="24"/>
        </w:rPr>
        <w:t>Индекс УДК</w:t>
      </w:r>
      <w:r w:rsidRPr="003666A1">
        <w:rPr>
          <w:sz w:val="24"/>
          <w:szCs w:val="24"/>
        </w:rPr>
        <w:t>/</w:t>
      </w:r>
      <w:r>
        <w:rPr>
          <w:sz w:val="24"/>
          <w:szCs w:val="24"/>
        </w:rPr>
        <w:t>ББК</w:t>
      </w:r>
    </w:p>
    <w:p w:rsidR="003666A1" w:rsidRPr="003666A1" w:rsidRDefault="003666A1" w:rsidP="003666A1">
      <w:pPr>
        <w:pStyle w:val="a3"/>
        <w:ind w:left="0"/>
        <w:jc w:val="right"/>
        <w:rPr>
          <w:b/>
          <w:sz w:val="24"/>
          <w:szCs w:val="24"/>
        </w:rPr>
      </w:pPr>
      <w:r>
        <w:rPr>
          <w:b/>
          <w:sz w:val="24"/>
          <w:szCs w:val="24"/>
        </w:rPr>
        <w:t xml:space="preserve">Берегой В.Р., </w:t>
      </w:r>
      <w:proofErr w:type="spellStart"/>
      <w:r>
        <w:rPr>
          <w:b/>
          <w:sz w:val="24"/>
          <w:szCs w:val="24"/>
        </w:rPr>
        <w:t>Варакова</w:t>
      </w:r>
      <w:proofErr w:type="spellEnd"/>
      <w:r>
        <w:rPr>
          <w:b/>
          <w:sz w:val="24"/>
          <w:szCs w:val="24"/>
        </w:rPr>
        <w:t xml:space="preserve"> А.В., Катышев И.А.</w:t>
      </w:r>
    </w:p>
    <w:p w:rsidR="008809ED" w:rsidRDefault="00DB6E65" w:rsidP="003666A1">
      <w:pPr>
        <w:pStyle w:val="a3"/>
        <w:ind w:left="0" w:firstLine="709"/>
        <w:jc w:val="center"/>
        <w:rPr>
          <w:b/>
          <w:sz w:val="24"/>
          <w:szCs w:val="24"/>
        </w:rPr>
      </w:pPr>
      <w:r>
        <w:rPr>
          <w:b/>
          <w:sz w:val="24"/>
          <w:szCs w:val="24"/>
        </w:rPr>
        <w:t>ПРОГНОЗИРОВАНИЕ</w:t>
      </w:r>
      <w:r w:rsidR="003666A1" w:rsidRPr="003666A1">
        <w:rPr>
          <w:b/>
          <w:sz w:val="24"/>
          <w:szCs w:val="24"/>
        </w:rPr>
        <w:t xml:space="preserve"> </w:t>
      </w:r>
      <w:r w:rsidR="006C090B">
        <w:rPr>
          <w:b/>
          <w:sz w:val="24"/>
          <w:szCs w:val="24"/>
        </w:rPr>
        <w:t xml:space="preserve">СОЦИАЛЬНОГО </w:t>
      </w:r>
      <w:r w:rsidR="001D15B8">
        <w:rPr>
          <w:b/>
          <w:sz w:val="24"/>
          <w:szCs w:val="24"/>
        </w:rPr>
        <w:t>НЕРАВЕНСТВА</w:t>
      </w:r>
      <w:r w:rsidR="006C090B">
        <w:rPr>
          <w:b/>
          <w:sz w:val="24"/>
          <w:szCs w:val="24"/>
        </w:rPr>
        <w:t xml:space="preserve"> </w:t>
      </w:r>
      <w:r w:rsidR="003666A1" w:rsidRPr="003666A1">
        <w:rPr>
          <w:b/>
          <w:sz w:val="24"/>
          <w:szCs w:val="24"/>
        </w:rPr>
        <w:t>НАСЕЛЕНИЯ ВОЛОГОДСКОЙ ОБЛАСТИ</w:t>
      </w:r>
    </w:p>
    <w:p w:rsidR="003666A1" w:rsidRDefault="003666A1" w:rsidP="00EA4BEA">
      <w:pPr>
        <w:pStyle w:val="a3"/>
        <w:ind w:left="0" w:firstLine="709"/>
        <w:rPr>
          <w:b/>
          <w:sz w:val="24"/>
          <w:szCs w:val="24"/>
        </w:rPr>
      </w:pPr>
    </w:p>
    <w:p w:rsidR="00EE7414" w:rsidRPr="0092277C" w:rsidRDefault="00D11F24" w:rsidP="00EA4BEA">
      <w:pPr>
        <w:pStyle w:val="a5"/>
        <w:spacing w:before="0"/>
        <w:ind w:left="0" w:right="0" w:firstLine="709"/>
        <w:rPr>
          <w:b w:val="0"/>
          <w:sz w:val="24"/>
          <w:szCs w:val="24"/>
          <w:shd w:val="clear" w:color="auto" w:fill="FFFFFF"/>
        </w:rPr>
      </w:pPr>
      <w:r w:rsidRPr="0092277C">
        <w:rPr>
          <w:sz w:val="24"/>
          <w:szCs w:val="24"/>
        </w:rPr>
        <w:t>Аннотация статьи</w:t>
      </w:r>
      <w:r w:rsidR="00EE7414" w:rsidRPr="0092277C">
        <w:rPr>
          <w:b w:val="0"/>
          <w:sz w:val="24"/>
          <w:szCs w:val="24"/>
        </w:rPr>
        <w:t xml:space="preserve">: </w:t>
      </w:r>
      <w:r w:rsidR="00EE7414" w:rsidRPr="0092277C">
        <w:rPr>
          <w:b w:val="0"/>
          <w:i/>
          <w:sz w:val="24"/>
          <w:szCs w:val="24"/>
          <w:shd w:val="clear" w:color="auto" w:fill="FFFFFF"/>
        </w:rPr>
        <w:t xml:space="preserve">Одна из острых социально-экономических проблем современной России - </w:t>
      </w:r>
      <w:r w:rsidR="0092277C" w:rsidRPr="0092277C">
        <w:rPr>
          <w:b w:val="0"/>
          <w:i/>
          <w:sz w:val="24"/>
          <w:szCs w:val="24"/>
          <w:shd w:val="clear" w:color="auto" w:fill="FFFFFF"/>
        </w:rPr>
        <w:t>социальное неравенство</w:t>
      </w:r>
      <w:r w:rsidR="00EE7414" w:rsidRPr="0092277C">
        <w:rPr>
          <w:b w:val="0"/>
          <w:i/>
          <w:sz w:val="24"/>
          <w:szCs w:val="24"/>
          <w:shd w:val="clear" w:color="auto" w:fill="FFFFFF"/>
        </w:rPr>
        <w:t xml:space="preserve"> населения и наличие большого числа бедных. Объективные причины неравенства кроются в различных условиях доступа социальных групп к ограниченным экономическим ресурсам, социальным благам и политической власти. </w:t>
      </w:r>
    </w:p>
    <w:p w:rsidR="00D11F24" w:rsidRPr="00DB6E65" w:rsidRDefault="00D11F24" w:rsidP="00EA4BEA">
      <w:pPr>
        <w:pStyle w:val="a3"/>
        <w:ind w:left="0" w:firstLine="709"/>
        <w:rPr>
          <w:b/>
          <w:color w:val="FF0000"/>
          <w:sz w:val="24"/>
          <w:szCs w:val="24"/>
        </w:rPr>
      </w:pPr>
    </w:p>
    <w:p w:rsidR="00D11F24" w:rsidRPr="0092277C" w:rsidRDefault="00D11F24" w:rsidP="00EA4BEA">
      <w:pPr>
        <w:pStyle w:val="a3"/>
        <w:ind w:left="0" w:firstLine="709"/>
        <w:rPr>
          <w:sz w:val="24"/>
          <w:szCs w:val="24"/>
        </w:rPr>
      </w:pPr>
      <w:proofErr w:type="gramStart"/>
      <w:r w:rsidRPr="0092277C">
        <w:rPr>
          <w:b/>
          <w:sz w:val="24"/>
          <w:szCs w:val="24"/>
        </w:rPr>
        <w:t>Ключевые слова</w:t>
      </w:r>
      <w:r w:rsidR="00311658" w:rsidRPr="0092277C">
        <w:rPr>
          <w:b/>
          <w:sz w:val="24"/>
          <w:szCs w:val="24"/>
        </w:rPr>
        <w:t xml:space="preserve">: </w:t>
      </w:r>
      <w:r w:rsidR="0092277C" w:rsidRPr="0092277C">
        <w:rPr>
          <w:i/>
          <w:sz w:val="24"/>
          <w:szCs w:val="24"/>
        </w:rPr>
        <w:t>социальное неравенство</w:t>
      </w:r>
      <w:r w:rsidR="00311658" w:rsidRPr="0092277C">
        <w:rPr>
          <w:i/>
          <w:sz w:val="24"/>
          <w:szCs w:val="24"/>
        </w:rPr>
        <w:t xml:space="preserve">, денежные доходы, население, </w:t>
      </w:r>
      <w:r w:rsidR="0092277C" w:rsidRPr="0092277C">
        <w:rPr>
          <w:i/>
          <w:sz w:val="24"/>
          <w:szCs w:val="24"/>
        </w:rPr>
        <w:t xml:space="preserve"> распределение, бедность, прогнозирование, методы прогнозирования, коэффициент фондов, индекс Джини</w:t>
      </w:r>
      <w:r w:rsidR="00311658" w:rsidRPr="0092277C">
        <w:rPr>
          <w:i/>
          <w:sz w:val="24"/>
          <w:szCs w:val="24"/>
        </w:rPr>
        <w:t>.</w:t>
      </w:r>
      <w:proofErr w:type="gramEnd"/>
    </w:p>
    <w:p w:rsidR="00D11F24" w:rsidRPr="003666A1" w:rsidRDefault="00D11F24" w:rsidP="00EA4BEA">
      <w:pPr>
        <w:pStyle w:val="a3"/>
        <w:ind w:left="0" w:firstLine="709"/>
        <w:rPr>
          <w:b/>
          <w:sz w:val="24"/>
          <w:szCs w:val="24"/>
        </w:rPr>
      </w:pPr>
    </w:p>
    <w:p w:rsidR="00284CD5" w:rsidRPr="00284CD5" w:rsidRDefault="001D15B8" w:rsidP="00EA4BE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Pr="001D15B8">
        <w:rPr>
          <w:rFonts w:ascii="Times New Roman" w:hAnsi="Times New Roman" w:cs="Times New Roman"/>
          <w:sz w:val="24"/>
          <w:szCs w:val="24"/>
        </w:rPr>
        <w:t>реодоление уровня бедности населения и ускорение темпов экономического роста</w:t>
      </w:r>
      <w:r w:rsidR="00690867">
        <w:rPr>
          <w:rFonts w:ascii="Times New Roman" w:hAnsi="Times New Roman" w:cs="Times New Roman"/>
          <w:sz w:val="24"/>
          <w:szCs w:val="24"/>
        </w:rPr>
        <w:t xml:space="preserve"> современными политиками, ученым</w:t>
      </w:r>
      <w:r w:rsidRPr="001D15B8">
        <w:rPr>
          <w:rFonts w:ascii="Times New Roman" w:hAnsi="Times New Roman" w:cs="Times New Roman"/>
          <w:sz w:val="24"/>
          <w:szCs w:val="24"/>
        </w:rPr>
        <w:t xml:space="preserve"> </w:t>
      </w:r>
      <w:r w:rsidR="00690867">
        <w:rPr>
          <w:rFonts w:ascii="Times New Roman" w:hAnsi="Times New Roman" w:cs="Times New Roman"/>
          <w:sz w:val="24"/>
          <w:szCs w:val="24"/>
        </w:rPr>
        <w:t>называются обязательным</w:t>
      </w:r>
      <w:r w:rsidRPr="001D15B8">
        <w:rPr>
          <w:rFonts w:ascii="Times New Roman" w:hAnsi="Times New Roman" w:cs="Times New Roman"/>
          <w:sz w:val="24"/>
          <w:szCs w:val="24"/>
        </w:rPr>
        <w:t xml:space="preserve"> условием обеспечения национальной  безопасности  Российской Федерации, снижения уровня угроз ее национальным интересам в сфере экономики</w:t>
      </w:r>
      <w:r w:rsidRPr="00284CD5">
        <w:rPr>
          <w:rFonts w:ascii="Times New Roman" w:hAnsi="Times New Roman" w:cs="Times New Roman"/>
          <w:sz w:val="24"/>
          <w:szCs w:val="24"/>
        </w:rPr>
        <w:t xml:space="preserve">. </w:t>
      </w:r>
      <w:r w:rsidR="00284CD5" w:rsidRPr="00284CD5">
        <w:rPr>
          <w:rFonts w:ascii="Times New Roman" w:hAnsi="Times New Roman" w:cs="Times New Roman"/>
          <w:sz w:val="24"/>
          <w:szCs w:val="24"/>
        </w:rPr>
        <w:t>Только значительное снижение уровня бедности, измеряемого долей населения с доходами ниже прожиточного минимума, может гарантировать страну от социальных конфликтов и нестабильности в обществе.</w:t>
      </w:r>
      <w:r w:rsidR="00284CD5">
        <w:rPr>
          <w:rFonts w:ascii="Times New Roman" w:hAnsi="Times New Roman" w:cs="Times New Roman"/>
          <w:sz w:val="24"/>
          <w:szCs w:val="24"/>
        </w:rPr>
        <w:t xml:space="preserve"> </w:t>
      </w:r>
      <w:r w:rsidR="00284CD5" w:rsidRPr="00284CD5">
        <w:rPr>
          <w:rFonts w:ascii="Times New Roman" w:hAnsi="Times New Roman" w:cs="Times New Roman"/>
          <w:sz w:val="24"/>
          <w:szCs w:val="24"/>
        </w:rPr>
        <w:t>Очевидна тесная взаимосвязь проблем экономического роста и уровня бедности населения. При этом наиболее распространенным является рассмотрение зависимости изменений в уровне бедности и уровне жизни населения в целом от темпов экономического роста и объема ВВП</w:t>
      </w:r>
      <w:r w:rsidR="00284CD5">
        <w:rPr>
          <w:rFonts w:ascii="Times New Roman" w:hAnsi="Times New Roman" w:cs="Times New Roman"/>
          <w:sz w:val="24"/>
          <w:szCs w:val="24"/>
        </w:rPr>
        <w:t>.</w:t>
      </w:r>
      <w:r w:rsidR="00284CD5" w:rsidRPr="00284CD5">
        <w:rPr>
          <w:rFonts w:ascii="Times New Roman" w:hAnsi="Times New Roman" w:cs="Times New Roman"/>
          <w:sz w:val="24"/>
          <w:szCs w:val="24"/>
        </w:rPr>
        <w:t xml:space="preserve"> Эта зависимость безусловна, она достаточно изучена. Однако практически не исследована обратная связь, а именно зависимость темпов экономического роста от изменения индикаторов, характеризующих уровень жизни населения. Между тем зарубежная экономическая наука </w:t>
      </w:r>
      <w:proofErr w:type="gramStart"/>
      <w:r w:rsidR="00284CD5" w:rsidRPr="00284CD5">
        <w:rPr>
          <w:rFonts w:ascii="Times New Roman" w:hAnsi="Times New Roman" w:cs="Times New Roman"/>
          <w:sz w:val="24"/>
          <w:szCs w:val="24"/>
        </w:rPr>
        <w:t>существенно большое</w:t>
      </w:r>
      <w:proofErr w:type="gramEnd"/>
      <w:r w:rsidR="00284CD5" w:rsidRPr="00284CD5">
        <w:rPr>
          <w:rFonts w:ascii="Times New Roman" w:hAnsi="Times New Roman" w:cs="Times New Roman"/>
          <w:sz w:val="24"/>
          <w:szCs w:val="24"/>
        </w:rPr>
        <w:t xml:space="preserve"> внимание уделяет именно этой обратной взаимосвязи</w:t>
      </w:r>
      <w:r w:rsidR="00284CD5">
        <w:rPr>
          <w:rFonts w:ascii="Times New Roman" w:hAnsi="Times New Roman" w:cs="Times New Roman"/>
          <w:sz w:val="24"/>
          <w:szCs w:val="24"/>
        </w:rPr>
        <w:t>.</w:t>
      </w:r>
      <w:r w:rsidR="00284CD5" w:rsidRPr="00284CD5">
        <w:rPr>
          <w:rFonts w:ascii="Times New Roman" w:hAnsi="Times New Roman" w:cs="Times New Roman"/>
          <w:sz w:val="24"/>
          <w:szCs w:val="24"/>
        </w:rPr>
        <w:t xml:space="preserve"> </w:t>
      </w:r>
    </w:p>
    <w:p w:rsidR="002A73D8" w:rsidRDefault="00284CD5" w:rsidP="00EA4BEA">
      <w:pPr>
        <w:spacing w:after="0" w:line="240" w:lineRule="auto"/>
        <w:ind w:firstLine="709"/>
        <w:jc w:val="both"/>
        <w:rPr>
          <w:rFonts w:ascii="Times New Roman" w:hAnsi="Times New Roman" w:cs="Times New Roman"/>
          <w:sz w:val="24"/>
          <w:szCs w:val="24"/>
        </w:rPr>
      </w:pPr>
      <w:r w:rsidRPr="00284CD5">
        <w:rPr>
          <w:rFonts w:ascii="Times New Roman" w:hAnsi="Times New Roman" w:cs="Times New Roman"/>
          <w:sz w:val="24"/>
          <w:szCs w:val="24"/>
        </w:rPr>
        <w:t xml:space="preserve">Умаление влияния изменения индикаторов, характеризующих уровень жизни населения, на темпы экономического роста имеет весьма существенные практические последствия. При формировании и реализации экономической политики государства, при разработке и рассмотрении государственного бюджета мероприятия по повышению уровня жизни населения ставятся в зависимость от темпов экономического роста, от объема ВВП. Таким образом, темпы экономического роста, объем ВВП и объем вытекающих из этого финансовых ресурсов являются сильными ограничителями повышения уровня жизни населения. Это, на первый взгляд, кажется вполне естественным. Однако при этом забывается, что сдерживание </w:t>
      </w:r>
      <w:proofErr w:type="gramStart"/>
      <w:r w:rsidRPr="00284CD5">
        <w:rPr>
          <w:rFonts w:ascii="Times New Roman" w:hAnsi="Times New Roman" w:cs="Times New Roman"/>
          <w:sz w:val="24"/>
          <w:szCs w:val="24"/>
        </w:rPr>
        <w:t>темпов повышения уровня жизни населения</w:t>
      </w:r>
      <w:proofErr w:type="gramEnd"/>
      <w:r w:rsidRPr="00284CD5">
        <w:rPr>
          <w:rFonts w:ascii="Times New Roman" w:hAnsi="Times New Roman" w:cs="Times New Roman"/>
          <w:sz w:val="24"/>
          <w:szCs w:val="24"/>
        </w:rPr>
        <w:t xml:space="preserve"> в свою очередь ограничивает возможности экономического роста. Можно утверждать, что бедность парализует экономический рост.</w:t>
      </w:r>
    </w:p>
    <w:p w:rsidR="007C6708" w:rsidRPr="007C6708" w:rsidRDefault="00284CD5" w:rsidP="00EA4BEA">
      <w:pPr>
        <w:spacing w:after="0" w:line="240" w:lineRule="auto"/>
        <w:ind w:firstLine="709"/>
        <w:jc w:val="both"/>
        <w:rPr>
          <w:rFonts w:ascii="Times New Roman" w:hAnsi="Times New Roman" w:cs="Times New Roman"/>
          <w:color w:val="000000"/>
          <w:sz w:val="24"/>
          <w:szCs w:val="24"/>
          <w:shd w:val="clear" w:color="auto" w:fill="FFFFFF"/>
        </w:rPr>
      </w:pPr>
      <w:r w:rsidRPr="00284CD5">
        <w:rPr>
          <w:rFonts w:ascii="Times New Roman" w:hAnsi="Times New Roman" w:cs="Times New Roman"/>
          <w:sz w:val="24"/>
          <w:szCs w:val="24"/>
        </w:rPr>
        <w:t>Таким образом, главными условиями экономического роста являются  потребительский спрос и инвестиции.</w:t>
      </w:r>
      <w:r>
        <w:rPr>
          <w:rFonts w:ascii="Times New Roman" w:hAnsi="Times New Roman" w:cs="Times New Roman"/>
          <w:sz w:val="24"/>
          <w:szCs w:val="24"/>
        </w:rPr>
        <w:t xml:space="preserve"> </w:t>
      </w:r>
      <w:r w:rsidR="00BD0785" w:rsidRPr="00284CD5">
        <w:rPr>
          <w:rFonts w:ascii="Times New Roman" w:hAnsi="Times New Roman" w:cs="Times New Roman"/>
          <w:color w:val="000000"/>
          <w:sz w:val="24"/>
          <w:szCs w:val="24"/>
          <w:shd w:val="clear" w:color="auto" w:fill="FFFFFF"/>
        </w:rPr>
        <w:t xml:space="preserve">Изучение </w:t>
      </w:r>
      <w:r w:rsidR="001D15B8" w:rsidRPr="00284CD5">
        <w:rPr>
          <w:rFonts w:ascii="Times New Roman" w:hAnsi="Times New Roman" w:cs="Times New Roman"/>
          <w:color w:val="000000"/>
          <w:sz w:val="24"/>
          <w:szCs w:val="24"/>
          <w:shd w:val="clear" w:color="auto" w:fill="FFFFFF"/>
        </w:rPr>
        <w:t xml:space="preserve">социального неравенства </w:t>
      </w:r>
      <w:r w:rsidR="00BD0785" w:rsidRPr="00284CD5">
        <w:rPr>
          <w:rFonts w:ascii="Times New Roman" w:hAnsi="Times New Roman" w:cs="Times New Roman"/>
          <w:color w:val="000000"/>
          <w:sz w:val="24"/>
          <w:szCs w:val="24"/>
          <w:shd w:val="clear" w:color="auto" w:fill="FFFFFF"/>
        </w:rPr>
        <w:t>охват</w:t>
      </w:r>
      <w:r w:rsidR="00BD0785" w:rsidRPr="007C6708">
        <w:rPr>
          <w:rFonts w:ascii="Times New Roman" w:hAnsi="Times New Roman" w:cs="Times New Roman"/>
          <w:color w:val="000000"/>
          <w:sz w:val="24"/>
          <w:szCs w:val="24"/>
          <w:shd w:val="clear" w:color="auto" w:fill="FFFFFF"/>
        </w:rPr>
        <w:t xml:space="preserve">ывает вопросы взаимовлияния доходов населения и экономического роста. </w:t>
      </w:r>
      <w:r w:rsidR="00AB416B" w:rsidRPr="007C6708">
        <w:rPr>
          <w:rFonts w:ascii="Times New Roman" w:hAnsi="Times New Roman" w:cs="Times New Roman"/>
          <w:color w:val="000000"/>
          <w:sz w:val="24"/>
          <w:szCs w:val="24"/>
          <w:shd w:val="clear" w:color="auto" w:fill="FFFFFF"/>
        </w:rPr>
        <w:t xml:space="preserve">В настоящее время существует несколько подходов в оценке влияния доходов населения на экономический рост. Такие авторы, как Гаджиев Ю.А. </w:t>
      </w:r>
      <w:r w:rsidR="00AB416B" w:rsidRPr="00284CD5">
        <w:rPr>
          <w:rFonts w:ascii="Times New Roman" w:hAnsi="Times New Roman" w:cs="Times New Roman"/>
          <w:color w:val="000000"/>
          <w:sz w:val="24"/>
          <w:szCs w:val="24"/>
          <w:shd w:val="clear" w:color="auto" w:fill="FFFFFF"/>
        </w:rPr>
        <w:t>[</w:t>
      </w:r>
      <w:r w:rsidRPr="00284CD5">
        <w:rPr>
          <w:rFonts w:ascii="Times New Roman" w:hAnsi="Times New Roman" w:cs="Times New Roman"/>
          <w:color w:val="000000"/>
          <w:sz w:val="24"/>
          <w:szCs w:val="24"/>
          <w:shd w:val="clear" w:color="auto" w:fill="FFFFFF"/>
        </w:rPr>
        <w:t>2</w:t>
      </w:r>
      <w:r w:rsidR="00AB416B" w:rsidRPr="00284CD5">
        <w:rPr>
          <w:rFonts w:ascii="Times New Roman" w:hAnsi="Times New Roman" w:cs="Times New Roman"/>
          <w:color w:val="000000"/>
          <w:sz w:val="24"/>
          <w:szCs w:val="24"/>
          <w:shd w:val="clear" w:color="auto" w:fill="FFFFFF"/>
        </w:rPr>
        <w:t>], Гриднева Б.О.[</w:t>
      </w:r>
      <w:r w:rsidRPr="00284CD5">
        <w:rPr>
          <w:rFonts w:ascii="Times New Roman" w:hAnsi="Times New Roman" w:cs="Times New Roman"/>
          <w:color w:val="000000"/>
          <w:sz w:val="24"/>
          <w:szCs w:val="24"/>
          <w:shd w:val="clear" w:color="auto" w:fill="FFFFFF"/>
        </w:rPr>
        <w:t>3</w:t>
      </w:r>
      <w:r w:rsidR="00AB416B" w:rsidRPr="00284CD5">
        <w:rPr>
          <w:rFonts w:ascii="Times New Roman" w:hAnsi="Times New Roman" w:cs="Times New Roman"/>
          <w:color w:val="000000"/>
          <w:sz w:val="24"/>
          <w:szCs w:val="24"/>
          <w:shd w:val="clear" w:color="auto" w:fill="FFFFFF"/>
        </w:rPr>
        <w:t>], Зиновьев А.Г. [</w:t>
      </w:r>
      <w:r w:rsidRPr="00284CD5">
        <w:rPr>
          <w:rFonts w:ascii="Times New Roman" w:hAnsi="Times New Roman" w:cs="Times New Roman"/>
          <w:color w:val="000000"/>
          <w:sz w:val="24"/>
          <w:szCs w:val="24"/>
          <w:shd w:val="clear" w:color="auto" w:fill="FFFFFF"/>
        </w:rPr>
        <w:t>4</w:t>
      </w:r>
      <w:r w:rsidR="00AB416B" w:rsidRPr="00284CD5">
        <w:rPr>
          <w:rFonts w:ascii="Times New Roman" w:hAnsi="Times New Roman" w:cs="Times New Roman"/>
          <w:color w:val="000000"/>
          <w:sz w:val="24"/>
          <w:szCs w:val="24"/>
          <w:shd w:val="clear" w:color="auto" w:fill="FFFFFF"/>
        </w:rPr>
        <w:t>] рассматривали денежные доходы населения в качестве инвестиционного ресурса для финансирования проектов различных отраслей экономики. Стоит отметить, что в России денежные доходы населения эти функции выполняют довольно слабо [</w:t>
      </w:r>
      <w:r w:rsidR="006C57C5" w:rsidRPr="00284CD5">
        <w:rPr>
          <w:rFonts w:ascii="Times New Roman" w:hAnsi="Times New Roman" w:cs="Times New Roman"/>
          <w:color w:val="000000"/>
          <w:sz w:val="24"/>
          <w:szCs w:val="24"/>
          <w:shd w:val="clear" w:color="auto" w:fill="FFFFFF"/>
        </w:rPr>
        <w:t>1</w:t>
      </w:r>
      <w:r w:rsidR="00AB416B" w:rsidRPr="00284CD5">
        <w:rPr>
          <w:rFonts w:ascii="Times New Roman" w:hAnsi="Times New Roman" w:cs="Times New Roman"/>
          <w:color w:val="000000"/>
          <w:sz w:val="24"/>
          <w:szCs w:val="24"/>
          <w:shd w:val="clear" w:color="auto" w:fill="FFFFFF"/>
        </w:rPr>
        <w:t>].</w:t>
      </w:r>
      <w:r w:rsidR="00DB6E65" w:rsidRPr="00284CD5">
        <w:rPr>
          <w:rFonts w:ascii="Times New Roman" w:hAnsi="Times New Roman" w:cs="Times New Roman"/>
          <w:color w:val="000000"/>
          <w:sz w:val="24"/>
          <w:szCs w:val="24"/>
          <w:shd w:val="clear" w:color="auto" w:fill="FFFFFF"/>
        </w:rPr>
        <w:t xml:space="preserve"> Рассмотрение денежных доходов как средства платежеспособного спроса на товары и услуги приводит нас к </w:t>
      </w:r>
      <w:r w:rsidRPr="00284CD5">
        <w:rPr>
          <w:rFonts w:ascii="Times New Roman" w:hAnsi="Times New Roman" w:cs="Times New Roman"/>
          <w:color w:val="000000"/>
          <w:sz w:val="24"/>
          <w:szCs w:val="24"/>
          <w:shd w:val="clear" w:color="auto" w:fill="FFFFFF"/>
        </w:rPr>
        <w:t xml:space="preserve">работам </w:t>
      </w:r>
      <w:proofErr w:type="spellStart"/>
      <w:r w:rsidR="00DB6E65" w:rsidRPr="00284CD5">
        <w:rPr>
          <w:rFonts w:ascii="Times New Roman" w:hAnsi="Times New Roman" w:cs="Times New Roman"/>
          <w:color w:val="000000"/>
          <w:sz w:val="24"/>
          <w:szCs w:val="24"/>
          <w:shd w:val="clear" w:color="auto" w:fill="FFFFFF"/>
        </w:rPr>
        <w:t>Моронова</w:t>
      </w:r>
      <w:proofErr w:type="spellEnd"/>
      <w:r w:rsidR="00DB6E65" w:rsidRPr="00284CD5">
        <w:rPr>
          <w:rFonts w:ascii="Times New Roman" w:hAnsi="Times New Roman" w:cs="Times New Roman"/>
          <w:color w:val="000000"/>
          <w:sz w:val="24"/>
          <w:szCs w:val="24"/>
          <w:shd w:val="clear" w:color="auto" w:fill="FFFFFF"/>
        </w:rPr>
        <w:t xml:space="preserve"> О.Г. </w:t>
      </w:r>
      <w:r w:rsidRPr="00284CD5">
        <w:rPr>
          <w:rFonts w:ascii="Times New Roman" w:hAnsi="Times New Roman" w:cs="Times New Roman"/>
          <w:color w:val="000000"/>
          <w:sz w:val="24"/>
          <w:szCs w:val="24"/>
          <w:shd w:val="clear" w:color="auto" w:fill="FFFFFF"/>
        </w:rPr>
        <w:t xml:space="preserve">и Ярыгиной Л.В. </w:t>
      </w:r>
      <w:r w:rsidR="00DB6E65" w:rsidRPr="00284CD5">
        <w:rPr>
          <w:rFonts w:ascii="Times New Roman" w:hAnsi="Times New Roman" w:cs="Times New Roman"/>
          <w:color w:val="000000"/>
          <w:sz w:val="24"/>
          <w:szCs w:val="24"/>
          <w:shd w:val="clear" w:color="auto" w:fill="FFFFFF"/>
        </w:rPr>
        <w:t>[</w:t>
      </w:r>
      <w:r w:rsidRPr="00284CD5">
        <w:rPr>
          <w:rFonts w:ascii="Times New Roman" w:hAnsi="Times New Roman" w:cs="Times New Roman"/>
          <w:color w:val="000000"/>
          <w:sz w:val="24"/>
          <w:szCs w:val="24"/>
          <w:shd w:val="clear" w:color="auto" w:fill="FFFFFF"/>
        </w:rPr>
        <w:t xml:space="preserve">8]. </w:t>
      </w:r>
      <w:proofErr w:type="spellStart"/>
      <w:r w:rsidR="00DB6E65" w:rsidRPr="00284CD5">
        <w:rPr>
          <w:rFonts w:ascii="Times New Roman" w:hAnsi="Times New Roman" w:cs="Times New Roman"/>
          <w:color w:val="000000"/>
          <w:sz w:val="24"/>
          <w:szCs w:val="24"/>
          <w:shd w:val="clear" w:color="auto" w:fill="FFFFFF"/>
        </w:rPr>
        <w:t>Кирик</w:t>
      </w:r>
      <w:proofErr w:type="spellEnd"/>
      <w:r w:rsidR="00DB6E65" w:rsidRPr="00284CD5">
        <w:rPr>
          <w:rFonts w:ascii="Times New Roman" w:hAnsi="Times New Roman" w:cs="Times New Roman"/>
          <w:color w:val="000000"/>
          <w:sz w:val="24"/>
          <w:szCs w:val="24"/>
          <w:shd w:val="clear" w:color="auto" w:fill="FFFFFF"/>
        </w:rPr>
        <w:t xml:space="preserve"> </w:t>
      </w:r>
      <w:r w:rsidRPr="00284CD5">
        <w:rPr>
          <w:rFonts w:ascii="Times New Roman" w:hAnsi="Times New Roman" w:cs="Times New Roman"/>
          <w:color w:val="000000"/>
          <w:sz w:val="24"/>
          <w:szCs w:val="24"/>
          <w:shd w:val="clear" w:color="auto" w:fill="FFFFFF"/>
        </w:rPr>
        <w:t xml:space="preserve">О.Б. </w:t>
      </w:r>
      <w:r w:rsidR="00DB6E65" w:rsidRPr="00284CD5">
        <w:rPr>
          <w:rFonts w:ascii="Times New Roman" w:hAnsi="Times New Roman" w:cs="Times New Roman"/>
          <w:color w:val="000000"/>
          <w:sz w:val="24"/>
          <w:szCs w:val="24"/>
          <w:shd w:val="clear" w:color="auto" w:fill="FFFFFF"/>
        </w:rPr>
        <w:t xml:space="preserve">и Андреева </w:t>
      </w:r>
      <w:r w:rsidRPr="00284CD5">
        <w:rPr>
          <w:rFonts w:ascii="Times New Roman" w:hAnsi="Times New Roman" w:cs="Times New Roman"/>
          <w:color w:val="000000"/>
          <w:sz w:val="24"/>
          <w:szCs w:val="24"/>
          <w:shd w:val="clear" w:color="auto" w:fill="FFFFFF"/>
        </w:rPr>
        <w:t xml:space="preserve">М.В. </w:t>
      </w:r>
      <w:r w:rsidR="00DB6E65" w:rsidRPr="00284CD5">
        <w:rPr>
          <w:rFonts w:ascii="Times New Roman" w:hAnsi="Times New Roman" w:cs="Times New Roman"/>
          <w:color w:val="000000"/>
          <w:sz w:val="24"/>
          <w:szCs w:val="24"/>
          <w:shd w:val="clear" w:color="auto" w:fill="FFFFFF"/>
        </w:rPr>
        <w:t>показывают взаимозависимость денежных доходов населения и темпов экономического роста, а именно важно</w:t>
      </w:r>
      <w:r w:rsidR="00BD0785" w:rsidRPr="00284CD5">
        <w:rPr>
          <w:rFonts w:ascii="Times New Roman" w:hAnsi="Times New Roman" w:cs="Times New Roman"/>
          <w:color w:val="000000"/>
          <w:sz w:val="24"/>
          <w:szCs w:val="24"/>
          <w:shd w:val="clear" w:color="auto" w:fill="FFFFFF"/>
        </w:rPr>
        <w:t>сть</w:t>
      </w:r>
      <w:r w:rsidR="00DB6E65" w:rsidRPr="00284CD5">
        <w:rPr>
          <w:rFonts w:ascii="Times New Roman" w:hAnsi="Times New Roman" w:cs="Times New Roman"/>
          <w:color w:val="000000"/>
          <w:sz w:val="24"/>
          <w:szCs w:val="24"/>
          <w:shd w:val="clear" w:color="auto" w:fill="FFFFFF"/>
        </w:rPr>
        <w:t xml:space="preserve"> привле</w:t>
      </w:r>
      <w:r w:rsidR="00BD0785" w:rsidRPr="00284CD5">
        <w:rPr>
          <w:rFonts w:ascii="Times New Roman" w:hAnsi="Times New Roman" w:cs="Times New Roman"/>
          <w:color w:val="000000"/>
          <w:sz w:val="24"/>
          <w:szCs w:val="24"/>
          <w:shd w:val="clear" w:color="auto" w:fill="FFFFFF"/>
        </w:rPr>
        <w:t>чения</w:t>
      </w:r>
      <w:r w:rsidR="00DB6E65" w:rsidRPr="00284CD5">
        <w:rPr>
          <w:rFonts w:ascii="Times New Roman" w:hAnsi="Times New Roman" w:cs="Times New Roman"/>
          <w:color w:val="000000"/>
          <w:sz w:val="24"/>
          <w:szCs w:val="24"/>
          <w:shd w:val="clear" w:color="auto" w:fill="FFFFFF"/>
        </w:rPr>
        <w:t xml:space="preserve"> эти</w:t>
      </w:r>
      <w:r w:rsidR="00BD0785" w:rsidRPr="00284CD5">
        <w:rPr>
          <w:rFonts w:ascii="Times New Roman" w:hAnsi="Times New Roman" w:cs="Times New Roman"/>
          <w:color w:val="000000"/>
          <w:sz w:val="24"/>
          <w:szCs w:val="24"/>
          <w:shd w:val="clear" w:color="auto" w:fill="FFFFFF"/>
        </w:rPr>
        <w:t>х</w:t>
      </w:r>
      <w:r w:rsidR="00DB6E65" w:rsidRPr="00284CD5">
        <w:rPr>
          <w:rFonts w:ascii="Times New Roman" w:hAnsi="Times New Roman" w:cs="Times New Roman"/>
          <w:color w:val="000000"/>
          <w:sz w:val="24"/>
          <w:szCs w:val="24"/>
          <w:shd w:val="clear" w:color="auto" w:fill="FFFFFF"/>
        </w:rPr>
        <w:t xml:space="preserve"> доход</w:t>
      </w:r>
      <w:r w:rsidR="00BD0785" w:rsidRPr="00284CD5">
        <w:rPr>
          <w:rFonts w:ascii="Times New Roman" w:hAnsi="Times New Roman" w:cs="Times New Roman"/>
          <w:color w:val="000000"/>
          <w:sz w:val="24"/>
          <w:szCs w:val="24"/>
          <w:shd w:val="clear" w:color="auto" w:fill="FFFFFF"/>
        </w:rPr>
        <w:t>ов</w:t>
      </w:r>
      <w:r w:rsidR="00DB6E65" w:rsidRPr="00284CD5">
        <w:rPr>
          <w:rFonts w:ascii="Times New Roman" w:hAnsi="Times New Roman" w:cs="Times New Roman"/>
          <w:color w:val="000000"/>
          <w:sz w:val="24"/>
          <w:szCs w:val="24"/>
          <w:shd w:val="clear" w:color="auto" w:fill="FFFFFF"/>
        </w:rPr>
        <w:t xml:space="preserve"> в инвестиции в производство в размерах, достаточных для устойчивого экономического роста, а не просто трансформировать их в сбережения [1].</w:t>
      </w:r>
      <w:r w:rsidR="00DB6E65" w:rsidRPr="007C6708">
        <w:rPr>
          <w:rFonts w:ascii="Times New Roman" w:hAnsi="Times New Roman" w:cs="Times New Roman"/>
          <w:color w:val="000000"/>
          <w:sz w:val="24"/>
          <w:szCs w:val="24"/>
          <w:shd w:val="clear" w:color="auto" w:fill="FFFFFF"/>
        </w:rPr>
        <w:t xml:space="preserve"> </w:t>
      </w:r>
      <w:r w:rsidR="00DB6E65" w:rsidRPr="007C6708">
        <w:rPr>
          <w:rFonts w:ascii="Times New Roman" w:hAnsi="Times New Roman" w:cs="Times New Roman"/>
          <w:color w:val="000000"/>
          <w:sz w:val="24"/>
          <w:szCs w:val="24"/>
          <w:shd w:val="clear" w:color="auto" w:fill="FFFFFF"/>
        </w:rPr>
        <w:lastRenderedPageBreak/>
        <w:t>Таким образом, главным источником формирования потребительского спроса и инвестиций  в основной капитал  мы считаем денежные доходы населения.</w:t>
      </w:r>
      <w:r w:rsidR="007C6708" w:rsidRPr="007C6708">
        <w:rPr>
          <w:rFonts w:ascii="Times New Roman" w:hAnsi="Times New Roman" w:cs="Times New Roman"/>
          <w:color w:val="000000"/>
          <w:sz w:val="24"/>
          <w:szCs w:val="24"/>
          <w:shd w:val="clear" w:color="auto" w:fill="FFFFFF"/>
        </w:rPr>
        <w:t xml:space="preserve"> Цель исследования - прогнозирование </w:t>
      </w:r>
      <w:r w:rsidR="001D15B8">
        <w:rPr>
          <w:rFonts w:ascii="Times New Roman" w:hAnsi="Times New Roman" w:cs="Times New Roman"/>
          <w:color w:val="000000"/>
          <w:sz w:val="24"/>
          <w:szCs w:val="24"/>
          <w:shd w:val="clear" w:color="auto" w:fill="FFFFFF"/>
        </w:rPr>
        <w:t xml:space="preserve">социального неравенства </w:t>
      </w:r>
      <w:r w:rsidR="001D15B8" w:rsidRPr="007C6708">
        <w:rPr>
          <w:rFonts w:ascii="Times New Roman" w:hAnsi="Times New Roman" w:cs="Times New Roman"/>
          <w:color w:val="000000"/>
          <w:sz w:val="24"/>
          <w:szCs w:val="24"/>
          <w:shd w:val="clear" w:color="auto" w:fill="FFFFFF"/>
        </w:rPr>
        <w:t xml:space="preserve"> </w:t>
      </w:r>
      <w:r w:rsidR="007C6708" w:rsidRPr="007C6708">
        <w:rPr>
          <w:rFonts w:ascii="Times New Roman" w:hAnsi="Times New Roman" w:cs="Times New Roman"/>
          <w:color w:val="000000"/>
          <w:sz w:val="24"/>
          <w:szCs w:val="24"/>
          <w:shd w:val="clear" w:color="auto" w:fill="FFFFFF"/>
        </w:rPr>
        <w:t xml:space="preserve">населения, т.е. выведение знания  о доходах населения из других знаний - о настоящем и прошлом этого явления, что уже подтверждено практикой. Основными методами логической доказательности будут правила дедукции. Главными условиями эффективного применения этих правил является </w:t>
      </w:r>
      <w:r w:rsidR="007C6708" w:rsidRPr="007C6708">
        <w:rPr>
          <w:rFonts w:ascii="Times New Roman" w:hAnsi="Times New Roman" w:cs="Times New Roman"/>
          <w:spacing w:val="-4"/>
          <w:sz w:val="24"/>
          <w:szCs w:val="24"/>
        </w:rPr>
        <w:t>объективность исходных данных, полнота и глу</w:t>
      </w:r>
      <w:r w:rsidR="007C6708" w:rsidRPr="007C6708">
        <w:rPr>
          <w:rFonts w:ascii="Times New Roman" w:hAnsi="Times New Roman" w:cs="Times New Roman"/>
          <w:spacing w:val="-1"/>
          <w:sz w:val="24"/>
          <w:szCs w:val="24"/>
        </w:rPr>
        <w:t>бина накопленных знаний о прошлом и настоящем прогнозируе</w:t>
      </w:r>
      <w:r w:rsidR="007C6708" w:rsidRPr="007C6708">
        <w:rPr>
          <w:rFonts w:ascii="Times New Roman" w:hAnsi="Times New Roman" w:cs="Times New Roman"/>
          <w:spacing w:val="-4"/>
          <w:sz w:val="24"/>
          <w:szCs w:val="24"/>
        </w:rPr>
        <w:t>мого  явления.</w:t>
      </w:r>
    </w:p>
    <w:p w:rsidR="00981905" w:rsidRDefault="00AB416B" w:rsidP="00EA4BEA">
      <w:pPr>
        <w:pStyle w:val="a5"/>
        <w:spacing w:before="0"/>
        <w:ind w:left="0" w:right="0" w:firstLine="709"/>
        <w:rPr>
          <w:b w:val="0"/>
          <w:color w:val="000000"/>
          <w:sz w:val="24"/>
          <w:szCs w:val="24"/>
          <w:shd w:val="clear" w:color="auto" w:fill="FFFFFF"/>
        </w:rPr>
      </w:pPr>
      <w:r w:rsidRPr="00981905">
        <w:rPr>
          <w:b w:val="0"/>
          <w:color w:val="000000"/>
          <w:sz w:val="24"/>
          <w:szCs w:val="24"/>
          <w:shd w:val="clear" w:color="auto" w:fill="FFFFFF"/>
        </w:rPr>
        <w:t>На примере одного из субъектов РФ – Вологодской области –</w:t>
      </w:r>
      <w:r w:rsidR="00486BD1" w:rsidRPr="00486BD1">
        <w:rPr>
          <w:b w:val="0"/>
          <w:color w:val="000000"/>
          <w:sz w:val="24"/>
          <w:szCs w:val="24"/>
          <w:shd w:val="clear" w:color="auto" w:fill="FFFFFF"/>
        </w:rPr>
        <w:t xml:space="preserve"> </w:t>
      </w:r>
      <w:r w:rsidRPr="00981905">
        <w:rPr>
          <w:b w:val="0"/>
          <w:color w:val="000000"/>
          <w:sz w:val="24"/>
          <w:szCs w:val="24"/>
          <w:shd w:val="clear" w:color="auto" w:fill="FFFFFF"/>
        </w:rPr>
        <w:t>рассмотр</w:t>
      </w:r>
      <w:r w:rsidR="00486BD1">
        <w:rPr>
          <w:b w:val="0"/>
          <w:color w:val="000000"/>
          <w:sz w:val="24"/>
          <w:szCs w:val="24"/>
          <w:shd w:val="clear" w:color="auto" w:fill="FFFFFF"/>
        </w:rPr>
        <w:t>им</w:t>
      </w:r>
      <w:r w:rsidRPr="00981905">
        <w:rPr>
          <w:b w:val="0"/>
          <w:color w:val="000000"/>
          <w:sz w:val="24"/>
          <w:szCs w:val="24"/>
          <w:shd w:val="clear" w:color="auto" w:fill="FFFFFF"/>
        </w:rPr>
        <w:t xml:space="preserve"> происходящие изменения</w:t>
      </w:r>
      <w:r w:rsidR="00486BD1">
        <w:rPr>
          <w:b w:val="0"/>
          <w:color w:val="000000"/>
          <w:sz w:val="24"/>
          <w:szCs w:val="24"/>
          <w:shd w:val="clear" w:color="auto" w:fill="FFFFFF"/>
        </w:rPr>
        <w:t xml:space="preserve"> в социальном неравенстве за период 2016-2019 гг., а также сделаем прогноз  данного явления с использованием метода скользящей средней</w:t>
      </w:r>
      <w:r w:rsidRPr="00981905">
        <w:rPr>
          <w:b w:val="0"/>
          <w:color w:val="000000"/>
          <w:sz w:val="24"/>
          <w:szCs w:val="24"/>
          <w:shd w:val="clear" w:color="auto" w:fill="FFFFFF"/>
        </w:rPr>
        <w:t>.</w:t>
      </w:r>
    </w:p>
    <w:p w:rsidR="00954F71" w:rsidRDefault="00954F71" w:rsidP="00EA4BEA">
      <w:pPr>
        <w:spacing w:after="0" w:line="240" w:lineRule="auto"/>
        <w:ind w:firstLine="709"/>
        <w:jc w:val="both"/>
        <w:rPr>
          <w:rFonts w:ascii="Times New Roman" w:hAnsi="Times New Roman" w:cs="Times New Roman"/>
          <w:color w:val="000000"/>
          <w:sz w:val="24"/>
          <w:szCs w:val="24"/>
          <w:shd w:val="clear" w:color="auto" w:fill="FFFFFF"/>
        </w:rPr>
      </w:pPr>
      <w:r w:rsidRPr="00954F71">
        <w:rPr>
          <w:rFonts w:ascii="Times New Roman" w:hAnsi="Times New Roman" w:cs="Times New Roman"/>
          <w:color w:val="000000"/>
          <w:sz w:val="24"/>
          <w:szCs w:val="24"/>
          <w:shd w:val="clear" w:color="auto" w:fill="FFFFFF"/>
        </w:rPr>
        <w:t>Согласно данным Федеральной службы государственной статистики по Вологодской области за период 2016-2019гг. наблюдалось снижение реальных располагаемых доходов населения более, чем на 5%. Данная ситуация может быть объяснена несколькими причинами. Одна из них - изменение в налоговом законодательстве и последующий рост индекса потребительских цен. На фоне этого следует отметить рост показателя конечного потребления домохозяйств на душу населения по Вологодской области - 11%. То есть, при сокращении реальных доходов населения происходит рост потребления, причем непродовольственных товаров. Одна из них заключается в том, что  положительную динамику потребительской активности населения поддерживало увеличение кредитования</w:t>
      </w:r>
      <w:r w:rsidR="00486BD1" w:rsidRPr="00486BD1">
        <w:rPr>
          <w:rFonts w:ascii="Times New Roman" w:hAnsi="Times New Roman" w:cs="Times New Roman"/>
          <w:color w:val="000000"/>
          <w:sz w:val="24"/>
          <w:szCs w:val="24"/>
          <w:shd w:val="clear" w:color="auto" w:fill="FFFFFF"/>
        </w:rPr>
        <w:t xml:space="preserve"> </w:t>
      </w:r>
      <w:r w:rsidR="00E529B8">
        <w:rPr>
          <w:rFonts w:ascii="Times New Roman" w:hAnsi="Times New Roman" w:cs="Times New Roman"/>
          <w:color w:val="000000"/>
          <w:sz w:val="24"/>
          <w:szCs w:val="24"/>
          <w:shd w:val="clear" w:color="auto" w:fill="FFFFFF"/>
        </w:rPr>
        <w:t xml:space="preserve">населения </w:t>
      </w:r>
      <w:r w:rsidR="00486BD1" w:rsidRPr="00486BD1">
        <w:rPr>
          <w:rFonts w:ascii="Times New Roman" w:hAnsi="Times New Roman" w:cs="Times New Roman"/>
          <w:color w:val="000000"/>
          <w:sz w:val="24"/>
          <w:szCs w:val="24"/>
          <w:shd w:val="clear" w:color="auto" w:fill="FFFFFF"/>
        </w:rPr>
        <w:t>[1]</w:t>
      </w:r>
      <w:r w:rsidRPr="00954F71">
        <w:rPr>
          <w:rFonts w:ascii="Times New Roman" w:hAnsi="Times New Roman" w:cs="Times New Roman"/>
          <w:color w:val="000000"/>
          <w:sz w:val="24"/>
          <w:szCs w:val="24"/>
          <w:shd w:val="clear" w:color="auto" w:fill="FFFFFF"/>
        </w:rPr>
        <w:t xml:space="preserve">. </w:t>
      </w:r>
    </w:p>
    <w:p w:rsidR="00EA29EB" w:rsidRPr="00954F71" w:rsidRDefault="00EA29EB" w:rsidP="00EA4BEA">
      <w:pPr>
        <w:spacing w:after="0" w:line="240" w:lineRule="auto"/>
        <w:ind w:firstLine="709"/>
        <w:jc w:val="both"/>
        <w:rPr>
          <w:rFonts w:ascii="Times New Roman" w:hAnsi="Times New Roman" w:cs="Times New Roman"/>
          <w:color w:val="000000"/>
          <w:sz w:val="24"/>
          <w:szCs w:val="24"/>
          <w:shd w:val="clear" w:color="auto" w:fill="FFFFFF"/>
        </w:rPr>
      </w:pPr>
      <w:r w:rsidRPr="003D75F7">
        <w:rPr>
          <w:rFonts w:ascii="Times New Roman" w:hAnsi="Times New Roman" w:cs="Times New Roman"/>
          <w:sz w:val="24"/>
          <w:szCs w:val="24"/>
        </w:rPr>
        <w:t xml:space="preserve">По нашему мнению, </w:t>
      </w:r>
      <w:r>
        <w:rPr>
          <w:rFonts w:ascii="Times New Roman" w:hAnsi="Times New Roman" w:cs="Times New Roman"/>
          <w:sz w:val="24"/>
          <w:szCs w:val="24"/>
        </w:rPr>
        <w:t>в</w:t>
      </w:r>
      <w:r w:rsidRPr="003D75F7">
        <w:rPr>
          <w:rFonts w:ascii="Times New Roman" w:hAnsi="Times New Roman" w:cs="Times New Roman"/>
          <w:sz w:val="24"/>
          <w:szCs w:val="24"/>
        </w:rPr>
        <w:t xml:space="preserve">ысокое неравенство сокращает спрос на отечественные продукты на внутреннем рынке. Этот факт ограничивает возможности для роста экономики на основе стимулирования внутреннего спроса на продукцию отечественного производства, потребляемую населением. Кроме того, снижается способность приращения инвестиционных ресурсов предприятий, </w:t>
      </w:r>
      <w:r w:rsidRPr="00580B77">
        <w:rPr>
          <w:rFonts w:ascii="Times New Roman" w:hAnsi="Times New Roman" w:cs="Times New Roman"/>
          <w:sz w:val="24"/>
          <w:szCs w:val="24"/>
        </w:rPr>
        <w:t xml:space="preserve">обслуживающих внутренний потребительский спрос.  При этом население Вологодской области не обеспечено актуальной информацией об условиях инвестирования. Одним из эффективных средств реализации инвестиционной политики является создание и ведение инвестиционного портала на сайте администрации муниципального образования. Информационно-аналитический портал дает возможность получить доступ к информации для широкого круга заинтересованных лиц. </w:t>
      </w:r>
      <w:r w:rsidR="00E529B8">
        <w:rPr>
          <w:rFonts w:ascii="Times New Roman" w:hAnsi="Times New Roman" w:cs="Times New Roman"/>
          <w:sz w:val="24"/>
          <w:szCs w:val="24"/>
        </w:rPr>
        <w:t xml:space="preserve">На Вологодчине </w:t>
      </w:r>
      <w:r w:rsidRPr="00580B77">
        <w:rPr>
          <w:rFonts w:ascii="Times New Roman" w:hAnsi="Times New Roman" w:cs="Times New Roman"/>
          <w:sz w:val="24"/>
          <w:szCs w:val="24"/>
        </w:rPr>
        <w:t>такой портал имеют только городские округа «Город Вологда» и «Город Череповец» [</w:t>
      </w:r>
      <w:r>
        <w:rPr>
          <w:rFonts w:ascii="Times New Roman" w:hAnsi="Times New Roman" w:cs="Times New Roman"/>
          <w:sz w:val="24"/>
          <w:szCs w:val="24"/>
        </w:rPr>
        <w:t>5</w:t>
      </w:r>
      <w:r w:rsidRPr="00580B77">
        <w:rPr>
          <w:rFonts w:ascii="Times New Roman" w:hAnsi="Times New Roman" w:cs="Times New Roman"/>
          <w:sz w:val="24"/>
          <w:szCs w:val="24"/>
        </w:rPr>
        <w:t>]</w:t>
      </w:r>
      <w:r>
        <w:rPr>
          <w:rFonts w:ascii="Times New Roman" w:hAnsi="Times New Roman" w:cs="Times New Roman"/>
          <w:sz w:val="24"/>
          <w:szCs w:val="24"/>
        </w:rPr>
        <w:t>.</w:t>
      </w:r>
    </w:p>
    <w:p w:rsidR="003F3857" w:rsidRPr="00981905" w:rsidRDefault="00D75CF9" w:rsidP="00EA4BEA">
      <w:pPr>
        <w:pStyle w:val="a5"/>
        <w:spacing w:before="0"/>
        <w:ind w:left="0" w:right="0" w:firstLine="709"/>
        <w:rPr>
          <w:b w:val="0"/>
          <w:color w:val="000000"/>
          <w:sz w:val="24"/>
          <w:szCs w:val="24"/>
          <w:shd w:val="clear" w:color="auto" w:fill="FFFFFF"/>
        </w:rPr>
      </w:pPr>
      <w:r w:rsidRPr="00981905">
        <w:rPr>
          <w:b w:val="0"/>
          <w:color w:val="000000"/>
          <w:sz w:val="24"/>
          <w:szCs w:val="24"/>
          <w:shd w:val="clear" w:color="auto" w:fill="FFFFFF"/>
        </w:rPr>
        <w:t>Интервальное распределение населения по величине среднедушевого денежного дохода в целом подтверждает гипотезу об отсутствии существенных изменений в доходном неравенстве</w:t>
      </w:r>
      <w:r w:rsidR="000E0B61">
        <w:rPr>
          <w:b w:val="0"/>
          <w:color w:val="000000"/>
          <w:sz w:val="24"/>
          <w:szCs w:val="24"/>
          <w:shd w:val="clear" w:color="auto" w:fill="FFFFFF"/>
        </w:rPr>
        <w:t xml:space="preserve"> (таблица 1</w:t>
      </w:r>
      <w:r w:rsidR="00D2493E" w:rsidRPr="00981905">
        <w:rPr>
          <w:b w:val="0"/>
          <w:color w:val="000000"/>
          <w:sz w:val="24"/>
          <w:szCs w:val="24"/>
          <w:shd w:val="clear" w:color="auto" w:fill="FFFFFF"/>
        </w:rPr>
        <w:t>)</w:t>
      </w:r>
      <w:r w:rsidRPr="00981905">
        <w:rPr>
          <w:b w:val="0"/>
          <w:color w:val="000000"/>
          <w:sz w:val="24"/>
          <w:szCs w:val="24"/>
          <w:shd w:val="clear" w:color="auto" w:fill="FFFFFF"/>
        </w:rPr>
        <w:t>.</w:t>
      </w:r>
    </w:p>
    <w:p w:rsidR="00981905" w:rsidRPr="00981905" w:rsidRDefault="000E0B61" w:rsidP="00EA4BEA">
      <w:pPr>
        <w:spacing w:after="0" w:line="240" w:lineRule="auto"/>
        <w:ind w:firstLine="709"/>
        <w:jc w:val="right"/>
        <w:rPr>
          <w:rFonts w:ascii="Times New Roman" w:hAnsi="Times New Roman" w:cs="Times New Roman"/>
          <w:i/>
          <w:sz w:val="24"/>
          <w:szCs w:val="24"/>
        </w:rPr>
      </w:pPr>
      <w:r>
        <w:rPr>
          <w:rFonts w:ascii="Times New Roman" w:hAnsi="Times New Roman" w:cs="Times New Roman"/>
          <w:i/>
          <w:sz w:val="24"/>
          <w:szCs w:val="24"/>
        </w:rPr>
        <w:t>Таблица 1</w:t>
      </w:r>
    </w:p>
    <w:p w:rsidR="00821B7A" w:rsidRPr="00B208F6" w:rsidRDefault="00821B7A" w:rsidP="00821B7A">
      <w:pPr>
        <w:pStyle w:val="ab"/>
        <w:widowControl w:val="0"/>
        <w:suppressAutoHyphens/>
        <w:spacing w:before="0" w:beforeAutospacing="0" w:after="0" w:afterAutospacing="0"/>
        <w:ind w:firstLine="567"/>
        <w:jc w:val="center"/>
        <w:rPr>
          <w:b/>
          <w:sz w:val="28"/>
          <w:szCs w:val="28"/>
        </w:rPr>
      </w:pPr>
      <w:r w:rsidRPr="00821B7A">
        <w:t>Рассредоточение общего размера денежного достатка населения Вологодской области по 20-процентным группам населения за 2016-2019 гг., %</w:t>
      </w:r>
      <w:r w:rsidRPr="00284CD5">
        <w:t>[10]</w:t>
      </w:r>
    </w:p>
    <w:p w:rsidR="003F3857" w:rsidRDefault="003F3857" w:rsidP="00981905">
      <w:pPr>
        <w:spacing w:after="0" w:line="240" w:lineRule="auto"/>
        <w:jc w:val="center"/>
        <w:rPr>
          <w:rFonts w:ascii="Times New Roman" w:hAnsi="Times New Roman" w:cs="Times New Roman"/>
          <w:sz w:val="24"/>
          <w:szCs w:val="24"/>
        </w:rPr>
      </w:pPr>
    </w:p>
    <w:p w:rsidR="007B457E" w:rsidRPr="00981905" w:rsidRDefault="007B457E" w:rsidP="00981905">
      <w:pPr>
        <w:spacing w:after="0" w:line="240" w:lineRule="auto"/>
        <w:jc w:val="center"/>
        <w:rPr>
          <w:rFonts w:ascii="Times New Roman" w:hAnsi="Times New Roman" w:cs="Times New Roman"/>
          <w:sz w:val="24"/>
          <w:szCs w:val="24"/>
        </w:rPr>
      </w:pPr>
      <w:r w:rsidRPr="007B457E">
        <w:rPr>
          <w:rFonts w:ascii="Times New Roman" w:hAnsi="Times New Roman" w:cs="Times New Roman"/>
          <w:noProof/>
          <w:sz w:val="24"/>
          <w:szCs w:val="24"/>
        </w:rPr>
        <w:lastRenderedPageBreak/>
        <w:drawing>
          <wp:inline distT="0" distB="0" distL="0" distR="0">
            <wp:extent cx="5172075" cy="26574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D43F6E" w:rsidRDefault="00D43F6E" w:rsidP="00981905">
      <w:pPr>
        <w:spacing w:after="0" w:line="240" w:lineRule="auto"/>
        <w:ind w:firstLine="709"/>
        <w:jc w:val="both"/>
        <w:rPr>
          <w:rFonts w:ascii="Times New Roman" w:hAnsi="Times New Roman" w:cs="Times New Roman"/>
          <w:sz w:val="24"/>
          <w:szCs w:val="24"/>
        </w:rPr>
      </w:pPr>
    </w:p>
    <w:p w:rsidR="003F3857" w:rsidRPr="00981905" w:rsidRDefault="003F3857" w:rsidP="00981905">
      <w:pPr>
        <w:spacing w:after="0" w:line="240" w:lineRule="auto"/>
        <w:ind w:firstLine="709"/>
        <w:jc w:val="both"/>
        <w:rPr>
          <w:rFonts w:ascii="Times New Roman" w:hAnsi="Times New Roman" w:cs="Times New Roman"/>
          <w:sz w:val="24"/>
          <w:szCs w:val="24"/>
        </w:rPr>
      </w:pPr>
      <w:r w:rsidRPr="00981905">
        <w:rPr>
          <w:rFonts w:ascii="Times New Roman" w:hAnsi="Times New Roman" w:cs="Times New Roman"/>
          <w:sz w:val="24"/>
          <w:szCs w:val="24"/>
        </w:rPr>
        <w:t xml:space="preserve">В Вологодской области </w:t>
      </w:r>
      <w:r w:rsidR="004454A7">
        <w:rPr>
          <w:rFonts w:ascii="Times New Roman" w:hAnsi="Times New Roman" w:cs="Times New Roman"/>
          <w:sz w:val="24"/>
          <w:szCs w:val="24"/>
        </w:rPr>
        <w:t>б</w:t>
      </w:r>
      <w:r w:rsidRPr="00981905">
        <w:rPr>
          <w:rFonts w:ascii="Times New Roman" w:hAnsi="Times New Roman" w:cs="Times New Roman"/>
          <w:sz w:val="24"/>
          <w:szCs w:val="24"/>
        </w:rPr>
        <w:t xml:space="preserve">ольшая часть населения имеет доходы от 10 до 45 тыс. руб. Также мы видим, что доля населения региона с низким уровнем дохода (менее 10 тыс. руб.) уменьшается и </w:t>
      </w:r>
      <w:r w:rsidR="004454A7">
        <w:rPr>
          <w:rFonts w:ascii="Times New Roman" w:hAnsi="Times New Roman" w:cs="Times New Roman"/>
          <w:sz w:val="24"/>
          <w:szCs w:val="24"/>
        </w:rPr>
        <w:t xml:space="preserve">при этом </w:t>
      </w:r>
      <w:r w:rsidRPr="00981905">
        <w:rPr>
          <w:rFonts w:ascii="Times New Roman" w:hAnsi="Times New Roman" w:cs="Times New Roman"/>
          <w:sz w:val="24"/>
          <w:szCs w:val="24"/>
        </w:rPr>
        <w:t>возрастает</w:t>
      </w:r>
      <w:r w:rsidR="004454A7">
        <w:rPr>
          <w:rFonts w:ascii="Times New Roman" w:hAnsi="Times New Roman" w:cs="Times New Roman"/>
          <w:sz w:val="24"/>
          <w:szCs w:val="24"/>
        </w:rPr>
        <w:t xml:space="preserve"> доля населения с более высокими доходами</w:t>
      </w:r>
      <w:r w:rsidRPr="00981905">
        <w:rPr>
          <w:rFonts w:ascii="Times New Roman" w:hAnsi="Times New Roman" w:cs="Times New Roman"/>
          <w:sz w:val="24"/>
          <w:szCs w:val="24"/>
        </w:rPr>
        <w:t xml:space="preserve"> (более 27 тыс. руб.). Доля населения с доходами от 10 до 14 тыс. руб. стабильна и изменилась за рассматриваемый период незначительно.</w:t>
      </w:r>
    </w:p>
    <w:p w:rsidR="003F3857" w:rsidRPr="00981905" w:rsidRDefault="004A6BA5" w:rsidP="00981905">
      <w:pPr>
        <w:spacing w:after="0" w:line="240" w:lineRule="auto"/>
        <w:ind w:firstLine="709"/>
        <w:jc w:val="both"/>
        <w:rPr>
          <w:rFonts w:ascii="Times New Roman" w:hAnsi="Times New Roman" w:cs="Times New Roman"/>
          <w:sz w:val="24"/>
          <w:szCs w:val="24"/>
        </w:rPr>
      </w:pPr>
      <w:r w:rsidRPr="00981905">
        <w:rPr>
          <w:rFonts w:ascii="Times New Roman" w:hAnsi="Times New Roman" w:cs="Times New Roman"/>
          <w:sz w:val="24"/>
          <w:szCs w:val="24"/>
        </w:rPr>
        <w:t>Официальные расчеты масштабов бедности в России основаны на определении доли населения с доходами ниже прожиточного минимума. Прожиточный минимум, в свою очередь, ежеквартально рассчитывается как стоимостная оценка зафиксированного набора продуктов питания, а также доли расходов на товары и услуги, минимально необходимые для жизни.</w:t>
      </w:r>
      <w:r w:rsidR="0092277C">
        <w:rPr>
          <w:rFonts w:ascii="Times New Roman" w:hAnsi="Times New Roman" w:cs="Times New Roman"/>
          <w:sz w:val="24"/>
          <w:szCs w:val="24"/>
        </w:rPr>
        <w:t xml:space="preserve"> </w:t>
      </w:r>
      <w:r w:rsidR="003F3857" w:rsidRPr="00981905">
        <w:rPr>
          <w:rFonts w:ascii="Times New Roman" w:hAnsi="Times New Roman" w:cs="Times New Roman"/>
          <w:sz w:val="24"/>
          <w:szCs w:val="24"/>
        </w:rPr>
        <w:t>Численность населения с денежными доходами ниже величины прожиточного минимума (в процентах от общей численности насе</w:t>
      </w:r>
      <w:r w:rsidR="00726E75" w:rsidRPr="00981905">
        <w:rPr>
          <w:rFonts w:ascii="Times New Roman" w:hAnsi="Times New Roman" w:cs="Times New Roman"/>
          <w:sz w:val="24"/>
          <w:szCs w:val="24"/>
        </w:rPr>
        <w:t>ления) представлена на рисунке 1</w:t>
      </w:r>
      <w:r w:rsidR="003F3857" w:rsidRPr="00981905">
        <w:rPr>
          <w:rFonts w:ascii="Times New Roman" w:hAnsi="Times New Roman" w:cs="Times New Roman"/>
          <w:sz w:val="24"/>
          <w:szCs w:val="24"/>
        </w:rPr>
        <w:t>.</w:t>
      </w:r>
    </w:p>
    <w:p w:rsidR="003F3857" w:rsidRPr="00981905" w:rsidRDefault="003F3857" w:rsidP="003F3857">
      <w:pPr>
        <w:spacing w:line="368" w:lineRule="atLeast"/>
        <w:jc w:val="center"/>
        <w:rPr>
          <w:rFonts w:ascii="Times New Roman" w:hAnsi="Times New Roman" w:cs="Times New Roman"/>
          <w:sz w:val="24"/>
          <w:szCs w:val="24"/>
        </w:rPr>
      </w:pPr>
      <w:r w:rsidRPr="00981905">
        <w:rPr>
          <w:rFonts w:ascii="Times New Roman" w:hAnsi="Times New Roman" w:cs="Times New Roman"/>
          <w:noProof/>
          <w:sz w:val="24"/>
          <w:szCs w:val="24"/>
        </w:rPr>
        <w:drawing>
          <wp:inline distT="0" distB="0" distL="0" distR="0">
            <wp:extent cx="5295900" cy="1838325"/>
            <wp:effectExtent l="19050" t="0" r="19050" b="0"/>
            <wp:docPr id="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F3857" w:rsidRPr="00690867" w:rsidRDefault="00726E75" w:rsidP="00D43F6E">
      <w:pPr>
        <w:spacing w:after="0" w:line="240" w:lineRule="auto"/>
        <w:jc w:val="center"/>
        <w:rPr>
          <w:rFonts w:ascii="Times New Roman" w:hAnsi="Times New Roman" w:cs="Times New Roman"/>
          <w:sz w:val="24"/>
          <w:szCs w:val="24"/>
        </w:rPr>
      </w:pPr>
      <w:r w:rsidRPr="00981905">
        <w:rPr>
          <w:rFonts w:ascii="Times New Roman" w:hAnsi="Times New Roman" w:cs="Times New Roman"/>
          <w:sz w:val="24"/>
          <w:szCs w:val="24"/>
        </w:rPr>
        <w:t>Рисунок 1</w:t>
      </w:r>
      <w:r w:rsidR="00D92F73">
        <w:rPr>
          <w:rFonts w:ascii="Times New Roman" w:hAnsi="Times New Roman" w:cs="Times New Roman"/>
          <w:sz w:val="24"/>
          <w:szCs w:val="24"/>
        </w:rPr>
        <w:t>.</w:t>
      </w:r>
      <w:r w:rsidR="003F3857" w:rsidRPr="00981905">
        <w:rPr>
          <w:rFonts w:ascii="Times New Roman" w:hAnsi="Times New Roman" w:cs="Times New Roman"/>
          <w:sz w:val="24"/>
          <w:szCs w:val="24"/>
        </w:rPr>
        <w:t xml:space="preserve"> Численность населения с денежными доходами ниже величины прожиточного минимума</w:t>
      </w:r>
      <w:r w:rsidR="007E0A35" w:rsidRPr="00981905">
        <w:rPr>
          <w:rFonts w:ascii="Times New Roman" w:hAnsi="Times New Roman" w:cs="Times New Roman"/>
          <w:sz w:val="24"/>
          <w:szCs w:val="24"/>
        </w:rPr>
        <w:t xml:space="preserve"> Вологодской области с 2016-2019 гг.</w:t>
      </w:r>
      <w:r w:rsidR="005505A9" w:rsidRPr="00981905">
        <w:rPr>
          <w:rFonts w:ascii="Times New Roman" w:hAnsi="Times New Roman" w:cs="Times New Roman"/>
          <w:sz w:val="24"/>
          <w:szCs w:val="24"/>
        </w:rPr>
        <w:t xml:space="preserve"> </w:t>
      </w:r>
      <w:r w:rsidR="005505A9" w:rsidRPr="00D92F73">
        <w:rPr>
          <w:rFonts w:ascii="Times New Roman" w:hAnsi="Times New Roman" w:cs="Times New Roman"/>
          <w:sz w:val="24"/>
          <w:szCs w:val="24"/>
        </w:rPr>
        <w:t>[</w:t>
      </w:r>
      <w:r w:rsidR="00284CD5">
        <w:rPr>
          <w:rFonts w:ascii="Times New Roman" w:hAnsi="Times New Roman" w:cs="Times New Roman"/>
          <w:sz w:val="24"/>
          <w:szCs w:val="24"/>
        </w:rPr>
        <w:t>10</w:t>
      </w:r>
      <w:r w:rsidR="00284CD5" w:rsidRPr="00690867">
        <w:rPr>
          <w:rFonts w:ascii="Times New Roman" w:hAnsi="Times New Roman" w:cs="Times New Roman"/>
          <w:sz w:val="24"/>
          <w:szCs w:val="24"/>
        </w:rPr>
        <w:t>]</w:t>
      </w:r>
    </w:p>
    <w:p w:rsidR="00D43F6E" w:rsidRPr="00981905" w:rsidRDefault="00D43F6E" w:rsidP="00D43F6E">
      <w:pPr>
        <w:spacing w:after="0" w:line="240" w:lineRule="auto"/>
        <w:jc w:val="center"/>
        <w:rPr>
          <w:rFonts w:ascii="Times New Roman" w:hAnsi="Times New Roman" w:cs="Times New Roman"/>
          <w:sz w:val="24"/>
          <w:szCs w:val="24"/>
        </w:rPr>
      </w:pPr>
    </w:p>
    <w:p w:rsidR="003D75F7" w:rsidRPr="00AB35B5" w:rsidRDefault="003F3857" w:rsidP="00AB35B5">
      <w:pPr>
        <w:pStyle w:val="a5"/>
        <w:spacing w:before="0"/>
        <w:ind w:left="0" w:right="0" w:firstLine="709"/>
        <w:rPr>
          <w:b w:val="0"/>
          <w:sz w:val="24"/>
          <w:szCs w:val="24"/>
        </w:rPr>
      </w:pPr>
      <w:r w:rsidRPr="00981905">
        <w:rPr>
          <w:b w:val="0"/>
          <w:color w:val="000000"/>
          <w:sz w:val="24"/>
          <w:szCs w:val="24"/>
          <w:shd w:val="clear" w:color="auto" w:fill="FFFFFF"/>
        </w:rPr>
        <w:t>Исходя из рисунка видно, что с 2016 года произошло у</w:t>
      </w:r>
      <w:r w:rsidR="00F50A5C" w:rsidRPr="00981905">
        <w:rPr>
          <w:b w:val="0"/>
          <w:color w:val="000000"/>
          <w:sz w:val="24"/>
          <w:szCs w:val="24"/>
          <w:shd w:val="clear" w:color="auto" w:fill="FFFFFF"/>
        </w:rPr>
        <w:t>величение</w:t>
      </w:r>
      <w:r w:rsidRPr="00981905">
        <w:rPr>
          <w:b w:val="0"/>
          <w:color w:val="000000"/>
          <w:sz w:val="24"/>
          <w:szCs w:val="24"/>
          <w:shd w:val="clear" w:color="auto" w:fill="FFFFFF"/>
        </w:rPr>
        <w:t xml:space="preserve"> численности населения с денежными доходами ниже величины прожиточного минимума: с </w:t>
      </w:r>
      <w:r w:rsidR="00642BBA" w:rsidRPr="00981905">
        <w:rPr>
          <w:b w:val="0"/>
          <w:color w:val="000000"/>
          <w:sz w:val="24"/>
          <w:szCs w:val="24"/>
          <w:shd w:val="clear" w:color="auto" w:fill="FFFFFF"/>
        </w:rPr>
        <w:t>11,5</w:t>
      </w:r>
      <w:r w:rsidRPr="00981905">
        <w:rPr>
          <w:b w:val="0"/>
          <w:color w:val="000000"/>
          <w:sz w:val="24"/>
          <w:szCs w:val="24"/>
          <w:shd w:val="clear" w:color="auto" w:fill="FFFFFF"/>
        </w:rPr>
        <w:t xml:space="preserve"> % в 2016 году до 12,9% в 2019 </w:t>
      </w:r>
      <w:r w:rsidR="00895C0C" w:rsidRPr="00981905">
        <w:rPr>
          <w:b w:val="0"/>
          <w:color w:val="000000"/>
          <w:sz w:val="24"/>
          <w:szCs w:val="24"/>
          <w:shd w:val="clear" w:color="auto" w:fill="FFFFFF"/>
        </w:rPr>
        <w:t>году</w:t>
      </w:r>
      <w:r w:rsidR="00F50A5C" w:rsidRPr="00981905">
        <w:rPr>
          <w:b w:val="0"/>
          <w:color w:val="000000"/>
          <w:sz w:val="24"/>
          <w:szCs w:val="24"/>
          <w:shd w:val="clear" w:color="auto" w:fill="FFFFFF"/>
        </w:rPr>
        <w:t xml:space="preserve"> (</w:t>
      </w:r>
      <w:r w:rsidR="00642BBA" w:rsidRPr="00981905">
        <w:rPr>
          <w:b w:val="0"/>
          <w:color w:val="000000"/>
          <w:sz w:val="24"/>
          <w:szCs w:val="24"/>
          <w:shd w:val="clear" w:color="auto" w:fill="FFFFFF"/>
        </w:rPr>
        <w:t xml:space="preserve">увеличился </w:t>
      </w:r>
      <w:proofErr w:type="gramStart"/>
      <w:r w:rsidR="00642BBA" w:rsidRPr="00981905">
        <w:rPr>
          <w:b w:val="0"/>
          <w:color w:val="000000"/>
          <w:sz w:val="24"/>
          <w:szCs w:val="24"/>
          <w:shd w:val="clear" w:color="auto" w:fill="FFFFFF"/>
        </w:rPr>
        <w:t>на</w:t>
      </w:r>
      <w:proofErr w:type="gramEnd"/>
      <w:r w:rsidR="00642BBA" w:rsidRPr="00981905">
        <w:rPr>
          <w:b w:val="0"/>
          <w:color w:val="000000"/>
          <w:sz w:val="24"/>
          <w:szCs w:val="24"/>
          <w:shd w:val="clear" w:color="auto" w:fill="FFFFFF"/>
        </w:rPr>
        <w:t xml:space="preserve"> 12,2%</w:t>
      </w:r>
      <w:r w:rsidR="00F50A5C" w:rsidRPr="00981905">
        <w:rPr>
          <w:b w:val="0"/>
          <w:color w:val="000000"/>
          <w:sz w:val="24"/>
          <w:szCs w:val="24"/>
          <w:shd w:val="clear" w:color="auto" w:fill="FFFFFF"/>
        </w:rPr>
        <w:t>)</w:t>
      </w:r>
      <w:r w:rsidR="00642BBA" w:rsidRPr="00981905">
        <w:rPr>
          <w:b w:val="0"/>
          <w:color w:val="000000"/>
          <w:sz w:val="24"/>
          <w:szCs w:val="24"/>
          <w:shd w:val="clear" w:color="auto" w:fill="FFFFFF"/>
        </w:rPr>
        <w:t xml:space="preserve">. </w:t>
      </w:r>
      <w:r w:rsidR="00100DCE" w:rsidRPr="00981905">
        <w:rPr>
          <w:b w:val="0"/>
          <w:color w:val="000000"/>
          <w:sz w:val="24"/>
          <w:szCs w:val="24"/>
          <w:shd w:val="clear" w:color="auto" w:fill="FFFFFF"/>
        </w:rPr>
        <w:t xml:space="preserve">Однако, количество </w:t>
      </w:r>
      <w:proofErr w:type="gramStart"/>
      <w:r w:rsidR="00100DCE" w:rsidRPr="00981905">
        <w:rPr>
          <w:b w:val="0"/>
          <w:color w:val="000000"/>
          <w:sz w:val="24"/>
          <w:szCs w:val="24"/>
          <w:shd w:val="clear" w:color="auto" w:fill="FFFFFF"/>
        </w:rPr>
        <w:t>населения, имеющего доходы ниже прожиточного минимума имели</w:t>
      </w:r>
      <w:proofErr w:type="gramEnd"/>
      <w:r w:rsidR="00100DCE" w:rsidRPr="00981905">
        <w:rPr>
          <w:b w:val="0"/>
          <w:color w:val="000000"/>
          <w:sz w:val="24"/>
          <w:szCs w:val="24"/>
          <w:shd w:val="clear" w:color="auto" w:fill="FFFFFF"/>
        </w:rPr>
        <w:t xml:space="preserve"> тенденцию к снижению.</w:t>
      </w:r>
      <w:r w:rsidR="00AB35B5">
        <w:rPr>
          <w:b w:val="0"/>
          <w:color w:val="000000"/>
          <w:sz w:val="24"/>
          <w:szCs w:val="24"/>
          <w:shd w:val="clear" w:color="auto" w:fill="FFFFFF"/>
        </w:rPr>
        <w:t xml:space="preserve"> Кроме этого следует отметить </w:t>
      </w:r>
      <w:r w:rsidR="00D040FF" w:rsidRPr="00981905">
        <w:rPr>
          <w:b w:val="0"/>
          <w:color w:val="000000"/>
          <w:sz w:val="24"/>
          <w:szCs w:val="24"/>
          <w:shd w:val="clear" w:color="auto" w:fill="FFFFFF"/>
        </w:rPr>
        <w:t>крайне неравномерно</w:t>
      </w:r>
      <w:r w:rsidR="00AB35B5">
        <w:rPr>
          <w:b w:val="0"/>
          <w:color w:val="000000"/>
          <w:sz w:val="24"/>
          <w:szCs w:val="24"/>
          <w:shd w:val="clear" w:color="auto" w:fill="FFFFFF"/>
        </w:rPr>
        <w:t xml:space="preserve">е распределение доходов. </w:t>
      </w:r>
      <w:r w:rsidR="003D75F7" w:rsidRPr="00AB35B5">
        <w:rPr>
          <w:b w:val="0"/>
          <w:sz w:val="24"/>
          <w:szCs w:val="24"/>
        </w:rPr>
        <w:t>Перераспределение общего объема денежных доходов в пользу высокодоходного населения</w:t>
      </w:r>
      <w:r w:rsidR="00AB35B5">
        <w:rPr>
          <w:b w:val="0"/>
          <w:sz w:val="24"/>
          <w:szCs w:val="24"/>
        </w:rPr>
        <w:t xml:space="preserve"> за последние годы </w:t>
      </w:r>
      <w:r w:rsidR="003D75F7" w:rsidRPr="00AB35B5">
        <w:rPr>
          <w:b w:val="0"/>
          <w:sz w:val="24"/>
          <w:szCs w:val="24"/>
        </w:rPr>
        <w:t xml:space="preserve"> не способствует улучшению жизни большей части населения региона.</w:t>
      </w:r>
    </w:p>
    <w:p w:rsidR="00AB35B5" w:rsidRDefault="00AB35B5" w:rsidP="00AB35B5">
      <w:pPr>
        <w:spacing w:after="0" w:line="240" w:lineRule="auto"/>
        <w:ind w:firstLine="709"/>
        <w:jc w:val="both"/>
        <w:rPr>
          <w:rFonts w:ascii="Times New Roman" w:hAnsi="Times New Roman" w:cs="Times New Roman"/>
          <w:sz w:val="24"/>
          <w:szCs w:val="24"/>
        </w:rPr>
      </w:pPr>
      <w:r w:rsidRPr="00981905">
        <w:rPr>
          <w:rFonts w:ascii="Times New Roman" w:hAnsi="Times New Roman" w:cs="Times New Roman"/>
          <w:sz w:val="24"/>
          <w:szCs w:val="24"/>
        </w:rPr>
        <w:t xml:space="preserve">Для более детального рассмотрения неравенства в распределении доходов обратим внимание на два основных коэффициента </w:t>
      </w:r>
      <w:r>
        <w:rPr>
          <w:rFonts w:ascii="Times New Roman" w:hAnsi="Times New Roman" w:cs="Times New Roman"/>
          <w:sz w:val="24"/>
          <w:szCs w:val="24"/>
        </w:rPr>
        <w:t xml:space="preserve">оценки </w:t>
      </w:r>
      <w:r w:rsidR="00486BD1">
        <w:rPr>
          <w:rFonts w:ascii="Times New Roman" w:hAnsi="Times New Roman" w:cs="Times New Roman"/>
          <w:sz w:val="24"/>
          <w:szCs w:val="24"/>
        </w:rPr>
        <w:t>социального неравенства</w:t>
      </w:r>
      <w:r w:rsidRPr="00981905">
        <w:rPr>
          <w:rFonts w:ascii="Times New Roman" w:hAnsi="Times New Roman" w:cs="Times New Roman"/>
          <w:sz w:val="24"/>
          <w:szCs w:val="24"/>
        </w:rPr>
        <w:t xml:space="preserve"> населения. За рассматриваемый период с 2016 по 2019 гг. </w:t>
      </w:r>
      <w:r>
        <w:rPr>
          <w:rFonts w:ascii="Times New Roman" w:hAnsi="Times New Roman" w:cs="Times New Roman"/>
          <w:sz w:val="24"/>
          <w:szCs w:val="24"/>
        </w:rPr>
        <w:t>к</w:t>
      </w:r>
      <w:r w:rsidRPr="00981905">
        <w:rPr>
          <w:rFonts w:ascii="Times New Roman" w:hAnsi="Times New Roman" w:cs="Times New Roman"/>
          <w:sz w:val="24"/>
          <w:szCs w:val="24"/>
        </w:rPr>
        <w:t xml:space="preserve">оэффициент Джини уменьшился до 0,355. С </w:t>
      </w:r>
      <w:r w:rsidRPr="00981905">
        <w:rPr>
          <w:rFonts w:ascii="Times New Roman" w:hAnsi="Times New Roman" w:cs="Times New Roman"/>
          <w:sz w:val="24"/>
          <w:szCs w:val="24"/>
        </w:rPr>
        <w:lastRenderedPageBreak/>
        <w:t>2016 по 2019 гг. социально-экономическая дифференциация в Вологодской области, числовым показателем которой является коэффициент фондов</w:t>
      </w:r>
      <w:r w:rsidRPr="00486BD1">
        <w:rPr>
          <w:rFonts w:ascii="Times New Roman" w:hAnsi="Times New Roman" w:cs="Times New Roman"/>
          <w:sz w:val="24"/>
          <w:szCs w:val="24"/>
        </w:rPr>
        <w:t xml:space="preserve">, </w:t>
      </w:r>
      <w:r w:rsidRPr="00981905">
        <w:rPr>
          <w:rFonts w:ascii="Times New Roman" w:hAnsi="Times New Roman" w:cs="Times New Roman"/>
          <w:sz w:val="24"/>
          <w:szCs w:val="24"/>
        </w:rPr>
        <w:t>уменьшается более чем на 8%: 11,2 в 2016 г. против 10,4 в 2019 г., что свидетельствует о том, что доходы населения Вологодской области приближаются к равномерному распределению (чем ниже коэффициент, тем равномернее распределяются доходы)</w:t>
      </w:r>
      <w:r w:rsidR="0092277C">
        <w:rPr>
          <w:rFonts w:ascii="Times New Roman" w:hAnsi="Times New Roman" w:cs="Times New Roman"/>
          <w:sz w:val="24"/>
          <w:szCs w:val="24"/>
        </w:rPr>
        <w:t>.</w:t>
      </w:r>
    </w:p>
    <w:p w:rsidR="00012283" w:rsidRPr="00981905" w:rsidRDefault="00B43E92" w:rsidP="00012283">
      <w:pPr>
        <w:spacing w:after="0" w:line="360" w:lineRule="auto"/>
        <w:jc w:val="center"/>
        <w:rPr>
          <w:rFonts w:ascii="Times New Roman" w:hAnsi="Times New Roman" w:cs="Times New Roman"/>
          <w:sz w:val="24"/>
          <w:szCs w:val="24"/>
          <w:lang w:val="en-US"/>
        </w:rPr>
      </w:pPr>
      <w:r w:rsidRPr="00981905">
        <w:rPr>
          <w:rFonts w:ascii="Times New Roman" w:hAnsi="Times New Roman" w:cs="Times New Roman"/>
          <w:noProof/>
          <w:sz w:val="24"/>
          <w:szCs w:val="24"/>
        </w:rPr>
        <w:drawing>
          <wp:inline distT="0" distB="0" distL="0" distR="0">
            <wp:extent cx="4276725" cy="2124075"/>
            <wp:effectExtent l="19050" t="0" r="9525"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505A9" w:rsidRDefault="00726E75" w:rsidP="00B271F9">
      <w:pPr>
        <w:spacing w:after="0" w:line="240" w:lineRule="auto"/>
        <w:jc w:val="center"/>
        <w:rPr>
          <w:rFonts w:ascii="Times New Roman" w:hAnsi="Times New Roman" w:cs="Times New Roman"/>
          <w:sz w:val="24"/>
          <w:szCs w:val="24"/>
        </w:rPr>
      </w:pPr>
      <w:r w:rsidRPr="00981905">
        <w:rPr>
          <w:rFonts w:ascii="Times New Roman" w:hAnsi="Times New Roman" w:cs="Times New Roman"/>
          <w:sz w:val="24"/>
          <w:szCs w:val="24"/>
        </w:rPr>
        <w:t>Рисунок 2</w:t>
      </w:r>
      <w:r w:rsidR="00D43F6E">
        <w:rPr>
          <w:rFonts w:ascii="Times New Roman" w:hAnsi="Times New Roman" w:cs="Times New Roman"/>
          <w:sz w:val="24"/>
          <w:szCs w:val="24"/>
        </w:rPr>
        <w:t xml:space="preserve">. </w:t>
      </w:r>
      <w:r w:rsidR="00012283" w:rsidRPr="00981905">
        <w:rPr>
          <w:rFonts w:ascii="Times New Roman" w:hAnsi="Times New Roman" w:cs="Times New Roman"/>
          <w:sz w:val="24"/>
          <w:szCs w:val="24"/>
        </w:rPr>
        <w:t>График Лоренца по Вологодской области за 2016-2019 гг</w:t>
      </w:r>
      <w:r w:rsidR="00B43E92" w:rsidRPr="00981905">
        <w:rPr>
          <w:rFonts w:ascii="Times New Roman" w:hAnsi="Times New Roman" w:cs="Times New Roman"/>
          <w:sz w:val="24"/>
          <w:szCs w:val="24"/>
        </w:rPr>
        <w:t>.</w:t>
      </w:r>
    </w:p>
    <w:p w:rsidR="00EA4BEA" w:rsidRDefault="00EA4BEA" w:rsidP="00B271F9">
      <w:pPr>
        <w:spacing w:after="0" w:line="240" w:lineRule="auto"/>
        <w:jc w:val="center"/>
        <w:rPr>
          <w:rFonts w:ascii="Times New Roman" w:hAnsi="Times New Roman" w:cs="Times New Roman"/>
          <w:sz w:val="24"/>
          <w:szCs w:val="24"/>
        </w:rPr>
      </w:pPr>
    </w:p>
    <w:p w:rsidR="00981905" w:rsidRPr="00981905" w:rsidRDefault="00792D3E" w:rsidP="00981905">
      <w:pPr>
        <w:spacing w:after="0" w:line="240" w:lineRule="auto"/>
        <w:ind w:firstLine="709"/>
        <w:jc w:val="right"/>
        <w:rPr>
          <w:rFonts w:ascii="Times New Roman" w:hAnsi="Times New Roman" w:cs="Times New Roman"/>
          <w:i/>
          <w:sz w:val="24"/>
          <w:szCs w:val="24"/>
        </w:rPr>
      </w:pPr>
      <w:r w:rsidRPr="00981905">
        <w:rPr>
          <w:rFonts w:ascii="Times New Roman" w:hAnsi="Times New Roman" w:cs="Times New Roman"/>
          <w:i/>
          <w:sz w:val="24"/>
          <w:szCs w:val="24"/>
        </w:rPr>
        <w:t xml:space="preserve">Таблица </w:t>
      </w:r>
      <w:r w:rsidR="00486BD1">
        <w:rPr>
          <w:rFonts w:ascii="Times New Roman" w:hAnsi="Times New Roman" w:cs="Times New Roman"/>
          <w:i/>
          <w:sz w:val="24"/>
          <w:szCs w:val="24"/>
        </w:rPr>
        <w:t>2</w:t>
      </w:r>
      <w:r w:rsidRPr="00981905">
        <w:rPr>
          <w:rFonts w:ascii="Times New Roman" w:hAnsi="Times New Roman" w:cs="Times New Roman"/>
          <w:i/>
          <w:sz w:val="24"/>
          <w:szCs w:val="24"/>
        </w:rPr>
        <w:t xml:space="preserve"> </w:t>
      </w:r>
    </w:p>
    <w:p w:rsidR="00792D3E" w:rsidRPr="00981905" w:rsidRDefault="00025126" w:rsidP="00025126">
      <w:pPr>
        <w:spacing w:after="0" w:line="240" w:lineRule="auto"/>
        <w:ind w:firstLine="142"/>
        <w:jc w:val="center"/>
        <w:rPr>
          <w:rFonts w:ascii="Times New Roman" w:hAnsi="Times New Roman" w:cs="Times New Roman"/>
          <w:b/>
          <w:spacing w:val="4"/>
          <w:sz w:val="24"/>
          <w:szCs w:val="24"/>
        </w:rPr>
      </w:pPr>
      <w:r>
        <w:rPr>
          <w:rFonts w:ascii="Times New Roman" w:hAnsi="Times New Roman" w:cs="Times New Roman"/>
          <w:spacing w:val="4"/>
          <w:sz w:val="24"/>
          <w:szCs w:val="24"/>
        </w:rPr>
        <w:t xml:space="preserve">Расчет </w:t>
      </w:r>
      <w:r w:rsidR="00792D3E" w:rsidRPr="00981905">
        <w:rPr>
          <w:rFonts w:ascii="Times New Roman" w:hAnsi="Times New Roman" w:cs="Times New Roman"/>
          <w:spacing w:val="4"/>
          <w:sz w:val="24"/>
          <w:szCs w:val="24"/>
        </w:rPr>
        <w:t xml:space="preserve">коэффициента фондов </w:t>
      </w:r>
      <w:r>
        <w:rPr>
          <w:rFonts w:ascii="Times New Roman" w:hAnsi="Times New Roman" w:cs="Times New Roman"/>
          <w:spacing w:val="4"/>
          <w:sz w:val="24"/>
          <w:szCs w:val="24"/>
        </w:rPr>
        <w:t xml:space="preserve">и индекса Джини </w:t>
      </w:r>
      <w:r w:rsidR="00792D3E" w:rsidRPr="00981905">
        <w:rPr>
          <w:rFonts w:ascii="Times New Roman" w:hAnsi="Times New Roman" w:cs="Times New Roman"/>
          <w:spacing w:val="4"/>
          <w:sz w:val="24"/>
          <w:szCs w:val="24"/>
        </w:rPr>
        <w:t>для Вологодской области</w:t>
      </w:r>
      <w:r w:rsidR="00753AA1" w:rsidRPr="00981905">
        <w:rPr>
          <w:rFonts w:ascii="Times New Roman" w:hAnsi="Times New Roman" w:cs="Times New Roman"/>
          <w:spacing w:val="4"/>
          <w:sz w:val="24"/>
          <w:szCs w:val="24"/>
        </w:rPr>
        <w:t xml:space="preserve"> </w:t>
      </w:r>
      <w:r w:rsidR="0060122B" w:rsidRPr="00981905">
        <w:rPr>
          <w:rFonts w:ascii="Times New Roman" w:hAnsi="Times New Roman" w:cs="Times New Roman"/>
          <w:spacing w:val="4"/>
          <w:sz w:val="24"/>
          <w:szCs w:val="24"/>
        </w:rPr>
        <w:t>на</w:t>
      </w:r>
      <w:r w:rsidR="00753AA1" w:rsidRPr="00981905">
        <w:rPr>
          <w:rFonts w:ascii="Times New Roman" w:hAnsi="Times New Roman" w:cs="Times New Roman"/>
          <w:spacing w:val="4"/>
          <w:sz w:val="24"/>
          <w:szCs w:val="24"/>
        </w:rPr>
        <w:t xml:space="preserve"> 2020 год</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1417"/>
        <w:gridCol w:w="1843"/>
        <w:gridCol w:w="2126"/>
        <w:gridCol w:w="2517"/>
      </w:tblGrid>
      <w:tr w:rsidR="00792D3E" w:rsidRPr="00981905" w:rsidTr="005505A9">
        <w:trPr>
          <w:jc w:val="center"/>
        </w:trPr>
        <w:tc>
          <w:tcPr>
            <w:tcW w:w="1668" w:type="dxa"/>
          </w:tcPr>
          <w:p w:rsidR="00792D3E" w:rsidRPr="00981905" w:rsidRDefault="008519B1" w:rsidP="008F5ABF">
            <w:pPr>
              <w:spacing w:after="0" w:line="240" w:lineRule="auto"/>
              <w:jc w:val="center"/>
              <w:rPr>
                <w:rFonts w:ascii="Times New Roman" w:eastAsia="Times New Roman" w:hAnsi="Times New Roman" w:cs="Times New Roman"/>
                <w:color w:val="000000"/>
                <w:sz w:val="24"/>
                <w:szCs w:val="24"/>
              </w:rPr>
            </w:pPr>
            <w:r>
              <w:rPr>
                <w:position w:val="-3"/>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5pt;height:15.75pt" filled="t">
                  <v:fill color2="black"/>
                  <v:imagedata r:id="rId12" o:title=""/>
                </v:shape>
              </w:pict>
            </w:r>
          </w:p>
        </w:tc>
        <w:tc>
          <w:tcPr>
            <w:tcW w:w="1417" w:type="dxa"/>
          </w:tcPr>
          <w:p w:rsidR="00792D3E" w:rsidRPr="00981905" w:rsidRDefault="008519B1" w:rsidP="005505A9">
            <w:pPr>
              <w:spacing w:after="0" w:line="240" w:lineRule="auto"/>
              <w:jc w:val="center"/>
              <w:rPr>
                <w:rFonts w:ascii="Times New Roman" w:eastAsia="Times New Roman" w:hAnsi="Times New Roman" w:cs="Times New Roman"/>
                <w:color w:val="000000"/>
                <w:sz w:val="24"/>
                <w:szCs w:val="24"/>
              </w:rPr>
            </w:pPr>
            <w:r>
              <w:rPr>
                <w:position w:val="-3"/>
              </w:rPr>
              <w:pict>
                <v:shape id="_x0000_i1026" type="#_x0000_t75" style="width:18pt;height:15.75pt" filled="t">
                  <v:fill color2="black"/>
                  <v:imagedata r:id="rId13" o:title=""/>
                </v:shape>
              </w:pict>
            </w:r>
          </w:p>
        </w:tc>
        <w:tc>
          <w:tcPr>
            <w:tcW w:w="1843" w:type="dxa"/>
          </w:tcPr>
          <w:p w:rsidR="00792D3E" w:rsidRPr="00981905" w:rsidRDefault="008519B1" w:rsidP="00197C63">
            <w:pPr>
              <w:spacing w:after="0" w:line="240" w:lineRule="auto"/>
              <w:jc w:val="center"/>
              <w:rPr>
                <w:rFonts w:ascii="Times New Roman" w:eastAsia="Times New Roman" w:hAnsi="Times New Roman" w:cs="Times New Roman"/>
                <w:color w:val="000000"/>
                <w:sz w:val="24"/>
                <w:szCs w:val="24"/>
              </w:rPr>
            </w:pPr>
            <w:r>
              <w:rPr>
                <w:position w:val="-3"/>
              </w:rPr>
              <w:pict>
                <v:shape id="_x0000_i1027" type="#_x0000_t75" style="width:18pt;height:15.75pt" filled="t">
                  <v:fill color2="black"/>
                  <v:imagedata r:id="rId13" o:title=""/>
                </v:shape>
              </w:pict>
            </w:r>
            <w:r w:rsidR="00B82415">
              <w:rPr>
                <w:lang w:val="en-US"/>
              </w:rPr>
              <w:t>*(</w:t>
            </w:r>
            <w:r>
              <w:rPr>
                <w:position w:val="-3"/>
              </w:rPr>
              <w:pict>
                <v:shape id="_x0000_i1028" type="#_x0000_t75" style="width:27.75pt;height:15.75pt" filled="t">
                  <v:fill color2="black"/>
                  <v:imagedata r:id="rId12" o:title=""/>
                </v:shape>
              </w:pict>
            </w:r>
            <w:r w:rsidR="00B82415">
              <w:rPr>
                <w:lang w:val="en-US"/>
              </w:rPr>
              <w:t>)</w:t>
            </w:r>
          </w:p>
        </w:tc>
        <w:tc>
          <w:tcPr>
            <w:tcW w:w="2126" w:type="dxa"/>
          </w:tcPr>
          <w:p w:rsidR="00792D3E" w:rsidRPr="00981905" w:rsidRDefault="00FB4F40" w:rsidP="00197C63">
            <w:pPr>
              <w:spacing w:after="0" w:line="240" w:lineRule="auto"/>
              <w:jc w:val="center"/>
              <w:rPr>
                <w:rFonts w:ascii="Times New Roman" w:eastAsia="Times New Roman" w:hAnsi="Times New Roman" w:cs="Times New Roman"/>
                <w:color w:val="000000"/>
                <w:sz w:val="24"/>
                <w:szCs w:val="24"/>
              </w:rPr>
            </w:pPr>
            <w:r>
              <w:rPr>
                <w:lang w:val="en-US"/>
              </w:rPr>
              <w:t>∑</w:t>
            </w:r>
            <w:r w:rsidR="008519B1">
              <w:rPr>
                <w:position w:val="-3"/>
              </w:rPr>
              <w:pict>
                <v:shape id="_x0000_i1029" type="#_x0000_t75" style="width:27.75pt;height:15.75pt" filled="t">
                  <v:fill color2="black"/>
                  <v:imagedata r:id="rId12" o:title=""/>
                </v:shape>
              </w:pict>
            </w:r>
          </w:p>
        </w:tc>
        <w:tc>
          <w:tcPr>
            <w:tcW w:w="2517" w:type="dxa"/>
          </w:tcPr>
          <w:p w:rsidR="00792D3E" w:rsidRPr="00981905" w:rsidRDefault="008519B1" w:rsidP="00197C63">
            <w:pPr>
              <w:spacing w:after="0" w:line="240" w:lineRule="auto"/>
              <w:jc w:val="center"/>
              <w:rPr>
                <w:rFonts w:ascii="Times New Roman" w:eastAsia="Times New Roman" w:hAnsi="Times New Roman" w:cs="Times New Roman"/>
                <w:color w:val="000000"/>
                <w:sz w:val="24"/>
                <w:szCs w:val="24"/>
              </w:rPr>
            </w:pPr>
            <w:r>
              <w:rPr>
                <w:position w:val="-3"/>
              </w:rPr>
              <w:pict>
                <v:shape id="_x0000_i1030" type="#_x0000_t75" style="width:18pt;height:15.75pt" filled="t">
                  <v:fill color2="black"/>
                  <v:imagedata r:id="rId13" o:title=""/>
                </v:shape>
              </w:pict>
            </w:r>
            <w:r w:rsidR="00197C63">
              <w:rPr>
                <w:lang w:val="en-US"/>
              </w:rPr>
              <w:t>*(∑</w:t>
            </w:r>
            <w:r>
              <w:rPr>
                <w:position w:val="-3"/>
              </w:rPr>
              <w:pict>
                <v:shape id="_x0000_i1031" type="#_x0000_t75" style="width:27.75pt;height:15.75pt" filled="t">
                  <v:fill color2="black"/>
                  <v:imagedata r:id="rId12" o:title=""/>
                </v:shape>
              </w:pict>
            </w:r>
            <w:r w:rsidR="00197C63">
              <w:rPr>
                <w:lang w:val="en-US"/>
              </w:rPr>
              <w:t>)</w:t>
            </w:r>
          </w:p>
        </w:tc>
      </w:tr>
      <w:tr w:rsidR="00792D3E" w:rsidRPr="00981905" w:rsidTr="005505A9">
        <w:trPr>
          <w:jc w:val="center"/>
        </w:trPr>
        <w:tc>
          <w:tcPr>
            <w:tcW w:w="1668"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6,7</w:t>
            </w:r>
          </w:p>
        </w:tc>
        <w:tc>
          <w:tcPr>
            <w:tcW w:w="14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15,4</w:t>
            </w:r>
          </w:p>
        </w:tc>
        <w:tc>
          <w:tcPr>
            <w:tcW w:w="1843"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103,18</w:t>
            </w:r>
          </w:p>
        </w:tc>
        <w:tc>
          <w:tcPr>
            <w:tcW w:w="2126"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w:t>
            </w:r>
          </w:p>
        </w:tc>
      </w:tr>
      <w:tr w:rsidR="00792D3E" w:rsidRPr="00981905" w:rsidTr="005505A9">
        <w:trPr>
          <w:jc w:val="center"/>
        </w:trPr>
        <w:tc>
          <w:tcPr>
            <w:tcW w:w="1668"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11,6</w:t>
            </w:r>
          </w:p>
        </w:tc>
        <w:tc>
          <w:tcPr>
            <w:tcW w:w="14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15,4</w:t>
            </w:r>
          </w:p>
        </w:tc>
        <w:tc>
          <w:tcPr>
            <w:tcW w:w="1843"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178,64</w:t>
            </w:r>
          </w:p>
        </w:tc>
        <w:tc>
          <w:tcPr>
            <w:tcW w:w="2126"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6,7</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103,18</w:t>
            </w:r>
          </w:p>
        </w:tc>
      </w:tr>
      <w:tr w:rsidR="00792D3E" w:rsidRPr="00981905" w:rsidTr="005505A9">
        <w:trPr>
          <w:jc w:val="center"/>
        </w:trPr>
        <w:tc>
          <w:tcPr>
            <w:tcW w:w="1668"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16,3</w:t>
            </w:r>
          </w:p>
        </w:tc>
        <w:tc>
          <w:tcPr>
            <w:tcW w:w="14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15,4</w:t>
            </w:r>
          </w:p>
        </w:tc>
        <w:tc>
          <w:tcPr>
            <w:tcW w:w="1843"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251,02</w:t>
            </w:r>
          </w:p>
        </w:tc>
        <w:tc>
          <w:tcPr>
            <w:tcW w:w="2126"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18,3</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281,82</w:t>
            </w:r>
          </w:p>
        </w:tc>
      </w:tr>
      <w:tr w:rsidR="00792D3E" w:rsidRPr="00981905" w:rsidTr="005505A9">
        <w:trPr>
          <w:jc w:val="center"/>
        </w:trPr>
        <w:tc>
          <w:tcPr>
            <w:tcW w:w="1668"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23,0</w:t>
            </w:r>
          </w:p>
        </w:tc>
        <w:tc>
          <w:tcPr>
            <w:tcW w:w="14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15,4</w:t>
            </w:r>
          </w:p>
        </w:tc>
        <w:tc>
          <w:tcPr>
            <w:tcW w:w="1843"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354,2</w:t>
            </w:r>
          </w:p>
        </w:tc>
        <w:tc>
          <w:tcPr>
            <w:tcW w:w="2126"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34,6</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532,84</w:t>
            </w:r>
          </w:p>
        </w:tc>
      </w:tr>
      <w:tr w:rsidR="00792D3E" w:rsidRPr="00981905" w:rsidTr="005505A9">
        <w:trPr>
          <w:jc w:val="center"/>
        </w:trPr>
        <w:tc>
          <w:tcPr>
            <w:tcW w:w="1668"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42,4</w:t>
            </w:r>
          </w:p>
        </w:tc>
        <w:tc>
          <w:tcPr>
            <w:tcW w:w="14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15,4</w:t>
            </w:r>
          </w:p>
        </w:tc>
        <w:tc>
          <w:tcPr>
            <w:tcW w:w="1843"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652,96</w:t>
            </w:r>
          </w:p>
        </w:tc>
        <w:tc>
          <w:tcPr>
            <w:tcW w:w="2126"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57,6</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887,04</w:t>
            </w:r>
          </w:p>
        </w:tc>
      </w:tr>
      <w:tr w:rsidR="00792D3E" w:rsidRPr="00981905" w:rsidTr="005505A9">
        <w:trPr>
          <w:jc w:val="center"/>
        </w:trPr>
        <w:tc>
          <w:tcPr>
            <w:tcW w:w="1668"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100</w:t>
            </w:r>
          </w:p>
        </w:tc>
        <w:tc>
          <w:tcPr>
            <w:tcW w:w="14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100</w:t>
            </w:r>
          </w:p>
        </w:tc>
        <w:tc>
          <w:tcPr>
            <w:tcW w:w="1843"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1540</w:t>
            </w:r>
          </w:p>
        </w:tc>
        <w:tc>
          <w:tcPr>
            <w:tcW w:w="2126"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1804,88</w:t>
            </w:r>
          </w:p>
        </w:tc>
      </w:tr>
      <w:tr w:rsidR="00792D3E" w:rsidRPr="00981905" w:rsidTr="005505A9">
        <w:trPr>
          <w:jc w:val="center"/>
        </w:trPr>
        <w:tc>
          <w:tcPr>
            <w:tcW w:w="7054" w:type="dxa"/>
            <w:gridSpan w:val="4"/>
          </w:tcPr>
          <w:p w:rsidR="00792D3E" w:rsidRPr="00981905" w:rsidRDefault="00792D3E" w:rsidP="005505A9">
            <w:pPr>
              <w:spacing w:after="0" w:line="240" w:lineRule="auto"/>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Коэффициент фондов</w:t>
            </w:r>
          </w:p>
        </w:tc>
        <w:tc>
          <w:tcPr>
            <w:tcW w:w="2517" w:type="dxa"/>
          </w:tcPr>
          <w:p w:rsidR="00792D3E" w:rsidRPr="00981905" w:rsidRDefault="00792D3E" w:rsidP="005505A9">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10,27</w:t>
            </w:r>
          </w:p>
        </w:tc>
      </w:tr>
      <w:tr w:rsidR="008F5ABF" w:rsidRPr="00981905" w:rsidTr="005505A9">
        <w:trPr>
          <w:jc w:val="center"/>
        </w:trPr>
        <w:tc>
          <w:tcPr>
            <w:tcW w:w="7054" w:type="dxa"/>
            <w:gridSpan w:val="4"/>
          </w:tcPr>
          <w:p w:rsidR="008F5ABF" w:rsidRPr="00981905" w:rsidRDefault="008F5ABF" w:rsidP="005505A9">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Индекс Джини</w:t>
            </w:r>
          </w:p>
        </w:tc>
        <w:tc>
          <w:tcPr>
            <w:tcW w:w="2517" w:type="dxa"/>
          </w:tcPr>
          <w:p w:rsidR="008F5ABF" w:rsidRPr="00981905" w:rsidRDefault="00025126" w:rsidP="006C090B">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r w:rsidR="006C090B">
              <w:rPr>
                <w:rFonts w:ascii="Times New Roman" w:eastAsia="Times New Roman" w:hAnsi="Times New Roman" w:cs="Times New Roman"/>
                <w:color w:val="000000"/>
                <w:sz w:val="24"/>
                <w:szCs w:val="24"/>
              </w:rPr>
              <w:t>35</w:t>
            </w:r>
          </w:p>
        </w:tc>
      </w:tr>
    </w:tbl>
    <w:p w:rsidR="000834BC" w:rsidRDefault="000834BC" w:rsidP="00981905">
      <w:pPr>
        <w:spacing w:after="0" w:line="240" w:lineRule="auto"/>
        <w:ind w:firstLine="709"/>
        <w:jc w:val="both"/>
        <w:rPr>
          <w:rFonts w:ascii="Times New Roman" w:hAnsi="Times New Roman" w:cs="Times New Roman"/>
          <w:sz w:val="24"/>
          <w:szCs w:val="24"/>
        </w:rPr>
      </w:pPr>
    </w:p>
    <w:p w:rsidR="00025126" w:rsidRPr="00025126" w:rsidRDefault="00025126" w:rsidP="00025126">
      <w:pPr>
        <w:spacing w:after="0" w:line="240" w:lineRule="auto"/>
        <w:ind w:right="-1" w:firstLine="284"/>
        <w:jc w:val="both"/>
        <w:rPr>
          <w:rFonts w:ascii="Times New Roman" w:hAnsi="Times New Roman" w:cs="Times New Roman"/>
          <w:i/>
          <w:iCs/>
          <w:sz w:val="24"/>
          <w:szCs w:val="24"/>
        </w:rPr>
      </w:pPr>
      <w:r>
        <w:rPr>
          <w:rFonts w:ascii="Times New Roman" w:hAnsi="Times New Roman" w:cs="Times New Roman"/>
          <w:sz w:val="24"/>
          <w:szCs w:val="24"/>
        </w:rPr>
        <w:t xml:space="preserve">Для разработки прогноза на 2021-2022 гг. был </w:t>
      </w:r>
      <w:r w:rsidRPr="00025126">
        <w:rPr>
          <w:rFonts w:ascii="Times New Roman" w:hAnsi="Times New Roman" w:cs="Times New Roman"/>
          <w:sz w:val="24"/>
          <w:szCs w:val="24"/>
        </w:rPr>
        <w:t>использ</w:t>
      </w:r>
      <w:r>
        <w:rPr>
          <w:rFonts w:ascii="Times New Roman" w:hAnsi="Times New Roman" w:cs="Times New Roman"/>
          <w:sz w:val="24"/>
          <w:szCs w:val="24"/>
        </w:rPr>
        <w:t>ован метод скользящей средней.</w:t>
      </w:r>
      <w:r w:rsidRPr="00025126">
        <w:rPr>
          <w:rFonts w:ascii="Times New Roman" w:hAnsi="Times New Roman" w:cs="Times New Roman"/>
          <w:sz w:val="24"/>
          <w:szCs w:val="24"/>
        </w:rPr>
        <w:t xml:space="preserve"> Его </w:t>
      </w:r>
      <w:r w:rsidRPr="00025126">
        <w:rPr>
          <w:rFonts w:ascii="Times New Roman" w:hAnsi="Times New Roman" w:cs="Times New Roman"/>
          <w:iCs/>
          <w:sz w:val="24"/>
          <w:szCs w:val="24"/>
        </w:rPr>
        <w:t>рабочая формула:</w:t>
      </w:r>
    </w:p>
    <w:p w:rsidR="00025126" w:rsidRPr="00025126" w:rsidRDefault="00025126" w:rsidP="00025126">
      <w:pPr>
        <w:spacing w:after="0" w:line="240" w:lineRule="auto"/>
        <w:ind w:firstLine="284"/>
        <w:jc w:val="center"/>
        <w:rPr>
          <w:rFonts w:ascii="Times New Roman" w:hAnsi="Times New Roman" w:cs="Times New Roman"/>
          <w:sz w:val="24"/>
          <w:szCs w:val="24"/>
        </w:rPr>
      </w:pPr>
      <w:r w:rsidRPr="00025126">
        <w:rPr>
          <w:rFonts w:ascii="Times New Roman" w:hAnsi="Times New Roman" w:cs="Times New Roman"/>
          <w:sz w:val="24"/>
          <w:szCs w:val="24"/>
        </w:rPr>
        <w:t xml:space="preserve">                                                    </w:t>
      </w:r>
      <w:r w:rsidRPr="00025126">
        <w:rPr>
          <w:rFonts w:ascii="Times New Roman" w:hAnsi="Times New Roman" w:cs="Times New Roman"/>
          <w:position w:val="-12"/>
          <w:sz w:val="24"/>
          <w:szCs w:val="24"/>
        </w:rPr>
        <w:object w:dxaOrig="400" w:dyaOrig="360">
          <v:shape id="_x0000_i1032" type="#_x0000_t75" style="width:24pt;height:18pt" o:ole="" fillcolor="window">
            <v:imagedata r:id="rId14" o:title=""/>
          </v:shape>
          <o:OLEObject Type="Embed" ProgID="Equation.3" ShapeID="_x0000_i1032" DrawAspect="Content" ObjectID="_1678274834" r:id="rId15"/>
        </w:object>
      </w:r>
      <w:r w:rsidRPr="00025126">
        <w:rPr>
          <w:rFonts w:ascii="Times New Roman" w:hAnsi="Times New Roman" w:cs="Times New Roman"/>
          <w:sz w:val="24"/>
          <w:szCs w:val="24"/>
        </w:rPr>
        <w:t xml:space="preserve">= </w:t>
      </w:r>
      <w:r w:rsidRPr="00025126">
        <w:rPr>
          <w:rFonts w:ascii="Times New Roman" w:hAnsi="Times New Roman" w:cs="Times New Roman"/>
          <w:position w:val="-12"/>
          <w:sz w:val="24"/>
          <w:szCs w:val="24"/>
          <w:lang w:val="en-US"/>
        </w:rPr>
        <w:object w:dxaOrig="440" w:dyaOrig="360">
          <v:shape id="_x0000_i1033" type="#_x0000_t75" style="width:21.75pt;height:18pt" o:ole="" fillcolor="window">
            <v:imagedata r:id="rId16" o:title=""/>
          </v:shape>
          <o:OLEObject Type="Embed" ProgID="Equation.3" ShapeID="_x0000_i1033" DrawAspect="Content" ObjectID="_1678274835" r:id="rId17"/>
        </w:object>
      </w:r>
      <w:r w:rsidRPr="00025126">
        <w:rPr>
          <w:rFonts w:ascii="Times New Roman" w:hAnsi="Times New Roman" w:cs="Times New Roman"/>
          <w:sz w:val="24"/>
          <w:szCs w:val="24"/>
        </w:rPr>
        <w:t xml:space="preserve">+ </w:t>
      </w:r>
      <w:r w:rsidRPr="00025126">
        <w:rPr>
          <w:rFonts w:ascii="Times New Roman" w:hAnsi="Times New Roman" w:cs="Times New Roman"/>
          <w:position w:val="-24"/>
          <w:sz w:val="24"/>
          <w:szCs w:val="24"/>
          <w:lang w:val="en-US"/>
        </w:rPr>
        <w:object w:dxaOrig="2380" w:dyaOrig="620">
          <v:shape id="_x0000_i1034" type="#_x0000_t75" style="width:133.5pt;height:31.5pt" o:ole="" fillcolor="window">
            <v:imagedata r:id="rId18" o:title=""/>
          </v:shape>
          <o:OLEObject Type="Embed" ProgID="Equation.3" ShapeID="_x0000_i1034" DrawAspect="Content" ObjectID="_1678274836" r:id="rId19"/>
        </w:object>
      </w:r>
      <w:r w:rsidRPr="00025126">
        <w:rPr>
          <w:rFonts w:ascii="Times New Roman" w:hAnsi="Times New Roman" w:cs="Times New Roman"/>
          <w:sz w:val="24"/>
          <w:szCs w:val="24"/>
        </w:rPr>
        <w:t>,                               (1)</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sz w:val="24"/>
          <w:szCs w:val="24"/>
        </w:rPr>
        <w:t>где</w:t>
      </w:r>
      <w:r w:rsidRPr="00025126">
        <w:rPr>
          <w:rFonts w:ascii="Times New Roman" w:hAnsi="Times New Roman" w:cs="Times New Roman"/>
          <w:i/>
          <w:iCs/>
          <w:sz w:val="24"/>
          <w:szCs w:val="24"/>
        </w:rPr>
        <w:t xml:space="preserve">  </w:t>
      </w:r>
      <w:r w:rsidRPr="00025126">
        <w:rPr>
          <w:rFonts w:ascii="Times New Roman" w:hAnsi="Times New Roman" w:cs="Times New Roman"/>
          <w:i/>
          <w:iCs/>
          <w:sz w:val="24"/>
          <w:szCs w:val="24"/>
          <w:lang w:val="en-US"/>
        </w:rPr>
        <w:t>t</w:t>
      </w:r>
      <w:r w:rsidRPr="00025126">
        <w:rPr>
          <w:rFonts w:ascii="Times New Roman" w:hAnsi="Times New Roman" w:cs="Times New Roman"/>
          <w:i/>
          <w:iCs/>
          <w:sz w:val="24"/>
          <w:szCs w:val="24"/>
        </w:rPr>
        <w:t xml:space="preserve"> + 1</w:t>
      </w:r>
      <w:r w:rsidRPr="00025126">
        <w:rPr>
          <w:rFonts w:ascii="Times New Roman" w:hAnsi="Times New Roman" w:cs="Times New Roman"/>
          <w:sz w:val="24"/>
          <w:szCs w:val="24"/>
        </w:rPr>
        <w:t xml:space="preserve"> – прогнозный период; </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i/>
          <w:iCs/>
          <w:sz w:val="24"/>
          <w:szCs w:val="24"/>
        </w:rPr>
        <w:t xml:space="preserve">       </w:t>
      </w:r>
      <w:r w:rsidRPr="00025126">
        <w:rPr>
          <w:rFonts w:ascii="Times New Roman" w:hAnsi="Times New Roman" w:cs="Times New Roman"/>
          <w:i/>
          <w:iCs/>
          <w:sz w:val="24"/>
          <w:szCs w:val="24"/>
          <w:lang w:val="en-US"/>
        </w:rPr>
        <w:t>t</w:t>
      </w:r>
      <w:r w:rsidRPr="00025126">
        <w:rPr>
          <w:rFonts w:ascii="Times New Roman" w:hAnsi="Times New Roman" w:cs="Times New Roman"/>
          <w:sz w:val="24"/>
          <w:szCs w:val="24"/>
        </w:rPr>
        <w:t xml:space="preserve"> – </w:t>
      </w:r>
      <w:proofErr w:type="gramStart"/>
      <w:r w:rsidRPr="00025126">
        <w:rPr>
          <w:rFonts w:ascii="Times New Roman" w:hAnsi="Times New Roman" w:cs="Times New Roman"/>
          <w:sz w:val="24"/>
          <w:szCs w:val="24"/>
        </w:rPr>
        <w:t>период</w:t>
      </w:r>
      <w:proofErr w:type="gramEnd"/>
      <w:r w:rsidRPr="00025126">
        <w:rPr>
          <w:rFonts w:ascii="Times New Roman" w:hAnsi="Times New Roman" w:cs="Times New Roman"/>
          <w:sz w:val="24"/>
          <w:szCs w:val="24"/>
        </w:rPr>
        <w:t xml:space="preserve">, предшествующий прогнозному периоду (год, месяц и т.д.); </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sz w:val="24"/>
          <w:szCs w:val="24"/>
        </w:rPr>
        <w:t xml:space="preserve">       </w:t>
      </w:r>
      <w:proofErr w:type="spellStart"/>
      <w:proofErr w:type="gramStart"/>
      <w:r w:rsidRPr="00025126">
        <w:rPr>
          <w:rFonts w:ascii="Times New Roman" w:hAnsi="Times New Roman" w:cs="Times New Roman"/>
          <w:i/>
          <w:iCs/>
          <w:sz w:val="24"/>
          <w:szCs w:val="24"/>
          <w:lang w:val="en-US"/>
        </w:rPr>
        <w:t>y</w:t>
      </w:r>
      <w:r w:rsidRPr="00025126">
        <w:rPr>
          <w:rFonts w:ascii="Times New Roman" w:hAnsi="Times New Roman" w:cs="Times New Roman"/>
          <w:i/>
          <w:iCs/>
          <w:sz w:val="24"/>
          <w:szCs w:val="24"/>
          <w:vertAlign w:val="subscript"/>
          <w:lang w:val="en-US"/>
        </w:rPr>
        <w:t>t</w:t>
      </w:r>
      <w:proofErr w:type="spellEnd"/>
      <w:r w:rsidRPr="00025126">
        <w:rPr>
          <w:rFonts w:ascii="Times New Roman" w:hAnsi="Times New Roman" w:cs="Times New Roman"/>
          <w:i/>
          <w:iCs/>
          <w:sz w:val="24"/>
          <w:szCs w:val="24"/>
          <w:vertAlign w:val="subscript"/>
        </w:rPr>
        <w:t>+</w:t>
      </w:r>
      <w:proofErr w:type="gramEnd"/>
      <w:r w:rsidRPr="00025126">
        <w:rPr>
          <w:rFonts w:ascii="Times New Roman" w:hAnsi="Times New Roman" w:cs="Times New Roman"/>
          <w:i/>
          <w:iCs/>
          <w:sz w:val="24"/>
          <w:szCs w:val="24"/>
          <w:vertAlign w:val="subscript"/>
        </w:rPr>
        <w:t xml:space="preserve">1 </w:t>
      </w:r>
      <w:r w:rsidRPr="00025126">
        <w:rPr>
          <w:rFonts w:ascii="Times New Roman" w:hAnsi="Times New Roman" w:cs="Times New Roman"/>
          <w:sz w:val="24"/>
          <w:szCs w:val="24"/>
        </w:rPr>
        <w:t>– прогнозируемый показатель;</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sz w:val="24"/>
          <w:szCs w:val="24"/>
        </w:rPr>
        <w:t xml:space="preserve">      </w:t>
      </w:r>
      <w:r w:rsidRPr="00025126">
        <w:rPr>
          <w:rFonts w:ascii="Times New Roman" w:hAnsi="Times New Roman" w:cs="Times New Roman"/>
          <w:position w:val="-14"/>
          <w:sz w:val="24"/>
          <w:szCs w:val="24"/>
          <w:lang w:val="en-US"/>
        </w:rPr>
        <w:object w:dxaOrig="480" w:dyaOrig="340">
          <v:shape id="_x0000_i1035" type="#_x0000_t75" style="width:24pt;height:18pt" o:ole="" fillcolor="window">
            <v:imagedata r:id="rId20" o:title=""/>
          </v:shape>
          <o:OLEObject Type="Embed" ProgID="Equation.3" ShapeID="_x0000_i1035" DrawAspect="Content" ObjectID="_1678274837" r:id="rId21"/>
        </w:object>
      </w:r>
      <w:r w:rsidRPr="00025126">
        <w:rPr>
          <w:rFonts w:ascii="Times New Roman" w:hAnsi="Times New Roman" w:cs="Times New Roman"/>
          <w:sz w:val="24"/>
          <w:szCs w:val="24"/>
        </w:rPr>
        <w:t xml:space="preserve">– </w:t>
      </w:r>
      <w:proofErr w:type="gramStart"/>
      <w:r w:rsidRPr="00025126">
        <w:rPr>
          <w:rFonts w:ascii="Times New Roman" w:hAnsi="Times New Roman" w:cs="Times New Roman"/>
          <w:sz w:val="24"/>
          <w:szCs w:val="24"/>
        </w:rPr>
        <w:t>скользящая</w:t>
      </w:r>
      <w:proofErr w:type="gramEnd"/>
      <w:r w:rsidRPr="00025126">
        <w:rPr>
          <w:rFonts w:ascii="Times New Roman" w:hAnsi="Times New Roman" w:cs="Times New Roman"/>
          <w:sz w:val="24"/>
          <w:szCs w:val="24"/>
        </w:rPr>
        <w:t xml:space="preserve"> средняя за два периода до прогнозного; </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sz w:val="24"/>
          <w:szCs w:val="24"/>
        </w:rPr>
        <w:t xml:space="preserve">      </w:t>
      </w:r>
      <w:r w:rsidRPr="00025126">
        <w:rPr>
          <w:rFonts w:ascii="Times New Roman" w:hAnsi="Times New Roman" w:cs="Times New Roman"/>
          <w:i/>
          <w:iCs/>
          <w:sz w:val="24"/>
          <w:szCs w:val="24"/>
          <w:lang w:val="en-US"/>
        </w:rPr>
        <w:t>n</w:t>
      </w:r>
      <w:r w:rsidRPr="00025126">
        <w:rPr>
          <w:rFonts w:ascii="Times New Roman" w:hAnsi="Times New Roman" w:cs="Times New Roman"/>
          <w:sz w:val="24"/>
          <w:szCs w:val="24"/>
        </w:rPr>
        <w:t xml:space="preserve"> – </w:t>
      </w:r>
      <w:proofErr w:type="gramStart"/>
      <w:r w:rsidRPr="00025126">
        <w:rPr>
          <w:rFonts w:ascii="Times New Roman" w:hAnsi="Times New Roman" w:cs="Times New Roman"/>
          <w:sz w:val="24"/>
          <w:szCs w:val="24"/>
        </w:rPr>
        <w:t>число</w:t>
      </w:r>
      <w:proofErr w:type="gramEnd"/>
      <w:r w:rsidRPr="00025126">
        <w:rPr>
          <w:rFonts w:ascii="Times New Roman" w:hAnsi="Times New Roman" w:cs="Times New Roman"/>
          <w:sz w:val="24"/>
          <w:szCs w:val="24"/>
        </w:rPr>
        <w:t xml:space="preserve"> уровней, входящих в интервал сглаживания;</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sz w:val="24"/>
          <w:szCs w:val="24"/>
        </w:rPr>
        <w:t xml:space="preserve">     </w:t>
      </w:r>
      <w:proofErr w:type="spellStart"/>
      <w:proofErr w:type="gramStart"/>
      <w:r w:rsidRPr="00025126">
        <w:rPr>
          <w:rFonts w:ascii="Times New Roman" w:hAnsi="Times New Roman" w:cs="Times New Roman"/>
          <w:i/>
          <w:iCs/>
          <w:sz w:val="24"/>
          <w:szCs w:val="24"/>
          <w:lang w:val="en-US"/>
        </w:rPr>
        <w:t>y</w:t>
      </w:r>
      <w:r w:rsidRPr="00025126">
        <w:rPr>
          <w:rFonts w:ascii="Times New Roman" w:hAnsi="Times New Roman" w:cs="Times New Roman"/>
          <w:i/>
          <w:iCs/>
          <w:sz w:val="24"/>
          <w:szCs w:val="24"/>
          <w:vertAlign w:val="subscript"/>
          <w:lang w:val="en-US"/>
        </w:rPr>
        <w:t>t</w:t>
      </w:r>
      <w:proofErr w:type="spellEnd"/>
      <w:proofErr w:type="gramEnd"/>
      <w:r w:rsidRPr="00025126">
        <w:rPr>
          <w:rFonts w:ascii="Times New Roman" w:hAnsi="Times New Roman" w:cs="Times New Roman"/>
          <w:i/>
          <w:iCs/>
          <w:sz w:val="24"/>
          <w:szCs w:val="24"/>
          <w:vertAlign w:val="subscript"/>
        </w:rPr>
        <w:t xml:space="preserve"> </w:t>
      </w:r>
      <w:r w:rsidRPr="00025126">
        <w:rPr>
          <w:rFonts w:ascii="Times New Roman" w:hAnsi="Times New Roman" w:cs="Times New Roman"/>
          <w:sz w:val="24"/>
          <w:szCs w:val="24"/>
        </w:rPr>
        <w:t>– фактическое значение исследуемого явления за предшествующий период;</w:t>
      </w:r>
    </w:p>
    <w:p w:rsidR="00025126" w:rsidRPr="00025126" w:rsidRDefault="00025126" w:rsidP="00025126">
      <w:pPr>
        <w:spacing w:after="0" w:line="240" w:lineRule="auto"/>
        <w:ind w:firstLine="284"/>
        <w:jc w:val="both"/>
        <w:rPr>
          <w:rFonts w:ascii="Times New Roman" w:hAnsi="Times New Roman" w:cs="Times New Roman"/>
          <w:sz w:val="24"/>
          <w:szCs w:val="24"/>
        </w:rPr>
      </w:pPr>
      <w:r w:rsidRPr="00025126">
        <w:rPr>
          <w:rFonts w:ascii="Times New Roman" w:hAnsi="Times New Roman" w:cs="Times New Roman"/>
          <w:sz w:val="24"/>
          <w:szCs w:val="24"/>
        </w:rPr>
        <w:t xml:space="preserve">     </w:t>
      </w:r>
      <w:proofErr w:type="spellStart"/>
      <w:proofErr w:type="gramStart"/>
      <w:r w:rsidRPr="00025126">
        <w:rPr>
          <w:rFonts w:ascii="Times New Roman" w:hAnsi="Times New Roman" w:cs="Times New Roman"/>
          <w:i/>
          <w:iCs/>
          <w:sz w:val="24"/>
          <w:szCs w:val="24"/>
          <w:lang w:val="en-US"/>
        </w:rPr>
        <w:t>y</w:t>
      </w:r>
      <w:r w:rsidRPr="00025126">
        <w:rPr>
          <w:rFonts w:ascii="Times New Roman" w:hAnsi="Times New Roman" w:cs="Times New Roman"/>
          <w:i/>
          <w:iCs/>
          <w:sz w:val="24"/>
          <w:szCs w:val="24"/>
          <w:vertAlign w:val="subscript"/>
          <w:lang w:val="en-US"/>
        </w:rPr>
        <w:t>t</w:t>
      </w:r>
      <w:proofErr w:type="spellEnd"/>
      <w:r w:rsidRPr="00025126">
        <w:rPr>
          <w:rFonts w:ascii="Times New Roman" w:hAnsi="Times New Roman" w:cs="Times New Roman"/>
          <w:i/>
          <w:iCs/>
          <w:sz w:val="24"/>
          <w:szCs w:val="24"/>
          <w:vertAlign w:val="subscript"/>
        </w:rPr>
        <w:t>-1</w:t>
      </w:r>
      <w:proofErr w:type="gramEnd"/>
      <w:r w:rsidRPr="00025126">
        <w:rPr>
          <w:rFonts w:ascii="Times New Roman" w:hAnsi="Times New Roman" w:cs="Times New Roman"/>
          <w:i/>
          <w:iCs/>
          <w:sz w:val="24"/>
          <w:szCs w:val="24"/>
          <w:vertAlign w:val="subscript"/>
        </w:rPr>
        <w:t xml:space="preserve"> </w:t>
      </w:r>
      <w:r w:rsidRPr="00025126">
        <w:rPr>
          <w:rFonts w:ascii="Times New Roman" w:hAnsi="Times New Roman" w:cs="Times New Roman"/>
          <w:sz w:val="24"/>
          <w:szCs w:val="24"/>
        </w:rPr>
        <w:t>– фактическое значение исследуемого явления за два периода, предшествующих прогнозному.</w:t>
      </w:r>
    </w:p>
    <w:p w:rsidR="00981905" w:rsidRPr="00981905" w:rsidRDefault="000E0B61" w:rsidP="00981905">
      <w:pPr>
        <w:spacing w:after="0" w:line="240" w:lineRule="auto"/>
        <w:ind w:firstLine="709"/>
        <w:jc w:val="right"/>
        <w:rPr>
          <w:rFonts w:ascii="Times New Roman" w:hAnsi="Times New Roman" w:cs="Times New Roman"/>
          <w:i/>
          <w:sz w:val="24"/>
          <w:szCs w:val="24"/>
        </w:rPr>
      </w:pPr>
      <w:r>
        <w:rPr>
          <w:rFonts w:ascii="Times New Roman" w:hAnsi="Times New Roman" w:cs="Times New Roman"/>
          <w:i/>
          <w:sz w:val="24"/>
          <w:szCs w:val="24"/>
        </w:rPr>
        <w:t xml:space="preserve">Таблица </w:t>
      </w:r>
      <w:r w:rsidR="00486BD1">
        <w:rPr>
          <w:rFonts w:ascii="Times New Roman" w:hAnsi="Times New Roman" w:cs="Times New Roman"/>
          <w:i/>
          <w:sz w:val="24"/>
          <w:szCs w:val="24"/>
        </w:rPr>
        <w:t>3</w:t>
      </w:r>
    </w:p>
    <w:p w:rsidR="00792D3E" w:rsidRPr="00981905" w:rsidRDefault="00A71955" w:rsidP="00981905">
      <w:pPr>
        <w:spacing w:after="0" w:line="240" w:lineRule="auto"/>
        <w:ind w:firstLine="709"/>
        <w:jc w:val="center"/>
        <w:rPr>
          <w:rFonts w:ascii="Times New Roman" w:hAnsi="Times New Roman" w:cs="Times New Roman"/>
          <w:sz w:val="24"/>
          <w:szCs w:val="24"/>
        </w:rPr>
      </w:pPr>
      <w:r w:rsidRPr="00981905">
        <w:rPr>
          <w:rFonts w:ascii="Times New Roman" w:hAnsi="Times New Roman" w:cs="Times New Roman"/>
          <w:sz w:val="24"/>
          <w:szCs w:val="24"/>
        </w:rPr>
        <w:t xml:space="preserve">Прогнозные расчеты коэффициента фондов </w:t>
      </w:r>
      <w:r w:rsidR="00486BD1">
        <w:rPr>
          <w:rFonts w:ascii="Times New Roman" w:hAnsi="Times New Roman" w:cs="Times New Roman"/>
          <w:sz w:val="24"/>
          <w:szCs w:val="24"/>
        </w:rPr>
        <w:t xml:space="preserve">и индекса Джини </w:t>
      </w:r>
      <w:r w:rsidRPr="00981905">
        <w:rPr>
          <w:rFonts w:ascii="Times New Roman" w:hAnsi="Times New Roman" w:cs="Times New Roman"/>
          <w:sz w:val="24"/>
          <w:szCs w:val="24"/>
        </w:rPr>
        <w:t>Вологодской области методом скользящей средней на период до 202</w:t>
      </w:r>
      <w:r w:rsidR="00C357CB" w:rsidRPr="00981905">
        <w:rPr>
          <w:rFonts w:ascii="Times New Roman" w:hAnsi="Times New Roman" w:cs="Times New Roman"/>
          <w:sz w:val="24"/>
          <w:szCs w:val="24"/>
        </w:rPr>
        <w:t>2</w:t>
      </w:r>
      <w:r w:rsidR="00981905">
        <w:rPr>
          <w:rFonts w:ascii="Times New Roman" w:hAnsi="Times New Roman" w:cs="Times New Roman"/>
          <w:sz w:val="24"/>
          <w:szCs w:val="24"/>
        </w:rPr>
        <w:t xml:space="preserve"> года</w:t>
      </w:r>
    </w:p>
    <w:tbl>
      <w:tblPr>
        <w:tblW w:w="9484" w:type="dxa"/>
        <w:jc w:val="center"/>
        <w:tblInd w:w="-522" w:type="dxa"/>
        <w:tblLook w:val="04A0" w:firstRow="1" w:lastRow="0" w:firstColumn="1" w:lastColumn="0" w:noHBand="0" w:noVBand="1"/>
      </w:tblPr>
      <w:tblGrid>
        <w:gridCol w:w="2756"/>
        <w:gridCol w:w="993"/>
        <w:gridCol w:w="850"/>
        <w:gridCol w:w="851"/>
        <w:gridCol w:w="828"/>
        <w:gridCol w:w="1278"/>
        <w:gridCol w:w="992"/>
        <w:gridCol w:w="936"/>
      </w:tblGrid>
      <w:tr w:rsidR="00025126" w:rsidRPr="00981905" w:rsidTr="00025126">
        <w:trPr>
          <w:trHeight w:val="157"/>
          <w:jc w:val="center"/>
        </w:trPr>
        <w:tc>
          <w:tcPr>
            <w:tcW w:w="2756" w:type="dxa"/>
            <w:vMerge w:val="restart"/>
            <w:tcBorders>
              <w:top w:val="single" w:sz="4" w:space="0" w:color="auto"/>
              <w:left w:val="single" w:sz="4" w:space="0" w:color="auto"/>
              <w:right w:val="single" w:sz="4" w:space="0" w:color="auto"/>
            </w:tcBorders>
            <w:shd w:val="clear" w:color="auto" w:fill="auto"/>
            <w:noWrap/>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Показатели</w:t>
            </w:r>
          </w:p>
        </w:tc>
        <w:tc>
          <w:tcPr>
            <w:tcW w:w="6728" w:type="dxa"/>
            <w:gridSpan w:val="7"/>
            <w:tcBorders>
              <w:top w:val="single" w:sz="4" w:space="0" w:color="auto"/>
              <w:left w:val="single" w:sz="4" w:space="0" w:color="auto"/>
              <w:right w:val="single" w:sz="4" w:space="0" w:color="auto"/>
            </w:tcBorders>
            <w:shd w:val="clear" w:color="auto" w:fill="auto"/>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Годы</w:t>
            </w:r>
          </w:p>
        </w:tc>
      </w:tr>
      <w:tr w:rsidR="00025126" w:rsidRPr="00981905" w:rsidTr="00025126">
        <w:trPr>
          <w:trHeight w:val="296"/>
          <w:jc w:val="center"/>
        </w:trPr>
        <w:tc>
          <w:tcPr>
            <w:tcW w:w="2756" w:type="dxa"/>
            <w:vMerge/>
            <w:tcBorders>
              <w:left w:val="single" w:sz="4" w:space="0" w:color="auto"/>
              <w:right w:val="single" w:sz="4" w:space="0" w:color="auto"/>
            </w:tcBorders>
            <w:vAlign w:val="center"/>
            <w:hideMark/>
          </w:tcPr>
          <w:p w:rsidR="00025126" w:rsidRPr="00981905" w:rsidRDefault="00025126" w:rsidP="00025126">
            <w:pPr>
              <w:spacing w:after="0" w:line="240" w:lineRule="auto"/>
              <w:rPr>
                <w:rFonts w:ascii="Times New Roman" w:eastAsia="Times New Roman" w:hAnsi="Times New Roman" w:cs="Times New Roman"/>
                <w:color w:val="000000"/>
                <w:sz w:val="24"/>
                <w:szCs w:val="24"/>
              </w:rPr>
            </w:pPr>
          </w:p>
        </w:tc>
        <w:tc>
          <w:tcPr>
            <w:tcW w:w="3522" w:type="dxa"/>
            <w:gridSpan w:val="4"/>
            <w:tcBorders>
              <w:top w:val="single" w:sz="4" w:space="0" w:color="auto"/>
              <w:left w:val="single" w:sz="4" w:space="0" w:color="auto"/>
              <w:bottom w:val="single" w:sz="4" w:space="0" w:color="000000"/>
              <w:right w:val="single" w:sz="4" w:space="0" w:color="auto"/>
            </w:tcBorders>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фактические данные</w:t>
            </w:r>
          </w:p>
        </w:tc>
        <w:tc>
          <w:tcPr>
            <w:tcW w:w="1278" w:type="dxa"/>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расчетные</w:t>
            </w:r>
          </w:p>
        </w:tc>
        <w:tc>
          <w:tcPr>
            <w:tcW w:w="1928" w:type="dxa"/>
            <w:gridSpan w:val="2"/>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прогнозируемые</w:t>
            </w:r>
          </w:p>
        </w:tc>
      </w:tr>
      <w:tr w:rsidR="00025126" w:rsidRPr="00981905" w:rsidTr="00025126">
        <w:trPr>
          <w:trHeight w:val="296"/>
          <w:jc w:val="center"/>
        </w:trPr>
        <w:tc>
          <w:tcPr>
            <w:tcW w:w="2756" w:type="dxa"/>
            <w:vMerge/>
            <w:tcBorders>
              <w:left w:val="single" w:sz="4" w:space="0" w:color="auto"/>
              <w:bottom w:val="single" w:sz="4" w:space="0" w:color="auto"/>
              <w:right w:val="single" w:sz="4" w:space="0" w:color="auto"/>
            </w:tcBorders>
            <w:vAlign w:val="center"/>
            <w:hideMark/>
          </w:tcPr>
          <w:p w:rsidR="00025126" w:rsidRPr="00981905" w:rsidRDefault="00025126" w:rsidP="00025126">
            <w:pPr>
              <w:spacing w:after="0" w:line="240" w:lineRule="auto"/>
              <w:rPr>
                <w:rFonts w:ascii="Times New Roman" w:eastAsia="Times New Roman" w:hAnsi="Times New Roman" w:cs="Times New Roman"/>
                <w:color w:val="000000"/>
                <w:sz w:val="24"/>
                <w:szCs w:val="24"/>
              </w:rPr>
            </w:pPr>
          </w:p>
        </w:tc>
        <w:tc>
          <w:tcPr>
            <w:tcW w:w="993" w:type="dxa"/>
            <w:tcBorders>
              <w:top w:val="single" w:sz="4" w:space="0" w:color="auto"/>
              <w:left w:val="single" w:sz="4" w:space="0" w:color="auto"/>
              <w:bottom w:val="single" w:sz="4" w:space="0" w:color="000000"/>
              <w:right w:val="single" w:sz="4" w:space="0" w:color="auto"/>
            </w:tcBorders>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2016</w:t>
            </w:r>
          </w:p>
        </w:tc>
        <w:tc>
          <w:tcPr>
            <w:tcW w:w="850" w:type="dxa"/>
            <w:tcBorders>
              <w:top w:val="single" w:sz="4" w:space="0" w:color="auto"/>
              <w:left w:val="single" w:sz="4" w:space="0" w:color="auto"/>
              <w:bottom w:val="single" w:sz="4" w:space="0" w:color="000000"/>
              <w:right w:val="single" w:sz="4" w:space="0" w:color="auto"/>
            </w:tcBorders>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2017</w:t>
            </w:r>
          </w:p>
        </w:tc>
        <w:tc>
          <w:tcPr>
            <w:tcW w:w="851" w:type="dxa"/>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2018</w:t>
            </w:r>
          </w:p>
        </w:tc>
        <w:tc>
          <w:tcPr>
            <w:tcW w:w="828" w:type="dxa"/>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2019</w:t>
            </w:r>
          </w:p>
        </w:tc>
        <w:tc>
          <w:tcPr>
            <w:tcW w:w="1278" w:type="dxa"/>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2020</w:t>
            </w:r>
          </w:p>
        </w:tc>
        <w:tc>
          <w:tcPr>
            <w:tcW w:w="992" w:type="dxa"/>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2021</w:t>
            </w:r>
          </w:p>
        </w:tc>
        <w:tc>
          <w:tcPr>
            <w:tcW w:w="936" w:type="dxa"/>
            <w:tcBorders>
              <w:top w:val="single" w:sz="4" w:space="0" w:color="auto"/>
              <w:left w:val="single" w:sz="4" w:space="0" w:color="auto"/>
              <w:bottom w:val="single" w:sz="4" w:space="0" w:color="000000"/>
              <w:right w:val="single" w:sz="4" w:space="0" w:color="auto"/>
            </w:tcBorders>
            <w:vAlign w:val="center"/>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2022</w:t>
            </w:r>
          </w:p>
        </w:tc>
      </w:tr>
      <w:tr w:rsidR="00025126" w:rsidRPr="00981905" w:rsidTr="00025126">
        <w:trPr>
          <w:trHeight w:val="282"/>
          <w:jc w:val="center"/>
        </w:trPr>
        <w:tc>
          <w:tcPr>
            <w:tcW w:w="2756" w:type="dxa"/>
            <w:tcBorders>
              <w:top w:val="nil"/>
              <w:left w:val="single" w:sz="4" w:space="0" w:color="auto"/>
              <w:bottom w:val="single" w:sz="4" w:space="0" w:color="auto"/>
              <w:right w:val="single" w:sz="4" w:space="0" w:color="auto"/>
            </w:tcBorders>
            <w:shd w:val="clear" w:color="auto" w:fill="auto"/>
            <w:noWrap/>
            <w:vAlign w:val="bottom"/>
            <w:hideMark/>
          </w:tcPr>
          <w:p w:rsidR="00025126" w:rsidRPr="00981905" w:rsidRDefault="00025126" w:rsidP="00025126">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Коэффициент фондов</w:t>
            </w:r>
          </w:p>
        </w:tc>
        <w:tc>
          <w:tcPr>
            <w:tcW w:w="993" w:type="dxa"/>
            <w:tcBorders>
              <w:top w:val="nil"/>
              <w:left w:val="nil"/>
              <w:bottom w:val="single" w:sz="4" w:space="0" w:color="auto"/>
              <w:right w:val="single" w:sz="4" w:space="0" w:color="auto"/>
            </w:tcBorders>
            <w:shd w:val="clear" w:color="auto" w:fill="auto"/>
            <w:noWrap/>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11,2</w:t>
            </w:r>
          </w:p>
        </w:tc>
        <w:tc>
          <w:tcPr>
            <w:tcW w:w="850" w:type="dxa"/>
            <w:tcBorders>
              <w:top w:val="nil"/>
              <w:left w:val="nil"/>
              <w:bottom w:val="single" w:sz="4" w:space="0" w:color="auto"/>
              <w:right w:val="single" w:sz="4" w:space="0" w:color="auto"/>
            </w:tcBorders>
            <w:shd w:val="clear" w:color="auto" w:fill="auto"/>
            <w:noWrap/>
            <w:vAlign w:val="bottom"/>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w:t>
            </w:r>
          </w:p>
        </w:tc>
        <w:tc>
          <w:tcPr>
            <w:tcW w:w="851" w:type="dxa"/>
            <w:tcBorders>
              <w:top w:val="nil"/>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10,2</w:t>
            </w:r>
          </w:p>
        </w:tc>
        <w:tc>
          <w:tcPr>
            <w:tcW w:w="828" w:type="dxa"/>
            <w:tcBorders>
              <w:top w:val="nil"/>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10,4</w:t>
            </w:r>
          </w:p>
        </w:tc>
        <w:tc>
          <w:tcPr>
            <w:tcW w:w="1278" w:type="dxa"/>
            <w:tcBorders>
              <w:top w:val="nil"/>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w:t>
            </w:r>
            <w:r>
              <w:rPr>
                <w:rFonts w:ascii="Times New Roman" w:eastAsia="Times New Roman" w:hAnsi="Times New Roman" w:cs="Times New Roman"/>
                <w:color w:val="000000"/>
                <w:sz w:val="24"/>
                <w:szCs w:val="24"/>
              </w:rPr>
              <w:t>27</w:t>
            </w:r>
          </w:p>
        </w:tc>
        <w:tc>
          <w:tcPr>
            <w:tcW w:w="992" w:type="dxa"/>
            <w:tcBorders>
              <w:top w:val="nil"/>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10,2</w:t>
            </w:r>
          </w:p>
        </w:tc>
        <w:tc>
          <w:tcPr>
            <w:tcW w:w="936" w:type="dxa"/>
            <w:tcBorders>
              <w:top w:val="nil"/>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sidRPr="00981905">
              <w:rPr>
                <w:rFonts w:ascii="Times New Roman" w:eastAsia="Times New Roman" w:hAnsi="Times New Roman" w:cs="Times New Roman"/>
                <w:color w:val="000000"/>
                <w:sz w:val="24"/>
                <w:szCs w:val="24"/>
              </w:rPr>
              <w:t>10,3</w:t>
            </w:r>
          </w:p>
        </w:tc>
      </w:tr>
      <w:tr w:rsidR="00025126" w:rsidRPr="00981905" w:rsidTr="00025126">
        <w:trPr>
          <w:trHeight w:val="282"/>
          <w:jc w:val="center"/>
        </w:trPr>
        <w:tc>
          <w:tcPr>
            <w:tcW w:w="27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25126" w:rsidRDefault="00025126" w:rsidP="00025126">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Индекс Джини</w:t>
            </w:r>
          </w:p>
        </w:tc>
        <w:tc>
          <w:tcPr>
            <w:tcW w:w="993" w:type="dxa"/>
            <w:tcBorders>
              <w:top w:val="single" w:sz="4" w:space="0" w:color="auto"/>
              <w:left w:val="nil"/>
              <w:bottom w:val="single" w:sz="4" w:space="0" w:color="auto"/>
              <w:right w:val="single" w:sz="4" w:space="0" w:color="auto"/>
            </w:tcBorders>
            <w:shd w:val="clear" w:color="auto" w:fill="auto"/>
            <w:noWrap/>
            <w:vAlign w:val="center"/>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0,37</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c>
          <w:tcPr>
            <w:tcW w:w="851" w:type="dxa"/>
            <w:tcBorders>
              <w:top w:val="single" w:sz="4" w:space="0" w:color="auto"/>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c>
          <w:tcPr>
            <w:tcW w:w="828" w:type="dxa"/>
            <w:tcBorders>
              <w:top w:val="single" w:sz="4" w:space="0" w:color="auto"/>
              <w:left w:val="nil"/>
              <w:bottom w:val="single" w:sz="4" w:space="0" w:color="auto"/>
              <w:right w:val="single" w:sz="4" w:space="0" w:color="auto"/>
            </w:tcBorders>
            <w:shd w:val="clear" w:color="auto" w:fill="auto"/>
            <w:vAlign w:val="bottom"/>
          </w:tcPr>
          <w:p w:rsidR="00025126" w:rsidRPr="00981905" w:rsidRDefault="00025126"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0,36</w:t>
            </w:r>
          </w:p>
        </w:tc>
        <w:tc>
          <w:tcPr>
            <w:tcW w:w="1278" w:type="dxa"/>
            <w:tcBorders>
              <w:top w:val="single" w:sz="4" w:space="0" w:color="auto"/>
              <w:left w:val="nil"/>
              <w:bottom w:val="single" w:sz="4" w:space="0" w:color="auto"/>
              <w:right w:val="single" w:sz="4" w:space="0" w:color="auto"/>
            </w:tcBorders>
            <w:shd w:val="clear" w:color="auto" w:fill="auto"/>
            <w:vAlign w:val="bottom"/>
          </w:tcPr>
          <w:p w:rsidR="00025126" w:rsidRPr="00981905" w:rsidRDefault="006C090B" w:rsidP="006C090B">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c>
          <w:tcPr>
            <w:tcW w:w="992" w:type="dxa"/>
            <w:tcBorders>
              <w:top w:val="single" w:sz="4" w:space="0" w:color="auto"/>
              <w:left w:val="nil"/>
              <w:bottom w:val="single" w:sz="4" w:space="0" w:color="auto"/>
              <w:right w:val="single" w:sz="4" w:space="0" w:color="auto"/>
            </w:tcBorders>
            <w:shd w:val="clear" w:color="auto" w:fill="auto"/>
            <w:vAlign w:val="bottom"/>
          </w:tcPr>
          <w:p w:rsidR="00025126" w:rsidRPr="00981905" w:rsidRDefault="006C090B"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c>
          <w:tcPr>
            <w:tcW w:w="936" w:type="dxa"/>
            <w:tcBorders>
              <w:top w:val="single" w:sz="4" w:space="0" w:color="auto"/>
              <w:left w:val="nil"/>
              <w:bottom w:val="single" w:sz="4" w:space="0" w:color="auto"/>
              <w:right w:val="single" w:sz="4" w:space="0" w:color="auto"/>
            </w:tcBorders>
            <w:shd w:val="clear" w:color="auto" w:fill="auto"/>
            <w:vAlign w:val="bottom"/>
          </w:tcPr>
          <w:p w:rsidR="00025126" w:rsidRPr="00981905" w:rsidRDefault="006C090B" w:rsidP="00025126">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0,35</w:t>
            </w:r>
          </w:p>
        </w:tc>
      </w:tr>
    </w:tbl>
    <w:p w:rsidR="00AB416B" w:rsidRPr="00981905" w:rsidRDefault="00AB416B" w:rsidP="003666A1">
      <w:pPr>
        <w:spacing w:after="0" w:line="240" w:lineRule="auto"/>
        <w:ind w:firstLine="709"/>
        <w:jc w:val="both"/>
        <w:rPr>
          <w:rFonts w:ascii="Times New Roman" w:hAnsi="Times New Roman" w:cs="Times New Roman"/>
          <w:sz w:val="24"/>
          <w:szCs w:val="24"/>
          <w:u w:val="single"/>
        </w:rPr>
      </w:pPr>
      <w:r w:rsidRPr="00981905">
        <w:rPr>
          <w:rFonts w:ascii="Times New Roman" w:hAnsi="Times New Roman" w:cs="Times New Roman"/>
          <w:sz w:val="24"/>
          <w:szCs w:val="24"/>
        </w:rPr>
        <w:t xml:space="preserve">В качестве направлений дальнейших исследований представляется необходимость разработки практико-ориентированных управленческих технологий, обеспечивающих реализацию специфических приоритетов развития. Такой технологией может стать </w:t>
      </w:r>
      <w:proofErr w:type="spellStart"/>
      <w:r w:rsidRPr="00981905">
        <w:rPr>
          <w:rFonts w:ascii="Times New Roman" w:hAnsi="Times New Roman" w:cs="Times New Roman"/>
          <w:sz w:val="24"/>
          <w:szCs w:val="24"/>
        </w:rPr>
        <w:t>бенчмаркинг</w:t>
      </w:r>
      <w:proofErr w:type="spellEnd"/>
      <w:r w:rsidRPr="00981905">
        <w:rPr>
          <w:rFonts w:ascii="Times New Roman" w:hAnsi="Times New Roman" w:cs="Times New Roman"/>
          <w:sz w:val="24"/>
          <w:szCs w:val="24"/>
        </w:rPr>
        <w:t xml:space="preserve">. Такие авторы, как  В.В. </w:t>
      </w:r>
      <w:r w:rsidRPr="00486BD1">
        <w:rPr>
          <w:rFonts w:ascii="Times New Roman" w:hAnsi="Times New Roman" w:cs="Times New Roman"/>
          <w:sz w:val="24"/>
          <w:szCs w:val="24"/>
        </w:rPr>
        <w:t>Стариков [</w:t>
      </w:r>
      <w:r w:rsidR="00284CD5" w:rsidRPr="00486BD1">
        <w:rPr>
          <w:rFonts w:ascii="Times New Roman" w:hAnsi="Times New Roman" w:cs="Times New Roman"/>
          <w:sz w:val="24"/>
          <w:szCs w:val="24"/>
        </w:rPr>
        <w:t>9</w:t>
      </w:r>
      <w:r w:rsidRPr="00486BD1">
        <w:rPr>
          <w:rFonts w:ascii="Times New Roman" w:hAnsi="Times New Roman" w:cs="Times New Roman"/>
          <w:sz w:val="24"/>
          <w:szCs w:val="24"/>
        </w:rPr>
        <w:t>], Е.А. Михайлова [</w:t>
      </w:r>
      <w:r w:rsidR="00486BD1" w:rsidRPr="00486BD1">
        <w:rPr>
          <w:rFonts w:ascii="Times New Roman" w:hAnsi="Times New Roman" w:cs="Times New Roman"/>
          <w:sz w:val="24"/>
          <w:szCs w:val="24"/>
        </w:rPr>
        <w:t>6</w:t>
      </w:r>
      <w:r w:rsidRPr="00486BD1">
        <w:rPr>
          <w:rFonts w:ascii="Times New Roman" w:hAnsi="Times New Roman" w:cs="Times New Roman"/>
          <w:sz w:val="24"/>
          <w:szCs w:val="24"/>
        </w:rPr>
        <w:t>]</w:t>
      </w:r>
      <w:r w:rsidRPr="00981905">
        <w:rPr>
          <w:rFonts w:ascii="Times New Roman" w:hAnsi="Times New Roman" w:cs="Times New Roman"/>
          <w:sz w:val="24"/>
          <w:szCs w:val="24"/>
        </w:rPr>
        <w:t xml:space="preserve"> обосновывают прогрессивность применения </w:t>
      </w:r>
      <w:proofErr w:type="spellStart"/>
      <w:r w:rsidRPr="00981905">
        <w:rPr>
          <w:rFonts w:ascii="Times New Roman" w:hAnsi="Times New Roman" w:cs="Times New Roman"/>
          <w:sz w:val="24"/>
          <w:szCs w:val="24"/>
        </w:rPr>
        <w:t>бенчмаркинговой</w:t>
      </w:r>
      <w:proofErr w:type="spellEnd"/>
      <w:r w:rsidRPr="00981905">
        <w:rPr>
          <w:rFonts w:ascii="Times New Roman" w:hAnsi="Times New Roman" w:cs="Times New Roman"/>
          <w:sz w:val="24"/>
          <w:szCs w:val="24"/>
        </w:rPr>
        <w:t xml:space="preserve"> процедуры. </w:t>
      </w:r>
      <w:r w:rsidRPr="00486BD1">
        <w:rPr>
          <w:rFonts w:ascii="Times New Roman" w:hAnsi="Times New Roman" w:cs="Times New Roman"/>
          <w:sz w:val="24"/>
          <w:szCs w:val="24"/>
        </w:rPr>
        <w:t xml:space="preserve">О.Г. </w:t>
      </w:r>
      <w:proofErr w:type="spellStart"/>
      <w:r w:rsidRPr="00486BD1">
        <w:rPr>
          <w:rFonts w:ascii="Times New Roman" w:hAnsi="Times New Roman" w:cs="Times New Roman"/>
          <w:sz w:val="24"/>
          <w:szCs w:val="24"/>
        </w:rPr>
        <w:t>Моронова</w:t>
      </w:r>
      <w:proofErr w:type="spellEnd"/>
      <w:r w:rsidRPr="00486BD1">
        <w:rPr>
          <w:rFonts w:ascii="Times New Roman" w:hAnsi="Times New Roman" w:cs="Times New Roman"/>
          <w:sz w:val="24"/>
          <w:szCs w:val="24"/>
        </w:rPr>
        <w:t xml:space="preserve"> предлагает алгоритм ее проведения [</w:t>
      </w:r>
      <w:r w:rsidR="00486BD1" w:rsidRPr="00690867">
        <w:rPr>
          <w:rFonts w:ascii="Times New Roman" w:hAnsi="Times New Roman" w:cs="Times New Roman"/>
          <w:sz w:val="24"/>
          <w:szCs w:val="24"/>
        </w:rPr>
        <w:t>7</w:t>
      </w:r>
      <w:r w:rsidRPr="00486BD1">
        <w:rPr>
          <w:rFonts w:ascii="Times New Roman" w:hAnsi="Times New Roman" w:cs="Times New Roman"/>
          <w:sz w:val="24"/>
          <w:szCs w:val="24"/>
        </w:rPr>
        <w:t xml:space="preserve">]. Именно технология  </w:t>
      </w:r>
      <w:proofErr w:type="spellStart"/>
      <w:r w:rsidRPr="00486BD1">
        <w:rPr>
          <w:rFonts w:ascii="Times New Roman" w:hAnsi="Times New Roman" w:cs="Times New Roman"/>
          <w:sz w:val="24"/>
          <w:szCs w:val="24"/>
        </w:rPr>
        <w:t>бенчмаркинга</w:t>
      </w:r>
      <w:proofErr w:type="spellEnd"/>
      <w:r w:rsidRPr="00981905">
        <w:rPr>
          <w:rFonts w:ascii="Times New Roman" w:hAnsi="Times New Roman" w:cs="Times New Roman"/>
          <w:sz w:val="24"/>
          <w:szCs w:val="24"/>
        </w:rPr>
        <w:t xml:space="preserve"> с его высокой информационной достоверностью позволит органам государственной власти региона выработать политику, </w:t>
      </w:r>
      <w:r w:rsidRPr="00981905">
        <w:rPr>
          <w:rFonts w:ascii="Times New Roman" w:hAnsi="Times New Roman" w:cs="Times New Roman"/>
          <w:color w:val="000000"/>
          <w:sz w:val="24"/>
          <w:szCs w:val="24"/>
        </w:rPr>
        <w:t>направленную на решение крупной проблемы, связанной с преодолением бедности и повышением качества жизни населения в Вологодской области.</w:t>
      </w:r>
    </w:p>
    <w:p w:rsidR="002C5C75" w:rsidRPr="00DE34BA" w:rsidRDefault="002C5C75" w:rsidP="00DE34BA">
      <w:pPr>
        <w:pStyle w:val="ab"/>
        <w:spacing w:before="0" w:beforeAutospacing="0" w:after="0" w:afterAutospacing="0"/>
        <w:jc w:val="center"/>
        <w:rPr>
          <w:b/>
          <w:color w:val="000000"/>
        </w:rPr>
      </w:pPr>
    </w:p>
    <w:p w:rsidR="002C5C75" w:rsidRPr="00DE34BA" w:rsidRDefault="004050C3" w:rsidP="004D29C3">
      <w:pPr>
        <w:pStyle w:val="ab"/>
        <w:spacing w:before="0" w:beforeAutospacing="0" w:after="0" w:afterAutospacing="0"/>
        <w:ind w:firstLine="709"/>
        <w:jc w:val="both"/>
        <w:rPr>
          <w:b/>
          <w:color w:val="000000"/>
        </w:rPr>
      </w:pPr>
      <w:r w:rsidRPr="00DE34BA">
        <w:rPr>
          <w:b/>
          <w:color w:val="000000"/>
        </w:rPr>
        <w:t>Библиографический списо</w:t>
      </w:r>
      <w:r w:rsidR="000832A7" w:rsidRPr="00DE34BA">
        <w:rPr>
          <w:b/>
          <w:color w:val="000000"/>
        </w:rPr>
        <w:t>к</w:t>
      </w:r>
    </w:p>
    <w:p w:rsidR="004D5731" w:rsidRPr="00486BD1" w:rsidRDefault="004D5731" w:rsidP="004D5731">
      <w:pPr>
        <w:pStyle w:val="ab"/>
        <w:numPr>
          <w:ilvl w:val="0"/>
          <w:numId w:val="2"/>
        </w:numPr>
        <w:spacing w:before="0" w:beforeAutospacing="0" w:after="0" w:afterAutospacing="0"/>
        <w:ind w:left="0" w:firstLine="567"/>
        <w:jc w:val="both"/>
        <w:rPr>
          <w:color w:val="000000"/>
        </w:rPr>
      </w:pPr>
      <w:r w:rsidRPr="00486BD1">
        <w:rPr>
          <w:color w:val="000000"/>
        </w:rPr>
        <w:t>Андреева</w:t>
      </w:r>
      <w:r w:rsidR="00CB55D2" w:rsidRPr="00486BD1">
        <w:rPr>
          <w:color w:val="000000"/>
        </w:rPr>
        <w:t>,</w:t>
      </w:r>
      <w:r w:rsidRPr="00486BD1">
        <w:rPr>
          <w:color w:val="000000"/>
        </w:rPr>
        <w:t xml:space="preserve"> М.В. Денежные доходы населения как фактор экономического рост</w:t>
      </w:r>
      <w:r w:rsidR="00CB55D2" w:rsidRPr="00486BD1">
        <w:rPr>
          <w:color w:val="000000"/>
        </w:rPr>
        <w:t xml:space="preserve">а / М.В. Андреева, О.Б. </w:t>
      </w:r>
      <w:proofErr w:type="spellStart"/>
      <w:r w:rsidR="00CB55D2" w:rsidRPr="00486BD1">
        <w:rPr>
          <w:color w:val="000000"/>
        </w:rPr>
        <w:t>Кирик</w:t>
      </w:r>
      <w:proofErr w:type="spellEnd"/>
      <w:r w:rsidR="00CB55D2" w:rsidRPr="00486BD1">
        <w:rPr>
          <w:color w:val="000000"/>
        </w:rPr>
        <w:t>. -</w:t>
      </w:r>
      <w:r w:rsidRPr="00486BD1">
        <w:rPr>
          <w:color w:val="000000"/>
        </w:rPr>
        <w:t xml:space="preserve"> </w:t>
      </w:r>
      <w:hyperlink r:id="rId22" w:history="1">
        <w:r w:rsidRPr="00486BD1">
          <w:rPr>
            <w:color w:val="000000"/>
          </w:rPr>
          <w:t>Известия высших учебных заведений. Серия: Экономика, финансы и управление производством</w:t>
        </w:r>
      </w:hyperlink>
      <w:r w:rsidRPr="00486BD1">
        <w:rPr>
          <w:color w:val="000000"/>
        </w:rPr>
        <w:t>. 2020. </w:t>
      </w:r>
      <w:hyperlink r:id="rId23" w:history="1">
        <w:r w:rsidRPr="00486BD1">
          <w:rPr>
            <w:color w:val="000000"/>
          </w:rPr>
          <w:t>№ 3 (45)</w:t>
        </w:r>
      </w:hyperlink>
      <w:r w:rsidRPr="00486BD1">
        <w:rPr>
          <w:color w:val="000000"/>
        </w:rPr>
        <w:t>. С. 42-50.</w:t>
      </w:r>
    </w:p>
    <w:p w:rsidR="00E7786C" w:rsidRPr="00486BD1" w:rsidRDefault="00E7786C" w:rsidP="004D5731">
      <w:pPr>
        <w:pStyle w:val="ab"/>
        <w:numPr>
          <w:ilvl w:val="0"/>
          <w:numId w:val="2"/>
        </w:numPr>
        <w:spacing w:before="0" w:beforeAutospacing="0" w:after="0" w:afterAutospacing="0"/>
        <w:ind w:left="0" w:firstLine="567"/>
        <w:jc w:val="both"/>
        <w:rPr>
          <w:color w:val="000000"/>
        </w:rPr>
      </w:pPr>
      <w:r w:rsidRPr="00486BD1">
        <w:rPr>
          <w:color w:val="000000"/>
        </w:rPr>
        <w:t>Гаджиев</w:t>
      </w:r>
      <w:r w:rsidR="00F82DC1" w:rsidRPr="00486BD1">
        <w:rPr>
          <w:color w:val="000000"/>
        </w:rPr>
        <w:t>,</w:t>
      </w:r>
      <w:r w:rsidRPr="00486BD1">
        <w:rPr>
          <w:color w:val="000000"/>
        </w:rPr>
        <w:t xml:space="preserve"> Ю.А. Финансы домашних хозяйств: региональный анализ распола</w:t>
      </w:r>
      <w:r w:rsidR="000E76D9" w:rsidRPr="00486BD1">
        <w:rPr>
          <w:color w:val="000000"/>
        </w:rPr>
        <w:t>гаемых ресурсов / Ю.А. Гаджиев. -</w:t>
      </w:r>
      <w:r w:rsidRPr="00486BD1">
        <w:rPr>
          <w:color w:val="000000"/>
        </w:rPr>
        <w:t xml:space="preserve"> Север и рынок: формирование экономического порядка. – 2019. – №2 (64). – С. 105-115.</w:t>
      </w:r>
    </w:p>
    <w:p w:rsidR="00E7786C" w:rsidRPr="00486BD1" w:rsidRDefault="00D260FE" w:rsidP="004D5731">
      <w:pPr>
        <w:pStyle w:val="ab"/>
        <w:numPr>
          <w:ilvl w:val="0"/>
          <w:numId w:val="2"/>
        </w:numPr>
        <w:spacing w:before="0" w:beforeAutospacing="0" w:after="0" w:afterAutospacing="0"/>
        <w:ind w:left="0" w:firstLine="567"/>
        <w:jc w:val="both"/>
        <w:rPr>
          <w:color w:val="000000"/>
        </w:rPr>
      </w:pPr>
      <w:r w:rsidRPr="00486BD1">
        <w:rPr>
          <w:color w:val="000000"/>
        </w:rPr>
        <w:t>Гриднева</w:t>
      </w:r>
      <w:r w:rsidR="00F82DC1" w:rsidRPr="00486BD1">
        <w:rPr>
          <w:color w:val="000000"/>
        </w:rPr>
        <w:t>,</w:t>
      </w:r>
      <w:r w:rsidRPr="00486BD1">
        <w:rPr>
          <w:color w:val="000000"/>
        </w:rPr>
        <w:t xml:space="preserve"> Б.О. Сбережения населения в условиях повышения их кредитной задолженности / Б.О. Гриднева</w:t>
      </w:r>
      <w:r w:rsidR="0057199A" w:rsidRPr="00486BD1">
        <w:rPr>
          <w:color w:val="000000"/>
        </w:rPr>
        <w:t xml:space="preserve">. - </w:t>
      </w:r>
      <w:r w:rsidRPr="00486BD1">
        <w:rPr>
          <w:color w:val="000000"/>
        </w:rPr>
        <w:t>Глобальный научный потенциал. – 2019. – №8 (101). – С. 178-180.</w:t>
      </w:r>
    </w:p>
    <w:p w:rsidR="002D7301" w:rsidRPr="00486BD1" w:rsidRDefault="002D7301" w:rsidP="002D7301">
      <w:pPr>
        <w:pStyle w:val="ab"/>
        <w:numPr>
          <w:ilvl w:val="0"/>
          <w:numId w:val="2"/>
        </w:numPr>
        <w:spacing w:before="0" w:beforeAutospacing="0" w:after="0" w:afterAutospacing="0"/>
        <w:ind w:left="0" w:firstLine="567"/>
        <w:jc w:val="both"/>
        <w:rPr>
          <w:color w:val="000000"/>
        </w:rPr>
      </w:pPr>
      <w:r w:rsidRPr="00486BD1">
        <w:rPr>
          <w:color w:val="000000"/>
        </w:rPr>
        <w:t>Зиновьев</w:t>
      </w:r>
      <w:r w:rsidR="00F82DC1" w:rsidRPr="00486BD1">
        <w:rPr>
          <w:color w:val="000000"/>
        </w:rPr>
        <w:t>,</w:t>
      </w:r>
      <w:r w:rsidRPr="00486BD1">
        <w:rPr>
          <w:color w:val="000000"/>
        </w:rPr>
        <w:t xml:space="preserve"> А.Г. К вопросу изучения факторов, влияющих на сберегательное повед</w:t>
      </w:r>
      <w:r w:rsidR="00755204" w:rsidRPr="00486BD1">
        <w:rPr>
          <w:color w:val="000000"/>
        </w:rPr>
        <w:t xml:space="preserve">ение населения / А.Г. Зиновьев. - </w:t>
      </w:r>
      <w:r w:rsidRPr="00486BD1">
        <w:rPr>
          <w:color w:val="000000"/>
        </w:rPr>
        <w:t>Актуальные вопросы современной науки. – 2016. – №50. – С. 133-140.</w:t>
      </w:r>
    </w:p>
    <w:p w:rsidR="00D35301" w:rsidRPr="00EA29EB" w:rsidRDefault="00D35301" w:rsidP="00D35301">
      <w:pPr>
        <w:pStyle w:val="ab"/>
        <w:numPr>
          <w:ilvl w:val="0"/>
          <w:numId w:val="2"/>
        </w:numPr>
        <w:spacing w:before="0" w:beforeAutospacing="0" w:after="0" w:afterAutospacing="0"/>
        <w:ind w:left="0" w:firstLine="567"/>
        <w:jc w:val="both"/>
        <w:rPr>
          <w:color w:val="000000"/>
        </w:rPr>
      </w:pPr>
      <w:proofErr w:type="spellStart"/>
      <w:r w:rsidRPr="00EA29EB">
        <w:rPr>
          <w:color w:val="000000"/>
        </w:rPr>
        <w:t>Кирик</w:t>
      </w:r>
      <w:proofErr w:type="spellEnd"/>
      <w:r w:rsidRPr="00EA29EB">
        <w:rPr>
          <w:color w:val="000000"/>
        </w:rPr>
        <w:t>, О.Б. Повышение информационной открытости инвестиционных порталов муниципаль</w:t>
      </w:r>
      <w:r w:rsidR="002F76A5" w:rsidRPr="00EA29EB">
        <w:rPr>
          <w:color w:val="000000"/>
        </w:rPr>
        <w:t xml:space="preserve">ных образований / О.Б. </w:t>
      </w:r>
      <w:proofErr w:type="spellStart"/>
      <w:r w:rsidR="002F76A5" w:rsidRPr="00EA29EB">
        <w:rPr>
          <w:color w:val="000000"/>
        </w:rPr>
        <w:t>Кирик</w:t>
      </w:r>
      <w:proofErr w:type="spellEnd"/>
      <w:r w:rsidR="002F76A5" w:rsidRPr="00EA29EB">
        <w:rPr>
          <w:color w:val="000000"/>
        </w:rPr>
        <w:t xml:space="preserve">. - </w:t>
      </w:r>
      <w:r w:rsidRPr="00EA29EB">
        <w:rPr>
          <w:color w:val="000000"/>
        </w:rPr>
        <w:t>Кластеризация цифровой экономики: глобальные вызовы: сборник трудов национальной науч.-</w:t>
      </w:r>
      <w:proofErr w:type="spellStart"/>
      <w:r w:rsidRPr="00EA29EB">
        <w:rPr>
          <w:color w:val="000000"/>
        </w:rPr>
        <w:t>практ</w:t>
      </w:r>
      <w:proofErr w:type="spellEnd"/>
      <w:r w:rsidRPr="00EA29EB">
        <w:rPr>
          <w:color w:val="000000"/>
        </w:rPr>
        <w:t xml:space="preserve">. </w:t>
      </w:r>
      <w:proofErr w:type="spellStart"/>
      <w:r w:rsidRPr="00EA29EB">
        <w:rPr>
          <w:color w:val="000000"/>
        </w:rPr>
        <w:t>конф</w:t>
      </w:r>
      <w:proofErr w:type="spellEnd"/>
      <w:r w:rsidRPr="00EA29EB">
        <w:rPr>
          <w:color w:val="000000"/>
        </w:rPr>
        <w:t xml:space="preserve">. с зарубежным участием, 18–20 июня 2020 г. В 2 т. Т. 1 / под ред. д-ра </w:t>
      </w:r>
      <w:proofErr w:type="spellStart"/>
      <w:r w:rsidRPr="00EA29EB">
        <w:rPr>
          <w:color w:val="000000"/>
        </w:rPr>
        <w:t>экон</w:t>
      </w:r>
      <w:proofErr w:type="spellEnd"/>
      <w:r w:rsidRPr="00EA29EB">
        <w:rPr>
          <w:color w:val="000000"/>
        </w:rPr>
        <w:t xml:space="preserve">. наук, проф. Родионова Д.Г., д-ра </w:t>
      </w:r>
      <w:proofErr w:type="spellStart"/>
      <w:r w:rsidRPr="00EA29EB">
        <w:rPr>
          <w:color w:val="000000"/>
        </w:rPr>
        <w:t>экон</w:t>
      </w:r>
      <w:proofErr w:type="spellEnd"/>
      <w:r w:rsidR="002F76A5" w:rsidRPr="00EA29EB">
        <w:rPr>
          <w:color w:val="000000"/>
        </w:rPr>
        <w:t>. наук, проф. А.В. Бабкина. – Санкт-Пет</w:t>
      </w:r>
      <w:r w:rsidR="00486BD1" w:rsidRPr="00EA29EB">
        <w:rPr>
          <w:color w:val="000000"/>
        </w:rPr>
        <w:t>е</w:t>
      </w:r>
      <w:r w:rsidR="002F76A5" w:rsidRPr="00EA29EB">
        <w:rPr>
          <w:color w:val="000000"/>
        </w:rPr>
        <w:t>рбург</w:t>
      </w:r>
      <w:proofErr w:type="gramStart"/>
      <w:r w:rsidRPr="00EA29EB">
        <w:rPr>
          <w:color w:val="000000"/>
        </w:rPr>
        <w:t xml:space="preserve">.: </w:t>
      </w:r>
      <w:proofErr w:type="gramEnd"/>
      <w:r w:rsidRPr="00EA29EB">
        <w:rPr>
          <w:color w:val="000000"/>
        </w:rPr>
        <w:t>ПОЛИТЕХ-ПРЕСС, 2020. – 632 с.</w:t>
      </w:r>
    </w:p>
    <w:p w:rsidR="0034323E" w:rsidRPr="00486BD1" w:rsidRDefault="0034323E" w:rsidP="0034323E">
      <w:pPr>
        <w:pStyle w:val="ab"/>
        <w:numPr>
          <w:ilvl w:val="0"/>
          <w:numId w:val="2"/>
        </w:numPr>
        <w:spacing w:before="0" w:beforeAutospacing="0" w:after="0" w:afterAutospacing="0"/>
        <w:ind w:left="0" w:firstLine="567"/>
        <w:jc w:val="both"/>
        <w:rPr>
          <w:color w:val="000000"/>
        </w:rPr>
      </w:pPr>
      <w:r w:rsidRPr="00486BD1">
        <w:rPr>
          <w:color w:val="000000"/>
        </w:rPr>
        <w:t xml:space="preserve">Михайлова, Е. А. Основы </w:t>
      </w:r>
      <w:proofErr w:type="spellStart"/>
      <w:r w:rsidRPr="00486BD1">
        <w:rPr>
          <w:color w:val="000000"/>
        </w:rPr>
        <w:t>бенчмаркинга</w:t>
      </w:r>
      <w:proofErr w:type="spellEnd"/>
      <w:r w:rsidRPr="00486BD1">
        <w:rPr>
          <w:color w:val="000000"/>
        </w:rPr>
        <w:t>.</w:t>
      </w:r>
      <w:r w:rsidR="00F82DC1" w:rsidRPr="00486BD1">
        <w:rPr>
          <w:color w:val="000000"/>
        </w:rPr>
        <w:t xml:space="preserve"> / Е.А. Михайлова.</w:t>
      </w:r>
      <w:r w:rsidRPr="00486BD1">
        <w:rPr>
          <w:color w:val="000000"/>
        </w:rPr>
        <w:t xml:space="preserve"> – Москва: </w:t>
      </w:r>
      <w:proofErr w:type="spellStart"/>
      <w:r w:rsidRPr="00486BD1">
        <w:rPr>
          <w:color w:val="000000"/>
        </w:rPr>
        <w:t>Юристъ</w:t>
      </w:r>
      <w:proofErr w:type="spellEnd"/>
      <w:r w:rsidRPr="00486BD1">
        <w:rPr>
          <w:color w:val="000000"/>
        </w:rPr>
        <w:t>, 2002. – 110 с.</w:t>
      </w:r>
    </w:p>
    <w:p w:rsidR="00486BD1" w:rsidRPr="00486BD1" w:rsidRDefault="00486BD1" w:rsidP="00B20EE8">
      <w:pPr>
        <w:pStyle w:val="ab"/>
        <w:numPr>
          <w:ilvl w:val="0"/>
          <w:numId w:val="2"/>
        </w:numPr>
        <w:spacing w:before="0" w:beforeAutospacing="0" w:after="0" w:afterAutospacing="0"/>
        <w:ind w:left="0" w:firstLine="567"/>
        <w:jc w:val="both"/>
        <w:rPr>
          <w:color w:val="000000"/>
        </w:rPr>
      </w:pPr>
      <w:proofErr w:type="spellStart"/>
      <w:r w:rsidRPr="00486BD1">
        <w:rPr>
          <w:rFonts w:ascii="TimesNewRomanPSMT" w:eastAsiaTheme="minorEastAsia" w:hAnsi="TimesNewRomanPSMT" w:cstheme="minorBidi"/>
          <w:color w:val="000001"/>
        </w:rPr>
        <w:t>Моронова</w:t>
      </w:r>
      <w:proofErr w:type="spellEnd"/>
      <w:r w:rsidRPr="00486BD1">
        <w:rPr>
          <w:rFonts w:ascii="TimesNewRomanPSMT" w:eastAsiaTheme="minorEastAsia" w:hAnsi="TimesNewRomanPSMT" w:cstheme="minorBidi"/>
          <w:color w:val="000001"/>
        </w:rPr>
        <w:t xml:space="preserve"> О.Г., </w:t>
      </w:r>
      <w:proofErr w:type="spellStart"/>
      <w:r w:rsidRPr="00486BD1">
        <w:rPr>
          <w:rFonts w:ascii="TimesNewRomanPSMT" w:eastAsiaTheme="minorEastAsia" w:hAnsi="TimesNewRomanPSMT" w:cstheme="minorBidi"/>
          <w:color w:val="000001"/>
        </w:rPr>
        <w:t>Кирик</w:t>
      </w:r>
      <w:proofErr w:type="spellEnd"/>
      <w:r w:rsidRPr="00486BD1">
        <w:rPr>
          <w:rFonts w:ascii="TimesNewRomanPSMT" w:eastAsiaTheme="minorEastAsia" w:hAnsi="TimesNewRomanPSMT" w:cstheme="minorBidi"/>
          <w:color w:val="000001"/>
        </w:rPr>
        <w:t xml:space="preserve"> О.Б., </w:t>
      </w:r>
      <w:proofErr w:type="spellStart"/>
      <w:r w:rsidRPr="00486BD1">
        <w:rPr>
          <w:rFonts w:ascii="TimesNewRomanPSMT" w:eastAsiaTheme="minorEastAsia" w:hAnsi="TimesNewRomanPSMT" w:cstheme="minorBidi"/>
          <w:color w:val="000001"/>
        </w:rPr>
        <w:t>Кремлёва</w:t>
      </w:r>
      <w:proofErr w:type="spellEnd"/>
      <w:r w:rsidRPr="00486BD1">
        <w:rPr>
          <w:rFonts w:ascii="TimesNewRomanPSMT" w:eastAsiaTheme="minorEastAsia" w:hAnsi="TimesNewRomanPSMT" w:cstheme="minorBidi"/>
          <w:color w:val="000001"/>
        </w:rPr>
        <w:t xml:space="preserve"> Н.А. Оценка </w:t>
      </w:r>
      <w:proofErr w:type="gramStart"/>
      <w:r w:rsidRPr="00486BD1">
        <w:rPr>
          <w:rFonts w:ascii="TimesNewRomanPSMT" w:eastAsiaTheme="minorEastAsia" w:hAnsi="TimesNewRomanPSMT" w:cstheme="minorBidi"/>
          <w:color w:val="000001"/>
        </w:rPr>
        <w:t>уровня продовольственной безопасности</w:t>
      </w:r>
      <w:r>
        <w:rPr>
          <w:rFonts w:ascii="TimesNewRomanPSMT" w:eastAsiaTheme="minorEastAsia" w:hAnsi="TimesNewRomanPSMT" w:cstheme="minorBidi"/>
          <w:color w:val="000001"/>
        </w:rPr>
        <w:t xml:space="preserve"> </w:t>
      </w:r>
      <w:r w:rsidRPr="00486BD1">
        <w:rPr>
          <w:rFonts w:ascii="TimesNewRomanPSMT" w:eastAsiaTheme="minorEastAsia" w:hAnsi="TimesNewRomanPSMT" w:cstheme="minorBidi"/>
          <w:color w:val="000001"/>
        </w:rPr>
        <w:t>регионов Европейского Севера России</w:t>
      </w:r>
      <w:proofErr w:type="gramEnd"/>
      <w:r w:rsidRPr="00486BD1">
        <w:rPr>
          <w:rFonts w:ascii="TimesNewRomanPSMT" w:eastAsiaTheme="minorEastAsia" w:hAnsi="TimesNewRomanPSMT" w:cstheme="minorBidi"/>
          <w:color w:val="000001"/>
        </w:rPr>
        <w:t xml:space="preserve"> на основе методологии </w:t>
      </w:r>
      <w:proofErr w:type="spellStart"/>
      <w:r w:rsidRPr="00486BD1">
        <w:rPr>
          <w:rFonts w:ascii="TimesNewRomanPSMT" w:eastAsiaTheme="minorEastAsia" w:hAnsi="TimesNewRomanPSMT" w:cstheme="minorBidi"/>
          <w:color w:val="000001"/>
        </w:rPr>
        <w:t>бенчмаркинга</w:t>
      </w:r>
      <w:proofErr w:type="spellEnd"/>
      <w:r w:rsidRPr="00486BD1">
        <w:rPr>
          <w:rFonts w:ascii="TimesNewRomanPSMT" w:eastAsiaTheme="minorEastAsia" w:hAnsi="TimesNewRomanPSMT" w:cstheme="minorBidi"/>
          <w:color w:val="000001"/>
        </w:rPr>
        <w:t>//Вестник университета. 2020.</w:t>
      </w:r>
      <w:r>
        <w:rPr>
          <w:rFonts w:ascii="TimesNewRomanPSMT" w:eastAsiaTheme="minorEastAsia" w:hAnsi="TimesNewRomanPSMT" w:cstheme="minorBidi"/>
          <w:color w:val="000001"/>
        </w:rPr>
        <w:t xml:space="preserve"> </w:t>
      </w:r>
      <w:r w:rsidRPr="00486BD1">
        <w:rPr>
          <w:rFonts w:ascii="TimesNewRomanPSMT" w:eastAsiaTheme="minorEastAsia" w:hAnsi="TimesNewRomanPSMT" w:cstheme="minorBidi"/>
          <w:color w:val="000001"/>
        </w:rPr>
        <w:t>№ 10. С. 66–73.</w:t>
      </w:r>
    </w:p>
    <w:p w:rsidR="00B20EE8" w:rsidRPr="00486BD1" w:rsidRDefault="00B20EE8" w:rsidP="00B20EE8">
      <w:pPr>
        <w:pStyle w:val="ab"/>
        <w:numPr>
          <w:ilvl w:val="0"/>
          <w:numId w:val="2"/>
        </w:numPr>
        <w:spacing w:before="0" w:beforeAutospacing="0" w:after="0" w:afterAutospacing="0"/>
        <w:ind w:left="0" w:firstLine="567"/>
        <w:jc w:val="both"/>
        <w:rPr>
          <w:color w:val="000000"/>
        </w:rPr>
      </w:pPr>
      <w:proofErr w:type="spellStart"/>
      <w:r w:rsidRPr="00486BD1">
        <w:rPr>
          <w:color w:val="000000"/>
        </w:rPr>
        <w:t>Моронова</w:t>
      </w:r>
      <w:proofErr w:type="spellEnd"/>
      <w:r w:rsidR="000E3A2D" w:rsidRPr="00486BD1">
        <w:rPr>
          <w:color w:val="000000"/>
        </w:rPr>
        <w:t>,</w:t>
      </w:r>
      <w:r w:rsidRPr="00486BD1">
        <w:rPr>
          <w:color w:val="000000"/>
        </w:rPr>
        <w:t xml:space="preserve"> О.Г. Анализ влияния уровня доходов населения на экономическую доступность продовольствия (на материалах Вологодской области)</w:t>
      </w:r>
      <w:r w:rsidR="000E3A2D" w:rsidRPr="00486BD1">
        <w:rPr>
          <w:color w:val="000000"/>
        </w:rPr>
        <w:t xml:space="preserve"> / О.Г. </w:t>
      </w:r>
      <w:proofErr w:type="spellStart"/>
      <w:r w:rsidR="000E3A2D" w:rsidRPr="00486BD1">
        <w:rPr>
          <w:color w:val="000000"/>
        </w:rPr>
        <w:t>Моронова</w:t>
      </w:r>
      <w:proofErr w:type="spellEnd"/>
      <w:r w:rsidR="000E3A2D" w:rsidRPr="00486BD1">
        <w:rPr>
          <w:color w:val="000000"/>
        </w:rPr>
        <w:t>, Л.В. Ярыгина. -</w:t>
      </w:r>
      <w:r w:rsidRPr="00486BD1">
        <w:rPr>
          <w:color w:val="000000"/>
        </w:rPr>
        <w:t xml:space="preserve"> Вестник научных конференций. – 2016. – №8-1 (12). – С. 77-84.</w:t>
      </w:r>
    </w:p>
    <w:p w:rsidR="00D7139D" w:rsidRPr="00486BD1" w:rsidRDefault="005D72E4" w:rsidP="00D7139D">
      <w:pPr>
        <w:pStyle w:val="ab"/>
        <w:numPr>
          <w:ilvl w:val="0"/>
          <w:numId w:val="2"/>
        </w:numPr>
        <w:spacing w:before="0" w:beforeAutospacing="0" w:after="0" w:afterAutospacing="0"/>
        <w:ind w:left="0" w:firstLine="567"/>
        <w:jc w:val="both"/>
        <w:rPr>
          <w:color w:val="000000"/>
        </w:rPr>
      </w:pPr>
      <w:r w:rsidRPr="00486BD1">
        <w:rPr>
          <w:color w:val="000000"/>
        </w:rPr>
        <w:t xml:space="preserve">Стариков, </w:t>
      </w:r>
      <w:r w:rsidR="00D7139D" w:rsidRPr="00486BD1">
        <w:rPr>
          <w:color w:val="000000"/>
        </w:rPr>
        <w:t>В.</w:t>
      </w:r>
      <w:r w:rsidRPr="00486BD1">
        <w:rPr>
          <w:color w:val="000000"/>
        </w:rPr>
        <w:t xml:space="preserve">В. </w:t>
      </w:r>
      <w:proofErr w:type="spellStart"/>
      <w:r w:rsidRPr="00486BD1">
        <w:rPr>
          <w:color w:val="000000"/>
        </w:rPr>
        <w:t>Бенчмаркинг</w:t>
      </w:r>
      <w:proofErr w:type="spellEnd"/>
      <w:r w:rsidRPr="00486BD1">
        <w:rPr>
          <w:color w:val="000000"/>
        </w:rPr>
        <w:t xml:space="preserve"> – путь к </w:t>
      </w:r>
      <w:r w:rsidR="00D7139D" w:rsidRPr="00486BD1">
        <w:rPr>
          <w:color w:val="000000"/>
        </w:rPr>
        <w:t>совершенству /</w:t>
      </w:r>
      <w:r w:rsidRPr="00486BD1">
        <w:rPr>
          <w:color w:val="000000"/>
        </w:rPr>
        <w:t xml:space="preserve"> В.В. Стариков. – Москва: Маркетинг в России и за рубежом. – 2006. – № 4. – С. </w:t>
      </w:r>
      <w:r w:rsidR="00D7139D" w:rsidRPr="00486BD1">
        <w:rPr>
          <w:color w:val="000000"/>
        </w:rPr>
        <w:t>12-18.</w:t>
      </w:r>
    </w:p>
    <w:p w:rsidR="002C5C75" w:rsidRPr="00486BD1" w:rsidRDefault="002C5C75" w:rsidP="004D5731">
      <w:pPr>
        <w:pStyle w:val="ab"/>
        <w:numPr>
          <w:ilvl w:val="0"/>
          <w:numId w:val="2"/>
        </w:numPr>
        <w:spacing w:before="0" w:beforeAutospacing="0" w:after="0" w:afterAutospacing="0"/>
        <w:ind w:left="0" w:firstLine="567"/>
        <w:jc w:val="both"/>
        <w:rPr>
          <w:color w:val="000000"/>
        </w:rPr>
      </w:pPr>
      <w:r w:rsidRPr="00486BD1">
        <w:rPr>
          <w:color w:val="000000"/>
        </w:rPr>
        <w:t>Федеральная служба государственной статистики [Электронный ресурс] - Режим доступа: https://rosstat.gov.ru/</w:t>
      </w:r>
    </w:p>
    <w:p w:rsidR="004D29C3" w:rsidRDefault="004D29C3" w:rsidP="004D29C3">
      <w:pPr>
        <w:pStyle w:val="ab"/>
        <w:spacing w:before="0" w:beforeAutospacing="0" w:after="0" w:afterAutospacing="0"/>
        <w:ind w:left="567"/>
        <w:jc w:val="both"/>
        <w:rPr>
          <w:color w:val="000000"/>
        </w:rPr>
      </w:pPr>
    </w:p>
    <w:p w:rsidR="004D29C3" w:rsidRPr="008D40B7" w:rsidRDefault="004D29C3" w:rsidP="004D29C3">
      <w:pPr>
        <w:pStyle w:val="ab"/>
        <w:spacing w:before="0" w:beforeAutospacing="0" w:after="0" w:afterAutospacing="0"/>
        <w:ind w:firstLine="709"/>
        <w:jc w:val="both"/>
        <w:rPr>
          <w:b/>
          <w:color w:val="000000"/>
        </w:rPr>
      </w:pPr>
      <w:r w:rsidRPr="008D40B7">
        <w:rPr>
          <w:b/>
          <w:color w:val="000000"/>
        </w:rPr>
        <w:t>Информация об авторах</w:t>
      </w:r>
    </w:p>
    <w:p w:rsidR="008809ED" w:rsidRPr="00A52917" w:rsidRDefault="009D21C8" w:rsidP="00A52917">
      <w:pPr>
        <w:pStyle w:val="ab"/>
        <w:spacing w:before="0" w:beforeAutospacing="0" w:after="0" w:afterAutospacing="0"/>
        <w:ind w:firstLine="567"/>
        <w:jc w:val="both"/>
      </w:pPr>
      <w:r>
        <w:rPr>
          <w:color w:val="000000"/>
        </w:rPr>
        <w:t xml:space="preserve">1. Берегой Вера Руслановна. </w:t>
      </w:r>
      <w:r w:rsidR="00B635DE">
        <w:rPr>
          <w:color w:val="000000"/>
        </w:rPr>
        <w:t>«</w:t>
      </w:r>
      <w:hyperlink r:id="rId24" w:history="1">
        <w:r w:rsidR="00B635DE">
          <w:rPr>
            <w:color w:val="000000"/>
          </w:rPr>
          <w:t>ФГБОУ ВО «</w:t>
        </w:r>
        <w:r w:rsidRPr="009D21C8">
          <w:rPr>
            <w:color w:val="000000"/>
          </w:rPr>
          <w:t>Вологодский государственный университет</w:t>
        </w:r>
      </w:hyperlink>
      <w:r w:rsidR="00B635DE">
        <w:rPr>
          <w:color w:val="000000"/>
        </w:rPr>
        <w:t>»</w:t>
      </w:r>
      <w:r w:rsidR="00C52748">
        <w:rPr>
          <w:color w:val="000000"/>
        </w:rPr>
        <w:t xml:space="preserve"> (</w:t>
      </w:r>
      <w:hyperlink r:id="rId25" w:history="1">
        <w:r w:rsidR="00C52748" w:rsidRPr="00A52917">
          <w:t>v_beregoy@mail.ru</w:t>
        </w:r>
      </w:hyperlink>
      <w:r w:rsidR="00C52748" w:rsidRPr="00A52917">
        <w:t>, 160000, Вологодская область, г. Вологда, ул. Ленина, 15</w:t>
      </w:r>
      <w:r w:rsidR="00A52917" w:rsidRPr="00A52917">
        <w:t xml:space="preserve"> </w:t>
      </w:r>
      <w:r w:rsidR="00C52748" w:rsidRPr="00A52917">
        <w:t xml:space="preserve">Телефон: (8172) 72-46-45, </w:t>
      </w:r>
      <w:proofErr w:type="spellStart"/>
      <w:r w:rsidR="00C52748" w:rsidRPr="00A52917">
        <w:t>Email</w:t>
      </w:r>
      <w:proofErr w:type="spellEnd"/>
      <w:r w:rsidR="00C52748" w:rsidRPr="00A52917">
        <w:t xml:space="preserve">: </w:t>
      </w:r>
      <w:hyperlink r:id="rId26" w:history="1">
        <w:r w:rsidR="00A52917" w:rsidRPr="00A52917">
          <w:rPr>
            <w:rStyle w:val="a8"/>
            <w:color w:val="auto"/>
            <w:u w:val="none"/>
          </w:rPr>
          <w:t>kanz@vogu35.ru</w:t>
        </w:r>
      </w:hyperlink>
      <w:r w:rsidR="00C52748" w:rsidRPr="00A52917">
        <w:t>)</w:t>
      </w:r>
      <w:r w:rsidR="00A52917" w:rsidRPr="00A52917">
        <w:t>.</w:t>
      </w:r>
    </w:p>
    <w:p w:rsidR="00A52917" w:rsidRDefault="00A52917" w:rsidP="004D5731">
      <w:pPr>
        <w:pStyle w:val="ab"/>
        <w:spacing w:before="0" w:beforeAutospacing="0" w:after="0" w:afterAutospacing="0"/>
        <w:ind w:firstLine="567"/>
        <w:jc w:val="both"/>
      </w:pPr>
      <w:r w:rsidRPr="00A52917">
        <w:t xml:space="preserve">2. </w:t>
      </w:r>
      <w:proofErr w:type="spellStart"/>
      <w:r w:rsidRPr="00A52917">
        <w:t>Варакова</w:t>
      </w:r>
      <w:proofErr w:type="spellEnd"/>
      <w:r w:rsidRPr="00A52917">
        <w:t xml:space="preserve"> Анастасия Владимировна. «</w:t>
      </w:r>
      <w:hyperlink r:id="rId27" w:history="1">
        <w:r w:rsidRPr="00A52917">
          <w:t>ФГБОУ ВО «Вологодский государственный университет</w:t>
        </w:r>
      </w:hyperlink>
      <w:r w:rsidRPr="00A52917">
        <w:t>» (</w:t>
      </w:r>
      <w:hyperlink r:id="rId28" w:history="1">
        <w:r w:rsidRPr="00A52917">
          <w:t>nastya.varakova@mail.ru</w:t>
        </w:r>
      </w:hyperlink>
      <w:r w:rsidRPr="00A52917">
        <w:t xml:space="preserve">, 160000, Вологодская область, г. Вологда, ул. Ленина, 15 Телефон: (8172) 72-46-45, </w:t>
      </w:r>
      <w:proofErr w:type="spellStart"/>
      <w:r w:rsidRPr="00A52917">
        <w:t>Email</w:t>
      </w:r>
      <w:proofErr w:type="spellEnd"/>
      <w:r w:rsidRPr="00A52917">
        <w:t xml:space="preserve">: </w:t>
      </w:r>
      <w:hyperlink r:id="rId29" w:history="1">
        <w:r w:rsidRPr="00A52917">
          <w:t>kanz@vogu35.ru</w:t>
        </w:r>
      </w:hyperlink>
      <w:r w:rsidRPr="00A52917">
        <w:t>).</w:t>
      </w:r>
    </w:p>
    <w:p w:rsidR="006C0AE4" w:rsidRDefault="00A52917" w:rsidP="00146A07">
      <w:pPr>
        <w:pStyle w:val="ab"/>
        <w:spacing w:before="0" w:beforeAutospacing="0" w:after="0" w:afterAutospacing="0"/>
        <w:ind w:firstLine="567"/>
        <w:jc w:val="both"/>
      </w:pPr>
      <w:r>
        <w:t xml:space="preserve">3. Катышев Иван Александрович. </w:t>
      </w:r>
      <w:r w:rsidRPr="00A52917">
        <w:t>«</w:t>
      </w:r>
      <w:hyperlink r:id="rId30" w:history="1">
        <w:r w:rsidRPr="00A52917">
          <w:t>ФГБОУ ВО «Вологодский государственный университет</w:t>
        </w:r>
      </w:hyperlink>
      <w:r w:rsidRPr="00A52917">
        <w:t>» (</w:t>
      </w:r>
      <w:hyperlink r:id="rId31" w:history="1">
        <w:r w:rsidR="00414D50" w:rsidRPr="00414D50">
          <w:t>ivan.katyshev.99@mail.ru</w:t>
        </w:r>
      </w:hyperlink>
      <w:r w:rsidRPr="00A52917">
        <w:t xml:space="preserve">, 160000, Вологодская область, г. Вологда, ул. Ленина, 15 Телефон: (8172) 72-46-45, </w:t>
      </w:r>
      <w:proofErr w:type="spellStart"/>
      <w:r w:rsidRPr="00A52917">
        <w:t>Email</w:t>
      </w:r>
      <w:proofErr w:type="spellEnd"/>
      <w:r w:rsidRPr="00A52917">
        <w:t xml:space="preserve">: </w:t>
      </w:r>
      <w:hyperlink r:id="rId32" w:history="1">
        <w:r w:rsidR="00414D50" w:rsidRPr="00414D50">
          <w:t>kanz@vogu35.ru</w:t>
        </w:r>
      </w:hyperlink>
      <w:r w:rsidRPr="00A52917">
        <w:t>).</w:t>
      </w:r>
      <w:bookmarkStart w:id="0" w:name="_GoBack"/>
      <w:bookmarkEnd w:id="0"/>
    </w:p>
    <w:sectPr w:rsidR="006C0AE4" w:rsidSect="00EA4BEA">
      <w:footerReference w:type="default" r:id="rId33"/>
      <w:type w:val="continuous"/>
      <w:pgSz w:w="11910" w:h="16840"/>
      <w:pgMar w:top="1134" w:right="1134" w:bottom="113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519B1" w:rsidRDefault="008519B1" w:rsidP="00AF6922">
      <w:pPr>
        <w:spacing w:after="0" w:line="240" w:lineRule="auto"/>
      </w:pPr>
      <w:r>
        <w:separator/>
      </w:r>
    </w:p>
  </w:endnote>
  <w:endnote w:type="continuationSeparator" w:id="0">
    <w:p w:rsidR="008519B1" w:rsidRDefault="008519B1" w:rsidP="00AF69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2565"/>
    </w:sdtPr>
    <w:sdtEndPr/>
    <w:sdtContent>
      <w:p w:rsidR="002A73D8" w:rsidRDefault="008519B1">
        <w:pPr>
          <w:pStyle w:val="ae"/>
          <w:jc w:val="center"/>
        </w:pPr>
        <w:r>
          <w:fldChar w:fldCharType="begin"/>
        </w:r>
        <w:r>
          <w:instrText xml:space="preserve"> PAGE   \* MERGEFORMAT </w:instrText>
        </w:r>
        <w:r>
          <w:fldChar w:fldCharType="separate"/>
        </w:r>
        <w:r w:rsidR="00146A07">
          <w:rPr>
            <w:noProof/>
          </w:rPr>
          <w:t>5</w:t>
        </w:r>
        <w:r>
          <w:rPr>
            <w:noProof/>
          </w:rPr>
          <w:fldChar w:fldCharType="end"/>
        </w:r>
      </w:p>
    </w:sdtContent>
  </w:sdt>
  <w:p w:rsidR="002A73D8" w:rsidRDefault="002A73D8">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519B1" w:rsidRDefault="008519B1" w:rsidP="00AF6922">
      <w:pPr>
        <w:spacing w:after="0" w:line="240" w:lineRule="auto"/>
      </w:pPr>
      <w:r>
        <w:separator/>
      </w:r>
    </w:p>
  </w:footnote>
  <w:footnote w:type="continuationSeparator" w:id="0">
    <w:p w:rsidR="008519B1" w:rsidRDefault="008519B1" w:rsidP="00AF692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49D1915"/>
    <w:multiLevelType w:val="hybridMultilevel"/>
    <w:tmpl w:val="D1E4A2C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3B514044"/>
    <w:multiLevelType w:val="hybridMultilevel"/>
    <w:tmpl w:val="8A0A4356"/>
    <w:lvl w:ilvl="0" w:tplc="4178ED5C">
      <w:start w:val="1"/>
      <w:numFmt w:val="decimal"/>
      <w:lvlText w:val="%1."/>
      <w:lvlJc w:val="left"/>
      <w:pPr>
        <w:ind w:left="1236" w:hanging="81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2"/>
  </w:compat>
  <w:rsids>
    <w:rsidRoot w:val="008809ED"/>
    <w:rsid w:val="00007F5D"/>
    <w:rsid w:val="00012283"/>
    <w:rsid w:val="00025126"/>
    <w:rsid w:val="00030FF3"/>
    <w:rsid w:val="000326FC"/>
    <w:rsid w:val="00037A64"/>
    <w:rsid w:val="00043AC9"/>
    <w:rsid w:val="00051A7C"/>
    <w:rsid w:val="00070460"/>
    <w:rsid w:val="00070799"/>
    <w:rsid w:val="00074F38"/>
    <w:rsid w:val="000807F6"/>
    <w:rsid w:val="000832A7"/>
    <w:rsid w:val="000834BC"/>
    <w:rsid w:val="00092A88"/>
    <w:rsid w:val="00093B35"/>
    <w:rsid w:val="000E0B61"/>
    <w:rsid w:val="000E3A2D"/>
    <w:rsid w:val="000E76D9"/>
    <w:rsid w:val="00100DCE"/>
    <w:rsid w:val="00104014"/>
    <w:rsid w:val="0011287C"/>
    <w:rsid w:val="00130F83"/>
    <w:rsid w:val="00146A07"/>
    <w:rsid w:val="001537C1"/>
    <w:rsid w:val="001610F0"/>
    <w:rsid w:val="00162A28"/>
    <w:rsid w:val="00172DFD"/>
    <w:rsid w:val="00190823"/>
    <w:rsid w:val="00192F59"/>
    <w:rsid w:val="00197C63"/>
    <w:rsid w:val="001A4B81"/>
    <w:rsid w:val="001C5A16"/>
    <w:rsid w:val="001C5B0D"/>
    <w:rsid w:val="001D15B8"/>
    <w:rsid w:val="001D4B8A"/>
    <w:rsid w:val="001E4D3B"/>
    <w:rsid w:val="00200B4C"/>
    <w:rsid w:val="002119E3"/>
    <w:rsid w:val="002155D7"/>
    <w:rsid w:val="002169C5"/>
    <w:rsid w:val="00222D74"/>
    <w:rsid w:val="00227B64"/>
    <w:rsid w:val="002370B3"/>
    <w:rsid w:val="002372F6"/>
    <w:rsid w:val="00240828"/>
    <w:rsid w:val="00240A8D"/>
    <w:rsid w:val="00255D9D"/>
    <w:rsid w:val="00271EEE"/>
    <w:rsid w:val="0027648C"/>
    <w:rsid w:val="0028271D"/>
    <w:rsid w:val="00284CD5"/>
    <w:rsid w:val="00285676"/>
    <w:rsid w:val="00295A28"/>
    <w:rsid w:val="002A4D83"/>
    <w:rsid w:val="002A6ADC"/>
    <w:rsid w:val="002A73D8"/>
    <w:rsid w:val="002B1BE7"/>
    <w:rsid w:val="002B65FC"/>
    <w:rsid w:val="002C3E76"/>
    <w:rsid w:val="002C5C75"/>
    <w:rsid w:val="002C7D83"/>
    <w:rsid w:val="002D7301"/>
    <w:rsid w:val="002F76A5"/>
    <w:rsid w:val="00311658"/>
    <w:rsid w:val="00323716"/>
    <w:rsid w:val="0032668A"/>
    <w:rsid w:val="00330737"/>
    <w:rsid w:val="0034323E"/>
    <w:rsid w:val="00351DD4"/>
    <w:rsid w:val="00361A3A"/>
    <w:rsid w:val="00363761"/>
    <w:rsid w:val="003666A1"/>
    <w:rsid w:val="00380181"/>
    <w:rsid w:val="00385D06"/>
    <w:rsid w:val="003A3A81"/>
    <w:rsid w:val="003B4984"/>
    <w:rsid w:val="003C20E7"/>
    <w:rsid w:val="003D0FB6"/>
    <w:rsid w:val="003D75F7"/>
    <w:rsid w:val="003E38B6"/>
    <w:rsid w:val="003E5A13"/>
    <w:rsid w:val="003F0BFA"/>
    <w:rsid w:val="003F2522"/>
    <w:rsid w:val="003F3857"/>
    <w:rsid w:val="003F736C"/>
    <w:rsid w:val="004050C3"/>
    <w:rsid w:val="004116D2"/>
    <w:rsid w:val="00414D50"/>
    <w:rsid w:val="00435B06"/>
    <w:rsid w:val="004454A7"/>
    <w:rsid w:val="00446C07"/>
    <w:rsid w:val="00456862"/>
    <w:rsid w:val="00465469"/>
    <w:rsid w:val="004806DB"/>
    <w:rsid w:val="0048323A"/>
    <w:rsid w:val="00484136"/>
    <w:rsid w:val="00486BD1"/>
    <w:rsid w:val="0049276D"/>
    <w:rsid w:val="0049713E"/>
    <w:rsid w:val="004974A6"/>
    <w:rsid w:val="004A4315"/>
    <w:rsid w:val="004A6BA5"/>
    <w:rsid w:val="004B1B1F"/>
    <w:rsid w:val="004B427E"/>
    <w:rsid w:val="004D29C3"/>
    <w:rsid w:val="004D5731"/>
    <w:rsid w:val="004E0B6F"/>
    <w:rsid w:val="004E0CCA"/>
    <w:rsid w:val="004F57E5"/>
    <w:rsid w:val="005018FA"/>
    <w:rsid w:val="00512217"/>
    <w:rsid w:val="005164F8"/>
    <w:rsid w:val="00524AE4"/>
    <w:rsid w:val="005343D5"/>
    <w:rsid w:val="00542341"/>
    <w:rsid w:val="005505A9"/>
    <w:rsid w:val="00552318"/>
    <w:rsid w:val="00564421"/>
    <w:rsid w:val="0057199A"/>
    <w:rsid w:val="00573D05"/>
    <w:rsid w:val="005740B6"/>
    <w:rsid w:val="00580B77"/>
    <w:rsid w:val="00580BB1"/>
    <w:rsid w:val="00587194"/>
    <w:rsid w:val="005A5767"/>
    <w:rsid w:val="005D72E4"/>
    <w:rsid w:val="005E5615"/>
    <w:rsid w:val="005F6122"/>
    <w:rsid w:val="005F7D8E"/>
    <w:rsid w:val="0060122B"/>
    <w:rsid w:val="006100DF"/>
    <w:rsid w:val="00612BBF"/>
    <w:rsid w:val="006135F2"/>
    <w:rsid w:val="006256A1"/>
    <w:rsid w:val="00640C99"/>
    <w:rsid w:val="0064276E"/>
    <w:rsid w:val="00642BBA"/>
    <w:rsid w:val="006507A8"/>
    <w:rsid w:val="006659B2"/>
    <w:rsid w:val="006859CD"/>
    <w:rsid w:val="00690867"/>
    <w:rsid w:val="006A1A8B"/>
    <w:rsid w:val="006A56C1"/>
    <w:rsid w:val="006B197D"/>
    <w:rsid w:val="006C090B"/>
    <w:rsid w:val="006C0AE4"/>
    <w:rsid w:val="006C3649"/>
    <w:rsid w:val="006C3FCD"/>
    <w:rsid w:val="006C57C5"/>
    <w:rsid w:val="006E429C"/>
    <w:rsid w:val="006F12BA"/>
    <w:rsid w:val="00700D4C"/>
    <w:rsid w:val="00713AF6"/>
    <w:rsid w:val="007167F3"/>
    <w:rsid w:val="00726E75"/>
    <w:rsid w:val="00726F81"/>
    <w:rsid w:val="00727214"/>
    <w:rsid w:val="00744239"/>
    <w:rsid w:val="00753AA1"/>
    <w:rsid w:val="00755204"/>
    <w:rsid w:val="007736B6"/>
    <w:rsid w:val="00775CC9"/>
    <w:rsid w:val="007871C4"/>
    <w:rsid w:val="00792D3E"/>
    <w:rsid w:val="007A4088"/>
    <w:rsid w:val="007B0440"/>
    <w:rsid w:val="007B457E"/>
    <w:rsid w:val="007C5FFE"/>
    <w:rsid w:val="007C6708"/>
    <w:rsid w:val="007E0A35"/>
    <w:rsid w:val="007E5792"/>
    <w:rsid w:val="007F4BCE"/>
    <w:rsid w:val="00806EF1"/>
    <w:rsid w:val="00821B7A"/>
    <w:rsid w:val="00831B0C"/>
    <w:rsid w:val="008337B7"/>
    <w:rsid w:val="00833BC8"/>
    <w:rsid w:val="008519B1"/>
    <w:rsid w:val="008643DB"/>
    <w:rsid w:val="00876B57"/>
    <w:rsid w:val="008809ED"/>
    <w:rsid w:val="00880EC1"/>
    <w:rsid w:val="00882E91"/>
    <w:rsid w:val="00887109"/>
    <w:rsid w:val="008872EC"/>
    <w:rsid w:val="008904A1"/>
    <w:rsid w:val="008952B2"/>
    <w:rsid w:val="00895C0C"/>
    <w:rsid w:val="008C396B"/>
    <w:rsid w:val="008D0D31"/>
    <w:rsid w:val="008D40B7"/>
    <w:rsid w:val="008F2DA8"/>
    <w:rsid w:val="008F5372"/>
    <w:rsid w:val="008F5ABF"/>
    <w:rsid w:val="00913709"/>
    <w:rsid w:val="0092277C"/>
    <w:rsid w:val="0094624E"/>
    <w:rsid w:val="00946AD6"/>
    <w:rsid w:val="009474FF"/>
    <w:rsid w:val="00954F71"/>
    <w:rsid w:val="00960659"/>
    <w:rsid w:val="00980B36"/>
    <w:rsid w:val="00981905"/>
    <w:rsid w:val="00987498"/>
    <w:rsid w:val="0099023E"/>
    <w:rsid w:val="00994EC2"/>
    <w:rsid w:val="009B0C4C"/>
    <w:rsid w:val="009C3907"/>
    <w:rsid w:val="009C57E8"/>
    <w:rsid w:val="009D0F83"/>
    <w:rsid w:val="009D21C8"/>
    <w:rsid w:val="009E34B1"/>
    <w:rsid w:val="009F2017"/>
    <w:rsid w:val="009F460D"/>
    <w:rsid w:val="00A12891"/>
    <w:rsid w:val="00A17056"/>
    <w:rsid w:val="00A37846"/>
    <w:rsid w:val="00A411BC"/>
    <w:rsid w:val="00A4252F"/>
    <w:rsid w:val="00A51375"/>
    <w:rsid w:val="00A52917"/>
    <w:rsid w:val="00A71955"/>
    <w:rsid w:val="00A7582C"/>
    <w:rsid w:val="00A75DDD"/>
    <w:rsid w:val="00A85D10"/>
    <w:rsid w:val="00A86127"/>
    <w:rsid w:val="00A86D51"/>
    <w:rsid w:val="00A87995"/>
    <w:rsid w:val="00A92D8B"/>
    <w:rsid w:val="00A97F06"/>
    <w:rsid w:val="00AA4CDB"/>
    <w:rsid w:val="00AB0932"/>
    <w:rsid w:val="00AB25FF"/>
    <w:rsid w:val="00AB35B5"/>
    <w:rsid w:val="00AB416B"/>
    <w:rsid w:val="00AD495A"/>
    <w:rsid w:val="00AD5A4A"/>
    <w:rsid w:val="00AD5D20"/>
    <w:rsid w:val="00AD7C60"/>
    <w:rsid w:val="00AE0838"/>
    <w:rsid w:val="00AE6399"/>
    <w:rsid w:val="00AF1C5A"/>
    <w:rsid w:val="00AF2A10"/>
    <w:rsid w:val="00AF6922"/>
    <w:rsid w:val="00B13FC3"/>
    <w:rsid w:val="00B20EE8"/>
    <w:rsid w:val="00B271F9"/>
    <w:rsid w:val="00B32DD2"/>
    <w:rsid w:val="00B34D9B"/>
    <w:rsid w:val="00B43E92"/>
    <w:rsid w:val="00B528F9"/>
    <w:rsid w:val="00B5410F"/>
    <w:rsid w:val="00B553C3"/>
    <w:rsid w:val="00B635DE"/>
    <w:rsid w:val="00B6499D"/>
    <w:rsid w:val="00B76E8D"/>
    <w:rsid w:val="00B81E3D"/>
    <w:rsid w:val="00B82415"/>
    <w:rsid w:val="00B975C2"/>
    <w:rsid w:val="00BA0516"/>
    <w:rsid w:val="00BB72D5"/>
    <w:rsid w:val="00BC7DAF"/>
    <w:rsid w:val="00BD0785"/>
    <w:rsid w:val="00BD3B2B"/>
    <w:rsid w:val="00BE065B"/>
    <w:rsid w:val="00BE50ED"/>
    <w:rsid w:val="00BF7788"/>
    <w:rsid w:val="00C0168F"/>
    <w:rsid w:val="00C12826"/>
    <w:rsid w:val="00C25F69"/>
    <w:rsid w:val="00C30544"/>
    <w:rsid w:val="00C357CB"/>
    <w:rsid w:val="00C36102"/>
    <w:rsid w:val="00C43F02"/>
    <w:rsid w:val="00C44D09"/>
    <w:rsid w:val="00C5200C"/>
    <w:rsid w:val="00C52748"/>
    <w:rsid w:val="00C80969"/>
    <w:rsid w:val="00C80DBA"/>
    <w:rsid w:val="00CB55D2"/>
    <w:rsid w:val="00CD20AF"/>
    <w:rsid w:val="00CE715D"/>
    <w:rsid w:val="00D00ABD"/>
    <w:rsid w:val="00D040FF"/>
    <w:rsid w:val="00D0757D"/>
    <w:rsid w:val="00D10EDE"/>
    <w:rsid w:val="00D11F24"/>
    <w:rsid w:val="00D2493E"/>
    <w:rsid w:val="00D25014"/>
    <w:rsid w:val="00D260FE"/>
    <w:rsid w:val="00D343FD"/>
    <w:rsid w:val="00D34CFE"/>
    <w:rsid w:val="00D35301"/>
    <w:rsid w:val="00D42877"/>
    <w:rsid w:val="00D42EBB"/>
    <w:rsid w:val="00D43F6E"/>
    <w:rsid w:val="00D612FE"/>
    <w:rsid w:val="00D65285"/>
    <w:rsid w:val="00D7139D"/>
    <w:rsid w:val="00D75CF9"/>
    <w:rsid w:val="00D92F73"/>
    <w:rsid w:val="00D94310"/>
    <w:rsid w:val="00D945FA"/>
    <w:rsid w:val="00DB5A9C"/>
    <w:rsid w:val="00DB6E65"/>
    <w:rsid w:val="00DD4224"/>
    <w:rsid w:val="00DD47CB"/>
    <w:rsid w:val="00DD6950"/>
    <w:rsid w:val="00DD776B"/>
    <w:rsid w:val="00DE34BA"/>
    <w:rsid w:val="00DE5CC0"/>
    <w:rsid w:val="00E10381"/>
    <w:rsid w:val="00E30B9C"/>
    <w:rsid w:val="00E31E84"/>
    <w:rsid w:val="00E366FF"/>
    <w:rsid w:val="00E37C79"/>
    <w:rsid w:val="00E4085E"/>
    <w:rsid w:val="00E529B8"/>
    <w:rsid w:val="00E678C6"/>
    <w:rsid w:val="00E74515"/>
    <w:rsid w:val="00E77020"/>
    <w:rsid w:val="00E7786C"/>
    <w:rsid w:val="00E82861"/>
    <w:rsid w:val="00E85092"/>
    <w:rsid w:val="00E91B9A"/>
    <w:rsid w:val="00E935E7"/>
    <w:rsid w:val="00EA29EB"/>
    <w:rsid w:val="00EA409B"/>
    <w:rsid w:val="00EA4BEA"/>
    <w:rsid w:val="00EB6C1B"/>
    <w:rsid w:val="00EB77F2"/>
    <w:rsid w:val="00ED6DF0"/>
    <w:rsid w:val="00EE7414"/>
    <w:rsid w:val="00EF57C4"/>
    <w:rsid w:val="00F03E27"/>
    <w:rsid w:val="00F0788E"/>
    <w:rsid w:val="00F20D0D"/>
    <w:rsid w:val="00F24D56"/>
    <w:rsid w:val="00F259A5"/>
    <w:rsid w:val="00F261AF"/>
    <w:rsid w:val="00F411C7"/>
    <w:rsid w:val="00F44FF6"/>
    <w:rsid w:val="00F5031B"/>
    <w:rsid w:val="00F50A5C"/>
    <w:rsid w:val="00F70806"/>
    <w:rsid w:val="00F722FE"/>
    <w:rsid w:val="00F82DC1"/>
    <w:rsid w:val="00F86C4E"/>
    <w:rsid w:val="00F93648"/>
    <w:rsid w:val="00F93FAC"/>
    <w:rsid w:val="00FA06F0"/>
    <w:rsid w:val="00FA0F3F"/>
    <w:rsid w:val="00FB4F40"/>
    <w:rsid w:val="00FC020C"/>
    <w:rsid w:val="00FC5135"/>
    <w:rsid w:val="00FC7236"/>
    <w:rsid w:val="00FD6117"/>
    <w:rsid w:val="00FE1052"/>
    <w:rsid w:val="00FE4B4A"/>
    <w:rsid w:val="00FE4CC2"/>
    <w:rsid w:val="00FF15AE"/>
    <w:rsid w:val="00FF46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612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qFormat/>
    <w:rsid w:val="008809ED"/>
    <w:pPr>
      <w:widowControl w:val="0"/>
      <w:autoSpaceDE w:val="0"/>
      <w:autoSpaceDN w:val="0"/>
      <w:spacing w:after="0" w:line="240" w:lineRule="auto"/>
      <w:ind w:left="102"/>
      <w:jc w:val="both"/>
    </w:pPr>
    <w:rPr>
      <w:rFonts w:ascii="Times New Roman" w:eastAsia="Times New Roman" w:hAnsi="Times New Roman" w:cs="Times New Roman"/>
      <w:sz w:val="28"/>
      <w:szCs w:val="28"/>
      <w:lang w:eastAsia="en-US"/>
    </w:rPr>
  </w:style>
  <w:style w:type="character" w:customStyle="1" w:styleId="a4">
    <w:name w:val="Основной текст Знак"/>
    <w:basedOn w:val="a0"/>
    <w:link w:val="a3"/>
    <w:uiPriority w:val="1"/>
    <w:rsid w:val="008809ED"/>
    <w:rPr>
      <w:rFonts w:ascii="Times New Roman" w:eastAsia="Times New Roman" w:hAnsi="Times New Roman" w:cs="Times New Roman"/>
      <w:sz w:val="28"/>
      <w:szCs w:val="28"/>
      <w:lang w:eastAsia="en-US"/>
    </w:rPr>
  </w:style>
  <w:style w:type="paragraph" w:styleId="a5">
    <w:name w:val="Title"/>
    <w:basedOn w:val="a"/>
    <w:link w:val="a6"/>
    <w:uiPriority w:val="1"/>
    <w:qFormat/>
    <w:rsid w:val="008809ED"/>
    <w:pPr>
      <w:widowControl w:val="0"/>
      <w:autoSpaceDE w:val="0"/>
      <w:autoSpaceDN w:val="0"/>
      <w:spacing w:before="72" w:after="0" w:line="240" w:lineRule="auto"/>
      <w:ind w:left="102" w:right="246" w:firstLine="566"/>
      <w:jc w:val="both"/>
    </w:pPr>
    <w:rPr>
      <w:rFonts w:ascii="Times New Roman" w:eastAsia="Times New Roman" w:hAnsi="Times New Roman" w:cs="Times New Roman"/>
      <w:b/>
      <w:bCs/>
      <w:sz w:val="28"/>
      <w:szCs w:val="28"/>
      <w:lang w:eastAsia="en-US"/>
    </w:rPr>
  </w:style>
  <w:style w:type="character" w:customStyle="1" w:styleId="a6">
    <w:name w:val="Название Знак"/>
    <w:basedOn w:val="a0"/>
    <w:link w:val="a5"/>
    <w:uiPriority w:val="1"/>
    <w:rsid w:val="008809ED"/>
    <w:rPr>
      <w:rFonts w:ascii="Times New Roman" w:eastAsia="Times New Roman" w:hAnsi="Times New Roman" w:cs="Times New Roman"/>
      <w:b/>
      <w:bCs/>
      <w:sz w:val="28"/>
      <w:szCs w:val="28"/>
      <w:lang w:eastAsia="en-US"/>
    </w:rPr>
  </w:style>
  <w:style w:type="table" w:styleId="a7">
    <w:name w:val="Table Grid"/>
    <w:basedOn w:val="a1"/>
    <w:uiPriority w:val="59"/>
    <w:rsid w:val="008809ED"/>
    <w:pPr>
      <w:widowControl w:val="0"/>
      <w:autoSpaceDE w:val="0"/>
      <w:autoSpaceDN w:val="0"/>
      <w:spacing w:after="0" w:line="240" w:lineRule="auto"/>
    </w:pPr>
    <w:rPr>
      <w:rFonts w:eastAsiaTheme="minorHAnsi"/>
      <w:lang w:val="en-US"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8">
    <w:name w:val="Hyperlink"/>
    <w:basedOn w:val="a0"/>
    <w:uiPriority w:val="99"/>
    <w:unhideWhenUsed/>
    <w:rsid w:val="008809ED"/>
    <w:rPr>
      <w:color w:val="0000FF"/>
      <w:u w:val="single"/>
    </w:rPr>
  </w:style>
  <w:style w:type="paragraph" w:styleId="a9">
    <w:name w:val="Balloon Text"/>
    <w:basedOn w:val="a"/>
    <w:link w:val="aa"/>
    <w:uiPriority w:val="99"/>
    <w:semiHidden/>
    <w:unhideWhenUsed/>
    <w:rsid w:val="008809E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8809ED"/>
    <w:rPr>
      <w:rFonts w:ascii="Tahoma" w:hAnsi="Tahoma" w:cs="Tahoma"/>
      <w:sz w:val="16"/>
      <w:szCs w:val="16"/>
    </w:rPr>
  </w:style>
  <w:style w:type="paragraph" w:styleId="ab">
    <w:name w:val="Normal (Web)"/>
    <w:basedOn w:val="a"/>
    <w:uiPriority w:val="99"/>
    <w:unhideWhenUsed/>
    <w:rsid w:val="00FC7236"/>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header"/>
    <w:basedOn w:val="a"/>
    <w:link w:val="ad"/>
    <w:uiPriority w:val="99"/>
    <w:semiHidden/>
    <w:unhideWhenUsed/>
    <w:rsid w:val="00AF6922"/>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AF6922"/>
  </w:style>
  <w:style w:type="paragraph" w:styleId="ae">
    <w:name w:val="footer"/>
    <w:basedOn w:val="a"/>
    <w:link w:val="af"/>
    <w:uiPriority w:val="99"/>
    <w:unhideWhenUsed/>
    <w:rsid w:val="00AF6922"/>
    <w:pPr>
      <w:tabs>
        <w:tab w:val="center" w:pos="4677"/>
        <w:tab w:val="right" w:pos="9355"/>
      </w:tabs>
      <w:spacing w:after="0" w:line="240" w:lineRule="auto"/>
    </w:pPr>
  </w:style>
  <w:style w:type="character" w:customStyle="1" w:styleId="af">
    <w:name w:val="Нижний колонтитул Знак"/>
    <w:basedOn w:val="a0"/>
    <w:link w:val="ae"/>
    <w:uiPriority w:val="99"/>
    <w:rsid w:val="00AF6922"/>
  </w:style>
  <w:style w:type="character" w:styleId="af0">
    <w:name w:val="Strong"/>
    <w:basedOn w:val="a0"/>
    <w:uiPriority w:val="22"/>
    <w:qFormat/>
    <w:rsid w:val="00AA4CDB"/>
    <w:rPr>
      <w:b/>
      <w:bCs/>
    </w:rPr>
  </w:style>
  <w:style w:type="character" w:customStyle="1" w:styleId="fontstyle01">
    <w:name w:val="fontstyle01"/>
    <w:basedOn w:val="a0"/>
    <w:rsid w:val="004806DB"/>
    <w:rPr>
      <w:rFonts w:ascii="TimesNewRomanPSMT" w:hAnsi="TimesNewRomanPSMT" w:hint="default"/>
      <w:b w:val="0"/>
      <w:bCs w:val="0"/>
      <w:i w:val="0"/>
      <w:iCs w:val="0"/>
      <w:color w:val="000000"/>
      <w:sz w:val="20"/>
      <w:szCs w:val="20"/>
    </w:rPr>
  </w:style>
  <w:style w:type="character" w:customStyle="1" w:styleId="1">
    <w:name w:val="Обычный1"/>
    <w:basedOn w:val="a0"/>
    <w:rsid w:val="00954F71"/>
  </w:style>
  <w:style w:type="character" w:customStyle="1" w:styleId="plagiat">
    <w:name w:val="plagiat"/>
    <w:basedOn w:val="a0"/>
    <w:rsid w:val="00954F71"/>
  </w:style>
  <w:style w:type="character" w:customStyle="1" w:styleId="legal">
    <w:name w:val="legal"/>
    <w:basedOn w:val="a0"/>
    <w:rsid w:val="00954F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002316">
      <w:bodyDiv w:val="1"/>
      <w:marLeft w:val="0"/>
      <w:marRight w:val="0"/>
      <w:marTop w:val="0"/>
      <w:marBottom w:val="0"/>
      <w:divBdr>
        <w:top w:val="none" w:sz="0" w:space="0" w:color="auto"/>
        <w:left w:val="none" w:sz="0" w:space="0" w:color="auto"/>
        <w:bottom w:val="none" w:sz="0" w:space="0" w:color="auto"/>
        <w:right w:val="none" w:sz="0" w:space="0" w:color="auto"/>
      </w:divBdr>
    </w:div>
    <w:div w:id="106899414">
      <w:bodyDiv w:val="1"/>
      <w:marLeft w:val="0"/>
      <w:marRight w:val="0"/>
      <w:marTop w:val="0"/>
      <w:marBottom w:val="0"/>
      <w:divBdr>
        <w:top w:val="none" w:sz="0" w:space="0" w:color="auto"/>
        <w:left w:val="none" w:sz="0" w:space="0" w:color="auto"/>
        <w:bottom w:val="none" w:sz="0" w:space="0" w:color="auto"/>
        <w:right w:val="none" w:sz="0" w:space="0" w:color="auto"/>
      </w:divBdr>
    </w:div>
    <w:div w:id="420032533">
      <w:bodyDiv w:val="1"/>
      <w:marLeft w:val="0"/>
      <w:marRight w:val="0"/>
      <w:marTop w:val="0"/>
      <w:marBottom w:val="0"/>
      <w:divBdr>
        <w:top w:val="none" w:sz="0" w:space="0" w:color="auto"/>
        <w:left w:val="none" w:sz="0" w:space="0" w:color="auto"/>
        <w:bottom w:val="none" w:sz="0" w:space="0" w:color="auto"/>
        <w:right w:val="none" w:sz="0" w:space="0" w:color="auto"/>
      </w:divBdr>
    </w:div>
    <w:div w:id="652560661">
      <w:bodyDiv w:val="1"/>
      <w:marLeft w:val="0"/>
      <w:marRight w:val="0"/>
      <w:marTop w:val="0"/>
      <w:marBottom w:val="0"/>
      <w:divBdr>
        <w:top w:val="none" w:sz="0" w:space="0" w:color="auto"/>
        <w:left w:val="none" w:sz="0" w:space="0" w:color="auto"/>
        <w:bottom w:val="none" w:sz="0" w:space="0" w:color="auto"/>
        <w:right w:val="none" w:sz="0" w:space="0" w:color="auto"/>
      </w:divBdr>
    </w:div>
    <w:div w:id="1071733250">
      <w:bodyDiv w:val="1"/>
      <w:marLeft w:val="0"/>
      <w:marRight w:val="0"/>
      <w:marTop w:val="0"/>
      <w:marBottom w:val="0"/>
      <w:divBdr>
        <w:top w:val="none" w:sz="0" w:space="0" w:color="auto"/>
        <w:left w:val="none" w:sz="0" w:space="0" w:color="auto"/>
        <w:bottom w:val="none" w:sz="0" w:space="0" w:color="auto"/>
        <w:right w:val="none" w:sz="0" w:space="0" w:color="auto"/>
      </w:divBdr>
    </w:div>
    <w:div w:id="1087993819">
      <w:bodyDiv w:val="1"/>
      <w:marLeft w:val="0"/>
      <w:marRight w:val="0"/>
      <w:marTop w:val="0"/>
      <w:marBottom w:val="0"/>
      <w:divBdr>
        <w:top w:val="none" w:sz="0" w:space="0" w:color="auto"/>
        <w:left w:val="none" w:sz="0" w:space="0" w:color="auto"/>
        <w:bottom w:val="none" w:sz="0" w:space="0" w:color="auto"/>
        <w:right w:val="none" w:sz="0" w:space="0" w:color="auto"/>
      </w:divBdr>
    </w:div>
    <w:div w:id="1393193867">
      <w:bodyDiv w:val="1"/>
      <w:marLeft w:val="0"/>
      <w:marRight w:val="0"/>
      <w:marTop w:val="0"/>
      <w:marBottom w:val="0"/>
      <w:divBdr>
        <w:top w:val="none" w:sz="0" w:space="0" w:color="auto"/>
        <w:left w:val="none" w:sz="0" w:space="0" w:color="auto"/>
        <w:bottom w:val="none" w:sz="0" w:space="0" w:color="auto"/>
        <w:right w:val="none" w:sz="0" w:space="0" w:color="auto"/>
      </w:divBdr>
    </w:div>
    <w:div w:id="1432815322">
      <w:bodyDiv w:val="1"/>
      <w:marLeft w:val="0"/>
      <w:marRight w:val="0"/>
      <w:marTop w:val="0"/>
      <w:marBottom w:val="0"/>
      <w:divBdr>
        <w:top w:val="none" w:sz="0" w:space="0" w:color="auto"/>
        <w:left w:val="none" w:sz="0" w:space="0" w:color="auto"/>
        <w:bottom w:val="none" w:sz="0" w:space="0" w:color="auto"/>
        <w:right w:val="none" w:sz="0" w:space="0" w:color="auto"/>
      </w:divBdr>
    </w:div>
    <w:div w:id="1677922809">
      <w:bodyDiv w:val="1"/>
      <w:marLeft w:val="0"/>
      <w:marRight w:val="0"/>
      <w:marTop w:val="0"/>
      <w:marBottom w:val="0"/>
      <w:divBdr>
        <w:top w:val="none" w:sz="0" w:space="0" w:color="auto"/>
        <w:left w:val="none" w:sz="0" w:space="0" w:color="auto"/>
        <w:bottom w:val="none" w:sz="0" w:space="0" w:color="auto"/>
        <w:right w:val="none" w:sz="0" w:space="0" w:color="auto"/>
      </w:divBdr>
    </w:div>
    <w:div w:id="1791392543">
      <w:bodyDiv w:val="1"/>
      <w:marLeft w:val="0"/>
      <w:marRight w:val="0"/>
      <w:marTop w:val="0"/>
      <w:marBottom w:val="0"/>
      <w:divBdr>
        <w:top w:val="none" w:sz="0" w:space="0" w:color="auto"/>
        <w:left w:val="none" w:sz="0" w:space="0" w:color="auto"/>
        <w:bottom w:val="none" w:sz="0" w:space="0" w:color="auto"/>
        <w:right w:val="none" w:sz="0" w:space="0" w:color="auto"/>
      </w:divBdr>
    </w:div>
    <w:div w:id="1808473211">
      <w:bodyDiv w:val="1"/>
      <w:marLeft w:val="0"/>
      <w:marRight w:val="0"/>
      <w:marTop w:val="0"/>
      <w:marBottom w:val="0"/>
      <w:divBdr>
        <w:top w:val="none" w:sz="0" w:space="0" w:color="auto"/>
        <w:left w:val="none" w:sz="0" w:space="0" w:color="auto"/>
        <w:bottom w:val="none" w:sz="0" w:space="0" w:color="auto"/>
        <w:right w:val="none" w:sz="0" w:space="0" w:color="auto"/>
      </w:divBdr>
    </w:div>
    <w:div w:id="2042319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image" Target="media/image5.wmf"/><Relationship Id="rId26" Type="http://schemas.openxmlformats.org/officeDocument/2006/relationships/hyperlink" Target="mailto:kanz@vogu35.ru" TargetMode="External"/><Relationship Id="rId3" Type="http://schemas.openxmlformats.org/officeDocument/2006/relationships/styles" Target="styles.xml"/><Relationship Id="rId21" Type="http://schemas.openxmlformats.org/officeDocument/2006/relationships/oleObject" Target="embeddings/oleObject4.bin"/><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oleObject" Target="embeddings/oleObject2.bin"/><Relationship Id="rId25" Type="http://schemas.openxmlformats.org/officeDocument/2006/relationships/hyperlink" Target="mailto:v_beregoy@mail.ru"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4.wmf"/><Relationship Id="rId20" Type="http://schemas.openxmlformats.org/officeDocument/2006/relationships/image" Target="media/image6.wmf"/><Relationship Id="rId29" Type="http://schemas.openxmlformats.org/officeDocument/2006/relationships/hyperlink" Target="mailto:kanz@vogu35.r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hyperlink" Target="https://vogu35.ru/" TargetMode="External"/><Relationship Id="rId32" Type="http://schemas.openxmlformats.org/officeDocument/2006/relationships/hyperlink" Target="mailto:kanz@vogu35.ru" TargetMode="Externa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hyperlink" Target="https://elibrary.ru/contents.asp?id=44055059&amp;selid=44055065" TargetMode="External"/><Relationship Id="rId28" Type="http://schemas.openxmlformats.org/officeDocument/2006/relationships/hyperlink" Target="mailto:nastya.varakova@mail.ru" TargetMode="External"/><Relationship Id="rId10" Type="http://schemas.openxmlformats.org/officeDocument/2006/relationships/chart" Target="charts/chart2.xml"/><Relationship Id="rId19" Type="http://schemas.openxmlformats.org/officeDocument/2006/relationships/oleObject" Target="embeddings/oleObject3.bin"/><Relationship Id="rId31" Type="http://schemas.openxmlformats.org/officeDocument/2006/relationships/hyperlink" Target="mailto:ivan.katyshev.99@mail.ru"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image" Target="media/image3.wmf"/><Relationship Id="rId22" Type="http://schemas.openxmlformats.org/officeDocument/2006/relationships/hyperlink" Target="https://elibrary.ru/contents.asp?id=44055059" TargetMode="External"/><Relationship Id="rId27" Type="http://schemas.openxmlformats.org/officeDocument/2006/relationships/hyperlink" Target="https://vogu35.ru/" TargetMode="External"/><Relationship Id="rId30" Type="http://schemas.openxmlformats.org/officeDocument/2006/relationships/hyperlink" Target="https://vogu35.ru/"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12.xlsx"/></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esktop\&#1050;&#1048;&#1056;&#1048;&#1050;.&#1054;.&#1041;\&#1075;&#1088;.&#1051;&#1086;&#1088;&#1077;&#1085;&#1089;&#107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0949074074074076E-2"/>
          <c:y val="3.9682539682539784E-2"/>
          <c:w val="0.67694585135562324"/>
          <c:h val="0.83543650085336518"/>
        </c:manualLayout>
      </c:layout>
      <c:barChart>
        <c:barDir val="col"/>
        <c:grouping val="stacked"/>
        <c:varyColors val="0"/>
        <c:ser>
          <c:idx val="0"/>
          <c:order val="0"/>
          <c:tx>
            <c:strRef>
              <c:f>Лист1!$B$1</c:f>
              <c:strCache>
                <c:ptCount val="1"/>
                <c:pt idx="0">
                  <c:v>Первая группа - с наименьшими доходами</c:v>
                </c:pt>
              </c:strCache>
            </c:strRef>
          </c:tx>
          <c:spPr>
            <a:solidFill>
              <a:srgbClr val="3399FF"/>
            </a:solidFill>
          </c:spPr>
          <c:invertIfNegative val="0"/>
          <c:cat>
            <c:strRef>
              <c:f>Лист1!$A$2:$A$5</c:f>
              <c:strCache>
                <c:ptCount val="4"/>
                <c:pt idx="0">
                  <c:v>2016 г.</c:v>
                </c:pt>
                <c:pt idx="1">
                  <c:v>2017 г.</c:v>
                </c:pt>
                <c:pt idx="2">
                  <c:v>2018 г.</c:v>
                </c:pt>
                <c:pt idx="3">
                  <c:v>2019 г.</c:v>
                </c:pt>
              </c:strCache>
            </c:strRef>
          </c:cat>
          <c:val>
            <c:numRef>
              <c:f>Лист1!$B$2:$B$5</c:f>
              <c:numCache>
                <c:formatCode>General</c:formatCode>
                <c:ptCount val="4"/>
                <c:pt idx="0">
                  <c:v>6.4</c:v>
                </c:pt>
                <c:pt idx="1">
                  <c:v>6.8</c:v>
                </c:pt>
                <c:pt idx="2">
                  <c:v>6.7</c:v>
                </c:pt>
                <c:pt idx="3">
                  <c:v>6.7</c:v>
                </c:pt>
              </c:numCache>
            </c:numRef>
          </c:val>
        </c:ser>
        <c:ser>
          <c:idx val="1"/>
          <c:order val="1"/>
          <c:tx>
            <c:strRef>
              <c:f>Лист1!$C$1</c:f>
              <c:strCache>
                <c:ptCount val="1"/>
                <c:pt idx="0">
                  <c:v>Вторая группа</c:v>
                </c:pt>
              </c:strCache>
            </c:strRef>
          </c:tx>
          <c:spPr>
            <a:solidFill>
              <a:srgbClr val="993366"/>
            </a:solidFill>
          </c:spPr>
          <c:invertIfNegative val="0"/>
          <c:cat>
            <c:strRef>
              <c:f>Лист1!$A$2:$A$5</c:f>
              <c:strCache>
                <c:ptCount val="4"/>
                <c:pt idx="0">
                  <c:v>2016 г.</c:v>
                </c:pt>
                <c:pt idx="1">
                  <c:v>2017 г.</c:v>
                </c:pt>
                <c:pt idx="2">
                  <c:v>2018 г.</c:v>
                </c:pt>
                <c:pt idx="3">
                  <c:v>2019 г.</c:v>
                </c:pt>
              </c:strCache>
            </c:strRef>
          </c:cat>
          <c:val>
            <c:numRef>
              <c:f>Лист1!$C$2:$C$5</c:f>
              <c:numCache>
                <c:formatCode>General</c:formatCode>
                <c:ptCount val="4"/>
                <c:pt idx="0">
                  <c:v>11.3</c:v>
                </c:pt>
                <c:pt idx="1">
                  <c:v>11.7</c:v>
                </c:pt>
                <c:pt idx="2">
                  <c:v>11.6</c:v>
                </c:pt>
                <c:pt idx="3">
                  <c:v>11.6</c:v>
                </c:pt>
              </c:numCache>
            </c:numRef>
          </c:val>
        </c:ser>
        <c:ser>
          <c:idx val="2"/>
          <c:order val="2"/>
          <c:tx>
            <c:strRef>
              <c:f>Лист1!$D$1</c:f>
              <c:strCache>
                <c:ptCount val="1"/>
                <c:pt idx="0">
                  <c:v>Третья группа</c:v>
                </c:pt>
              </c:strCache>
            </c:strRef>
          </c:tx>
          <c:spPr>
            <a:solidFill>
              <a:srgbClr val="99FF66"/>
            </a:solidFill>
          </c:spPr>
          <c:invertIfNegative val="0"/>
          <c:cat>
            <c:strRef>
              <c:f>Лист1!$A$2:$A$5</c:f>
              <c:strCache>
                <c:ptCount val="4"/>
                <c:pt idx="0">
                  <c:v>2016 г.</c:v>
                </c:pt>
                <c:pt idx="1">
                  <c:v>2017 г.</c:v>
                </c:pt>
                <c:pt idx="2">
                  <c:v>2018 г.</c:v>
                </c:pt>
                <c:pt idx="3">
                  <c:v>2019 г.</c:v>
                </c:pt>
              </c:strCache>
            </c:strRef>
          </c:cat>
          <c:val>
            <c:numRef>
              <c:f>Лист1!$D$2:$D$5</c:f>
              <c:numCache>
                <c:formatCode>General</c:formatCode>
                <c:ptCount val="4"/>
                <c:pt idx="0">
                  <c:v>16</c:v>
                </c:pt>
                <c:pt idx="1">
                  <c:v>16.399999999999999</c:v>
                </c:pt>
                <c:pt idx="2">
                  <c:v>16.3</c:v>
                </c:pt>
                <c:pt idx="3">
                  <c:v>16.3</c:v>
                </c:pt>
              </c:numCache>
            </c:numRef>
          </c:val>
        </c:ser>
        <c:ser>
          <c:idx val="3"/>
          <c:order val="3"/>
          <c:tx>
            <c:strRef>
              <c:f>Лист1!$E$1</c:f>
              <c:strCache>
                <c:ptCount val="1"/>
                <c:pt idx="0">
                  <c:v>Четвертая группа</c:v>
                </c:pt>
              </c:strCache>
            </c:strRef>
          </c:tx>
          <c:spPr>
            <a:solidFill>
              <a:srgbClr val="FF66FF"/>
            </a:solidFill>
          </c:spPr>
          <c:invertIfNegative val="0"/>
          <c:cat>
            <c:strRef>
              <c:f>Лист1!$A$2:$A$5</c:f>
              <c:strCache>
                <c:ptCount val="4"/>
                <c:pt idx="0">
                  <c:v>2016 г.</c:v>
                </c:pt>
                <c:pt idx="1">
                  <c:v>2017 г.</c:v>
                </c:pt>
                <c:pt idx="2">
                  <c:v>2018 г.</c:v>
                </c:pt>
                <c:pt idx="3">
                  <c:v>2019 г.</c:v>
                </c:pt>
              </c:strCache>
            </c:strRef>
          </c:cat>
          <c:val>
            <c:numRef>
              <c:f>Лист1!$E$2:$E$5</c:f>
              <c:numCache>
                <c:formatCode>General</c:formatCode>
                <c:ptCount val="4"/>
                <c:pt idx="0">
                  <c:v>23</c:v>
                </c:pt>
                <c:pt idx="1">
                  <c:v>23</c:v>
                </c:pt>
                <c:pt idx="2">
                  <c:v>23.1</c:v>
                </c:pt>
                <c:pt idx="3">
                  <c:v>23</c:v>
                </c:pt>
              </c:numCache>
            </c:numRef>
          </c:val>
        </c:ser>
        <c:ser>
          <c:idx val="4"/>
          <c:order val="4"/>
          <c:tx>
            <c:strRef>
              <c:f>Лист1!$F$1</c:f>
              <c:strCache>
                <c:ptCount val="1"/>
                <c:pt idx="0">
                  <c:v>Пятая группа - с наибольшими доходами</c:v>
                </c:pt>
              </c:strCache>
            </c:strRef>
          </c:tx>
          <c:spPr>
            <a:solidFill>
              <a:srgbClr val="FFFF66"/>
            </a:solidFill>
          </c:spPr>
          <c:invertIfNegative val="0"/>
          <c:cat>
            <c:strRef>
              <c:f>Лист1!$A$2:$A$5</c:f>
              <c:strCache>
                <c:ptCount val="4"/>
                <c:pt idx="0">
                  <c:v>2016 г.</c:v>
                </c:pt>
                <c:pt idx="1">
                  <c:v>2017 г.</c:v>
                </c:pt>
                <c:pt idx="2">
                  <c:v>2018 г.</c:v>
                </c:pt>
                <c:pt idx="3">
                  <c:v>2019 г.</c:v>
                </c:pt>
              </c:strCache>
            </c:strRef>
          </c:cat>
          <c:val>
            <c:numRef>
              <c:f>Лист1!$F$2:$F$5</c:f>
              <c:numCache>
                <c:formatCode>General</c:formatCode>
                <c:ptCount val="4"/>
                <c:pt idx="0">
                  <c:v>43.3</c:v>
                </c:pt>
                <c:pt idx="1">
                  <c:v>42.1</c:v>
                </c:pt>
                <c:pt idx="2">
                  <c:v>42.3</c:v>
                </c:pt>
                <c:pt idx="3">
                  <c:v>42.4</c:v>
                </c:pt>
              </c:numCache>
            </c:numRef>
          </c:val>
        </c:ser>
        <c:dLbls>
          <c:showLegendKey val="0"/>
          <c:showVal val="0"/>
          <c:showCatName val="0"/>
          <c:showSerName val="0"/>
          <c:showPercent val="0"/>
          <c:showBubbleSize val="0"/>
        </c:dLbls>
        <c:gapWidth val="150"/>
        <c:overlap val="100"/>
        <c:axId val="87606016"/>
        <c:axId val="87607552"/>
      </c:barChart>
      <c:catAx>
        <c:axId val="87606016"/>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87607552"/>
        <c:crosses val="autoZero"/>
        <c:auto val="1"/>
        <c:lblAlgn val="ctr"/>
        <c:lblOffset val="100"/>
        <c:noMultiLvlLbl val="0"/>
      </c:catAx>
      <c:valAx>
        <c:axId val="87607552"/>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87606016"/>
        <c:crosses val="autoZero"/>
        <c:crossBetween val="between"/>
      </c:valAx>
    </c:plotArea>
    <c:legend>
      <c:legendPos val="r"/>
      <c:layout>
        <c:manualLayout>
          <c:xMode val="edge"/>
          <c:yMode val="edge"/>
          <c:x val="0.78581618597723935"/>
          <c:y val="8.6481900792799229E-2"/>
          <c:w val="0.20030393652997971"/>
          <c:h val="0.76335922515725252"/>
        </c:manualLayout>
      </c:layout>
      <c:overlay val="0"/>
      <c:txPr>
        <a:bodyPr/>
        <a:lstStyle/>
        <a:p>
          <a:pPr>
            <a:defRPr>
              <a:latin typeface="Times New Roman" pitchFamily="18" charset="0"/>
              <a:ea typeface="Yu Gothic Medium" pitchFamily="34" charset="-128"/>
              <a:cs typeface="Times New Roman" pitchFamily="18" charset="0"/>
            </a:defRPr>
          </a:pPr>
          <a:endParaRPr lang="ru-RU"/>
        </a:p>
      </c:txPr>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8726373232123354E-2"/>
          <c:y val="0.14940563464049803"/>
          <c:w val="0.86288705452596592"/>
          <c:h val="0.64521808482622955"/>
        </c:manualLayout>
      </c:layout>
      <c:lineChart>
        <c:grouping val="standard"/>
        <c:varyColors val="0"/>
        <c:ser>
          <c:idx val="0"/>
          <c:order val="0"/>
          <c:tx>
            <c:strRef>
              <c:f>Лист1!$B$1</c:f>
              <c:strCache>
                <c:ptCount val="1"/>
                <c:pt idx="0">
                  <c:v>Численность населения с денежными доходами ниже величины прожиточного минимума (в процентах от общей численности населения)</c:v>
                </c:pt>
              </c:strCache>
            </c:strRef>
          </c:tx>
          <c:spPr>
            <a:ln>
              <a:solidFill>
                <a:srgbClr val="993366"/>
              </a:solidFill>
            </a:ln>
          </c:spPr>
          <c:marker>
            <c:symbol val="none"/>
          </c:marker>
          <c:dLbls>
            <c:dLbl>
              <c:idx val="0"/>
              <c:layout>
                <c:manualLayout>
                  <c:x val="-2.3148148148148147E-3"/>
                  <c:y val="3.5714285714285712E-2"/>
                </c:manualLayout>
              </c:layout>
              <c:dLblPos val="ctr"/>
              <c:showLegendKey val="0"/>
              <c:showVal val="1"/>
              <c:showCatName val="0"/>
              <c:showSerName val="0"/>
              <c:showPercent val="0"/>
              <c:showBubbleSize val="0"/>
            </c:dLbl>
            <c:dLbl>
              <c:idx val="1"/>
              <c:layout>
                <c:manualLayout>
                  <c:x val="0"/>
                  <c:y val="5.1587301587301577E-2"/>
                </c:manualLayout>
              </c:layout>
              <c:dLblPos val="ctr"/>
              <c:showLegendKey val="0"/>
              <c:showVal val="1"/>
              <c:showCatName val="0"/>
              <c:showSerName val="0"/>
              <c:showPercent val="0"/>
              <c:showBubbleSize val="0"/>
            </c:dLbl>
            <c:dLbl>
              <c:idx val="2"/>
              <c:layout>
                <c:manualLayout>
                  <c:x val="-6.5491495410336569E-3"/>
                  <c:y val="6.7539332014115133E-2"/>
                </c:manualLayout>
              </c:layout>
              <c:dLblPos val="ctr"/>
              <c:showLegendKey val="0"/>
              <c:showVal val="1"/>
              <c:showCatName val="0"/>
              <c:showSerName val="0"/>
              <c:showPercent val="0"/>
              <c:showBubbleSize val="0"/>
            </c:dLbl>
            <c:dLbl>
              <c:idx val="3"/>
              <c:layout>
                <c:manualLayout>
                  <c:x val="-3.2407463595447682E-2"/>
                  <c:y val="3.5793825757860907E-2"/>
                </c:manualLayout>
              </c:layout>
              <c:dLblPos val="ctr"/>
              <c:showLegendKey val="0"/>
              <c:showVal val="1"/>
              <c:showCatName val="0"/>
              <c:showSerName val="0"/>
              <c:showPercent val="0"/>
              <c:showBubbleSize val="0"/>
            </c:dLbl>
            <c:txPr>
              <a:bodyPr/>
              <a:lstStyle/>
              <a:p>
                <a:pPr>
                  <a:defRPr>
                    <a:latin typeface="Times New Roman" pitchFamily="18" charset="0"/>
                    <a:cs typeface="Times New Roman" pitchFamily="18" charset="0"/>
                  </a:defRPr>
                </a:pPr>
                <a:endParaRPr lang="ru-RU"/>
              </a:p>
            </c:txPr>
            <c:dLblPos val="ctr"/>
            <c:showLegendKey val="0"/>
            <c:showVal val="1"/>
            <c:showCatName val="0"/>
            <c:showSerName val="0"/>
            <c:showPercent val="0"/>
            <c:showBubbleSize val="0"/>
            <c:showLeaderLines val="0"/>
          </c:dLbls>
          <c:cat>
            <c:strRef>
              <c:f>Лист1!$A$2:$A$5</c:f>
              <c:strCache>
                <c:ptCount val="4"/>
                <c:pt idx="0">
                  <c:v>2016 г.</c:v>
                </c:pt>
                <c:pt idx="1">
                  <c:v>2017 г.</c:v>
                </c:pt>
                <c:pt idx="2">
                  <c:v>2018 г.</c:v>
                </c:pt>
                <c:pt idx="3">
                  <c:v>2019 г.</c:v>
                </c:pt>
              </c:strCache>
            </c:strRef>
          </c:cat>
          <c:val>
            <c:numRef>
              <c:f>Лист1!$B$2:$B$5</c:f>
              <c:numCache>
                <c:formatCode>General</c:formatCode>
                <c:ptCount val="4"/>
                <c:pt idx="0">
                  <c:v>11.5</c:v>
                </c:pt>
                <c:pt idx="1">
                  <c:v>10.3</c:v>
                </c:pt>
                <c:pt idx="2">
                  <c:v>13.6</c:v>
                </c:pt>
                <c:pt idx="3">
                  <c:v>12.9</c:v>
                </c:pt>
              </c:numCache>
            </c:numRef>
          </c:val>
          <c:smooth val="0"/>
        </c:ser>
        <c:dLbls>
          <c:showLegendKey val="0"/>
          <c:showVal val="1"/>
          <c:showCatName val="0"/>
          <c:showSerName val="0"/>
          <c:showPercent val="0"/>
          <c:showBubbleSize val="0"/>
        </c:dLbls>
        <c:marker val="1"/>
        <c:smooth val="0"/>
        <c:axId val="107971712"/>
        <c:axId val="107995136"/>
      </c:lineChart>
      <c:catAx>
        <c:axId val="107971712"/>
        <c:scaling>
          <c:orientation val="minMax"/>
        </c:scaling>
        <c:delete val="0"/>
        <c:axPos val="b"/>
        <c:majorTickMark val="out"/>
        <c:minorTickMark val="none"/>
        <c:tickLblPos val="nextTo"/>
        <c:txPr>
          <a:bodyPr/>
          <a:lstStyle/>
          <a:p>
            <a:pPr>
              <a:defRPr>
                <a:latin typeface="Times New Roman" pitchFamily="18" charset="0"/>
                <a:cs typeface="Times New Roman" pitchFamily="18" charset="0"/>
              </a:defRPr>
            </a:pPr>
            <a:endParaRPr lang="ru-RU"/>
          </a:p>
        </c:txPr>
        <c:crossAx val="107995136"/>
        <c:crosses val="autoZero"/>
        <c:auto val="1"/>
        <c:lblAlgn val="ctr"/>
        <c:lblOffset val="100"/>
        <c:noMultiLvlLbl val="0"/>
      </c:catAx>
      <c:valAx>
        <c:axId val="107995136"/>
        <c:scaling>
          <c:orientation val="minMax"/>
        </c:scaling>
        <c:delete val="0"/>
        <c:axPos val="l"/>
        <c:majorGridlines/>
        <c:title>
          <c:tx>
            <c:rich>
              <a:bodyPr rot="0" vert="wordArtVert"/>
              <a:lstStyle/>
              <a:p>
                <a:pPr>
                  <a:defRPr/>
                </a:pPr>
                <a:r>
                  <a:rPr lang="ru-RU"/>
                  <a:t>%</a:t>
                </a:r>
              </a:p>
            </c:rich>
          </c:tx>
          <c:layout>
            <c:manualLayout>
              <c:xMode val="edge"/>
              <c:yMode val="edge"/>
              <c:x val="3.3979493570497975E-2"/>
              <c:y val="2.0262984368333271E-3"/>
            </c:manualLayout>
          </c:layout>
          <c:overlay val="0"/>
        </c:title>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0797171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endParaRPr lang="ru-RU"/>
          </a:p>
        </c:rich>
      </c:tx>
      <c:overlay val="0"/>
    </c:title>
    <c:autoTitleDeleted val="0"/>
    <c:plotArea>
      <c:layout/>
      <c:scatterChart>
        <c:scatterStyle val="smoothMarker"/>
        <c:varyColors val="0"/>
        <c:ser>
          <c:idx val="0"/>
          <c:order val="0"/>
          <c:tx>
            <c:v>Линия равентсва</c:v>
          </c:tx>
          <c:spPr>
            <a:ln>
              <a:solidFill>
                <a:srgbClr val="6600CC"/>
              </a:solidFill>
            </a:ln>
          </c:spPr>
          <c:marker>
            <c:spPr>
              <a:solidFill>
                <a:srgbClr val="6600CC"/>
              </a:solidFill>
              <a:ln>
                <a:solidFill>
                  <a:srgbClr val="6600CC"/>
                </a:solidFill>
              </a:ln>
            </c:spPr>
          </c:marker>
          <c:xVal>
            <c:numRef>
              <c:f>Лист1!$A$15:$A$20</c:f>
              <c:numCache>
                <c:formatCode>General</c:formatCode>
                <c:ptCount val="6"/>
                <c:pt idx="0">
                  <c:v>0</c:v>
                </c:pt>
                <c:pt idx="1">
                  <c:v>20</c:v>
                </c:pt>
                <c:pt idx="2">
                  <c:v>40</c:v>
                </c:pt>
                <c:pt idx="3">
                  <c:v>60</c:v>
                </c:pt>
                <c:pt idx="4">
                  <c:v>80</c:v>
                </c:pt>
                <c:pt idx="5">
                  <c:v>100</c:v>
                </c:pt>
              </c:numCache>
            </c:numRef>
          </c:xVal>
          <c:yVal>
            <c:numRef>
              <c:f>Лист1!$A$15:$A$20</c:f>
              <c:numCache>
                <c:formatCode>General</c:formatCode>
                <c:ptCount val="6"/>
                <c:pt idx="0">
                  <c:v>0</c:v>
                </c:pt>
                <c:pt idx="1">
                  <c:v>20</c:v>
                </c:pt>
                <c:pt idx="2">
                  <c:v>40</c:v>
                </c:pt>
                <c:pt idx="3">
                  <c:v>60</c:v>
                </c:pt>
                <c:pt idx="4">
                  <c:v>80</c:v>
                </c:pt>
                <c:pt idx="5">
                  <c:v>100</c:v>
                </c:pt>
              </c:numCache>
            </c:numRef>
          </c:yVal>
          <c:smooth val="1"/>
        </c:ser>
        <c:ser>
          <c:idx val="2"/>
          <c:order val="1"/>
          <c:tx>
            <c:v>Кривая Лоренца 2019 г.</c:v>
          </c:tx>
          <c:dLbls>
            <c:dLbl>
              <c:idx val="1"/>
              <c:layout>
                <c:manualLayout>
                  <c:x val="3.333333333333334E-2"/>
                  <c:y val="8.9186176142698227E-3"/>
                </c:manualLayout>
              </c:layout>
              <c:spPr/>
              <c:txPr>
                <a:bodyPr/>
                <a:lstStyle/>
                <a:p>
                  <a:pPr>
                    <a:defRPr>
                      <a:latin typeface="Times New Roman" pitchFamily="18" charset="0"/>
                      <a:cs typeface="Times New Roman" pitchFamily="18" charset="0"/>
                    </a:defRPr>
                  </a:pPr>
                  <a:endParaRPr lang="ru-RU"/>
                </a:p>
              </c:txPr>
              <c:dLblPos val="ctr"/>
              <c:showLegendKey val="0"/>
              <c:showVal val="1"/>
              <c:showCatName val="0"/>
              <c:showSerName val="0"/>
              <c:showPercent val="0"/>
              <c:showBubbleSize val="0"/>
            </c:dLbl>
            <c:dLbl>
              <c:idx val="2"/>
              <c:layout>
                <c:manualLayout>
                  <c:x val="3.333333333333334E-2"/>
                  <c:y val="1.783723522853958E-2"/>
                </c:manualLayout>
              </c:layout>
              <c:spPr/>
              <c:txPr>
                <a:bodyPr/>
                <a:lstStyle/>
                <a:p>
                  <a:pPr>
                    <a:defRPr>
                      <a:latin typeface="Times New Roman" pitchFamily="18" charset="0"/>
                      <a:cs typeface="Times New Roman" pitchFamily="18" charset="0"/>
                    </a:defRPr>
                  </a:pPr>
                  <a:endParaRPr lang="ru-RU"/>
                </a:p>
              </c:txPr>
              <c:dLblPos val="ctr"/>
              <c:showLegendKey val="0"/>
              <c:showVal val="1"/>
              <c:showCatName val="0"/>
              <c:showSerName val="0"/>
              <c:showPercent val="0"/>
              <c:showBubbleSize val="0"/>
            </c:dLbl>
            <c:dLbl>
              <c:idx val="3"/>
              <c:layout>
                <c:manualLayout>
                  <c:x val="3.6111111111111212E-2"/>
                  <c:y val="1.783723522853958E-2"/>
                </c:manualLayout>
              </c:layout>
              <c:spPr/>
              <c:txPr>
                <a:bodyPr/>
                <a:lstStyle/>
                <a:p>
                  <a:pPr>
                    <a:defRPr>
                      <a:latin typeface="Times New Roman" pitchFamily="18" charset="0"/>
                      <a:cs typeface="Times New Roman" pitchFamily="18" charset="0"/>
                    </a:defRPr>
                  </a:pPr>
                  <a:endParaRPr lang="ru-RU"/>
                </a:p>
              </c:txPr>
              <c:dLblPos val="ctr"/>
              <c:showLegendKey val="0"/>
              <c:showVal val="1"/>
              <c:showCatName val="0"/>
              <c:showSerName val="0"/>
              <c:showPercent val="0"/>
              <c:showBubbleSize val="0"/>
            </c:dLbl>
            <c:dLbl>
              <c:idx val="4"/>
              <c:layout>
                <c:manualLayout>
                  <c:x val="4.166666666666672E-2"/>
                  <c:y val="1.3377926421404658E-2"/>
                </c:manualLayout>
              </c:layout>
              <c:spPr/>
              <c:txPr>
                <a:bodyPr/>
                <a:lstStyle/>
                <a:p>
                  <a:pPr>
                    <a:defRPr>
                      <a:latin typeface="Times New Roman" pitchFamily="18" charset="0"/>
                      <a:cs typeface="Times New Roman" pitchFamily="18" charset="0"/>
                    </a:defRPr>
                  </a:pPr>
                  <a:endParaRPr lang="ru-RU"/>
                </a:p>
              </c:txPr>
              <c:dLblPos val="ctr"/>
              <c:showLegendKey val="0"/>
              <c:showVal val="1"/>
              <c:showCatName val="0"/>
              <c:showSerName val="0"/>
              <c:showPercent val="0"/>
              <c:showBubbleSize val="0"/>
            </c:dLbl>
            <c:dLbl>
              <c:idx val="5"/>
              <c:layout>
                <c:manualLayout>
                  <c:x val="2.7777777777778054E-2"/>
                  <c:y val="1.783723522853958E-2"/>
                </c:manualLayout>
              </c:layout>
              <c:spPr/>
              <c:txPr>
                <a:bodyPr/>
                <a:lstStyle/>
                <a:p>
                  <a:pPr>
                    <a:defRPr>
                      <a:latin typeface="Times New Roman" pitchFamily="18" charset="0"/>
                      <a:cs typeface="Times New Roman" pitchFamily="18" charset="0"/>
                    </a:defRPr>
                  </a:pPr>
                  <a:endParaRPr lang="ru-RU"/>
                </a:p>
              </c:txPr>
              <c:dLblPos val="ctr"/>
              <c:showLegendKey val="0"/>
              <c:showVal val="1"/>
              <c:showCatName val="0"/>
              <c:showSerName val="0"/>
              <c:showPercent val="0"/>
              <c:showBubbleSize val="0"/>
            </c:dLbl>
            <c:dLblPos val="ctr"/>
            <c:showLegendKey val="0"/>
            <c:showVal val="1"/>
            <c:showCatName val="0"/>
            <c:showSerName val="0"/>
            <c:showPercent val="0"/>
            <c:showBubbleSize val="0"/>
            <c:showLeaderLines val="0"/>
          </c:dLbls>
          <c:xVal>
            <c:numRef>
              <c:f>Лист1!$E$15:$E$20</c:f>
              <c:numCache>
                <c:formatCode>General</c:formatCode>
                <c:ptCount val="6"/>
                <c:pt idx="0">
                  <c:v>0</c:v>
                </c:pt>
                <c:pt idx="1">
                  <c:v>20</c:v>
                </c:pt>
                <c:pt idx="2">
                  <c:v>40</c:v>
                </c:pt>
                <c:pt idx="3">
                  <c:v>60</c:v>
                </c:pt>
                <c:pt idx="4">
                  <c:v>80</c:v>
                </c:pt>
                <c:pt idx="5">
                  <c:v>100</c:v>
                </c:pt>
              </c:numCache>
            </c:numRef>
          </c:xVal>
          <c:yVal>
            <c:numRef>
              <c:f>Лист1!$F$15:$F$20</c:f>
              <c:numCache>
                <c:formatCode>General</c:formatCode>
                <c:ptCount val="6"/>
                <c:pt idx="0">
                  <c:v>0</c:v>
                </c:pt>
                <c:pt idx="1">
                  <c:v>6.7</c:v>
                </c:pt>
                <c:pt idx="2">
                  <c:v>18.3</c:v>
                </c:pt>
                <c:pt idx="3">
                  <c:v>34.6</c:v>
                </c:pt>
                <c:pt idx="4">
                  <c:v>57.6</c:v>
                </c:pt>
                <c:pt idx="5">
                  <c:v>100</c:v>
                </c:pt>
              </c:numCache>
            </c:numRef>
          </c:yVal>
          <c:smooth val="1"/>
        </c:ser>
        <c:dLbls>
          <c:showLegendKey val="0"/>
          <c:showVal val="0"/>
          <c:showCatName val="0"/>
          <c:showSerName val="0"/>
          <c:showPercent val="0"/>
          <c:showBubbleSize val="0"/>
        </c:dLbls>
        <c:axId val="108010112"/>
        <c:axId val="108040576"/>
      </c:scatterChart>
      <c:valAx>
        <c:axId val="108010112"/>
        <c:scaling>
          <c:orientation val="minMax"/>
        </c:scaling>
        <c:delete val="0"/>
        <c:axPos val="b"/>
        <c:numFmt formatCode="General" sourceLinked="1"/>
        <c:majorTickMark val="none"/>
        <c:minorTickMark val="none"/>
        <c:tickLblPos val="nextTo"/>
        <c:spPr>
          <a:noFill/>
          <a:ln w="25400" cap="flat" cmpd="sng" algn="ctr">
            <a:solidFill>
              <a:schemeClr val="accent1"/>
            </a:solidFill>
            <a:prstDash val="solid"/>
          </a:ln>
          <a:effectLst>
            <a:outerShdw blurRad="40000" dist="20000" dir="5400000" rotWithShape="0">
              <a:srgbClr val="000000">
                <a:alpha val="38000"/>
              </a:srgbClr>
            </a:outerShdw>
          </a:effectLst>
        </c:spPr>
        <c:txPr>
          <a:bodyPr/>
          <a:lstStyle/>
          <a:p>
            <a:pPr>
              <a:defRPr>
                <a:solidFill>
                  <a:schemeClr val="tx1"/>
                </a:solidFill>
                <a:latin typeface="Times New Roman" pitchFamily="18" charset="0"/>
                <a:ea typeface="+mn-ea"/>
                <a:cs typeface="Times New Roman" pitchFamily="18" charset="0"/>
              </a:defRPr>
            </a:pPr>
            <a:endParaRPr lang="ru-RU"/>
          </a:p>
        </c:txPr>
        <c:crossAx val="108040576"/>
        <c:crosses val="autoZero"/>
        <c:crossBetween val="midCat"/>
      </c:valAx>
      <c:valAx>
        <c:axId val="108040576"/>
        <c:scaling>
          <c:orientation val="minMax"/>
        </c:scaling>
        <c:delete val="0"/>
        <c:axPos val="l"/>
        <c:majorGridlines/>
        <c:numFmt formatCode="General" sourceLinked="1"/>
        <c:majorTickMark val="none"/>
        <c:minorTickMark val="none"/>
        <c:tickLblPos val="nextTo"/>
        <c:spPr>
          <a:noFill/>
          <a:ln w="25400" cap="flat" cmpd="sng" algn="ctr">
            <a:solidFill>
              <a:schemeClr val="accent1"/>
            </a:solidFill>
            <a:prstDash val="solid"/>
          </a:ln>
          <a:effectLst>
            <a:outerShdw blurRad="40000" dist="20000" dir="5400000" rotWithShape="0">
              <a:srgbClr val="000000">
                <a:alpha val="38000"/>
              </a:srgbClr>
            </a:outerShdw>
          </a:effectLst>
        </c:spPr>
        <c:txPr>
          <a:bodyPr/>
          <a:lstStyle/>
          <a:p>
            <a:pPr>
              <a:defRPr>
                <a:solidFill>
                  <a:schemeClr val="tx1"/>
                </a:solidFill>
                <a:latin typeface="Times New Roman" pitchFamily="18" charset="0"/>
                <a:ea typeface="+mn-ea"/>
                <a:cs typeface="Times New Roman" pitchFamily="18" charset="0"/>
              </a:defRPr>
            </a:pPr>
            <a:endParaRPr lang="ru-RU"/>
          </a:p>
        </c:txPr>
        <c:crossAx val="108010112"/>
        <c:crosses val="autoZero"/>
        <c:crossBetween val="midCat"/>
      </c:valAx>
    </c:plotArea>
    <c:legend>
      <c:legendPos val="r"/>
      <c:layout>
        <c:manualLayout>
          <c:xMode val="edge"/>
          <c:yMode val="edge"/>
          <c:x val="0.71840266841644751"/>
          <c:y val="0.26918073367919332"/>
          <c:w val="0.26493066491688538"/>
          <c:h val="0.50166100474898834"/>
        </c:manualLayout>
      </c:layout>
      <c:overlay val="0"/>
      <c:spPr>
        <a:gradFill rotWithShape="1">
          <a:gsLst>
            <a:gs pos="0">
              <a:schemeClr val="accent5">
                <a:tint val="50000"/>
                <a:satMod val="300000"/>
              </a:schemeClr>
            </a:gs>
            <a:gs pos="35000">
              <a:schemeClr val="accent5">
                <a:tint val="37000"/>
                <a:satMod val="300000"/>
              </a:schemeClr>
            </a:gs>
            <a:gs pos="100000">
              <a:schemeClr val="accent5">
                <a:tint val="15000"/>
                <a:satMod val="350000"/>
              </a:schemeClr>
            </a:gs>
          </a:gsLst>
          <a:lin ang="16200000" scaled="1"/>
        </a:gradFill>
        <a:ln w="9525" cap="flat" cmpd="sng" algn="ctr">
          <a:solidFill>
            <a:schemeClr val="accent5">
              <a:shade val="95000"/>
              <a:satMod val="105000"/>
            </a:schemeClr>
          </a:solidFill>
          <a:prstDash val="solid"/>
        </a:ln>
        <a:effectLst>
          <a:outerShdw blurRad="40000" dist="20000" dir="5400000" rotWithShape="0">
            <a:srgbClr val="000000">
              <a:alpha val="38000"/>
            </a:srgbClr>
          </a:outerShdw>
        </a:effectLst>
      </c:spPr>
      <c:txPr>
        <a:bodyPr/>
        <a:lstStyle/>
        <a:p>
          <a:pPr>
            <a:defRPr>
              <a:solidFill>
                <a:schemeClr val="dk1"/>
              </a:solidFill>
              <a:latin typeface="Times New Roman" pitchFamily="18" charset="0"/>
              <a:ea typeface="+mn-ea"/>
              <a:cs typeface="Times New Roman" pitchFamily="18" charset="0"/>
            </a:defRPr>
          </a:pPr>
          <a:endParaRPr lang="ru-RU"/>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0.08125</cdr:x>
      <cdr:y>0.02431</cdr:y>
    </cdr:from>
    <cdr:to>
      <cdr:x>0.93542</cdr:x>
      <cdr:y>0.17014</cdr:y>
    </cdr:to>
    <cdr:sp macro="" textlink="">
      <cdr:nvSpPr>
        <cdr:cNvPr id="2" name="TextBox 1"/>
        <cdr:cNvSpPr txBox="1"/>
      </cdr:nvSpPr>
      <cdr:spPr>
        <a:xfrm xmlns:a="http://schemas.openxmlformats.org/drawingml/2006/main">
          <a:off x="371475" y="66675"/>
          <a:ext cx="3905250" cy="40004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pPr algn="ctr"/>
          <a:r>
            <a:rPr lang="ru-RU" sz="1200" b="0">
              <a:latin typeface="Times New Roman" pitchFamily="18" charset="0"/>
              <a:cs typeface="Times New Roman" pitchFamily="18" charset="0"/>
            </a:rPr>
            <a:t>Распределение</a:t>
          </a:r>
          <a:r>
            <a:rPr lang="ru-RU" sz="1200" b="0" baseline="0">
              <a:latin typeface="Times New Roman" pitchFamily="18" charset="0"/>
              <a:cs typeface="Times New Roman" pitchFamily="18" charset="0"/>
            </a:rPr>
            <a:t> общего объема денежных доходов по 20-процентным группам населения 2019 г.</a:t>
          </a:r>
          <a:endParaRPr lang="ru-RU" sz="1200" b="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DAAE28-22CA-4A9E-AE2A-7B68EEA11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5</Pages>
  <Words>2057</Words>
  <Characters>11729</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13759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Iana</dc:creator>
  <cp:lastModifiedBy>user</cp:lastModifiedBy>
  <cp:revision>24</cp:revision>
  <dcterms:created xsi:type="dcterms:W3CDTF">2021-03-23T17:13:00Z</dcterms:created>
  <dcterms:modified xsi:type="dcterms:W3CDTF">2021-03-26T11:41:00Z</dcterms:modified>
</cp:coreProperties>
</file>