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theme/themeOverride1.xml" ContentType="application/vnd.openxmlformats-officedocument.themeOverrid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theme/themeOverride2.xml" ContentType="application/vnd.openxmlformats-officedocument.themeOverrid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A7876" w:rsidRPr="00486835" w:rsidRDefault="008A7876" w:rsidP="008A7876">
      <w:pPr>
        <w:jc w:val="left"/>
        <w:rPr>
          <w:b/>
        </w:rPr>
      </w:pPr>
      <w:r w:rsidRPr="00486835">
        <w:rPr>
          <w:b/>
        </w:rPr>
        <w:t>УДК 316(422+774)</w:t>
      </w:r>
    </w:p>
    <w:p w:rsidR="008A7876" w:rsidRPr="008A7876" w:rsidRDefault="008A7876" w:rsidP="008A7876">
      <w:pPr>
        <w:jc w:val="right"/>
        <w:rPr>
          <w:b/>
        </w:rPr>
      </w:pPr>
      <w:r w:rsidRPr="008A7876">
        <w:rPr>
          <w:b/>
        </w:rPr>
        <w:t>Сосновская Н.А.</w:t>
      </w:r>
    </w:p>
    <w:p w:rsidR="008A7876" w:rsidRDefault="008A7876" w:rsidP="005A44A8">
      <w:pPr>
        <w:jc w:val="center"/>
      </w:pPr>
    </w:p>
    <w:p w:rsidR="00D92D7F" w:rsidRPr="008A7876" w:rsidRDefault="008A7876" w:rsidP="005A44A8">
      <w:pPr>
        <w:jc w:val="center"/>
        <w:rPr>
          <w:b/>
        </w:rPr>
      </w:pPr>
      <w:r w:rsidRPr="008A7876">
        <w:rPr>
          <w:b/>
        </w:rPr>
        <w:t>ЦИФРОВЫЕ ПРАКТИКИ КОММУНИКАЦИИ МОЛОДЕЖИ</w:t>
      </w:r>
    </w:p>
    <w:p w:rsidR="008A7876" w:rsidRDefault="008A7876" w:rsidP="005A44A8">
      <w:pPr>
        <w:jc w:val="center"/>
      </w:pPr>
    </w:p>
    <w:p w:rsidR="005A44A8" w:rsidRDefault="008A7876" w:rsidP="005A44A8">
      <w:pPr>
        <w:jc w:val="center"/>
        <w:rPr>
          <w:i/>
        </w:rPr>
      </w:pPr>
      <w:r w:rsidRPr="008A7876">
        <w:rPr>
          <w:i/>
        </w:rPr>
        <w:t>работа выполнена в рамках 9490-8.1ГПНИ/6540172 «Молодежь как субъект нравственной ответственности в цифровой среде»</w:t>
      </w:r>
    </w:p>
    <w:p w:rsidR="008A7876" w:rsidRPr="008A7876" w:rsidRDefault="008A7876" w:rsidP="005A44A8">
      <w:pPr>
        <w:jc w:val="center"/>
        <w:rPr>
          <w:i/>
        </w:rPr>
      </w:pPr>
    </w:p>
    <w:p w:rsidR="003A238B" w:rsidRPr="00220F72" w:rsidRDefault="00220F72" w:rsidP="00220F72">
      <w:pPr>
        <w:ind w:firstLine="709"/>
        <w:rPr>
          <w:i/>
        </w:rPr>
      </w:pPr>
      <w:r w:rsidRPr="00220F72">
        <w:rPr>
          <w:b/>
          <w:i/>
        </w:rPr>
        <w:t>Аннотация.</w:t>
      </w:r>
      <w:r>
        <w:rPr>
          <w:i/>
        </w:rPr>
        <w:t xml:space="preserve"> </w:t>
      </w:r>
      <w:r w:rsidRPr="00220F72">
        <w:rPr>
          <w:i/>
        </w:rPr>
        <w:t>На конкретных социологических данных показаны изменения, происходящие с социальным пространством, которое в современных условиях предстает как единство офлайн и онлайн среды. Более подробно рассмотрены особенности освоения молодежью технологических новинок и ее коммуникативные практики.</w:t>
      </w:r>
    </w:p>
    <w:p w:rsidR="00220F72" w:rsidRPr="00220F72" w:rsidRDefault="00220F72" w:rsidP="003A238B">
      <w:pPr>
        <w:ind w:firstLine="709"/>
        <w:rPr>
          <w:i/>
        </w:rPr>
      </w:pPr>
      <w:r w:rsidRPr="00220F72">
        <w:rPr>
          <w:b/>
          <w:i/>
        </w:rPr>
        <w:t xml:space="preserve">Ключевые слова. </w:t>
      </w:r>
      <w:r w:rsidRPr="00FF6B59">
        <w:rPr>
          <w:i/>
        </w:rPr>
        <w:t xml:space="preserve">Молодежь, онлайн пространство, технические инновации, </w:t>
      </w:r>
      <w:r w:rsidR="00FF6B59" w:rsidRPr="00FF6B59">
        <w:rPr>
          <w:i/>
        </w:rPr>
        <w:t>коммуникация</w:t>
      </w:r>
      <w:r w:rsidR="00FF6B59">
        <w:rPr>
          <w:i/>
        </w:rPr>
        <w:t>.</w:t>
      </w:r>
    </w:p>
    <w:p w:rsidR="00220F72" w:rsidRDefault="00220F72" w:rsidP="003A238B">
      <w:pPr>
        <w:ind w:firstLine="709"/>
      </w:pPr>
    </w:p>
    <w:p w:rsidR="003A238B" w:rsidRDefault="003A238B" w:rsidP="003A238B">
      <w:pPr>
        <w:ind w:firstLine="709"/>
      </w:pPr>
      <w:r>
        <w:t>В современном обществе молодеж</w:t>
      </w:r>
      <w:r w:rsidR="002B03F2">
        <w:t>и</w:t>
      </w:r>
      <w:r>
        <w:t xml:space="preserve">, как отдельной социальной группе придается особое </w:t>
      </w:r>
      <w:r w:rsidR="002B03F2">
        <w:t>значени</w:t>
      </w:r>
      <w:r>
        <w:t xml:space="preserve">е. </w:t>
      </w:r>
      <w:r w:rsidRPr="003A238B">
        <w:t>Активность молодого поколения все в большей мере представляется одним из важнейших факторов социально-экономических, политических и культурных трансформаций.</w:t>
      </w:r>
      <w:r>
        <w:t xml:space="preserve"> Как отмечает В.</w:t>
      </w:r>
      <w:r w:rsidR="0027417F">
        <w:t> </w:t>
      </w:r>
      <w:r>
        <w:t>В.</w:t>
      </w:r>
      <w:r w:rsidR="0027417F">
        <w:t> </w:t>
      </w:r>
      <w:r>
        <w:t xml:space="preserve">Радаев в 2000 годах произошел социальный перелом, связанный с </w:t>
      </w:r>
      <w:r w:rsidR="002B03F2">
        <w:t xml:space="preserve">вступлением в активную социальную жизнь молодых людей «нового антропологического типа» </w:t>
      </w:r>
      <w:r w:rsidR="002B03F2">
        <w:rPr>
          <w:lang w:val="en-US"/>
        </w:rPr>
        <w:t>[</w:t>
      </w:r>
      <w:r w:rsidR="0027417F">
        <w:t>1</w:t>
      </w:r>
      <w:r w:rsidR="002B03F2">
        <w:t>, с.</w:t>
      </w:r>
      <w:r w:rsidR="0027417F">
        <w:t xml:space="preserve"> </w:t>
      </w:r>
      <w:r w:rsidR="002B03F2">
        <w:t>31</w:t>
      </w:r>
      <w:r w:rsidR="002B03F2">
        <w:rPr>
          <w:lang w:val="en-US"/>
        </w:rPr>
        <w:t>]</w:t>
      </w:r>
      <w:r w:rsidR="002B03F2">
        <w:t xml:space="preserve">. </w:t>
      </w:r>
      <w:r w:rsidR="00ED69B2">
        <w:t>Ключевой</w:t>
      </w:r>
      <w:r w:rsidR="002B03F2">
        <w:t xml:space="preserve"> </w:t>
      </w:r>
      <w:r w:rsidR="00ED69B2">
        <w:t>характеристикой</w:t>
      </w:r>
      <w:r w:rsidR="002B03F2">
        <w:t>, котор</w:t>
      </w:r>
      <w:r w:rsidR="00ED69B2">
        <w:t>ая</w:t>
      </w:r>
      <w:r w:rsidR="002B03F2">
        <w:t xml:space="preserve"> определя</w:t>
      </w:r>
      <w:r w:rsidR="00ED69B2">
        <w:t>е</w:t>
      </w:r>
      <w:r w:rsidR="002B03F2">
        <w:t>т</w:t>
      </w:r>
      <w:r w:rsidR="00ED69B2">
        <w:t xml:space="preserve"> особенности нового поколения молодежи является вовлеченность в ци</w:t>
      </w:r>
      <w:bookmarkStart w:id="0" w:name="_GoBack"/>
      <w:bookmarkEnd w:id="0"/>
      <w:r w:rsidR="00ED69B2">
        <w:t>фровую среду. Онлайн среда является не просто дополнительной сферой жизненной самореализации. Она пронизывает все сферы и одновременно служит для самовыражения, профессиональной реализации, организации досуга, получения информации.</w:t>
      </w:r>
      <w:r w:rsidR="00C5389D">
        <w:t xml:space="preserve"> </w:t>
      </w:r>
      <w:r w:rsidR="0022426C">
        <w:t>Таким образом, изменению подвержено все социальное пространство, которое предстает как единство офлайн и онлайн среды. И многие формы социального взаимодействия, становление и</w:t>
      </w:r>
      <w:r w:rsidR="002C6164">
        <w:t xml:space="preserve"> формирование </w:t>
      </w:r>
      <w:r w:rsidR="0022426C">
        <w:t>которы</w:t>
      </w:r>
      <w:r w:rsidR="002C6164">
        <w:t>х происходило в условиях физической реальности</w:t>
      </w:r>
      <w:r w:rsidR="005E5BEF">
        <w:t xml:space="preserve"> подвергаются изменению и нуждаются в теоретическом переосмыслении.</w:t>
      </w:r>
      <w:r w:rsidR="0022426C">
        <w:t xml:space="preserve"> </w:t>
      </w:r>
      <w:r w:rsidR="00FE0E06">
        <w:t>Именно молодежь, как наиболее активный потребитель цифрового контента в наибольшей степени вовлечена в процессы цифровизации.</w:t>
      </w:r>
      <w:r w:rsidR="0039520B">
        <w:t xml:space="preserve"> </w:t>
      </w:r>
    </w:p>
    <w:p w:rsidR="00C5389D" w:rsidRDefault="007E0325" w:rsidP="003A238B">
      <w:pPr>
        <w:ind w:firstLine="709"/>
      </w:pPr>
      <w:r w:rsidRPr="007E0325">
        <w:t>В рамках изучения социокультурных аспектов цифровизации Институтом социологии НАН Беларуси в октябре-ноябре 2020 года был проведен опрос с использованием республиканской выборки (N=2099) репрезентативной по полу, возрасту, образованию, типу населенного пункта, региону проживания.</w:t>
      </w:r>
    </w:p>
    <w:p w:rsidR="009E2BE0" w:rsidRDefault="00667E1A" w:rsidP="00C5389D">
      <w:pPr>
        <w:ind w:firstLine="709"/>
      </w:pPr>
      <w:r>
        <w:t>Д</w:t>
      </w:r>
      <w:r>
        <w:t>ля представителей всех возрастов</w:t>
      </w:r>
      <w:r>
        <w:t>, з</w:t>
      </w:r>
      <w:r w:rsidR="00AC22AC">
        <w:t>а исключением возрастной группы старше 56 лет, среди которой бол</w:t>
      </w:r>
      <w:r w:rsidR="00220F72">
        <w:t>е</w:t>
      </w:r>
      <w:r w:rsidR="00AC22AC">
        <w:t xml:space="preserve">е половины </w:t>
      </w:r>
      <w:r w:rsidR="00220F72">
        <w:t xml:space="preserve">опрошенных </w:t>
      </w:r>
      <w:r w:rsidR="00AC22AC">
        <w:t xml:space="preserve">(58,9%) не пользуются интернетом вообще, ежедневное присутствие в сети является нормой. Но среди молодежи </w:t>
      </w:r>
      <w:r>
        <w:t xml:space="preserve">временной объем этого присутствия значительно выше. </w:t>
      </w:r>
      <w:r>
        <w:t xml:space="preserve">Среди молодых людей до 31 года каждый третий (31,1%) проводит в интернете от 3 до 6 часов. В возрасте от 16 до 20 лет каждый пятый (20,4%) </w:t>
      </w:r>
      <w:r w:rsidR="00220F72">
        <w:t>находится в онлайн пространстве</w:t>
      </w:r>
      <w:r>
        <w:t xml:space="preserve"> от 6 до 9 часов.</w:t>
      </w:r>
      <w:r>
        <w:t xml:space="preserve"> Для 32-55 летних более характерно обращение к интернету от 1 до 3 часов в день (39,1%).</w:t>
      </w:r>
    </w:p>
    <w:p w:rsidR="00C5389D" w:rsidRDefault="002308F4" w:rsidP="00C5389D">
      <w:pPr>
        <w:ind w:firstLine="709"/>
      </w:pPr>
      <w:r>
        <w:t>Молодежь</w:t>
      </w:r>
      <w:r w:rsidR="00C5389D">
        <w:t xml:space="preserve"> более открыт</w:t>
      </w:r>
      <w:r>
        <w:t>а</w:t>
      </w:r>
      <w:r w:rsidR="00C5389D">
        <w:t xml:space="preserve"> к освоению новых технологий. Чуть меньше половины в возрастной группе </w:t>
      </w:r>
      <w:r>
        <w:t xml:space="preserve">до 31 года </w:t>
      </w:r>
      <w:r w:rsidR="00C5389D">
        <w:t xml:space="preserve">(44,4%) отметили, что с удовольствием разбираются со всеми доступными новинками и по возможности используют их в своей жизни. И еще 47,1% достаточно легко преодолевают трудности при их возникновении. </w:t>
      </w:r>
      <w:r w:rsidR="00FF6B59">
        <w:t>Чем моложе респонденты, тем легче им дается освоение технологий. В возрасте до 20 лет более половины (53,6%) молодых людей с удовольствием разбираются с доступными новинками, тогда как среди 26-31 летних подобным образом ответили 36,4%. В этом возрасте большему числу молодых людей приходится преодолевать субъективный барьер, связанный с освоением новинок. В целом, только 4,1% молодых людей до 31 года тяжело осваивать технологии и 4,4% затрудняются в определении степени «дружественности» технологий</w:t>
      </w:r>
      <w:r w:rsidR="00FF6B59">
        <w:t xml:space="preserve"> (рисунок 1)</w:t>
      </w:r>
      <w:r w:rsidR="00FF6B59">
        <w:t>.</w:t>
      </w:r>
    </w:p>
    <w:p w:rsidR="0077034A" w:rsidRDefault="0077034A" w:rsidP="00C5389D">
      <w:pPr>
        <w:ind w:firstLine="709"/>
      </w:pPr>
    </w:p>
    <w:p w:rsidR="00DD7801" w:rsidRDefault="00055B39" w:rsidP="00055B39">
      <w:pPr>
        <w:jc w:val="center"/>
      </w:pPr>
      <w:r>
        <w:rPr>
          <w:noProof/>
          <w:lang w:eastAsia="ru-RU"/>
        </w:rPr>
        <w:lastRenderedPageBreak/>
        <w:drawing>
          <wp:inline distT="0" distB="0" distL="0" distR="0" wp14:anchorId="453CD95D" wp14:editId="4A6BAA50">
            <wp:extent cx="5505450" cy="2305050"/>
            <wp:effectExtent l="0" t="0" r="0" b="0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:rsidR="00DD7801" w:rsidRDefault="00055B39" w:rsidP="0077034A">
      <w:pPr>
        <w:spacing w:before="120"/>
        <w:ind w:firstLine="709"/>
        <w:jc w:val="center"/>
      </w:pPr>
      <w:r>
        <w:t>Рисунок 1</w:t>
      </w:r>
      <w:r w:rsidR="008A7876">
        <w:t>.</w:t>
      </w:r>
      <w:r>
        <w:t xml:space="preserve"> </w:t>
      </w:r>
      <w:r w:rsidR="0077034A">
        <w:t>Легкость освоения технологических новаций населением разного возраста,</w:t>
      </w:r>
      <w:r w:rsidR="00FF6B59">
        <w:t> </w:t>
      </w:r>
      <w:r w:rsidR="0077034A">
        <w:t>%</w:t>
      </w:r>
      <w:r w:rsidR="00FF6B59">
        <w:t xml:space="preserve">. </w:t>
      </w:r>
      <w:r w:rsidR="00FF6B59" w:rsidRPr="00FF6B59">
        <w:t>Данные исследования Института социологии НАН Беларуси.</w:t>
      </w:r>
    </w:p>
    <w:p w:rsidR="0077034A" w:rsidRDefault="0077034A" w:rsidP="00C5389D">
      <w:pPr>
        <w:ind w:firstLine="709"/>
      </w:pPr>
    </w:p>
    <w:p w:rsidR="00C5389D" w:rsidRDefault="00C5389D" w:rsidP="00C5389D">
      <w:pPr>
        <w:ind w:firstLine="709"/>
      </w:pPr>
      <w:r>
        <w:t>Освоение молодыми людьми технологических новинок значительно отличается от отношения и особенностей освоения новинок представителями более старших возрастов. Среди 32-55 летних большее число людей сталкивается с трудностями при их освоении (51,5%). Только 22,1% с легкостью разбираются со всеми новшествами. А старшей возрастной группе старше 56 лет 29,8% стараются избегать новых технологий и использовать их только по необходимости и почти каждый третий – 31,6% стараются обходится без них.</w:t>
      </w:r>
    </w:p>
    <w:p w:rsidR="00C5389D" w:rsidRDefault="00C5389D" w:rsidP="00C5389D">
      <w:pPr>
        <w:ind w:firstLine="709"/>
      </w:pPr>
      <w:r>
        <w:t>Для молодежи основные трудности в освоении технологий связаны с недостатком знаний, тогда как каждый третий среди представителей старшего возраста с одной стороны, считает технологии сложными для освоения, а с другой, признает отсутствие желания разбираться в новых технологиях.</w:t>
      </w:r>
    </w:p>
    <w:p w:rsidR="00C5389D" w:rsidRDefault="00C5389D" w:rsidP="00C5389D">
      <w:pPr>
        <w:ind w:firstLine="709"/>
      </w:pPr>
      <w:r>
        <w:t>По уровню востребованности различные современные технические инновации, условно можно разделить на три основные группы: широко востребованные (уровень обращений максимальный и составляет выше 66%), в средней степени (уровень обращений от 33% до 66%), мало востребованные (до 33%). Среди различных онлайн-услуг и сервисов молодые люди чаще пользуются Интернет-мессенджерами (Skype, Viber, Telegram) – 94,9%; производят оплату товаров услуг через интернет (в том числе, М-банкинг, интернет-банкинг и др.) – 85,7%; заказывают и покупают товары и услуги через интернет (онлайн-магазины, сервисы доставки, сервисы онлайн-продажи билетов, скидочные сайты и порталы и др.) – 85,1%; интернет-сервисы вызова такси (Yandex-такси, Uber и т.д.), Кар-шеринг, сервис BlaBlaCar 68,8%; онлайн-просмотр интернет-трансляций спортивных, культурных и других событий, виртуальное посещение различных мест и др. – 66,4%. Следует отметить, что молодежь обращается к самому широкому списку новаций и услуг. В возрасте 32-55 лет широко востребованы интернет мессенджеры (92,5%), оплата услуг (83,2%) и заказ и покупка товаров онлайн (76,3%). В возрасте старше 56 лет широкую востребованность имеют только интернет-мессенджеры (70,4%). Следующая по уровню востребованности технологическая новация – интерактивное телевидение популярна у 48,2% представителей данного возраста. То есть молодежь более активно пользуется всеми возможными новшествами и многие новинки имеют высокую популярность в молодежной среде.</w:t>
      </w:r>
    </w:p>
    <w:p w:rsidR="00C5389D" w:rsidRDefault="00667E1A" w:rsidP="00C5389D">
      <w:pPr>
        <w:ind w:firstLine="709"/>
      </w:pPr>
      <w:r>
        <w:t>Различные социологические исследования позволяют выделять три основные функции</w:t>
      </w:r>
      <w:r w:rsidR="00E26673">
        <w:t>, выполняющиеся</w:t>
      </w:r>
      <w:r>
        <w:t xml:space="preserve"> </w:t>
      </w:r>
      <w:r w:rsidR="00E26673">
        <w:t>информационными технологиями</w:t>
      </w:r>
      <w:r>
        <w:t>: познавательную, коммуникативную и досуговую. И если изначально лидерство принадлежало познавательной и досуговой, значительно облегчавшим поиск информации и организацию проведения свободного времени (просмотр видео, игры, прослушивание музыки), то благодаря развитию социальных сетей коммуникативная функция становится доминирующей</w:t>
      </w:r>
      <w:r w:rsidR="0027417F">
        <w:t xml:space="preserve"> </w:t>
      </w:r>
      <w:r w:rsidR="0027417F">
        <w:rPr>
          <w:lang w:val="en-US"/>
        </w:rPr>
        <w:t>[</w:t>
      </w:r>
      <w:r w:rsidR="0027417F">
        <w:t>2</w:t>
      </w:r>
      <w:r w:rsidR="0027417F">
        <w:rPr>
          <w:lang w:val="en-US"/>
        </w:rPr>
        <w:t>]</w:t>
      </w:r>
      <w:r w:rsidR="0027417F">
        <w:t>.</w:t>
      </w:r>
      <w:r w:rsidR="00E26673">
        <w:t xml:space="preserve"> </w:t>
      </w:r>
      <w:r w:rsidR="0027417F">
        <w:t>При рассмотрении</w:t>
      </w:r>
      <w:r w:rsidR="00C5389D">
        <w:t xml:space="preserve"> популярност</w:t>
      </w:r>
      <w:r w:rsidR="0027417F">
        <w:t>и</w:t>
      </w:r>
      <w:r w:rsidR="00C5389D">
        <w:t xml:space="preserve"> ИКТ среди молодежи обращает на себя внимание </w:t>
      </w:r>
      <w:r w:rsidR="0027417F">
        <w:t>высокая доля</w:t>
      </w:r>
      <w:r w:rsidR="00C5389D">
        <w:t xml:space="preserve"> интернет мессенджеров, что указывает на преобладание коммуникативной функции. Следующие несколько позиций </w:t>
      </w:r>
      <w:r w:rsidR="00C5389D">
        <w:lastRenderedPageBreak/>
        <w:t xml:space="preserve">занимают технологии, связанные с заказом и оплатой товаров и услуг, то есть на </w:t>
      </w:r>
      <w:r w:rsidR="00E26673">
        <w:t xml:space="preserve">возрастающее </w:t>
      </w:r>
      <w:r w:rsidR="00C5389D">
        <w:t>значение хозяйственно-бытовой функции. Уже за ней следуют развлекательная и образовательные функции.</w:t>
      </w:r>
    </w:p>
    <w:p w:rsidR="00C5389D" w:rsidRDefault="00E26673" w:rsidP="003A238B">
      <w:pPr>
        <w:ind w:firstLine="709"/>
      </w:pPr>
      <w:r>
        <w:t>Для анализа особенностей коммуникации молодежи, опосредованной цифровыми технологиями, важными вопросами являются с кем и как осуществляется коммуникация.</w:t>
      </w:r>
    </w:p>
    <w:p w:rsidR="005142A4" w:rsidRDefault="0030358C" w:rsidP="003A238B">
      <w:pPr>
        <w:ind w:firstLine="709"/>
      </w:pPr>
      <w:r>
        <w:t>На вопрос о частоте общения с членами семьи, друзьями и приятелями (в том числе опосредованного различными техническими средствами) подавляющее большинство молодых людей (80,7%) ответили, что ежедневно общаются с матерью</w:t>
      </w:r>
      <w:r w:rsidR="00AD70AF">
        <w:t xml:space="preserve">, тогда как с отцом </w:t>
      </w:r>
      <w:r w:rsidR="004F74C1">
        <w:t xml:space="preserve">ежедневно </w:t>
      </w:r>
      <w:r w:rsidR="00AD70AF">
        <w:t>общаются</w:t>
      </w:r>
      <w:r w:rsidR="004F74C1">
        <w:t xml:space="preserve"> 53,6%</w:t>
      </w:r>
      <w:r>
        <w:t xml:space="preserve">. </w:t>
      </w:r>
      <w:r w:rsidR="004F74C1">
        <w:t>Н</w:t>
      </w:r>
      <w:r w:rsidR="004F74C1">
        <w:t>а ежедневное общение с друзьями</w:t>
      </w:r>
      <w:r w:rsidR="004F74C1">
        <w:t xml:space="preserve"> </w:t>
      </w:r>
      <w:r w:rsidR="004F74C1">
        <w:t>указали</w:t>
      </w:r>
      <w:r w:rsidR="004F74C1">
        <w:t xml:space="preserve"> </w:t>
      </w:r>
      <w:r>
        <w:t>62% (</w:t>
      </w:r>
      <w:r w:rsidR="004F74C1">
        <w:t>второй</w:t>
      </w:r>
      <w:r>
        <w:t xml:space="preserve"> по частоте ответ) и 38,6% на общение с приятелями</w:t>
      </w:r>
      <w:r w:rsidR="00D71851">
        <w:t>.</w:t>
      </w:r>
      <w:r w:rsidR="004F74C1">
        <w:t xml:space="preserve"> В данной возрастной группе только 34,2% имеют супруга и</w:t>
      </w:r>
      <w:r w:rsidR="00FA2ECA">
        <w:t xml:space="preserve"> среди данной категории</w:t>
      </w:r>
      <w:r w:rsidR="004F74C1">
        <w:t xml:space="preserve"> </w:t>
      </w:r>
      <w:r w:rsidR="00FA2ECA">
        <w:t>супруг</w:t>
      </w:r>
      <w:r w:rsidR="004F74C1">
        <w:t xml:space="preserve"> </w:t>
      </w:r>
      <w:r w:rsidR="00FA2ECA">
        <w:t xml:space="preserve">у всех </w:t>
      </w:r>
      <w:r w:rsidR="004F74C1">
        <w:t>является партнером по общению</w:t>
      </w:r>
      <w:r w:rsidR="00FA2ECA">
        <w:t xml:space="preserve">. С другими родственниками, такими как бабушки и дедушки, двоюродные братья и сестры молодые люди общаются </w:t>
      </w:r>
      <w:r w:rsidR="00FF6B59">
        <w:t>от одного раза в месяц, до 1-2 раз в год</w:t>
      </w:r>
      <w:r w:rsidR="00FA2ECA">
        <w:t xml:space="preserve">. </w:t>
      </w:r>
    </w:p>
    <w:p w:rsidR="005142A4" w:rsidRDefault="00FA2ECA" w:rsidP="003A238B">
      <w:pPr>
        <w:ind w:firstLine="709"/>
      </w:pPr>
      <w:r>
        <w:t>При выборе средств общения обращает на себя внимание тот факт, что общение со старшими близкими родственниками – родителями, бабушками и дедушками – происходит в физической реальн</w:t>
      </w:r>
      <w:r w:rsidR="006E3575">
        <w:t>о</w:t>
      </w:r>
      <w:r>
        <w:t>сти</w:t>
      </w:r>
      <w:r w:rsidR="009603DA">
        <w:t>, тогда как общение с друзьями, приятелями, родными братьями и сестрами сочетает различные форматы коммуникации (рисунок 2). При это</w:t>
      </w:r>
      <w:r w:rsidR="00FF6B59">
        <w:t>м</w:t>
      </w:r>
      <w:r w:rsidR="009603DA">
        <w:t>, доля «живого» общения доминирует.</w:t>
      </w:r>
    </w:p>
    <w:p w:rsidR="006E3575" w:rsidRDefault="006E3575" w:rsidP="003A238B">
      <w:pPr>
        <w:ind w:firstLine="709"/>
      </w:pPr>
    </w:p>
    <w:p w:rsidR="00AD70AF" w:rsidRDefault="00AD70AF" w:rsidP="00AD70AF">
      <w:r>
        <w:rPr>
          <w:noProof/>
          <w:lang w:eastAsia="ru-RU"/>
        </w:rPr>
        <w:drawing>
          <wp:inline distT="0" distB="0" distL="0" distR="0" wp14:anchorId="4BE4A4A9" wp14:editId="28C78FFC">
            <wp:extent cx="5940425" cy="3754755"/>
            <wp:effectExtent l="0" t="0" r="3175" b="17145"/>
            <wp:docPr id="2" name="Диаграмма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AD70AF" w:rsidRDefault="00AD70AF" w:rsidP="003A238B">
      <w:pPr>
        <w:ind w:firstLine="709"/>
      </w:pPr>
    </w:p>
    <w:p w:rsidR="00AD70AF" w:rsidRDefault="00AD70AF" w:rsidP="006E3575">
      <w:pPr>
        <w:ind w:firstLine="709"/>
        <w:jc w:val="center"/>
      </w:pPr>
      <w:r>
        <w:t>Рисунок 2</w:t>
      </w:r>
      <w:r w:rsidR="008A7876">
        <w:t>.</w:t>
      </w:r>
      <w:r>
        <w:t xml:space="preserve"> Доля общения, опосредованного </w:t>
      </w:r>
      <w:r w:rsidR="006E3575">
        <w:t xml:space="preserve">интернет-ресурсами </w:t>
      </w:r>
      <w:r>
        <w:t xml:space="preserve">в общей структуре </w:t>
      </w:r>
      <w:r w:rsidR="0027417F">
        <w:t>коммуникации</w:t>
      </w:r>
      <w:r>
        <w:t>, %</w:t>
      </w:r>
      <w:r w:rsidR="0027417F">
        <w:t>. Данные исследования Института социологии НАН Беларуси.</w:t>
      </w:r>
    </w:p>
    <w:p w:rsidR="009603DA" w:rsidRDefault="009603DA" w:rsidP="003A238B">
      <w:pPr>
        <w:ind w:firstLine="709"/>
      </w:pPr>
    </w:p>
    <w:p w:rsidR="00AD70AF" w:rsidRDefault="009603DA" w:rsidP="003A238B">
      <w:pPr>
        <w:ind w:firstLine="709"/>
      </w:pPr>
      <w:r>
        <w:t xml:space="preserve">Только при </w:t>
      </w:r>
      <w:r w:rsidR="00C55A8C">
        <w:t>взаимодействии</w:t>
      </w:r>
      <w:r>
        <w:t xml:space="preserve"> с дальними родственниками, коммуникация с которыми осуществляется достаточно редко</w:t>
      </w:r>
      <w:r w:rsidR="00C55A8C">
        <w:t xml:space="preserve">, преобладает </w:t>
      </w:r>
      <w:r w:rsidR="00C55A8C">
        <w:t>онлайн</w:t>
      </w:r>
      <w:r w:rsidR="00C55A8C">
        <w:t xml:space="preserve"> общение. </w:t>
      </w:r>
    </w:p>
    <w:p w:rsidR="00C55A8C" w:rsidRDefault="00C55A8C" w:rsidP="00C55A8C">
      <w:pPr>
        <w:ind w:firstLine="709"/>
      </w:pPr>
      <w:r>
        <w:t xml:space="preserve">Помимо содействия социальной связности, </w:t>
      </w:r>
      <w:r w:rsidR="00FF6B59">
        <w:t xml:space="preserve">различные средства, обеспечивающие интернет-коммуникацию – </w:t>
      </w:r>
      <w:r>
        <w:t xml:space="preserve">социальные сети и мессенджеры </w:t>
      </w:r>
      <w:r w:rsidR="00FF6B59">
        <w:t xml:space="preserve">– </w:t>
      </w:r>
      <w:r>
        <w:t xml:space="preserve">могут быть важным источником социального капитала и эмоциональной поддержки, то есть материальных и нематериальных ресурсов. </w:t>
      </w:r>
      <w:r w:rsidR="00FF6B59">
        <w:t>Они</w:t>
      </w:r>
      <w:r>
        <w:t xml:space="preserve"> могут дополнять другие каналы коммуникации для удовлетворения социальных потребностей, </w:t>
      </w:r>
      <w:r w:rsidR="00FF6B59">
        <w:t xml:space="preserve">для </w:t>
      </w:r>
      <w:r>
        <w:t>поддерж</w:t>
      </w:r>
      <w:r w:rsidR="00FF6B59">
        <w:t>ки</w:t>
      </w:r>
      <w:r>
        <w:t xml:space="preserve"> отношени</w:t>
      </w:r>
      <w:r w:rsidR="00FF6B59">
        <w:t>й</w:t>
      </w:r>
      <w:r>
        <w:t xml:space="preserve"> с семьей и друзьями, а также способствовать обмену информацией. Их социальные функции и эффекты варьируются в </w:t>
      </w:r>
      <w:r>
        <w:lastRenderedPageBreak/>
        <w:t>зависимости от индивидуальных характеристик пользователей, таких как возраст, пол и личностные факторы, и сетевых характеристик, таких как формат, плотность и состав сети [</w:t>
      </w:r>
      <w:r w:rsidR="0027417F">
        <w:t>3</w:t>
      </w:r>
      <w:r>
        <w:t>].</w:t>
      </w:r>
    </w:p>
    <w:p w:rsidR="009603DA" w:rsidRDefault="00C55A8C" w:rsidP="005142A4">
      <w:pPr>
        <w:ind w:firstLine="709"/>
      </w:pPr>
      <w:r>
        <w:t>Таким образом, м</w:t>
      </w:r>
      <w:r w:rsidR="006E3575">
        <w:t>олодые люди, в среднем, значительно больше времени проводят в онлайн пространстве. Они</w:t>
      </w:r>
      <w:r w:rsidR="005142A4">
        <w:t xml:space="preserve"> свободнее и быстрее разбирается в новых технологиях и начинает активно пользоваться ими</w:t>
      </w:r>
      <w:r w:rsidR="006E3575">
        <w:t>.</w:t>
      </w:r>
      <w:r w:rsidR="005142A4">
        <w:t xml:space="preserve"> </w:t>
      </w:r>
      <w:r w:rsidR="006E3575">
        <w:t xml:space="preserve">Основным препятствием является недостаток знаний, который легко преодолевается большинством молодых людей </w:t>
      </w:r>
      <w:r w:rsidR="005142A4">
        <w:t>так как отсутствуют субъективные барьеры в виде представлений о сложности устройства новинок</w:t>
      </w:r>
      <w:r w:rsidR="006E3575">
        <w:t>,</w:t>
      </w:r>
      <w:r w:rsidR="005142A4">
        <w:t xml:space="preserve"> </w:t>
      </w:r>
      <w:r w:rsidR="006E3575">
        <w:t xml:space="preserve">а также </w:t>
      </w:r>
      <w:r w:rsidR="005142A4">
        <w:t>привычке к обучению. Представители старших возрастав чаще связывают проблемы в освоении технологий с самими технологиями и стараются избегать усилий, связанных с приобретением новых навыков.</w:t>
      </w:r>
      <w:r w:rsidR="006E3575" w:rsidRPr="006E3575">
        <w:t xml:space="preserve"> </w:t>
      </w:r>
    </w:p>
    <w:p w:rsidR="009603DA" w:rsidRDefault="00C55A8C" w:rsidP="005142A4">
      <w:pPr>
        <w:ind w:firstLine="709"/>
      </w:pPr>
      <w:r>
        <w:t>Понимание характеристик пользователей особенно важно, учитывая растущее разнообразие платформ, сайтов и количества социальных сетей. Влияние возрастных процессов среди пользователей онлайн-платформ остается в значительной степени неизученным.</w:t>
      </w:r>
    </w:p>
    <w:p w:rsidR="009603DA" w:rsidRDefault="009603DA" w:rsidP="005142A4">
      <w:pPr>
        <w:ind w:firstLine="709"/>
      </w:pPr>
    </w:p>
    <w:p w:rsidR="009603DA" w:rsidRPr="008A7876" w:rsidRDefault="00B0109F" w:rsidP="008A7876">
      <w:pPr>
        <w:ind w:firstLine="709"/>
        <w:jc w:val="center"/>
        <w:rPr>
          <w:b/>
        </w:rPr>
      </w:pPr>
      <w:r>
        <w:rPr>
          <w:b/>
        </w:rPr>
        <w:t>Литература</w:t>
      </w:r>
    </w:p>
    <w:p w:rsidR="008A7876" w:rsidRDefault="008A7876">
      <w:pPr>
        <w:ind w:firstLine="709"/>
      </w:pPr>
      <w:r>
        <w:t xml:space="preserve">1. </w:t>
      </w:r>
      <w:r w:rsidRPr="008A7876">
        <w:t>Радаев, В.</w:t>
      </w:r>
      <w:r w:rsidR="0027417F">
        <w:t xml:space="preserve"> </w:t>
      </w:r>
      <w:r w:rsidRPr="008A7876">
        <w:t xml:space="preserve">В. Раскол поколения миллениалов: историческое и эмпирическое обоснование. (Первая часть) </w:t>
      </w:r>
      <w:r w:rsidR="0027417F">
        <w:t xml:space="preserve">/ В. В. Радаев </w:t>
      </w:r>
      <w:r w:rsidRPr="008A7876">
        <w:t>// Социологический журнал. – 2020. – Том 26</w:t>
      </w:r>
      <w:r w:rsidR="0027417F">
        <w:t>,</w:t>
      </w:r>
      <w:r w:rsidRPr="008A7876">
        <w:t xml:space="preserve"> №3.</w:t>
      </w:r>
      <w:r w:rsidR="0027417F">
        <w:t> </w:t>
      </w:r>
      <w:r w:rsidRPr="008A7876">
        <w:t>– С. 30–63.</w:t>
      </w:r>
    </w:p>
    <w:p w:rsidR="0027417F" w:rsidRDefault="0027417F">
      <w:pPr>
        <w:ind w:firstLine="709"/>
      </w:pPr>
      <w:r>
        <w:t xml:space="preserve">2. </w:t>
      </w:r>
      <w:r w:rsidRPr="0027417F">
        <w:t>Демидова</w:t>
      </w:r>
      <w:r>
        <w:t xml:space="preserve">, </w:t>
      </w:r>
      <w:r w:rsidRPr="0027417F">
        <w:t>Е.</w:t>
      </w:r>
      <w:r>
        <w:t> </w:t>
      </w:r>
      <w:r w:rsidRPr="0027417F">
        <w:t xml:space="preserve">Е. «Новая нормальность»: социальные аспекты деятельности молодежи в цифровую эпоху </w:t>
      </w:r>
      <w:r>
        <w:t xml:space="preserve">/ </w:t>
      </w:r>
      <w:r w:rsidRPr="0027417F">
        <w:t>Е.</w:t>
      </w:r>
      <w:r>
        <w:t> </w:t>
      </w:r>
      <w:r w:rsidRPr="0027417F">
        <w:t>Е</w:t>
      </w:r>
      <w:r>
        <w:t>.</w:t>
      </w:r>
      <w:r w:rsidRPr="0027417F">
        <w:t xml:space="preserve"> Демидова, </w:t>
      </w:r>
      <w:r>
        <w:t>А. В. </w:t>
      </w:r>
      <w:r w:rsidRPr="0027417F">
        <w:t>Старикова</w:t>
      </w:r>
      <w:r>
        <w:t xml:space="preserve"> </w:t>
      </w:r>
      <w:r w:rsidRPr="0027417F">
        <w:t>// Социология и общество: традиции и инновации в социальном развитии регионов [Электронный ресурс]: Сборник докладов VI Всероссийского социологического конгресса (Тюмень, 14-16 октября 2020 г.) / Отв. ред. В.</w:t>
      </w:r>
      <w:r>
        <w:t> </w:t>
      </w:r>
      <w:r w:rsidRPr="0027417F">
        <w:t>А.</w:t>
      </w:r>
      <w:r>
        <w:t> </w:t>
      </w:r>
      <w:r w:rsidRPr="0027417F">
        <w:t>Мансуров; ред. Е.Ю. Иванова. – Москва: РОС; ФНИСЦ РАН, 2020 – 6003 с. 1 электрон. опт. ди</w:t>
      </w:r>
      <w:r>
        <w:t>ск 12 см. (CD-ROM). – С. 887-896.</w:t>
      </w:r>
    </w:p>
    <w:p w:rsidR="00667E1A" w:rsidRDefault="0027417F">
      <w:pPr>
        <w:ind w:firstLine="709"/>
      </w:pPr>
      <w:r>
        <w:t xml:space="preserve">3. </w:t>
      </w:r>
      <w:r w:rsidR="00C55A8C" w:rsidRPr="00C55A8C">
        <w:t xml:space="preserve">Pamara, F. Age Differences in Online Social Networking: Extending Socioemotional Selectivity Theory to Social Network Sites [Electronic resource]. − Mode of access: https://www.researchgate.net/publication/277977662_Age_Differences_in_Online_Social_Networking_Extending_Socioemotional_Selectivity_Theory_to_Social_Network_Sites. – Date of access: </w:t>
      </w:r>
      <w:r w:rsidR="00C55A8C">
        <w:t>25</w:t>
      </w:r>
      <w:r w:rsidR="00C55A8C" w:rsidRPr="00C55A8C">
        <w:t>.</w:t>
      </w:r>
      <w:r w:rsidR="00C55A8C">
        <w:t>03</w:t>
      </w:r>
      <w:r w:rsidR="00C55A8C" w:rsidRPr="00C55A8C">
        <w:t>.20</w:t>
      </w:r>
      <w:r w:rsidR="00C55A8C">
        <w:t>21</w:t>
      </w:r>
      <w:r w:rsidR="00C55A8C" w:rsidRPr="00C55A8C">
        <w:t>.</w:t>
      </w:r>
    </w:p>
    <w:p w:rsidR="008A7876" w:rsidRDefault="008A7876">
      <w:pPr>
        <w:ind w:firstLine="709"/>
      </w:pPr>
    </w:p>
    <w:p w:rsidR="008A7876" w:rsidRPr="008A7876" w:rsidRDefault="008A7876" w:rsidP="008A7876">
      <w:pPr>
        <w:ind w:firstLine="709"/>
        <w:jc w:val="center"/>
        <w:rPr>
          <w:b/>
        </w:rPr>
      </w:pPr>
      <w:r w:rsidRPr="008A7876">
        <w:rPr>
          <w:b/>
        </w:rPr>
        <w:t>Информация об авторе</w:t>
      </w:r>
    </w:p>
    <w:p w:rsidR="008A7876" w:rsidRDefault="008A7876" w:rsidP="008A7876">
      <w:pPr>
        <w:ind w:firstLine="709"/>
      </w:pPr>
      <w:r>
        <w:t xml:space="preserve">Сосновская Наталья Александровна (Республика Беларусь, Минск) научный сотрудник </w:t>
      </w:r>
      <w:r>
        <w:t>Институт</w:t>
      </w:r>
      <w:r>
        <w:t>а</w:t>
      </w:r>
      <w:r>
        <w:t xml:space="preserve"> социологии НАН Беларуси</w:t>
      </w:r>
      <w:r>
        <w:t xml:space="preserve"> (</w:t>
      </w:r>
      <w:r>
        <w:t>ул. Сурганова 1, корп. 2, 220072, Минск, Республика Беларусь</w:t>
      </w:r>
      <w:r>
        <w:t xml:space="preserve">; </w:t>
      </w:r>
      <w:hyperlink r:id="rId9" w:history="1">
        <w:r w:rsidRPr="008A7876">
          <w:rPr>
            <w:rStyle w:val="a7"/>
            <w:color w:val="000000" w:themeColor="text1"/>
            <w:u w:val="none"/>
          </w:rPr>
          <w:t>sosnovskaya.n@inbox.ru</w:t>
        </w:r>
      </w:hyperlink>
      <w:r>
        <w:t>)</w:t>
      </w:r>
    </w:p>
    <w:p w:rsidR="008A7876" w:rsidRDefault="008A7876" w:rsidP="008A7876">
      <w:pPr>
        <w:ind w:firstLine="709"/>
      </w:pPr>
    </w:p>
    <w:p w:rsidR="00FF6B59" w:rsidRPr="00B0109F" w:rsidRDefault="00FF6B59" w:rsidP="00FF6B59">
      <w:pPr>
        <w:ind w:firstLine="709"/>
        <w:jc w:val="right"/>
        <w:rPr>
          <w:b/>
        </w:rPr>
      </w:pPr>
      <w:r w:rsidRPr="00B0109F">
        <w:rPr>
          <w:b/>
        </w:rPr>
        <w:t>Sosnovskaya N.A.</w:t>
      </w:r>
    </w:p>
    <w:p w:rsidR="00FF6B59" w:rsidRDefault="00FF6B59" w:rsidP="00FF6B59">
      <w:pPr>
        <w:ind w:firstLine="709"/>
      </w:pPr>
    </w:p>
    <w:p w:rsidR="00FF6B59" w:rsidRPr="00FF6B59" w:rsidRDefault="00FF6B59" w:rsidP="00FF6B59">
      <w:pPr>
        <w:ind w:firstLine="709"/>
        <w:jc w:val="center"/>
        <w:rPr>
          <w:b/>
        </w:rPr>
      </w:pPr>
      <w:r w:rsidRPr="00FF6B59">
        <w:rPr>
          <w:b/>
        </w:rPr>
        <w:t>DIGITAL PRACTICES COMMUNICATION OF YOUTH</w:t>
      </w:r>
    </w:p>
    <w:p w:rsidR="00FF6B59" w:rsidRPr="00D46E3D" w:rsidRDefault="00FF6B59" w:rsidP="00FF6B59">
      <w:pPr>
        <w:ind w:firstLine="709"/>
        <w:rPr>
          <w:i/>
          <w:lang w:val="en-US"/>
        </w:rPr>
      </w:pPr>
      <w:r w:rsidRPr="00D46E3D">
        <w:rPr>
          <w:b/>
          <w:i/>
          <w:lang w:val="en-US"/>
        </w:rPr>
        <w:t>Annotation.</w:t>
      </w:r>
      <w:r w:rsidRPr="00D46E3D">
        <w:rPr>
          <w:i/>
          <w:lang w:val="en-US"/>
        </w:rPr>
        <w:t xml:space="preserve"> </w:t>
      </w:r>
      <w:r w:rsidRPr="00185963">
        <w:rPr>
          <w:i/>
          <w:lang w:val="en-US"/>
        </w:rPr>
        <w:t>Specific sociological data show the changes taking place in the social space, which in modern conditions appears as a unity of the offline and online environment. The features of the development of technological innovations by young people and their communication practices are considered in more detail.</w:t>
      </w:r>
    </w:p>
    <w:p w:rsidR="008A7876" w:rsidRPr="00D46E3D" w:rsidRDefault="00FF6B59" w:rsidP="00FF6B59">
      <w:pPr>
        <w:ind w:firstLine="709"/>
        <w:rPr>
          <w:i/>
          <w:lang w:val="en-US"/>
        </w:rPr>
      </w:pPr>
      <w:r w:rsidRPr="00D46E3D">
        <w:rPr>
          <w:b/>
          <w:i/>
          <w:lang w:val="en-US"/>
        </w:rPr>
        <w:t>Keywords.</w:t>
      </w:r>
      <w:r w:rsidRPr="00D46E3D">
        <w:rPr>
          <w:i/>
          <w:lang w:val="en-US"/>
        </w:rPr>
        <w:t xml:space="preserve"> Youth, online space, technical innovation, communication.</w:t>
      </w:r>
    </w:p>
    <w:p w:rsidR="00FF6B59" w:rsidRPr="00D46E3D" w:rsidRDefault="00FF6B59" w:rsidP="00FF6B59">
      <w:pPr>
        <w:ind w:firstLine="709"/>
        <w:rPr>
          <w:i/>
          <w:lang w:val="en-US"/>
        </w:rPr>
      </w:pPr>
    </w:p>
    <w:p w:rsidR="00FF6B59" w:rsidRPr="00D46E3D" w:rsidRDefault="00FF6B59" w:rsidP="00FF6B59">
      <w:pPr>
        <w:ind w:firstLine="709"/>
        <w:jc w:val="center"/>
        <w:rPr>
          <w:b/>
          <w:lang w:val="en-US"/>
        </w:rPr>
      </w:pPr>
      <w:r w:rsidRPr="00D46E3D">
        <w:rPr>
          <w:b/>
          <w:lang w:val="en-US"/>
        </w:rPr>
        <w:t>Author information</w:t>
      </w:r>
    </w:p>
    <w:p w:rsidR="00FF6B59" w:rsidRPr="00D46E3D" w:rsidRDefault="00FF6B59" w:rsidP="00FF6B59">
      <w:pPr>
        <w:ind w:firstLine="709"/>
        <w:rPr>
          <w:lang w:val="en-US"/>
        </w:rPr>
      </w:pPr>
      <w:r w:rsidRPr="00D46E3D">
        <w:rPr>
          <w:lang w:val="en-US"/>
        </w:rPr>
        <w:t xml:space="preserve">Sosnovskaya Natalya Alexandrovna (Republic of Belarus, Minsk). Researcher at the Institute of Sociology of the National Academy of Sciences of Belarus (Surganova str. </w:t>
      </w:r>
      <w:r w:rsidRPr="00D46E3D">
        <w:rPr>
          <w:lang w:val="en-US"/>
        </w:rPr>
        <w:t>1</w:t>
      </w:r>
      <w:r w:rsidRPr="00D46E3D">
        <w:rPr>
          <w:lang w:val="en-US"/>
        </w:rPr>
        <w:t xml:space="preserve">/2, 220072, Minsk, Republic of Belarus; </w:t>
      </w:r>
      <w:hyperlink r:id="rId10" w:history="1">
        <w:r w:rsidRPr="00D46E3D">
          <w:rPr>
            <w:rStyle w:val="a7"/>
            <w:color w:val="000000" w:themeColor="text1"/>
            <w:u w:val="none"/>
            <w:lang w:val="en-US"/>
          </w:rPr>
          <w:t>sosnovskaya.n@inbox.ru</w:t>
        </w:r>
      </w:hyperlink>
      <w:r w:rsidRPr="00D46E3D">
        <w:rPr>
          <w:lang w:val="en-US"/>
        </w:rPr>
        <w:t>)</w:t>
      </w:r>
    </w:p>
    <w:p w:rsidR="00FF6B59" w:rsidRPr="00D46E3D" w:rsidRDefault="00FF6B59" w:rsidP="00FF6B59">
      <w:pPr>
        <w:ind w:firstLine="709"/>
        <w:rPr>
          <w:lang w:val="en-US"/>
        </w:rPr>
      </w:pPr>
    </w:p>
    <w:p w:rsidR="00FF6B59" w:rsidRPr="00D46E3D" w:rsidRDefault="00B0109F" w:rsidP="00B0109F">
      <w:pPr>
        <w:ind w:firstLine="709"/>
        <w:jc w:val="center"/>
        <w:rPr>
          <w:b/>
          <w:lang w:val="en-US"/>
        </w:rPr>
      </w:pPr>
      <w:r w:rsidRPr="00D46E3D">
        <w:rPr>
          <w:b/>
          <w:lang w:val="en-US"/>
        </w:rPr>
        <w:t>References</w:t>
      </w:r>
    </w:p>
    <w:p w:rsidR="00B0109F" w:rsidRPr="00D46E3D" w:rsidRDefault="00B0109F" w:rsidP="00B0109F">
      <w:pPr>
        <w:ind w:firstLine="709"/>
        <w:rPr>
          <w:lang w:val="en-US"/>
        </w:rPr>
      </w:pPr>
      <w:r w:rsidRPr="00D46E3D">
        <w:rPr>
          <w:lang w:val="en-US"/>
        </w:rPr>
        <w:lastRenderedPageBreak/>
        <w:t>1. Radaev, V. V. The Millennial Generation Split: Historical and Empirical Grounding. (First part) / V. V. Radaev // Sociological Journal. - 2020. - Vol. 26, No. 3. - С. 30-63.</w:t>
      </w:r>
    </w:p>
    <w:p w:rsidR="00B0109F" w:rsidRPr="00D46E3D" w:rsidRDefault="00B0109F" w:rsidP="00B0109F">
      <w:pPr>
        <w:ind w:firstLine="709"/>
        <w:rPr>
          <w:lang w:val="en-US"/>
        </w:rPr>
      </w:pPr>
      <w:r w:rsidRPr="00D46E3D">
        <w:rPr>
          <w:lang w:val="en-US"/>
        </w:rPr>
        <w:t xml:space="preserve">2. Demidova </w:t>
      </w:r>
      <w:r w:rsidR="00D46E3D" w:rsidRPr="00D46E3D">
        <w:rPr>
          <w:lang w:val="en-US"/>
        </w:rPr>
        <w:t xml:space="preserve">E. </w:t>
      </w:r>
      <w:r w:rsidRPr="00D46E3D">
        <w:rPr>
          <w:lang w:val="en-US"/>
        </w:rPr>
        <w:t>E. "New Normalcy": Social Aspects of Youth Activity in the Digital Age / E.</w:t>
      </w:r>
      <w:r w:rsidR="00D46E3D" w:rsidRPr="00D46E3D">
        <w:rPr>
          <w:lang w:val="en-US"/>
        </w:rPr>
        <w:t> </w:t>
      </w:r>
      <w:r w:rsidRPr="00D46E3D">
        <w:rPr>
          <w:lang w:val="en-US"/>
        </w:rPr>
        <w:t>E. Demidova, A. V. Starikova // Sociology and Society: Traditions and Innovations in Regional Social Development [Electronic Resource]: Collection of Reports of the VI All-Russian Sociological Congress (Tyumen, 14-16 October 2020) / Ed. A. Mansurov; Ed. by E. Ivanova. - Moscow: ROS; FNISC RAS, 2020 - 6003 p. 1 electronic disc 12 cm. (CD-ROM). - С. 887-896.</w:t>
      </w:r>
    </w:p>
    <w:p w:rsidR="00B0109F" w:rsidRPr="00D46E3D" w:rsidRDefault="00B0109F" w:rsidP="00B0109F">
      <w:pPr>
        <w:ind w:firstLine="709"/>
        <w:rPr>
          <w:lang w:val="en-US"/>
        </w:rPr>
      </w:pPr>
      <w:r w:rsidRPr="00D46E3D">
        <w:rPr>
          <w:lang w:val="en-US"/>
        </w:rPr>
        <w:t>3. Pamara, F. Age Differences in Online Social Networking: Extending Socioemotional Selectivity Theory to Social Network Sites [Electronic resource]. − Mode of access: https://www.researchgate.net/publication/277977662_Age_Differences_in_Online_Social_Networking_Extending_Socioemotional_Selectivity_Theory_to_Social_Network_Sites. – Date of access: 25.03.2021.</w:t>
      </w:r>
    </w:p>
    <w:p w:rsidR="00B0109F" w:rsidRDefault="00B0109F" w:rsidP="00B0109F">
      <w:pPr>
        <w:ind w:firstLine="709"/>
      </w:pPr>
    </w:p>
    <w:sectPr w:rsidR="00B0109F" w:rsidSect="001E3F77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85810" w:rsidRDefault="00285810" w:rsidP="002B03F2">
      <w:r>
        <w:separator/>
      </w:r>
    </w:p>
  </w:endnote>
  <w:endnote w:type="continuationSeparator" w:id="0">
    <w:p w:rsidR="00285810" w:rsidRDefault="00285810" w:rsidP="002B03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85810" w:rsidRDefault="00285810" w:rsidP="002B03F2">
      <w:r>
        <w:separator/>
      </w:r>
    </w:p>
  </w:footnote>
  <w:footnote w:type="continuationSeparator" w:id="0">
    <w:p w:rsidR="00285810" w:rsidRDefault="00285810" w:rsidP="002B03F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238B"/>
    <w:rsid w:val="00055B39"/>
    <w:rsid w:val="000C4061"/>
    <w:rsid w:val="00132DCD"/>
    <w:rsid w:val="00152BC5"/>
    <w:rsid w:val="00185963"/>
    <w:rsid w:val="001E3F77"/>
    <w:rsid w:val="00220F72"/>
    <w:rsid w:val="0022426C"/>
    <w:rsid w:val="002308F4"/>
    <w:rsid w:val="002663D5"/>
    <w:rsid w:val="0027417F"/>
    <w:rsid w:val="00285810"/>
    <w:rsid w:val="002B03F2"/>
    <w:rsid w:val="002C6164"/>
    <w:rsid w:val="0030358C"/>
    <w:rsid w:val="0039520B"/>
    <w:rsid w:val="003A238B"/>
    <w:rsid w:val="00401459"/>
    <w:rsid w:val="00486835"/>
    <w:rsid w:val="004F74C1"/>
    <w:rsid w:val="005142A4"/>
    <w:rsid w:val="00572FAD"/>
    <w:rsid w:val="005A44A8"/>
    <w:rsid w:val="005E5BEF"/>
    <w:rsid w:val="00667E1A"/>
    <w:rsid w:val="006E3575"/>
    <w:rsid w:val="0077034A"/>
    <w:rsid w:val="007E0325"/>
    <w:rsid w:val="008507D7"/>
    <w:rsid w:val="008A7876"/>
    <w:rsid w:val="009223B2"/>
    <w:rsid w:val="009603DA"/>
    <w:rsid w:val="009E2BE0"/>
    <w:rsid w:val="00A75384"/>
    <w:rsid w:val="00AC22AC"/>
    <w:rsid w:val="00AD70AF"/>
    <w:rsid w:val="00B0109F"/>
    <w:rsid w:val="00B72315"/>
    <w:rsid w:val="00B87BA4"/>
    <w:rsid w:val="00BD3925"/>
    <w:rsid w:val="00C23FC4"/>
    <w:rsid w:val="00C5389D"/>
    <w:rsid w:val="00C55A8C"/>
    <w:rsid w:val="00D46E3D"/>
    <w:rsid w:val="00D71851"/>
    <w:rsid w:val="00D92D7F"/>
    <w:rsid w:val="00DB3033"/>
    <w:rsid w:val="00DD7801"/>
    <w:rsid w:val="00E15F86"/>
    <w:rsid w:val="00E26673"/>
    <w:rsid w:val="00EC5885"/>
    <w:rsid w:val="00ED69B2"/>
    <w:rsid w:val="00FA2ECA"/>
    <w:rsid w:val="00FE0E06"/>
    <w:rsid w:val="00FF6B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703DA20-528F-4F7E-A44B-E82596F2B5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="Times New Roman"/>
        <w:sz w:val="24"/>
        <w:szCs w:val="28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663D5"/>
    <w:pPr>
      <w:spacing w:after="0" w:line="240" w:lineRule="auto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2B03F2"/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2B03F2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2B03F2"/>
    <w:rPr>
      <w:vertAlign w:val="superscript"/>
    </w:rPr>
  </w:style>
  <w:style w:type="table" w:styleId="a6">
    <w:name w:val="Table Grid"/>
    <w:basedOn w:val="a1"/>
    <w:uiPriority w:val="39"/>
    <w:rsid w:val="00DD78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7">
    <w:name w:val="Hyperlink"/>
    <w:basedOn w:val="a0"/>
    <w:uiPriority w:val="99"/>
    <w:unhideWhenUsed/>
    <w:rsid w:val="008A7876"/>
    <w:rPr>
      <w:color w:val="0563C1" w:themeColor="hyperlink"/>
      <w:u w:val="single"/>
    </w:rPr>
  </w:style>
  <w:style w:type="paragraph" w:styleId="a8">
    <w:name w:val="List Paragraph"/>
    <w:basedOn w:val="a"/>
    <w:uiPriority w:val="34"/>
    <w:qFormat/>
    <w:rsid w:val="008A787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12057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2.xml"/><Relationship Id="rId3" Type="http://schemas.openxmlformats.org/officeDocument/2006/relationships/settings" Target="settings.xml"/><Relationship Id="rId7" Type="http://schemas.openxmlformats.org/officeDocument/2006/relationships/chart" Target="charts/chart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yperlink" Target="mailto:sosnovskaya.n@inbox.ru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sosnovskaya.n@inbox.ru" TargetMode="Externa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1.xml"/><Relationship Id="rId2" Type="http://schemas.microsoft.com/office/2011/relationships/chartColorStyle" Target="colors1.xml"/><Relationship Id="rId1" Type="http://schemas.microsoft.com/office/2011/relationships/chartStyle" Target="style1.xml"/><Relationship Id="rId4" Type="http://schemas.openxmlformats.org/officeDocument/2006/relationships/package" Target="../embeddings/_____Microsoft_Excel1.xlsx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2.xml"/><Relationship Id="rId2" Type="http://schemas.microsoft.com/office/2011/relationships/chartColorStyle" Target="colors2.xml"/><Relationship Id="rId1" Type="http://schemas.microsoft.com/office/2011/relationships/chartStyle" Target="style2.xml"/><Relationship Id="rId4" Type="http://schemas.openxmlformats.org/officeDocument/2006/relationships/package" Target="../embeddings/_____Microsoft_Excel2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>
        <c:manualLayout>
          <c:layoutTarget val="inner"/>
          <c:xMode val="edge"/>
          <c:yMode val="edge"/>
          <c:x val="0.25552661453650471"/>
          <c:y val="5.0925925925925923E-2"/>
          <c:w val="0.71909852963881249"/>
          <c:h val="0.52494175831326872"/>
        </c:manualLayout>
      </c:layout>
      <c:barChart>
        <c:barDir val="bar"/>
        <c:grouping val="percentStacked"/>
        <c:varyColors val="0"/>
        <c:ser>
          <c:idx val="0"/>
          <c:order val="0"/>
          <c:tx>
            <c:strRef>
              <c:f>Лист1!$B$34</c:f>
              <c:strCache>
                <c:ptCount val="1"/>
                <c:pt idx="0">
                  <c:v>Я с удовольствием разбираюсь со всеми доступными новинками.</c:v>
                </c:pt>
              </c:strCache>
            </c:strRef>
          </c:tx>
          <c:spPr>
            <a:solidFill>
              <a:schemeClr val="tx1">
                <a:lumMod val="75000"/>
                <a:lumOff val="25000"/>
              </a:schemeClr>
            </a:solidFill>
            <a:ln>
              <a:solidFill>
                <a:schemeClr val="tx1"/>
              </a:solidFill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0" u="none" strike="noStrike" kern="1200" baseline="0">
                    <a:solidFill>
                      <a:schemeClr val="bg1"/>
                    </a:solidFill>
                    <a:latin typeface="Times New Roman" panose="02020603050405020304" pitchFamily="18" charset="0"/>
                    <a:ea typeface="+mn-ea"/>
                    <a:cs typeface="+mn-cs"/>
                  </a:defRPr>
                </a:pPr>
                <a:endParaRPr lang="ru-RU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Лист1!$C$33:$E$33</c:f>
              <c:strCache>
                <c:ptCount val="3"/>
                <c:pt idx="0">
                  <c:v>до 31 года включительно</c:v>
                </c:pt>
                <c:pt idx="1">
                  <c:v>32-55 лет</c:v>
                </c:pt>
                <c:pt idx="2">
                  <c:v>56 и старше</c:v>
                </c:pt>
              </c:strCache>
            </c:strRef>
          </c:cat>
          <c:val>
            <c:numRef>
              <c:f>Лист1!$C$34:$E$34</c:f>
              <c:numCache>
                <c:formatCode>General</c:formatCode>
                <c:ptCount val="3"/>
                <c:pt idx="0">
                  <c:v>44.4</c:v>
                </c:pt>
                <c:pt idx="1">
                  <c:v>22.1</c:v>
                </c:pt>
                <c:pt idx="2">
                  <c:v>4.5999999999999996</c:v>
                </c:pt>
              </c:numCache>
            </c:numRef>
          </c:val>
        </c:ser>
        <c:ser>
          <c:idx val="1"/>
          <c:order val="1"/>
          <c:tx>
            <c:strRef>
              <c:f>Лист1!$B$35</c:f>
              <c:strCache>
                <c:ptCount val="1"/>
                <c:pt idx="0">
                  <c:v>При освоении новинок трудности возникают, но я их преодолеваю.</c:v>
                </c:pt>
              </c:strCache>
            </c:strRef>
          </c:tx>
          <c:spPr>
            <a:solidFill>
              <a:schemeClr val="bg1">
                <a:lumMod val="50000"/>
              </a:schemeClr>
            </a:solidFill>
            <a:ln>
              <a:solidFill>
                <a:schemeClr val="tx1"/>
              </a:solidFill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0" u="none" strike="noStrike" kern="1200" baseline="0">
                    <a:solidFill>
                      <a:schemeClr val="bg1"/>
                    </a:solidFill>
                    <a:latin typeface="Times New Roman" panose="02020603050405020304" pitchFamily="18" charset="0"/>
                    <a:ea typeface="+mn-ea"/>
                    <a:cs typeface="+mn-cs"/>
                  </a:defRPr>
                </a:pPr>
                <a:endParaRPr lang="ru-RU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Лист1!$C$33:$E$33</c:f>
              <c:strCache>
                <c:ptCount val="3"/>
                <c:pt idx="0">
                  <c:v>до 31 года включительно</c:v>
                </c:pt>
                <c:pt idx="1">
                  <c:v>32-55 лет</c:v>
                </c:pt>
                <c:pt idx="2">
                  <c:v>56 и старше</c:v>
                </c:pt>
              </c:strCache>
            </c:strRef>
          </c:cat>
          <c:val>
            <c:numRef>
              <c:f>Лист1!$C$35:$E$35</c:f>
              <c:numCache>
                <c:formatCode>General</c:formatCode>
                <c:ptCount val="3"/>
                <c:pt idx="0">
                  <c:v>47.099999999999994</c:v>
                </c:pt>
                <c:pt idx="1">
                  <c:v>51.5</c:v>
                </c:pt>
                <c:pt idx="2">
                  <c:v>18.3</c:v>
                </c:pt>
              </c:numCache>
            </c:numRef>
          </c:val>
        </c:ser>
        <c:ser>
          <c:idx val="2"/>
          <c:order val="2"/>
          <c:tx>
            <c:strRef>
              <c:f>Лист1!$B$36</c:f>
              <c:strCache>
                <c:ptCount val="1"/>
                <c:pt idx="0">
                  <c:v>Я стараюсь избегать технологических новинок.</c:v>
                </c:pt>
              </c:strCache>
            </c:strRef>
          </c:tx>
          <c:spPr>
            <a:solidFill>
              <a:schemeClr val="bg2">
                <a:lumMod val="90000"/>
              </a:schemeClr>
            </a:solidFill>
            <a:ln>
              <a:solidFill>
                <a:schemeClr val="tx1"/>
              </a:solidFill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0" u="none" strike="noStrike" kern="1200" baseline="0">
                    <a:solidFill>
                      <a:schemeClr val="tx1"/>
                    </a:solidFill>
                    <a:latin typeface="Times New Roman" panose="02020603050405020304" pitchFamily="18" charset="0"/>
                    <a:ea typeface="+mn-ea"/>
                    <a:cs typeface="+mn-cs"/>
                  </a:defRPr>
                </a:pPr>
                <a:endParaRPr lang="ru-RU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Лист1!$C$33:$E$33</c:f>
              <c:strCache>
                <c:ptCount val="3"/>
                <c:pt idx="0">
                  <c:v>до 31 года включительно</c:v>
                </c:pt>
                <c:pt idx="1">
                  <c:v>32-55 лет</c:v>
                </c:pt>
                <c:pt idx="2">
                  <c:v>56 и старше</c:v>
                </c:pt>
              </c:strCache>
            </c:strRef>
          </c:cat>
          <c:val>
            <c:numRef>
              <c:f>Лист1!$C$36:$E$36</c:f>
              <c:numCache>
                <c:formatCode>General</c:formatCode>
                <c:ptCount val="3"/>
                <c:pt idx="0">
                  <c:v>3.2</c:v>
                </c:pt>
                <c:pt idx="1">
                  <c:v>16.5</c:v>
                </c:pt>
                <c:pt idx="2">
                  <c:v>29.799999999999997</c:v>
                </c:pt>
              </c:numCache>
            </c:numRef>
          </c:val>
        </c:ser>
        <c:ser>
          <c:idx val="3"/>
          <c:order val="3"/>
          <c:tx>
            <c:strRef>
              <c:f>Лист1!$B$37</c:f>
              <c:strCache>
                <c:ptCount val="1"/>
                <c:pt idx="0">
                  <c:v>Я стараюсь обходиться без новых технологий.</c:v>
                </c:pt>
              </c:strCache>
            </c:strRef>
          </c:tx>
          <c:spPr>
            <a:solidFill>
              <a:sysClr val="window" lastClr="FFFFFF"/>
            </a:solidFill>
            <a:ln>
              <a:solidFill>
                <a:schemeClr val="tx1"/>
              </a:solidFill>
            </a:ln>
            <a:effectLst/>
          </c:spPr>
          <c:invertIfNegative val="0"/>
          <c:dLbls>
            <c:dLbl>
              <c:idx val="0"/>
              <c:layout>
                <c:manualLayout>
                  <c:x val="0"/>
                  <c:y val="9.7872931172859584E-2"/>
                </c:manualLayout>
              </c:layout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0" u="none" strike="noStrike" kern="1200" baseline="0">
                    <a:solidFill>
                      <a:schemeClr val="tx1"/>
                    </a:solidFill>
                    <a:latin typeface="Times New Roman" panose="02020603050405020304" pitchFamily="18" charset="0"/>
                    <a:ea typeface="+mn-ea"/>
                    <a:cs typeface="+mn-cs"/>
                  </a:defRPr>
                </a:pPr>
                <a:endParaRPr lang="ru-RU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Лист1!$C$33:$E$33</c:f>
              <c:strCache>
                <c:ptCount val="3"/>
                <c:pt idx="0">
                  <c:v>до 31 года включительно</c:v>
                </c:pt>
                <c:pt idx="1">
                  <c:v>32-55 лет</c:v>
                </c:pt>
                <c:pt idx="2">
                  <c:v>56 и старше</c:v>
                </c:pt>
              </c:strCache>
            </c:strRef>
          </c:cat>
          <c:val>
            <c:numRef>
              <c:f>Лист1!$C$37:$E$37</c:f>
              <c:numCache>
                <c:formatCode>General</c:formatCode>
                <c:ptCount val="3"/>
                <c:pt idx="0">
                  <c:v>0.89999999999999991</c:v>
                </c:pt>
                <c:pt idx="1">
                  <c:v>3.5999999999999996</c:v>
                </c:pt>
                <c:pt idx="2">
                  <c:v>31.6</c:v>
                </c:pt>
              </c:numCache>
            </c:numRef>
          </c:val>
        </c:ser>
        <c:ser>
          <c:idx val="4"/>
          <c:order val="4"/>
          <c:tx>
            <c:strRef>
              <c:f>Лист1!$B$38</c:f>
              <c:strCache>
                <c:ptCount val="1"/>
                <c:pt idx="0">
                  <c:v>Затрудняюсь ответить</c:v>
                </c:pt>
              </c:strCache>
            </c:strRef>
          </c:tx>
          <c:spPr>
            <a:pattFill prst="pct10">
              <a:fgClr>
                <a:schemeClr val="tx1"/>
              </a:fgClr>
              <a:bgClr>
                <a:schemeClr val="bg1"/>
              </a:bgClr>
            </a:pattFill>
            <a:ln>
              <a:solidFill>
                <a:schemeClr val="tx1"/>
              </a:solidFill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0" u="none" strike="noStrike" kern="1200" baseline="0">
                    <a:solidFill>
                      <a:schemeClr val="tx1"/>
                    </a:solidFill>
                    <a:latin typeface="Times New Roman" panose="02020603050405020304" pitchFamily="18" charset="0"/>
                    <a:ea typeface="+mn-ea"/>
                    <a:cs typeface="+mn-cs"/>
                  </a:defRPr>
                </a:pPr>
                <a:endParaRPr lang="ru-RU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Лист1!$C$33:$E$33</c:f>
              <c:strCache>
                <c:ptCount val="3"/>
                <c:pt idx="0">
                  <c:v>до 31 года включительно</c:v>
                </c:pt>
                <c:pt idx="1">
                  <c:v>32-55 лет</c:v>
                </c:pt>
                <c:pt idx="2">
                  <c:v>56 и старше</c:v>
                </c:pt>
              </c:strCache>
            </c:strRef>
          </c:cat>
          <c:val>
            <c:numRef>
              <c:f>Лист1!$C$38:$E$38</c:f>
              <c:numCache>
                <c:formatCode>General</c:formatCode>
                <c:ptCount val="3"/>
                <c:pt idx="0">
                  <c:v>4.3</c:v>
                </c:pt>
                <c:pt idx="1">
                  <c:v>6.3</c:v>
                </c:pt>
                <c:pt idx="2">
                  <c:v>15.7</c:v>
                </c:pt>
              </c:numCache>
            </c:numRef>
          </c:val>
        </c:ser>
        <c:dLbls>
          <c:dLblPos val="ctr"/>
          <c:showLegendKey val="0"/>
          <c:showVal val="1"/>
          <c:showCatName val="0"/>
          <c:showSerName val="0"/>
          <c:showPercent val="0"/>
          <c:showBubbleSize val="0"/>
        </c:dLbls>
        <c:gapWidth val="42"/>
        <c:overlap val="100"/>
        <c:axId val="327154976"/>
        <c:axId val="327156096"/>
      </c:barChart>
      <c:catAx>
        <c:axId val="327154976"/>
        <c:scaling>
          <c:orientation val="maxMin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000" b="0" i="0" u="none" strike="noStrike" kern="1200" baseline="0">
                <a:solidFill>
                  <a:schemeClr val="tx1"/>
                </a:solidFill>
                <a:latin typeface="Times New Roman" panose="02020603050405020304" pitchFamily="18" charset="0"/>
                <a:ea typeface="+mn-ea"/>
                <a:cs typeface="+mn-cs"/>
              </a:defRPr>
            </a:pPr>
            <a:endParaRPr lang="ru-RU"/>
          </a:p>
        </c:txPr>
        <c:crossAx val="327156096"/>
        <c:crosses val="autoZero"/>
        <c:auto val="1"/>
        <c:lblAlgn val="ctr"/>
        <c:lblOffset val="100"/>
        <c:noMultiLvlLbl val="0"/>
      </c:catAx>
      <c:valAx>
        <c:axId val="327156096"/>
        <c:scaling>
          <c:orientation val="minMax"/>
        </c:scaling>
        <c:delete val="1"/>
        <c:axPos val="t"/>
        <c:majorGridlines>
          <c:spPr>
            <a:ln w="9525" cap="flat" cmpd="sng" algn="ctr">
              <a:solidFill>
                <a:schemeClr val="bg1">
                  <a:lumMod val="95000"/>
                </a:schemeClr>
              </a:solidFill>
              <a:round/>
            </a:ln>
            <a:effectLst/>
          </c:spPr>
        </c:majorGridlines>
        <c:numFmt formatCode="0%" sourceLinked="1"/>
        <c:majorTickMark val="none"/>
        <c:minorTickMark val="none"/>
        <c:tickLblPos val="nextTo"/>
        <c:crossAx val="327154976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1.77006420910189E-2"/>
          <c:y val="0.59298670310839241"/>
          <c:w val="0.74314542862073041"/>
          <c:h val="0.40701329689160759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050" b="0" i="0" u="none" strike="noStrike" kern="1200" baseline="0">
              <a:solidFill>
                <a:schemeClr val="tx1"/>
              </a:solidFill>
              <a:latin typeface="Times New Roman" panose="02020603050405020304" pitchFamily="18" charset="0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baseline="0">
          <a:solidFill>
            <a:schemeClr val="tx1"/>
          </a:solidFill>
          <a:latin typeface="Times New Roman" panose="02020603050405020304" pitchFamily="18" charset="0"/>
        </a:defRPr>
      </a:pPr>
      <a:endParaRPr lang="ru-RU"/>
    </a:p>
  </c:txPr>
  <c:externalData r:id="rId4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>
        <c:manualLayout>
          <c:layoutTarget val="inner"/>
          <c:xMode val="edge"/>
          <c:yMode val="edge"/>
          <c:x val="0.51224141680462321"/>
          <c:y val="3.9586217616443806E-2"/>
          <c:w val="0.47175262600336959"/>
          <c:h val="0.90527877318227146"/>
        </c:manualLayout>
      </c:layout>
      <c:barChart>
        <c:barDir val="bar"/>
        <c:grouping val="stacked"/>
        <c:varyColors val="0"/>
        <c:ser>
          <c:idx val="0"/>
          <c:order val="0"/>
          <c:tx>
            <c:strRef>
              <c:f>'2019_66_для чего'!$C$43</c:f>
              <c:strCache>
                <c:ptCount val="1"/>
                <c:pt idx="0">
                  <c:v>С использованием интернет-ресурсов</c:v>
                </c:pt>
              </c:strCache>
            </c:strRef>
          </c:tx>
          <c:spPr>
            <a:solidFill>
              <a:schemeClr val="tx1">
                <a:lumMod val="65000"/>
                <a:lumOff val="35000"/>
              </a:schemeClr>
            </a:solidFill>
            <a:ln>
              <a:solidFill>
                <a:schemeClr val="tx1"/>
              </a:solidFill>
            </a:ln>
            <a:effectLst/>
          </c:spPr>
          <c:invertIfNegative val="0"/>
          <c:dLbls>
            <c:dLbl>
              <c:idx val="5"/>
              <c:layout>
                <c:manualLayout>
                  <c:x val="-6.6722251030123256E-3"/>
                  <c:y val="0"/>
                </c:manualLayout>
              </c:layout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dLbl>
              <c:idx val="6"/>
              <c:layout>
                <c:manualLayout>
                  <c:x val="-2.2240750343375235E-3"/>
                  <c:y val="-7.1969110918800551E-3"/>
                </c:manualLayout>
              </c:layout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dLbl>
              <c:idx val="7"/>
              <c:layout>
                <c:manualLayout>
                  <c:x val="-2.0016675309036978E-2"/>
                  <c:y val="3.9586411388563489E-2"/>
                </c:manualLayout>
              </c:layout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anchor="ctr" anchorCtr="1"/>
                <a:lstStyle/>
                <a:p>
                  <a:pPr>
                    <a:defRPr sz="1100" b="1" i="0" u="none" strike="noStrike" kern="1200" baseline="0">
                      <a:solidFill>
                        <a:schemeClr val="tx1"/>
                      </a:solidFill>
                      <a:latin typeface="Times New Roman" panose="02020603050405020304" pitchFamily="18" charset="0"/>
                      <a:ea typeface="+mn-ea"/>
                      <a:cs typeface="+mn-cs"/>
                    </a:defRPr>
                  </a:pPr>
                  <a:endParaRPr lang="ru-RU"/>
                </a:p>
              </c:txPr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1100" b="1" i="0" u="none" strike="noStrike" kern="1200" baseline="0">
                    <a:solidFill>
                      <a:schemeClr val="bg1"/>
                    </a:solidFill>
                    <a:latin typeface="Times New Roman" panose="02020603050405020304" pitchFamily="18" charset="0"/>
                    <a:ea typeface="+mn-ea"/>
                    <a:cs typeface="+mn-cs"/>
                  </a:defRPr>
                </a:pPr>
                <a:endParaRPr lang="ru-RU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'2019_66_для чего'!$B$44:$B$53</c:f>
              <c:strCache>
                <c:ptCount val="10"/>
                <c:pt idx="0">
                  <c:v>Матерью</c:v>
                </c:pt>
                <c:pt idx="1">
                  <c:v>Друзьями</c:v>
                </c:pt>
                <c:pt idx="2">
                  <c:v>Отцом</c:v>
                </c:pt>
                <c:pt idx="3">
                  <c:v>Приятелями, знакомыми</c:v>
                </c:pt>
                <c:pt idx="4">
                  <c:v>Родными сестрами, братьями</c:v>
                </c:pt>
                <c:pt idx="5">
                  <c:v>Супругом, супругой </c:v>
                </c:pt>
                <c:pt idx="6">
                  <c:v>Незнакомыми</c:v>
                </c:pt>
                <c:pt idx="7">
                  <c:v>Бабушками, дедушками</c:v>
                </c:pt>
                <c:pt idx="8">
                  <c:v>Двоюродными, троюродными братьями и сестрами</c:v>
                </c:pt>
                <c:pt idx="9">
                  <c:v>Другими родственниками</c:v>
                </c:pt>
              </c:strCache>
            </c:strRef>
          </c:cat>
          <c:val>
            <c:numRef>
              <c:f>'2019_66_для чего'!$C$44:$C$53</c:f>
              <c:numCache>
                <c:formatCode>0.0</c:formatCode>
                <c:ptCount val="10"/>
                <c:pt idx="0">
                  <c:v>26.700000000000003</c:v>
                </c:pt>
                <c:pt idx="1">
                  <c:v>70.599999999999994</c:v>
                </c:pt>
                <c:pt idx="2">
                  <c:v>20.3</c:v>
                </c:pt>
                <c:pt idx="3">
                  <c:v>62.4</c:v>
                </c:pt>
                <c:pt idx="4">
                  <c:v>42.699999999999996</c:v>
                </c:pt>
                <c:pt idx="5">
                  <c:v>14.000000000000002</c:v>
                </c:pt>
                <c:pt idx="6">
                  <c:v>30.599999999999998</c:v>
                </c:pt>
                <c:pt idx="7">
                  <c:v>6.3</c:v>
                </c:pt>
                <c:pt idx="8">
                  <c:v>68.8</c:v>
                </c:pt>
                <c:pt idx="9">
                  <c:v>55.800000000000004</c:v>
                </c:pt>
              </c:numCache>
            </c:numRef>
          </c:val>
        </c:ser>
        <c:ser>
          <c:idx val="1"/>
          <c:order val="1"/>
          <c:tx>
            <c:strRef>
              <c:f>'2019_66_для чего'!$D$43</c:f>
              <c:strCache>
                <c:ptCount val="1"/>
                <c:pt idx="0">
                  <c:v>По телефону</c:v>
                </c:pt>
              </c:strCache>
            </c:strRef>
          </c:tx>
          <c:spPr>
            <a:pattFill prst="pct20">
              <a:fgClr>
                <a:schemeClr val="tx1"/>
              </a:fgClr>
              <a:bgClr>
                <a:schemeClr val="bg1"/>
              </a:bgClr>
            </a:pattFill>
            <a:ln>
              <a:solidFill>
                <a:schemeClr val="tx1"/>
              </a:solidFill>
            </a:ln>
            <a:effectLst/>
          </c:spPr>
          <c:invertIfNegative val="0"/>
          <c:dLbls>
            <c:dLbl>
              <c:idx val="5"/>
              <c:layout>
                <c:manualLayout>
                  <c:x val="4.6205448263381826E-3"/>
                  <c:y val="-3.1647870500205121E-3"/>
                </c:manualLayout>
              </c:layout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dLbl>
              <c:idx val="6"/>
              <c:layout>
                <c:manualLayout>
                  <c:x val="2.8107416556895398E-3"/>
                  <c:y val="3.5339456236159215E-2"/>
                </c:manualLayout>
              </c:layout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1100" b="1" i="0" u="none" strike="noStrike" kern="1200" baseline="0">
                    <a:solidFill>
                      <a:schemeClr val="tx1"/>
                    </a:solidFill>
                    <a:latin typeface="Times New Roman" panose="02020603050405020304" pitchFamily="18" charset="0"/>
                    <a:ea typeface="+mn-ea"/>
                    <a:cs typeface="+mn-cs"/>
                  </a:defRPr>
                </a:pPr>
                <a:endParaRPr lang="ru-RU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'2019_66_для чего'!$B$44:$B$53</c:f>
              <c:strCache>
                <c:ptCount val="10"/>
                <c:pt idx="0">
                  <c:v>Матерью</c:v>
                </c:pt>
                <c:pt idx="1">
                  <c:v>Друзьями</c:v>
                </c:pt>
                <c:pt idx="2">
                  <c:v>Отцом</c:v>
                </c:pt>
                <c:pt idx="3">
                  <c:v>Приятелями, знакомыми</c:v>
                </c:pt>
                <c:pt idx="4">
                  <c:v>Родными сестрами, братьями</c:v>
                </c:pt>
                <c:pt idx="5">
                  <c:v>Супругом, супругой </c:v>
                </c:pt>
                <c:pt idx="6">
                  <c:v>Незнакомыми</c:v>
                </c:pt>
                <c:pt idx="7">
                  <c:v>Бабушками, дедушками</c:v>
                </c:pt>
                <c:pt idx="8">
                  <c:v>Двоюродными, троюродными братьями и сестрами</c:v>
                </c:pt>
                <c:pt idx="9">
                  <c:v>Другими родственниками</c:v>
                </c:pt>
              </c:strCache>
            </c:strRef>
          </c:cat>
          <c:val>
            <c:numRef>
              <c:f>'2019_66_для чего'!$D$44:$D$53</c:f>
              <c:numCache>
                <c:formatCode>0.0</c:formatCode>
                <c:ptCount val="10"/>
                <c:pt idx="0">
                  <c:v>68.100000000000009</c:v>
                </c:pt>
                <c:pt idx="1">
                  <c:v>72.8</c:v>
                </c:pt>
                <c:pt idx="2">
                  <c:v>56.899999999999991</c:v>
                </c:pt>
                <c:pt idx="3">
                  <c:v>54</c:v>
                </c:pt>
                <c:pt idx="4">
                  <c:v>54.900000000000006</c:v>
                </c:pt>
                <c:pt idx="5">
                  <c:v>17.299999999999997</c:v>
                </c:pt>
                <c:pt idx="6">
                  <c:v>12.3</c:v>
                </c:pt>
                <c:pt idx="7">
                  <c:v>54.6</c:v>
                </c:pt>
                <c:pt idx="8">
                  <c:v>56.8</c:v>
                </c:pt>
                <c:pt idx="9">
                  <c:v>58.199999999999996</c:v>
                </c:pt>
              </c:numCache>
            </c:numRef>
          </c:val>
        </c:ser>
        <c:ser>
          <c:idx val="2"/>
          <c:order val="2"/>
          <c:tx>
            <c:strRef>
              <c:f>'2019_66_для чего'!$E$43</c:f>
              <c:strCache>
                <c:ptCount val="1"/>
                <c:pt idx="0">
                  <c:v>Живое общение</c:v>
                </c:pt>
              </c:strCache>
            </c:strRef>
          </c:tx>
          <c:spPr>
            <a:solidFill>
              <a:sysClr val="window" lastClr="FFFFFF">
                <a:lumMod val="85000"/>
              </a:sysClr>
            </a:solidFill>
            <a:ln>
              <a:solidFill>
                <a:schemeClr val="tx1"/>
              </a:solidFill>
            </a:ln>
            <a:effectLst/>
          </c:spPr>
          <c:invertIfNegative val="0"/>
          <c:dLbls>
            <c:dLbl>
              <c:idx val="5"/>
              <c:layout>
                <c:manualLayout>
                  <c:x val="1.112037517168721E-2"/>
                  <c:y val="3.5993056417458909E-3"/>
                </c:manualLayout>
              </c:layout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1100" b="1" i="0" u="none" strike="noStrike" kern="1200" baseline="0">
                    <a:solidFill>
                      <a:schemeClr val="tx1"/>
                    </a:solidFill>
                    <a:latin typeface="Times New Roman" panose="02020603050405020304" pitchFamily="18" charset="0"/>
                    <a:ea typeface="+mn-ea"/>
                    <a:cs typeface="+mn-cs"/>
                  </a:defRPr>
                </a:pPr>
                <a:endParaRPr lang="ru-RU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'2019_66_для чего'!$B$44:$B$53</c:f>
              <c:strCache>
                <c:ptCount val="10"/>
                <c:pt idx="0">
                  <c:v>Матерью</c:v>
                </c:pt>
                <c:pt idx="1">
                  <c:v>Друзьями</c:v>
                </c:pt>
                <c:pt idx="2">
                  <c:v>Отцом</c:v>
                </c:pt>
                <c:pt idx="3">
                  <c:v>Приятелями, знакомыми</c:v>
                </c:pt>
                <c:pt idx="4">
                  <c:v>Родными сестрами, братьями</c:v>
                </c:pt>
                <c:pt idx="5">
                  <c:v>Супругом, супругой </c:v>
                </c:pt>
                <c:pt idx="6">
                  <c:v>Незнакомыми</c:v>
                </c:pt>
                <c:pt idx="7">
                  <c:v>Бабушками, дедушками</c:v>
                </c:pt>
                <c:pt idx="8">
                  <c:v>Двоюродными, троюродными братьями и сестрами</c:v>
                </c:pt>
                <c:pt idx="9">
                  <c:v>Другими родственниками</c:v>
                </c:pt>
              </c:strCache>
            </c:strRef>
          </c:cat>
          <c:val>
            <c:numRef>
              <c:f>'2019_66_для чего'!$E$44:$E$53</c:f>
              <c:numCache>
                <c:formatCode>0.0</c:formatCode>
                <c:ptCount val="10"/>
                <c:pt idx="0">
                  <c:v>85.1</c:v>
                </c:pt>
                <c:pt idx="1">
                  <c:v>81.899999999999991</c:v>
                </c:pt>
                <c:pt idx="2">
                  <c:v>70.7</c:v>
                </c:pt>
                <c:pt idx="3">
                  <c:v>66.5</c:v>
                </c:pt>
                <c:pt idx="4">
                  <c:v>55.300000000000004</c:v>
                </c:pt>
                <c:pt idx="5">
                  <c:v>32</c:v>
                </c:pt>
                <c:pt idx="6">
                  <c:v>40.699999999999996</c:v>
                </c:pt>
                <c:pt idx="7">
                  <c:v>54.1</c:v>
                </c:pt>
                <c:pt idx="8">
                  <c:v>46.1</c:v>
                </c:pt>
                <c:pt idx="9">
                  <c:v>47.5</c:v>
                </c:pt>
              </c:numCache>
            </c:numRef>
          </c:val>
        </c:ser>
        <c:dLbls>
          <c:dLblPos val="ctr"/>
          <c:showLegendKey val="0"/>
          <c:showVal val="1"/>
          <c:showCatName val="0"/>
          <c:showSerName val="0"/>
          <c:showPercent val="0"/>
          <c:showBubbleSize val="0"/>
        </c:dLbls>
        <c:gapWidth val="62"/>
        <c:overlap val="100"/>
        <c:axId val="176862976"/>
        <c:axId val="176863536"/>
      </c:barChart>
      <c:catAx>
        <c:axId val="176862976"/>
        <c:scaling>
          <c:orientation val="maxMin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100" b="0" i="0" u="none" strike="noStrike" kern="1200" baseline="0">
                <a:solidFill>
                  <a:schemeClr val="tx1"/>
                </a:solidFill>
                <a:latin typeface="Times New Roman" panose="02020603050405020304" pitchFamily="18" charset="0"/>
                <a:ea typeface="+mn-ea"/>
                <a:cs typeface="+mn-cs"/>
              </a:defRPr>
            </a:pPr>
            <a:endParaRPr lang="ru-RU"/>
          </a:p>
        </c:txPr>
        <c:crossAx val="176863536"/>
        <c:crosses val="autoZero"/>
        <c:auto val="1"/>
        <c:lblAlgn val="ctr"/>
        <c:lblOffset val="100"/>
        <c:noMultiLvlLbl val="0"/>
      </c:catAx>
      <c:valAx>
        <c:axId val="176863536"/>
        <c:scaling>
          <c:orientation val="minMax"/>
        </c:scaling>
        <c:delete val="1"/>
        <c:axPos val="t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.0" sourceLinked="1"/>
        <c:majorTickMark val="none"/>
        <c:minorTickMark val="none"/>
        <c:tickLblPos val="nextTo"/>
        <c:crossAx val="176862976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1.5562691221587684E-2"/>
          <c:y val="2.567863948513285E-2"/>
          <c:w val="0.28902410181089733"/>
          <c:h val="0.29784579819455598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100" b="0" i="0" u="none" strike="noStrike" kern="1200" baseline="0">
              <a:solidFill>
                <a:schemeClr val="tx1"/>
              </a:solidFill>
              <a:latin typeface="Times New Roman" panose="02020603050405020304" pitchFamily="18" charset="0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sz="1100" baseline="0">
          <a:solidFill>
            <a:schemeClr val="tx1"/>
          </a:solidFill>
          <a:latin typeface="Times New Roman" panose="02020603050405020304" pitchFamily="18" charset="0"/>
        </a:defRPr>
      </a:pPr>
      <a:endParaRPr lang="ru-RU"/>
    </a:p>
  </c:txPr>
  <c:externalData r:id="rId4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97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97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theme/themeOverride1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Стандартная">
    <a:majorFont>
      <a:latin typeface="Calibri Light" panose="020F0302020204030204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2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Стандартная">
    <a:majorFont>
      <a:latin typeface="Calibri Light" panose="020F0302020204030204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Name.XSL" StyleName="ГОСТ — сортировка по именам" Version="2003"/>
</file>

<file path=customXml/itemProps1.xml><?xml version="1.0" encoding="utf-8"?>
<ds:datastoreItem xmlns:ds="http://schemas.openxmlformats.org/officeDocument/2006/customXml" ds:itemID="{7E0A86AE-9899-43B9-905F-5435B775E3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1889</Words>
  <Characters>10772</Characters>
  <Application>Microsoft Office Word</Application>
  <DocSecurity>0</DocSecurity>
  <Lines>89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12636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User_Jobs</dc:creator>
  <cp:keywords/>
  <dc:description/>
  <cp:lastModifiedBy>User_Jobs</cp:lastModifiedBy>
  <cp:revision>2</cp:revision>
  <dcterms:created xsi:type="dcterms:W3CDTF">2021-03-26T14:56:00Z</dcterms:created>
  <dcterms:modified xsi:type="dcterms:W3CDTF">2021-03-26T14:56:00Z</dcterms:modified>
</cp:coreProperties>
</file>