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15" w:rsidRDefault="004C7849">
      <w:pPr>
        <w:spacing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Индекс УДК. 316.61 / ББК 60.6</w:t>
      </w:r>
    </w:p>
    <w:p w:rsidR="00FD2015" w:rsidRDefault="004C7849">
      <w:pPr>
        <w:spacing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Портняга Е.В., Чиркова Ю.В., Ядрышникова Н.Е.</w:t>
      </w:r>
    </w:p>
    <w:p w:rsidR="00FD2015" w:rsidRDefault="004C7849">
      <w:pPr>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Трудоустраиваемость выпускников вузов: современные условия в период пандемии</w:t>
      </w: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Аннотация: </w:t>
      </w:r>
      <w:r>
        <w:rPr>
          <w:rFonts w:ascii="Times New Roman" w:eastAsia="Times New Roman" w:hAnsi="Times New Roman" w:cs="Times New Roman"/>
          <w:i/>
          <w:sz w:val="24"/>
          <w:szCs w:val="24"/>
        </w:rPr>
        <w:t>Выпускники вузов как правило чаще чем другие категории населения сталкиваются с проблемами при поиске работы. В период пандемии проблема трудоустройства стала еще более острой: в новых постковидных условиях, начинающие специалисты столкнулись с ранее неизв</w:t>
      </w:r>
      <w:r>
        <w:rPr>
          <w:rFonts w:ascii="Times New Roman" w:eastAsia="Times New Roman" w:hAnsi="Times New Roman" w:cs="Times New Roman"/>
          <w:i/>
          <w:sz w:val="24"/>
          <w:szCs w:val="24"/>
        </w:rPr>
        <w:t>естными механизмами адаптации к современным реалиям в сфере образования, поиска работы.</w:t>
      </w:r>
    </w:p>
    <w:p w:rsidR="00FD2015" w:rsidRDefault="00FD2015">
      <w:pPr>
        <w:spacing w:after="0" w:line="240" w:lineRule="auto"/>
        <w:ind w:firstLine="709"/>
        <w:jc w:val="both"/>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Ключевые слова: </w:t>
      </w:r>
      <w:r>
        <w:rPr>
          <w:rFonts w:ascii="Times New Roman" w:eastAsia="Times New Roman" w:hAnsi="Times New Roman" w:cs="Times New Roman"/>
          <w:i/>
          <w:sz w:val="24"/>
          <w:szCs w:val="24"/>
        </w:rPr>
        <w:t>трудоустройство выпускников, пандемия, Covid-19, рынок труда.</w:t>
      </w:r>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выполнена при финансовой поддержке РФФИ, грант №19-29-07131 </w:t>
      </w:r>
    </w:p>
    <w:p w:rsidR="00FD2015" w:rsidRDefault="00FD2015">
      <w:pPr>
        <w:spacing w:after="0" w:line="240" w:lineRule="auto"/>
        <w:ind w:firstLine="709"/>
        <w:jc w:val="both"/>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Выпускники высших у</w:t>
      </w:r>
      <w:r>
        <w:rPr>
          <w:rFonts w:ascii="Times New Roman" w:eastAsia="Times New Roman" w:hAnsi="Times New Roman" w:cs="Times New Roman"/>
          <w:sz w:val="24"/>
          <w:szCs w:val="24"/>
        </w:rPr>
        <w:t>чебных заведений относятся к числу уязвимых категорий населения, которые, как правило, сталкиваются с проблемами при поиске работы после окончания учебных учреждений. Пандемия коронавирусной инфекции создала экстремальные условия для всех сфер жизни общест</w:t>
      </w:r>
      <w:r>
        <w:rPr>
          <w:rFonts w:ascii="Times New Roman" w:eastAsia="Times New Roman" w:hAnsi="Times New Roman" w:cs="Times New Roman"/>
          <w:sz w:val="24"/>
          <w:szCs w:val="24"/>
        </w:rPr>
        <w:t xml:space="preserve">ва, в том числе оказав влияние и на рынок труда, сделав проблему трудоустройства выпускников вузов в период пандемии еще более актуальной: внедрение ограничительных мер в апреле 2020 года в связи с ростом заболеваемости COVID-19 привел к сокращению на 15% </w:t>
      </w:r>
      <w:r>
        <w:rPr>
          <w:rFonts w:ascii="Times New Roman" w:eastAsia="Times New Roman" w:hAnsi="Times New Roman" w:cs="Times New Roman"/>
          <w:sz w:val="24"/>
          <w:szCs w:val="24"/>
        </w:rPr>
        <w:t>по сравнению с предыдущим годом числа вакансий работодателей, рассматривающих в качестве потенциальных сотрудников начинающих специалистов и студентов [1].</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исследования – показать субъективные и объективные барьеры, препятствующие успешному трудоустро</w:t>
      </w:r>
      <w:r>
        <w:rPr>
          <w:rFonts w:ascii="Times New Roman" w:eastAsia="Times New Roman" w:hAnsi="Times New Roman" w:cs="Times New Roman"/>
          <w:sz w:val="24"/>
          <w:szCs w:val="24"/>
        </w:rPr>
        <w:t>йству и дальнейшему развитию карьеры выпускников высших учебных учреждений на рынке труда в экстремальных социально-экономических условиях, обусловленных пандемией коронавируса.</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Новизна исследования заключается в самих условиях, обусловленных пандемией, ко</w:t>
      </w:r>
      <w:r>
        <w:rPr>
          <w:rFonts w:ascii="Times New Roman" w:eastAsia="Times New Roman" w:hAnsi="Times New Roman" w:cs="Times New Roman"/>
          <w:sz w:val="24"/>
          <w:szCs w:val="24"/>
        </w:rPr>
        <w:t>торые изменили в настоящий момент рынок труда.</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Спрос работодателей на начинающих свою профессиональную карьеру специалистов является неравномерным: в периоды пика роста заболеваемости коронавирусной инфекции (февраль-апрель и сентябрь-декабрь 2020 года) чи</w:t>
      </w:r>
      <w:r>
        <w:rPr>
          <w:rFonts w:ascii="Times New Roman" w:eastAsia="Times New Roman" w:hAnsi="Times New Roman" w:cs="Times New Roman"/>
          <w:sz w:val="24"/>
          <w:szCs w:val="24"/>
        </w:rPr>
        <w:t>сло предлагаемых вакансий разительно снижалось (рисунок 1).</w:t>
      </w:r>
      <w:r>
        <w:rPr>
          <w:noProof/>
        </w:rPr>
        <w:drawing>
          <wp:anchor distT="0" distB="0" distL="114300" distR="114300" simplePos="0" relativeHeight="251658240" behindDoc="0" locked="0" layoutInCell="1" hidden="0" allowOverlap="1">
            <wp:simplePos x="0" y="0"/>
            <wp:positionH relativeFrom="column">
              <wp:posOffset>545465</wp:posOffset>
            </wp:positionH>
            <wp:positionV relativeFrom="paragraph">
              <wp:posOffset>853439</wp:posOffset>
            </wp:positionV>
            <wp:extent cx="5029200" cy="2275205"/>
            <wp:effectExtent l="0" t="0" r="0" b="0"/>
            <wp:wrapTopAndBottom distT="0" dist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FD2015" w:rsidRDefault="004C78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1 – Динамика вакансий на рынке труда для начинающих специалистов и студентов в период с января 2020 по февраль 2021 гг. [3]</w:t>
      </w:r>
    </w:p>
    <w:p w:rsidR="00FD2015" w:rsidRDefault="00FD2015">
      <w:pPr>
        <w:spacing w:after="0" w:line="240" w:lineRule="auto"/>
        <w:jc w:val="center"/>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Аналогично изменению числу предлагаемых вакансий, менялась и д</w:t>
      </w:r>
      <w:r>
        <w:rPr>
          <w:rFonts w:ascii="Times New Roman" w:eastAsia="Times New Roman" w:hAnsi="Times New Roman" w:cs="Times New Roman"/>
          <w:sz w:val="24"/>
          <w:szCs w:val="24"/>
        </w:rPr>
        <w:t>инамика числа размещенных резюме (рисунок 2).</w:t>
      </w:r>
    </w:p>
    <w:p w:rsidR="00FD2015" w:rsidRDefault="004C7849">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625475</wp:posOffset>
            </wp:positionH>
            <wp:positionV relativeFrom="paragraph">
              <wp:posOffset>222</wp:posOffset>
            </wp:positionV>
            <wp:extent cx="4869180" cy="2434590"/>
            <wp:effectExtent l="0" t="0" r="0" b="0"/>
            <wp:wrapTopAndBottom distT="0" dist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D2015" w:rsidRDefault="004C78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2 – Динамика резюме начинающих специалистов и студентов в период с января 2020 по февраль 2021 гг. [4]</w:t>
      </w:r>
    </w:p>
    <w:p w:rsidR="00FD2015" w:rsidRDefault="00FD2015">
      <w:pPr>
        <w:spacing w:after="0" w:line="240" w:lineRule="auto"/>
        <w:ind w:firstLine="709"/>
        <w:jc w:val="both"/>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большей степени пандемия повлияла на выпускников бакалавриата, которые были вынуждены завершать обучение в онлайн-формате: практики, которые подразумевали присутствие на производстве, общение с потенциальными работодателями и коллегами, проходили в перио</w:t>
      </w:r>
      <w:r>
        <w:rPr>
          <w:rFonts w:ascii="Times New Roman" w:eastAsia="Times New Roman" w:hAnsi="Times New Roman" w:cs="Times New Roman"/>
          <w:sz w:val="24"/>
          <w:szCs w:val="24"/>
        </w:rPr>
        <w:t xml:space="preserve">д самоизоляции удаленно, из-за чего студенты не имели возможности приобрести нужные связи, навыки и компетенции. </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опросов выпускников подтверждают, что при поиске работы в текущей ситуации они сталкиваются с трудностями, в том числе, например, п</w:t>
      </w:r>
      <w:r>
        <w:rPr>
          <w:rFonts w:ascii="Times New Roman" w:eastAsia="Times New Roman" w:hAnsi="Times New Roman" w:cs="Times New Roman"/>
          <w:sz w:val="24"/>
          <w:szCs w:val="24"/>
        </w:rPr>
        <w:t>ри проведении собеседований:</w:t>
      </w: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«Ищу работу в журналистской сфере. Из-за того, что редакции работали на удаленке, было трудно устроить собеседования. Многие говорили, что перезвонят, когда можно будет организовывать личные встречи, но, конечно, мало кто перезванивал. Некоторые предлагали</w:t>
      </w:r>
      <w:r>
        <w:rPr>
          <w:rFonts w:ascii="Times New Roman" w:eastAsia="Times New Roman" w:hAnsi="Times New Roman" w:cs="Times New Roman"/>
          <w:i/>
          <w:sz w:val="24"/>
          <w:szCs w:val="24"/>
        </w:rPr>
        <w:t xml:space="preserve"> видео-звонки, но здесь были технические проблемы: либо приложения не работали, либо со связью что-то не то».</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работодатели в период пандемии не были заинтересованы в обучении новых кадров и не имели возможности расширить численность персонала:</w:t>
      </w: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«Хочу </w:t>
      </w:r>
      <w:r>
        <w:rPr>
          <w:rFonts w:ascii="Times New Roman" w:eastAsia="Times New Roman" w:hAnsi="Times New Roman" w:cs="Times New Roman"/>
          <w:i/>
          <w:sz w:val="24"/>
          <w:szCs w:val="24"/>
        </w:rPr>
        <w:t>писать статьи, а издания сейчас не берутся обучать, потому что в офисах никого нет. Говорят, что на удаленке невозможно объяснить это. Да и во время пандемии никого не увольняли — мест нет. В итоге денег нет, самостоятельности нет».</w:t>
      </w: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«Очень долго решали, пр</w:t>
      </w:r>
      <w:r>
        <w:rPr>
          <w:rFonts w:ascii="Times New Roman" w:eastAsia="Times New Roman" w:hAnsi="Times New Roman" w:cs="Times New Roman"/>
          <w:i/>
          <w:sz w:val="24"/>
          <w:szCs w:val="24"/>
        </w:rPr>
        <w:t>инять или нет, так как из-за пандемии нельзя было нанимать и увольнять людей — в итоге пришлось ждать два месяца. Вуз особой поддержки не оказывал. Предлагал только мой научный руководитель работать техником в цеху, но я хотел по специальности попробовать»</w:t>
      </w:r>
      <w:r>
        <w:rPr>
          <w:rFonts w:ascii="Times New Roman" w:eastAsia="Times New Roman" w:hAnsi="Times New Roman" w:cs="Times New Roman"/>
          <w:i/>
          <w:sz w:val="24"/>
          <w:szCs w:val="24"/>
        </w:rPr>
        <w:t xml:space="preserve"> [6].</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Пандемия усугубила также и другие существующие трудности выпускников, связанные с поиском работы. Проблемы, препятствующие первичному трудоустройству молодых специалистов, условно можно подразделить на три категории (рисунок 3).</w:t>
      </w:r>
      <w:r>
        <w:rPr>
          <w:noProof/>
        </w:rPr>
        <mc:AlternateContent>
          <mc:Choice Requires="wpg">
            <w:drawing>
              <wp:anchor distT="0" distB="0" distL="114300" distR="114300" simplePos="0" relativeHeight="251660288" behindDoc="0" locked="0" layoutInCell="1" hidden="0" allowOverlap="1">
                <wp:simplePos x="0" y="0"/>
                <wp:positionH relativeFrom="column">
                  <wp:posOffset>304800</wp:posOffset>
                </wp:positionH>
                <wp:positionV relativeFrom="paragraph">
                  <wp:posOffset>647700</wp:posOffset>
                </wp:positionV>
                <wp:extent cx="5486400" cy="1350010"/>
                <wp:effectExtent l="0" t="0" r="0" b="0"/>
                <wp:wrapTopAndBottom distT="0" distB="0"/>
                <wp:docPr id="7" name="Группа 7"/>
                <wp:cNvGraphicFramePr/>
                <a:graphic xmlns:a="http://schemas.openxmlformats.org/drawingml/2006/main">
                  <a:graphicData uri="http://schemas.microsoft.com/office/word/2010/wordprocessingGroup">
                    <wpg:wgp>
                      <wpg:cNvGrpSpPr/>
                      <wpg:grpSpPr>
                        <a:xfrm>
                          <a:off x="0" y="0"/>
                          <a:ext cx="5486400" cy="1350010"/>
                          <a:chOff x="0" y="0"/>
                          <a:chExt cx="5486400" cy="1350000"/>
                        </a:xfrm>
                      </wpg:grpSpPr>
                      <wpg:grpSp>
                        <wpg:cNvPr id="1" name="Группа 1"/>
                        <wpg:cNvGrpSpPr/>
                        <wpg:grpSpPr>
                          <a:xfrm>
                            <a:off x="0" y="0"/>
                            <a:ext cx="5486400" cy="1350000"/>
                            <a:chOff x="0" y="0"/>
                            <a:chExt cx="5486400" cy="1350000"/>
                          </a:xfrm>
                        </wpg:grpSpPr>
                        <wps:wsp>
                          <wps:cNvPr id="2" name="Прямоугольник 2"/>
                          <wps:cNvSpPr/>
                          <wps:spPr>
                            <a:xfrm>
                              <a:off x="0" y="0"/>
                              <a:ext cx="5486400" cy="1350000"/>
                            </a:xfrm>
                            <a:prstGeom prst="rect">
                              <a:avLst/>
                            </a:prstGeom>
                            <a:noFill/>
                            <a:ln>
                              <a:noFill/>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3" name="Шеврон 3"/>
                          <wps:cNvSpPr/>
                          <wps:spPr>
                            <a:xfrm rot="5400000">
                              <a:off x="-91668" y="92478"/>
                              <a:ext cx="611125" cy="427788"/>
                            </a:xfrm>
                            <a:prstGeom prst="chevron">
                              <a:avLst>
                                <a:gd name="adj" fmla="val 50000"/>
                              </a:avLst>
                            </a:prstGeom>
                            <a:solidFill>
                              <a:schemeClr val="lt1"/>
                            </a:solidFill>
                            <a:ln w="12700" cap="flat" cmpd="sng">
                              <a:solidFill>
                                <a:srgbClr val="528CBE"/>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4" name="Надпись 4"/>
                          <wps:cNvSpPr txBox="1"/>
                          <wps:spPr>
                            <a:xfrm>
                              <a:off x="1" y="214703"/>
                              <a:ext cx="427788" cy="183337"/>
                            </a:xfrm>
                            <a:prstGeom prst="rect">
                              <a:avLst/>
                            </a:prstGeom>
                            <a:noFill/>
                            <a:ln>
                              <a:noFill/>
                            </a:ln>
                          </wps:spPr>
                          <wps:txbx>
                            <w:txbxContent>
                              <w:p w:rsidR="00FD2015" w:rsidRDefault="004C7849">
                                <w:pPr>
                                  <w:spacing w:after="0" w:line="215" w:lineRule="auto"/>
                                  <w:jc w:val="center"/>
                                  <w:textDirection w:val="btLr"/>
                                </w:pPr>
                                <w:r>
                                  <w:rPr>
                                    <w:rFonts w:ascii="Times New Roman" w:eastAsia="Times New Roman" w:hAnsi="Times New Roman" w:cs="Times New Roman"/>
                                    <w:color w:val="000000"/>
                                    <w:sz w:val="28"/>
                                  </w:rPr>
                                  <w:t>1</w:t>
                                </w:r>
                              </w:p>
                            </w:txbxContent>
                          </wps:txbx>
                          <wps:bodyPr spcFirstLastPara="1" wrap="square" lIns="8875" tIns="8875" rIns="8875" bIns="8875" anchor="ctr" anchorCtr="0">
                            <a:noAutofit/>
                          </wps:bodyPr>
                        </wps:wsp>
                        <wps:wsp>
                          <wps:cNvPr id="8" name="Прямоугольник с двумя скругленными соседними углами 8"/>
                          <wps:cNvSpPr/>
                          <wps:spPr>
                            <a:xfrm rot="5400000">
                              <a:off x="2758373" y="-2329776"/>
                              <a:ext cx="397440" cy="5058611"/>
                            </a:xfrm>
                            <a:prstGeom prst="round2SameRect">
                              <a:avLst>
                                <a:gd name="adj1" fmla="val 16667"/>
                                <a:gd name="adj2" fmla="val 0"/>
                              </a:avLst>
                            </a:prstGeom>
                            <a:solidFill>
                              <a:srgbClr val="CFDEEF">
                                <a:alpha val="89803"/>
                              </a:srgbClr>
                            </a:solidFill>
                            <a:ln w="12700" cap="flat" cmpd="sng">
                              <a:solidFill>
                                <a:srgbClr val="599BD5"/>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9" name="Надпись 9"/>
                          <wps:cNvSpPr txBox="1"/>
                          <wps:spPr>
                            <a:xfrm>
                              <a:off x="427788" y="20210"/>
                              <a:ext cx="5039210" cy="358638"/>
                            </a:xfrm>
                            <a:prstGeom prst="rect">
                              <a:avLst/>
                            </a:prstGeom>
                            <a:noFill/>
                            <a:ln>
                              <a:noFill/>
                            </a:ln>
                          </wps:spPr>
                          <wps:txbx>
                            <w:txbxContent>
                              <w:p w:rsidR="00FD2015" w:rsidRDefault="004C7849">
                                <w:pPr>
                                  <w:spacing w:after="0" w:line="215" w:lineRule="auto"/>
                                  <w:ind w:left="180" w:firstLine="140"/>
                                  <w:textDirection w:val="btLr"/>
                                </w:pPr>
                                <w:r>
                                  <w:rPr>
                                    <w:rFonts w:ascii="Times New Roman" w:eastAsia="Times New Roman" w:hAnsi="Times New Roman" w:cs="Times New Roman"/>
                                    <w:color w:val="000000"/>
                                    <w:sz w:val="28"/>
                                  </w:rPr>
                                  <w:t>Личные (субъективные) причины</w:t>
                                </w:r>
                              </w:p>
                            </w:txbxContent>
                          </wps:txbx>
                          <wps:bodyPr spcFirstLastPara="1" wrap="square" lIns="99550" tIns="8875" rIns="8875" bIns="8875" anchor="ctr" anchorCtr="0">
                            <a:noAutofit/>
                          </wps:bodyPr>
                        </wps:wsp>
                        <wps:wsp>
                          <wps:cNvPr id="10" name="Шеврон 10"/>
                          <wps:cNvSpPr/>
                          <wps:spPr>
                            <a:xfrm rot="5400000">
                              <a:off x="-91668" y="461110"/>
                              <a:ext cx="611125" cy="427788"/>
                            </a:xfrm>
                            <a:prstGeom prst="chevron">
                              <a:avLst>
                                <a:gd name="adj" fmla="val 50000"/>
                              </a:avLst>
                            </a:prstGeom>
                            <a:solidFill>
                              <a:schemeClr val="lt1"/>
                            </a:solidFill>
                            <a:ln w="12700" cap="flat" cmpd="sng">
                              <a:solidFill>
                                <a:srgbClr val="528CBE"/>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11" name="Надпись 11"/>
                          <wps:cNvSpPr txBox="1"/>
                          <wps:spPr>
                            <a:xfrm>
                              <a:off x="1" y="583335"/>
                              <a:ext cx="427788" cy="183337"/>
                            </a:xfrm>
                            <a:prstGeom prst="rect">
                              <a:avLst/>
                            </a:prstGeom>
                            <a:noFill/>
                            <a:ln>
                              <a:noFill/>
                            </a:ln>
                          </wps:spPr>
                          <wps:txbx>
                            <w:txbxContent>
                              <w:p w:rsidR="00FD2015" w:rsidRDefault="004C7849">
                                <w:pPr>
                                  <w:spacing w:after="0" w:line="215" w:lineRule="auto"/>
                                  <w:jc w:val="center"/>
                                  <w:textDirection w:val="btLr"/>
                                </w:pPr>
                                <w:r>
                                  <w:rPr>
                                    <w:rFonts w:ascii="Times New Roman" w:eastAsia="Times New Roman" w:hAnsi="Times New Roman" w:cs="Times New Roman"/>
                                    <w:color w:val="000000"/>
                                    <w:sz w:val="28"/>
                                  </w:rPr>
                                  <w:t>2</w:t>
                                </w:r>
                              </w:p>
                            </w:txbxContent>
                          </wps:txbx>
                          <wps:bodyPr spcFirstLastPara="1" wrap="square" lIns="8875" tIns="8875" rIns="8875" bIns="8875" anchor="ctr" anchorCtr="0">
                            <a:noAutofit/>
                          </wps:bodyPr>
                        </wps:wsp>
                        <wps:wsp>
                          <wps:cNvPr id="12" name="Прямоугольник с двумя скругленными соседними углами 12"/>
                          <wps:cNvSpPr/>
                          <wps:spPr>
                            <a:xfrm rot="5400000">
                              <a:off x="2758478" y="-1961247"/>
                              <a:ext cx="397231" cy="5058611"/>
                            </a:xfrm>
                            <a:prstGeom prst="round2SameRect">
                              <a:avLst>
                                <a:gd name="adj1" fmla="val 16667"/>
                                <a:gd name="adj2" fmla="val 0"/>
                              </a:avLst>
                            </a:prstGeom>
                            <a:solidFill>
                              <a:srgbClr val="CFDEEF">
                                <a:alpha val="89803"/>
                              </a:srgbClr>
                            </a:solidFill>
                            <a:ln w="12700" cap="flat" cmpd="sng">
                              <a:solidFill>
                                <a:srgbClr val="599BD5"/>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13" name="Надпись 13"/>
                          <wps:cNvSpPr txBox="1"/>
                          <wps:spPr>
                            <a:xfrm>
                              <a:off x="427789" y="388833"/>
                              <a:ext cx="5039220" cy="358449"/>
                            </a:xfrm>
                            <a:prstGeom prst="rect">
                              <a:avLst/>
                            </a:prstGeom>
                            <a:noFill/>
                            <a:ln>
                              <a:noFill/>
                            </a:ln>
                          </wps:spPr>
                          <wps:txbx>
                            <w:txbxContent>
                              <w:p w:rsidR="00FD2015" w:rsidRDefault="004C7849">
                                <w:pPr>
                                  <w:spacing w:after="0" w:line="215" w:lineRule="auto"/>
                                  <w:ind w:left="180" w:firstLine="140"/>
                                  <w:textDirection w:val="btLr"/>
                                </w:pPr>
                                <w:r>
                                  <w:rPr>
                                    <w:rFonts w:ascii="Times New Roman" w:eastAsia="Times New Roman" w:hAnsi="Times New Roman" w:cs="Times New Roman"/>
                                    <w:color w:val="000000"/>
                                    <w:sz w:val="28"/>
                                  </w:rPr>
                                  <w:t>Реалии рынка труда</w:t>
                                </w:r>
                              </w:p>
                            </w:txbxContent>
                          </wps:txbx>
                          <wps:bodyPr spcFirstLastPara="1" wrap="square" lIns="99550" tIns="8875" rIns="8875" bIns="8875" anchor="ctr" anchorCtr="0">
                            <a:noAutofit/>
                          </wps:bodyPr>
                        </wps:wsp>
                        <wps:wsp>
                          <wps:cNvPr id="14" name="Шеврон 14"/>
                          <wps:cNvSpPr/>
                          <wps:spPr>
                            <a:xfrm rot="5400000">
                              <a:off x="-91668" y="829743"/>
                              <a:ext cx="611125" cy="427788"/>
                            </a:xfrm>
                            <a:prstGeom prst="chevron">
                              <a:avLst>
                                <a:gd name="adj" fmla="val 50000"/>
                              </a:avLst>
                            </a:prstGeom>
                            <a:solidFill>
                              <a:schemeClr val="lt1"/>
                            </a:solidFill>
                            <a:ln w="12700" cap="flat" cmpd="sng">
                              <a:solidFill>
                                <a:srgbClr val="528CBE"/>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15" name="Надпись 15"/>
                          <wps:cNvSpPr txBox="1"/>
                          <wps:spPr>
                            <a:xfrm>
                              <a:off x="1" y="951968"/>
                              <a:ext cx="427788" cy="183337"/>
                            </a:xfrm>
                            <a:prstGeom prst="rect">
                              <a:avLst/>
                            </a:prstGeom>
                            <a:noFill/>
                            <a:ln>
                              <a:noFill/>
                            </a:ln>
                          </wps:spPr>
                          <wps:txbx>
                            <w:txbxContent>
                              <w:p w:rsidR="00FD2015" w:rsidRDefault="004C7849">
                                <w:pPr>
                                  <w:spacing w:after="0" w:line="215" w:lineRule="auto"/>
                                  <w:jc w:val="center"/>
                                  <w:textDirection w:val="btLr"/>
                                </w:pPr>
                                <w:r>
                                  <w:rPr>
                                    <w:rFonts w:ascii="Times New Roman" w:eastAsia="Times New Roman" w:hAnsi="Times New Roman" w:cs="Times New Roman"/>
                                    <w:color w:val="000000"/>
                                    <w:sz w:val="28"/>
                                  </w:rPr>
                                  <w:t>3</w:t>
                                </w:r>
                              </w:p>
                            </w:txbxContent>
                          </wps:txbx>
                          <wps:bodyPr spcFirstLastPara="1" wrap="square" lIns="8875" tIns="8875" rIns="8875" bIns="8875" anchor="ctr" anchorCtr="0">
                            <a:noAutofit/>
                          </wps:bodyPr>
                        </wps:wsp>
                        <wps:wsp>
                          <wps:cNvPr id="16" name="Прямоугольник с двумя скругленными соседними углами 16"/>
                          <wps:cNvSpPr/>
                          <wps:spPr>
                            <a:xfrm rot="5400000">
                              <a:off x="2758478" y="-1592615"/>
                              <a:ext cx="397231" cy="5058611"/>
                            </a:xfrm>
                            <a:prstGeom prst="round2SameRect">
                              <a:avLst>
                                <a:gd name="adj1" fmla="val 16667"/>
                                <a:gd name="adj2" fmla="val 0"/>
                              </a:avLst>
                            </a:prstGeom>
                            <a:solidFill>
                              <a:srgbClr val="CFDEEF">
                                <a:alpha val="89803"/>
                              </a:srgbClr>
                            </a:solidFill>
                            <a:ln w="12700" cap="flat" cmpd="sng">
                              <a:solidFill>
                                <a:srgbClr val="599BD5"/>
                              </a:solidFill>
                              <a:prstDash val="solid"/>
                              <a:miter lim="800000"/>
                              <a:headEnd type="none" w="sm" len="sm"/>
                              <a:tailEnd type="none" w="sm" len="sm"/>
                            </a:ln>
                          </wps:spPr>
                          <wps:txbx>
                            <w:txbxContent>
                              <w:p w:rsidR="00FD2015" w:rsidRDefault="00FD2015">
                                <w:pPr>
                                  <w:spacing w:after="0" w:line="240" w:lineRule="auto"/>
                                  <w:textDirection w:val="btLr"/>
                                </w:pPr>
                              </w:p>
                            </w:txbxContent>
                          </wps:txbx>
                          <wps:bodyPr spcFirstLastPara="1" wrap="square" lIns="91425" tIns="91425" rIns="91425" bIns="91425" anchor="ctr" anchorCtr="0">
                            <a:noAutofit/>
                          </wps:bodyPr>
                        </wps:wsp>
                        <wps:wsp>
                          <wps:cNvPr id="17" name="Надпись 17"/>
                          <wps:cNvSpPr txBox="1"/>
                          <wps:spPr>
                            <a:xfrm>
                              <a:off x="427789" y="757465"/>
                              <a:ext cx="5039220" cy="358449"/>
                            </a:xfrm>
                            <a:prstGeom prst="rect">
                              <a:avLst/>
                            </a:prstGeom>
                            <a:noFill/>
                            <a:ln>
                              <a:noFill/>
                            </a:ln>
                          </wps:spPr>
                          <wps:txbx>
                            <w:txbxContent>
                              <w:p w:rsidR="00FD2015" w:rsidRDefault="004C7849">
                                <w:pPr>
                                  <w:spacing w:after="0" w:line="215" w:lineRule="auto"/>
                                  <w:ind w:left="180" w:firstLine="140"/>
                                  <w:textDirection w:val="btLr"/>
                                </w:pPr>
                                <w:r>
                                  <w:rPr>
                                    <w:rFonts w:ascii="Times New Roman" w:eastAsia="Times New Roman" w:hAnsi="Times New Roman" w:cs="Times New Roman"/>
                                    <w:color w:val="000000"/>
                                    <w:sz w:val="28"/>
                                  </w:rPr>
                                  <w:t>Качество образовательной среды</w:t>
                                </w:r>
                              </w:p>
                            </w:txbxContent>
                          </wps:txbx>
                          <wps:bodyPr spcFirstLastPara="1" wrap="square" lIns="99550" tIns="8875" rIns="8875" bIns="887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647700</wp:posOffset>
                </wp:positionV>
                <wp:extent cx="5486400" cy="1350010"/>
                <wp:effectExtent b="0" l="0" r="0" t="0"/>
                <wp:wrapTopAndBottom distB="0" distT="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86400" cy="1350010"/>
                        </a:xfrm>
                        <a:prstGeom prst="rect"/>
                        <a:ln/>
                      </pic:spPr>
                    </pic:pic>
                  </a:graphicData>
                </a:graphic>
              </wp:anchor>
            </w:drawing>
          </mc:Fallback>
        </mc:AlternateContent>
      </w:r>
    </w:p>
    <w:p w:rsidR="00FD2015" w:rsidRDefault="004C78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Рисунок 3 – Проблемы, препятствующие первичному трудоустройству выпускников</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первой группе личных (субъективных) причин относится низкая самооценка выпускников, которая обусловлена неуверенностью в полученных во время обучения знаний и навыков, а также неудачами в поиске работы. Выпускники, не имея опыта общения с работодателями </w:t>
      </w:r>
      <w:r>
        <w:rPr>
          <w:rFonts w:ascii="Times New Roman" w:eastAsia="Times New Roman" w:hAnsi="Times New Roman" w:cs="Times New Roman"/>
          <w:sz w:val="24"/>
          <w:szCs w:val="24"/>
        </w:rPr>
        <w:t>из-за дистанционного характе</w:t>
      </w:r>
      <w:bookmarkStart w:id="1" w:name="_GoBack"/>
      <w:bookmarkEnd w:id="1"/>
      <w:r>
        <w:rPr>
          <w:rFonts w:ascii="Times New Roman" w:eastAsia="Times New Roman" w:hAnsi="Times New Roman" w:cs="Times New Roman"/>
          <w:sz w:val="24"/>
          <w:szCs w:val="24"/>
        </w:rPr>
        <w:t xml:space="preserve">ра обучения, зачастую боятся проходить собеседование. </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проведенного HeadHunter опроса было выявлено, что молодые соискатели чаще всего имеют следующие страхи, связанные с трудоустройством (рисунок 4).</w:t>
      </w:r>
      <w:r>
        <w:rPr>
          <w:noProof/>
        </w:rPr>
        <w:drawing>
          <wp:anchor distT="0" distB="0" distL="114300" distR="114300" simplePos="0" relativeHeight="251661312" behindDoc="0" locked="0" layoutInCell="1" hidden="0" allowOverlap="1">
            <wp:simplePos x="0" y="0"/>
            <wp:positionH relativeFrom="column">
              <wp:posOffset>534035</wp:posOffset>
            </wp:positionH>
            <wp:positionV relativeFrom="paragraph">
              <wp:posOffset>487044</wp:posOffset>
            </wp:positionV>
            <wp:extent cx="5047615" cy="2615565"/>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047615" cy="2615565"/>
                    </a:xfrm>
                    <a:prstGeom prst="rect">
                      <a:avLst/>
                    </a:prstGeom>
                    <a:ln/>
                  </pic:spPr>
                </pic:pic>
              </a:graphicData>
            </a:graphic>
          </wp:anchor>
        </w:drawing>
      </w:r>
    </w:p>
    <w:p w:rsidR="00FD2015" w:rsidRDefault="004C78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4 –</w:t>
      </w:r>
      <w:r>
        <w:rPr>
          <w:rFonts w:ascii="Times New Roman" w:eastAsia="Times New Roman" w:hAnsi="Times New Roman" w:cs="Times New Roman"/>
          <w:sz w:val="24"/>
          <w:szCs w:val="24"/>
        </w:rPr>
        <w:t xml:space="preserve"> Страхи молодых специалистов, связанные с трудоустройством [16]</w:t>
      </w:r>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Работодатели в свою очередь также выделяют недостатки, препятствующие в выборе выпускников:</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слабый базовая подготовка, нехватка практических знаний;</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навыков работы в прикладных</w:t>
      </w:r>
      <w:r>
        <w:rPr>
          <w:rFonts w:ascii="Times New Roman" w:eastAsia="Times New Roman" w:hAnsi="Times New Roman" w:cs="Times New Roman"/>
          <w:sz w:val="24"/>
          <w:szCs w:val="24"/>
        </w:rPr>
        <w:t xml:space="preserve"> программах;</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опыта работы.</w:t>
      </w:r>
    </w:p>
    <w:p w:rsidR="00FD2015" w:rsidRDefault="004C784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Работодатели предпочитают нанять грамотного и квалифицированного специалиста, способного выполнять поставленные задачи, а не тратить временные и финансовые ресурсы на стажировку и обучение выпускника, тем более в условиях кризиса.</w:t>
      </w:r>
    </w:p>
    <w:p w:rsidR="00FD2015" w:rsidRDefault="004C784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Реалии, обусловленные пан</w:t>
      </w:r>
      <w:r>
        <w:rPr>
          <w:rFonts w:ascii="Times New Roman" w:eastAsia="Times New Roman" w:hAnsi="Times New Roman" w:cs="Times New Roman"/>
          <w:sz w:val="24"/>
          <w:szCs w:val="24"/>
        </w:rPr>
        <w:t>демией, оказали влияние не только на качество получаемого образования, но и на его доступность: по данным исследования ОЭСР, проведенного в 59 странах, только 1/2 учащихся смогла получить доступ ко всей учебной программе. Эксперты предупреждают, что молоды</w:t>
      </w:r>
      <w:r>
        <w:rPr>
          <w:rFonts w:ascii="Times New Roman" w:eastAsia="Times New Roman" w:hAnsi="Times New Roman" w:cs="Times New Roman"/>
          <w:sz w:val="24"/>
          <w:szCs w:val="24"/>
        </w:rPr>
        <w:t xml:space="preserve">е люди, имеющие уровень образования ниже среднего с большей вероятностью, могут оказаться в группе NEET (молодежь, которая не учится и не работает), что скажется на перспективе их трудоустройства и доходах. </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Международные организации призывают государства </w:t>
      </w:r>
      <w:r>
        <w:rPr>
          <w:rFonts w:ascii="Times New Roman" w:eastAsia="Times New Roman" w:hAnsi="Times New Roman" w:cs="Times New Roman"/>
          <w:sz w:val="24"/>
          <w:szCs w:val="24"/>
        </w:rPr>
        <w:t>продолжать реализацию национальных программ поддержки молодежи в непростой период пандемии. Необходимость разработки и реализации мер поддержки начинающих специалистов подтверждает также проректор ВШЭ - Валерия Касамара:</w:t>
      </w:r>
    </w:p>
    <w:p w:rsidR="00FD2015" w:rsidRDefault="004C78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«Молодежь, которая еще не имеет опы</w:t>
      </w:r>
      <w:r>
        <w:rPr>
          <w:rFonts w:ascii="Times New Roman" w:eastAsia="Times New Roman" w:hAnsi="Times New Roman" w:cs="Times New Roman"/>
          <w:i/>
          <w:sz w:val="24"/>
          <w:szCs w:val="24"/>
        </w:rPr>
        <w:t>та преодоления подобных потрясений, нуждается в поддержке. Поколение, которое столкнулось с ограничением доступа к образованию, безработицей, разрушенными планами и мечтами, в дальнейшем рискует не реализовать свой потенциал, что серьезным образом отразитс</w:t>
      </w:r>
      <w:r>
        <w:rPr>
          <w:rFonts w:ascii="Times New Roman" w:eastAsia="Times New Roman" w:hAnsi="Times New Roman" w:cs="Times New Roman"/>
          <w:i/>
          <w:sz w:val="24"/>
          <w:szCs w:val="24"/>
        </w:rPr>
        <w:t>я на качестве мирового человеческого капитала. Эти и другие проблемы, с которыми сейчас столкнулась молодежь, не должны остаться без внимания властей, потому что их решение позволит справиться нам с кризисом и преодолеть его последствия».</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по</w:t>
      </w:r>
      <w:r>
        <w:rPr>
          <w:rFonts w:ascii="Times New Roman" w:eastAsia="Times New Roman" w:hAnsi="Times New Roman" w:cs="Times New Roman"/>
          <w:sz w:val="24"/>
          <w:szCs w:val="24"/>
        </w:rPr>
        <w:t>высить эффективность работы высших учебных заведений с работодателями были рекомендованы следующие действия:</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организовать деятельность службы занятости с работодателями и высшими учебными заведениями, которое имеет своей целью трудоустройство молодых спе</w:t>
      </w:r>
      <w:r>
        <w:rPr>
          <w:rFonts w:ascii="Times New Roman" w:eastAsia="Times New Roman" w:hAnsi="Times New Roman" w:cs="Times New Roman"/>
          <w:sz w:val="24"/>
          <w:szCs w:val="24"/>
        </w:rPr>
        <w:t>циалистов, было решено разместить информацию о их специализации на онлайн платформах, благодаря которым облегчило взаимодействие между выпускниками вузов и работодателями.</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возместить часть затрат работодателю за выплату заработной платы молодым специалис</w:t>
      </w:r>
      <w:r>
        <w:rPr>
          <w:rFonts w:ascii="Times New Roman" w:eastAsia="Times New Roman" w:hAnsi="Times New Roman" w:cs="Times New Roman"/>
          <w:sz w:val="24"/>
          <w:szCs w:val="24"/>
        </w:rPr>
        <w:t>там, которые принимали участие в программе по временному трудоустройству, что увеличило бы интерес работодателей при приеме на работу новых сотрудников.</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набор молодых специалистов для научно-исследовательских и опытно-конструкторских работ н</w:t>
      </w:r>
      <w:r>
        <w:rPr>
          <w:rFonts w:ascii="Times New Roman" w:eastAsia="Times New Roman" w:hAnsi="Times New Roman" w:cs="Times New Roman"/>
          <w:sz w:val="24"/>
          <w:szCs w:val="24"/>
        </w:rPr>
        <w:t xml:space="preserve">а реальном производстве по заявкам работодателей в процессе или после выпуска; </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участие служб занятости на мероприятиях «Дня открытых дверей» в вузах, для того чтобы реализовать профориентационные работы со студентами, а также для информиров</w:t>
      </w:r>
      <w:r>
        <w:rPr>
          <w:rFonts w:ascii="Times New Roman" w:eastAsia="Times New Roman" w:hAnsi="Times New Roman" w:cs="Times New Roman"/>
          <w:sz w:val="24"/>
          <w:szCs w:val="24"/>
        </w:rPr>
        <w:t>анности студентов о новых сферах, услугах и вакансиях, которые служба занятости может предоставить для них по окончанию обучения.</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мониторингов и опросов студентов, чтобы выявить насколько молодые специалисты информированы о ситуации на рынке т</w:t>
      </w:r>
      <w:r>
        <w:rPr>
          <w:rFonts w:ascii="Times New Roman" w:eastAsia="Times New Roman" w:hAnsi="Times New Roman" w:cs="Times New Roman"/>
          <w:sz w:val="24"/>
          <w:szCs w:val="24"/>
        </w:rPr>
        <w:t>руда; а также выявить самооценку перспектив выпускников в дальнейшем трудоустройстве. Благодаря этим данным служба поддержки могла бы понять в каком направлении двигаться, чтобы улучшить свою работы с данными категориями граждан.</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страны отметил, что </w:t>
      </w:r>
      <w:r>
        <w:rPr>
          <w:rFonts w:ascii="Times New Roman" w:eastAsia="Times New Roman" w:hAnsi="Times New Roman" w:cs="Times New Roman"/>
          <w:sz w:val="24"/>
          <w:szCs w:val="24"/>
        </w:rPr>
        <w:t>на данный момент в стране нет распределения выпускников по организациям, но на этот аспект было решено обратить особое внимание, учитывая текущую ситуацию в мире. Министр Образования России также высказался по этому поводу, отметив, что в этот год будут пр</w:t>
      </w:r>
      <w:r>
        <w:rPr>
          <w:rFonts w:ascii="Times New Roman" w:eastAsia="Times New Roman" w:hAnsi="Times New Roman" w:cs="Times New Roman"/>
          <w:sz w:val="24"/>
          <w:szCs w:val="24"/>
        </w:rPr>
        <w:t>едоставлены места работы для 410 тысяч выпускников вузов. Среди которых 267 тысяч молодых специалистов являются выпускниками очного отделения бакалавриата и магистратуры. Также им было подмечено, что Минобрнаука РФ предложит субсидировать часть затрат вузо</w:t>
      </w:r>
      <w:r>
        <w:rPr>
          <w:rFonts w:ascii="Times New Roman" w:eastAsia="Times New Roman" w:hAnsi="Times New Roman" w:cs="Times New Roman"/>
          <w:sz w:val="24"/>
          <w:szCs w:val="24"/>
        </w:rPr>
        <w:t>в, где будут принимать молодых специалистов на должности инженеров-исследователей и лаборантов по окончанию обучения [7].</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приказ, в котором описывается комплекс мер по содействию граждан, которые закончили свое обучение в средних и высших образо</w:t>
      </w:r>
      <w:r>
        <w:rPr>
          <w:rFonts w:ascii="Times New Roman" w:eastAsia="Times New Roman" w:hAnsi="Times New Roman" w:cs="Times New Roman"/>
          <w:sz w:val="24"/>
          <w:szCs w:val="24"/>
        </w:rPr>
        <w:t>вательных учреждениях в 2020 году. Он включает в себя ряд мероприятий, направленных на успешное трудоустройство выпускников 2020 года. Этот приказ предполагает, что органы службы занятости населения страны будут организовывать взаимодействие с высшими учеб</w:t>
      </w:r>
      <w:r>
        <w:rPr>
          <w:rFonts w:ascii="Times New Roman" w:eastAsia="Times New Roman" w:hAnsi="Times New Roman" w:cs="Times New Roman"/>
          <w:sz w:val="24"/>
          <w:szCs w:val="24"/>
        </w:rPr>
        <w:t>ными заведениями, а также будут проводить ежеквартальный мониторинг трудоустройства выпускников, которые будут обращаться за помощью в центр занятости [8].</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Властями была принята еще одна мера по решению проблем трудоустройства выпускников, а именно организ</w:t>
      </w:r>
      <w:r>
        <w:rPr>
          <w:rFonts w:ascii="Times New Roman" w:eastAsia="Times New Roman" w:hAnsi="Times New Roman" w:cs="Times New Roman"/>
          <w:sz w:val="24"/>
          <w:szCs w:val="24"/>
        </w:rPr>
        <w:t xml:space="preserve">ация взаимодействия региональных органов службы занятости населения с работодателями. В результате чего будет сформирован банк вакансий. Предложения о работе для выпускников будут опубликованы работодателями на портале службы занятости страны. Также будет </w:t>
      </w:r>
      <w:r>
        <w:rPr>
          <w:rFonts w:ascii="Times New Roman" w:eastAsia="Times New Roman" w:hAnsi="Times New Roman" w:cs="Times New Roman"/>
          <w:sz w:val="24"/>
          <w:szCs w:val="24"/>
        </w:rPr>
        <w:t>создана единая база данных выпускников, которая, в том числе будет содержать их портфолио.</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согласно приказу, для выпускников ежемесячно будут проводиться ряд мероприятий, такие как ярмарки вакансий, профориентационные мероприятия, экскурсии в орган</w:t>
      </w:r>
      <w:r>
        <w:rPr>
          <w:rFonts w:ascii="Times New Roman" w:eastAsia="Times New Roman" w:hAnsi="Times New Roman" w:cs="Times New Roman"/>
          <w:sz w:val="24"/>
          <w:szCs w:val="24"/>
        </w:rPr>
        <w:t>изации, в том числе в онлайн режиме. Также предусмотрена организация психологической поддержки и организация стажировок для выпускников, создание института наставничества в компаниях в регионах и помощь в трудоустройстве выпускников с ограниченными возможн</w:t>
      </w:r>
      <w:r>
        <w:rPr>
          <w:rFonts w:ascii="Times New Roman" w:eastAsia="Times New Roman" w:hAnsi="Times New Roman" w:cs="Times New Roman"/>
          <w:sz w:val="24"/>
          <w:szCs w:val="24"/>
        </w:rPr>
        <w:t>остями [7].</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социологическому опросу, общие результаты на вопрос «Какие меры государственной поддержки вы (как выпускник) помогли бы вам найти работу?» отмечают, что большинство выпускников хотели бы видеть размещение работодателями вакансий для ст</w:t>
      </w:r>
      <w:r>
        <w:rPr>
          <w:rFonts w:ascii="Times New Roman" w:eastAsia="Times New Roman" w:hAnsi="Times New Roman" w:cs="Times New Roman"/>
          <w:sz w:val="24"/>
          <w:szCs w:val="24"/>
        </w:rPr>
        <w:t>ажировок или трудоустройство молодых специалистов без опыта работы как меру поддержки их трудоустройства где 75% молодых специалистов выбрали именно эту меру [1].</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 Распределение численности респондентов по ответам на вопрос «Какие меры государственной поддержки вы (как выпускник) помогли бы вам найти работу?»</w:t>
      </w:r>
      <w:r>
        <w:rPr>
          <w:rFonts w:ascii="Times New Roman" w:eastAsia="Times New Roman" w:hAnsi="Times New Roman" w:cs="Times New Roman"/>
          <w:sz w:val="24"/>
          <w:szCs w:val="24"/>
          <w:vertAlign w:val="superscript"/>
        </w:rPr>
        <w:t>.</w:t>
      </w:r>
    </w:p>
    <w:tbl>
      <w:tblPr>
        <w:tblStyle w:val="af2"/>
        <w:tblW w:w="9618" w:type="dxa"/>
        <w:tblInd w:w="0" w:type="dxa"/>
        <w:tblLayout w:type="fixed"/>
        <w:tblLook w:val="0400" w:firstRow="0" w:lastRow="0" w:firstColumn="0" w:lastColumn="0" w:noHBand="0" w:noVBand="1"/>
      </w:tblPr>
      <w:tblGrid>
        <w:gridCol w:w="8212"/>
        <w:gridCol w:w="1406"/>
      </w:tblGrid>
      <w:tr w:rsidR="00FD2015">
        <w:trPr>
          <w:trHeight w:val="680"/>
        </w:trPr>
        <w:tc>
          <w:tcPr>
            <w:tcW w:w="8212"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работодателями вакансий для обучения или трудоустройства молодых специалистов без опыт</w:t>
            </w:r>
            <w:r>
              <w:rPr>
                <w:rFonts w:ascii="Times New Roman" w:eastAsia="Times New Roman" w:hAnsi="Times New Roman" w:cs="Times New Roman"/>
                <w:sz w:val="24"/>
                <w:szCs w:val="24"/>
              </w:rPr>
              <w:t>а работы</w:t>
            </w:r>
          </w:p>
        </w:tc>
        <w:tc>
          <w:tcPr>
            <w:tcW w:w="1406" w:type="dxa"/>
            <w:tcBorders>
              <w:top w:val="single" w:sz="4" w:space="0" w:color="000000"/>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FD2015">
        <w:trPr>
          <w:trHeight w:val="482"/>
        </w:trPr>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временной работы во внеучебное время</w:t>
            </w:r>
          </w:p>
        </w:tc>
        <w:tc>
          <w:tcPr>
            <w:tcW w:w="1406" w:type="dxa"/>
            <w:tcBorders>
              <w:top w:val="nil"/>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FD2015">
        <w:trPr>
          <w:trHeight w:val="680"/>
        </w:trPr>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на практику / стажировку во время / после обучения в учебном заведении</w:t>
            </w:r>
          </w:p>
        </w:tc>
        <w:tc>
          <w:tcPr>
            <w:tcW w:w="1406" w:type="dxa"/>
            <w:tcBorders>
              <w:top w:val="nil"/>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D2015">
        <w:trPr>
          <w:trHeight w:val="680"/>
        </w:trPr>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выпускникам в организации самозанятости (например, выплата государственной единовременной финансовой помощи / консультации по ведению собственного дела и т.д.)</w:t>
            </w:r>
          </w:p>
        </w:tc>
        <w:tc>
          <w:tcPr>
            <w:tcW w:w="1406" w:type="dxa"/>
            <w:tcBorders>
              <w:top w:val="nil"/>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D2015">
        <w:trPr>
          <w:trHeight w:val="680"/>
        </w:trPr>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государство частично возместило работодателям затраты на оплату труда молод</w:t>
            </w:r>
            <w:r>
              <w:rPr>
                <w:rFonts w:ascii="Times New Roman" w:eastAsia="Times New Roman" w:hAnsi="Times New Roman" w:cs="Times New Roman"/>
                <w:sz w:val="24"/>
                <w:szCs w:val="24"/>
              </w:rPr>
              <w:t>ых специалистов, только что закончивших обучение</w:t>
            </w:r>
          </w:p>
        </w:tc>
        <w:tc>
          <w:tcPr>
            <w:tcW w:w="1406" w:type="dxa"/>
            <w:tcBorders>
              <w:top w:val="nil"/>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FD2015">
        <w:trPr>
          <w:trHeight w:val="680"/>
        </w:trPr>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приемов на целевое обучение за счет бюджетных средств в организации образования для дальнейшего гарантированного трудоустройства.</w:t>
            </w:r>
          </w:p>
        </w:tc>
        <w:tc>
          <w:tcPr>
            <w:tcW w:w="1406" w:type="dxa"/>
            <w:tcBorders>
              <w:top w:val="nil"/>
              <w:left w:val="nil"/>
              <w:bottom w:val="single" w:sz="6" w:space="0" w:color="000000"/>
              <w:right w:val="single" w:sz="8" w:space="0" w:color="000000"/>
            </w:tcBorders>
            <w:shd w:val="clear" w:color="auto" w:fill="FFFFFF"/>
            <w:vAlign w:val="center"/>
          </w:tcPr>
          <w:p w:rsidR="00FD2015" w:rsidRDefault="004C784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данных мы можем сделать вывод, что более п</w:t>
      </w:r>
      <w:r>
        <w:rPr>
          <w:rFonts w:ascii="Times New Roman" w:eastAsia="Times New Roman" w:hAnsi="Times New Roman" w:cs="Times New Roman"/>
          <w:sz w:val="24"/>
          <w:szCs w:val="24"/>
        </w:rPr>
        <w:t>оловины опрошенных отдали предпочтение на организацию временной работы, которая предоставлялась бы ими во время учёбы в вузе, а также видно, что треть сочла за эффективное решение проблемы практики в организациях, стажировки и помощь в реализации трудоустр</w:t>
      </w:r>
      <w:r>
        <w:rPr>
          <w:rFonts w:ascii="Times New Roman" w:eastAsia="Times New Roman" w:hAnsi="Times New Roman" w:cs="Times New Roman"/>
          <w:sz w:val="24"/>
          <w:szCs w:val="24"/>
        </w:rPr>
        <w:t>ойства государственными органами. Молодые специалисты меньше всего заинтересованы в том, чтобы государство возмещала затраты работодателям на оплату труда при трудоустройстве и целевом обучении.</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решить данную проблему портал «Работа в России</w:t>
      </w:r>
      <w:r>
        <w:rPr>
          <w:rFonts w:ascii="Times New Roman" w:eastAsia="Times New Roman" w:hAnsi="Times New Roman" w:cs="Times New Roman"/>
          <w:sz w:val="24"/>
          <w:szCs w:val="24"/>
        </w:rPr>
        <w:t>» опубликовал к концу 2020 года сервис по мониторингу трудоустройства выпускников. Он позволит связать систему профессионального образования и полного среднего образования с рынком труда, согласовать предполагаемые потребности работодателей и профессиональ</w:t>
      </w:r>
      <w:r>
        <w:rPr>
          <w:rFonts w:ascii="Times New Roman" w:eastAsia="Times New Roman" w:hAnsi="Times New Roman" w:cs="Times New Roman"/>
          <w:sz w:val="24"/>
          <w:szCs w:val="24"/>
        </w:rPr>
        <w:t>ную подготовку студентов,отследить траекторию выпускников средних специальных и высших учебных заведений. Данный мониторинг был направлен на:</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осведомленности граждан и организаций о текущей ситуации на рынке труда;</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информации поступающим и организациям о востребованности конкретных видов квалификаций, профессий на рынке труда;</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государственным органам актуальных данных для принятия оперативных мер по формированию государственной полит</w:t>
      </w:r>
      <w:r>
        <w:rPr>
          <w:rFonts w:ascii="Times New Roman" w:eastAsia="Times New Roman" w:hAnsi="Times New Roman" w:cs="Times New Roman"/>
          <w:sz w:val="24"/>
          <w:szCs w:val="24"/>
        </w:rPr>
        <w:t>ики по регулированию рынка труда и рынка образования;</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образовательных учреждений высшего профессионального образования необходимой информацией для разъяснения работы с выпускниками по их дальнейшему трудоустройству;</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работодат</w:t>
      </w:r>
      <w:r>
        <w:rPr>
          <w:rFonts w:ascii="Times New Roman" w:eastAsia="Times New Roman" w:hAnsi="Times New Roman" w:cs="Times New Roman"/>
          <w:sz w:val="24"/>
          <w:szCs w:val="24"/>
        </w:rPr>
        <w:t>елям необходимой информации о выпускниках, их зарплатных ожиданиях;</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занятости, увязка рынка труда и образования [7].</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в апреле 2020 года выступило с предложением предоставления субсидий для высших учебных завед</w:t>
      </w:r>
      <w:r>
        <w:rPr>
          <w:rFonts w:ascii="Times New Roman" w:eastAsia="Times New Roman" w:hAnsi="Times New Roman" w:cs="Times New Roman"/>
          <w:sz w:val="24"/>
          <w:szCs w:val="24"/>
        </w:rPr>
        <w:t>ений, которые готовы предоставить вакансию для выпускников. Также будут предоставлены студентам вузов стажировки за счет бюджетных средств. Законопроект, разработанный депутатами «Справедливой России», включает в себя две выплаты, первая – для студентов вы</w:t>
      </w:r>
      <w:r>
        <w:rPr>
          <w:rFonts w:ascii="Times New Roman" w:eastAsia="Times New Roman" w:hAnsi="Times New Roman" w:cs="Times New Roman"/>
          <w:sz w:val="24"/>
          <w:szCs w:val="24"/>
        </w:rPr>
        <w:t>сших учебных заведений (500 тысяч рублей), вторая – для учащихся средних профессиональных учреждений (250 тысяч). Эти деньги переводятся на специальный счет, который открывается после поступления на курс. Молодые люди могут тратить студенческие средства по</w:t>
      </w:r>
      <w:r>
        <w:rPr>
          <w:rFonts w:ascii="Times New Roman" w:eastAsia="Times New Roman" w:hAnsi="Times New Roman" w:cs="Times New Roman"/>
          <w:sz w:val="24"/>
          <w:szCs w:val="24"/>
        </w:rPr>
        <w:t>сле окончания учебы для определенных целей, например, чтобы снять квартиру, поехать на работу или открыть свой бизнес [12].</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словам Фалькова В.Н., был заключен договор с Фондом содействия инновациям о расширении программ «УМНИК» и «Старт», направленных н</w:t>
      </w:r>
      <w:r>
        <w:rPr>
          <w:rFonts w:ascii="Times New Roman" w:eastAsia="Times New Roman" w:hAnsi="Times New Roman" w:cs="Times New Roman"/>
          <w:sz w:val="24"/>
          <w:szCs w:val="24"/>
        </w:rPr>
        <w:t>а поддержку научно-технических проектов выпускников 2020 года [15].</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кризиса были организованы мероприятия по поддержке студентов Плехановским университетом, помимо тех, которые им уже было организовано и внедрено в систему университета, таких как </w:t>
      </w:r>
      <w:r>
        <w:rPr>
          <w:rFonts w:ascii="Times New Roman" w:eastAsia="Times New Roman" w:hAnsi="Times New Roman" w:cs="Times New Roman"/>
          <w:sz w:val="24"/>
          <w:szCs w:val="24"/>
        </w:rPr>
        <w:t>недели карьеры, ярмарки вакансий, воркшопы. В апреле была создана информационная платформа «Студенческий обмен», благодаря которой студенты и выпускники имеют возможность отслеживать текущие предложения о работе и отправлять резюме [11].</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ряде стран прави</w:t>
      </w:r>
      <w:r>
        <w:rPr>
          <w:rFonts w:ascii="Times New Roman" w:eastAsia="Times New Roman" w:hAnsi="Times New Roman" w:cs="Times New Roman"/>
          <w:sz w:val="24"/>
          <w:szCs w:val="24"/>
        </w:rPr>
        <w:t>тельства предложили меры по оказанию помощи студентам, испытывающим трудности с работой. Так, в Канаде введены налогооблагаемые льготы (Canada emergency student benefit - CESB) для студентов и выпускников средних специальных и высших учебных заведений, у к</w:t>
      </w:r>
      <w:r>
        <w:rPr>
          <w:rFonts w:ascii="Times New Roman" w:eastAsia="Times New Roman" w:hAnsi="Times New Roman" w:cs="Times New Roman"/>
          <w:sz w:val="24"/>
          <w:szCs w:val="24"/>
        </w:rPr>
        <w:t>оторых нет возможности трудоустроиться во время кризиса пандемии (1250 канадских долларов в месяц для обычных студентов и 2000 – для студентов, в семьях которых есть иждивенцы или инвалиды). В Германии выпускники, которые потеряли свое место в результате к</w:t>
      </w:r>
      <w:r>
        <w:rPr>
          <w:rFonts w:ascii="Times New Roman" w:eastAsia="Times New Roman" w:hAnsi="Times New Roman" w:cs="Times New Roman"/>
          <w:sz w:val="24"/>
          <w:szCs w:val="24"/>
        </w:rPr>
        <w:t>ризиса и те что нуждаются в поддержке, имеют возможность в подаче заявления на беспроцентный кредит до 31 марта 2021 года на сумму до 650 евро в месяц [13].</w:t>
      </w:r>
    </w:p>
    <w:p w:rsidR="00FD2015" w:rsidRDefault="004C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наблюдается большое количество предложений в целях поддержки и содействия выпускника</w:t>
      </w:r>
      <w:r>
        <w:rPr>
          <w:rFonts w:ascii="Times New Roman" w:eastAsia="Times New Roman" w:hAnsi="Times New Roman" w:cs="Times New Roman"/>
          <w:sz w:val="24"/>
          <w:szCs w:val="24"/>
        </w:rPr>
        <w:t xml:space="preserve">м высших учебных заведений. Тем не менее, необходимо отметить, что данные меры полезны не только в период пандемии коронавируса, так как их применение в постковидном мире будет способствовать трудоустройству выпускников и молодых специалистов. </w:t>
      </w:r>
    </w:p>
    <w:p w:rsidR="00FD2015" w:rsidRDefault="00FD2015">
      <w:pPr>
        <w:shd w:val="clear" w:color="auto" w:fill="FFFFFF"/>
        <w:spacing w:after="300" w:line="240" w:lineRule="auto"/>
        <w:jc w:val="both"/>
        <w:rPr>
          <w:rFonts w:ascii="Times New Roman" w:eastAsia="Times New Roman" w:hAnsi="Times New Roman" w:cs="Times New Roman"/>
          <w:color w:val="383838"/>
          <w:sz w:val="24"/>
          <w:szCs w:val="24"/>
          <w:highlight w:val="green"/>
        </w:rPr>
      </w:pPr>
    </w:p>
    <w:p w:rsidR="00FD2015" w:rsidRDefault="004C7849">
      <w:pPr>
        <w:shd w:val="clear" w:color="auto" w:fill="FFFFFF"/>
        <w:spacing w:after="300" w:line="240" w:lineRule="auto"/>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Библиограф</w:t>
      </w:r>
      <w:r>
        <w:rPr>
          <w:rFonts w:ascii="Times New Roman" w:eastAsia="Times New Roman" w:hAnsi="Times New Roman" w:cs="Times New Roman"/>
          <w:b/>
          <w:sz w:val="24"/>
          <w:szCs w:val="24"/>
        </w:rPr>
        <w:t>ический список</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Антонова Г.В., Мирзабалаева Ф.И., Бондарчук А.Г. Проблемы трудоустройства выпускников образовательных организаций в условиях пандемии коронавируса // Экономика труда. М, 2020. Т. 7. № 12. С. 1249-1268 [Электронный ресурс]. — Режим доступа: </w:t>
      </w:r>
      <w:hyperlink r:id="rId11">
        <w:r>
          <w:rPr>
            <w:rFonts w:ascii="Times New Roman" w:eastAsia="Times New Roman" w:hAnsi="Times New Roman" w:cs="Times New Roman"/>
            <w:color w:val="0563C1"/>
            <w:sz w:val="24"/>
            <w:szCs w:val="24"/>
            <w:u w:val="single"/>
          </w:rPr>
          <w:t>https://www.elibrary.ru/item.asp?id=44483254</w:t>
        </w:r>
      </w:hyperlink>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Давыденко В.А., Михалевич И.Я. Трансформация концепции человеческого капитала здоровья в условиях пандемии COVID-19 // Logos et praxis. 2020. Т. 19. № 4. С. 21-33.</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Динамика вакансий для категории «Начало карьеры, студенты» [Электронный ресурс]. — Режим дос</w:t>
      </w:r>
      <w:r>
        <w:rPr>
          <w:rFonts w:ascii="Times New Roman" w:eastAsia="Times New Roman" w:hAnsi="Times New Roman" w:cs="Times New Roman"/>
          <w:color w:val="000000"/>
          <w:sz w:val="24"/>
          <w:szCs w:val="24"/>
        </w:rPr>
        <w:t xml:space="preserve">тупа: </w:t>
      </w:r>
      <w:hyperlink r:id="rId12" w:anchor="vacancies%5Bactive%5D=true&amp;vacancies%5Bperiod%5D=year&amp;vacancies%5Bprofarea%5D=15">
        <w:r>
          <w:rPr>
            <w:rFonts w:ascii="Times New Roman" w:eastAsia="Times New Roman" w:hAnsi="Times New Roman" w:cs="Times New Roman"/>
            <w:color w:val="0563C1"/>
            <w:sz w:val="24"/>
            <w:szCs w:val="24"/>
            <w:u w:val="single"/>
          </w:rPr>
          <w:t>https://stats.hh.ru/#vacancies%5Bactive%5D=true&amp;vacancies%5Bperiod%5D=year&amp;vacancies%5Bprofarea%5D=15</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Динамика резюме для категории «Начало карьеры, студенты» [Электронный ресурс]. — Режим доступа: </w:t>
      </w:r>
      <w:hyperlink r:id="rId13" w:anchor="resumes%5Bactive%5D=true&amp;resumes%5Bperiod%5D=year&amp;resumes%5Bprofarea%5D=15">
        <w:r>
          <w:rPr>
            <w:rFonts w:ascii="Times New Roman" w:eastAsia="Times New Roman" w:hAnsi="Times New Roman" w:cs="Times New Roman"/>
            <w:color w:val="0563C1"/>
            <w:sz w:val="24"/>
            <w:szCs w:val="24"/>
            <w:u w:val="single"/>
          </w:rPr>
          <w:t>https://stats.hh.ru/#resumes%5Bactive%5D</w:t>
        </w:r>
        <w:r>
          <w:rPr>
            <w:rFonts w:ascii="Times New Roman" w:eastAsia="Times New Roman" w:hAnsi="Times New Roman" w:cs="Times New Roman"/>
            <w:color w:val="0563C1"/>
            <w:sz w:val="24"/>
            <w:szCs w:val="24"/>
            <w:u w:val="single"/>
          </w:rPr>
          <w:t>=true&amp;resumes%5Bperiod%5D=year&amp;resumes%5Bprofarea%5D=15</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 ковида: Предварительные итоги и вызовы десятилетия / под ред. К. Рогова. М: Либеральная миссия, 2021. 99 с.</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Локтионова М. «Мало кто перезванивал»: почему выпускников не берут на работу // Газета.</w:t>
      </w:r>
      <w:r>
        <w:rPr>
          <w:rFonts w:ascii="Times New Roman" w:eastAsia="Times New Roman" w:hAnsi="Times New Roman" w:cs="Times New Roman"/>
          <w:color w:val="000000"/>
          <w:sz w:val="24"/>
          <w:szCs w:val="24"/>
        </w:rPr>
        <w:t xml:space="preserve">ru. 2020 [Электронный ресурс]. — Режим доступа: </w:t>
      </w:r>
      <w:hyperlink r:id="rId14">
        <w:r>
          <w:rPr>
            <w:rFonts w:ascii="Times New Roman" w:eastAsia="Times New Roman" w:hAnsi="Times New Roman" w:cs="Times New Roman"/>
            <w:color w:val="0563C1"/>
            <w:sz w:val="24"/>
            <w:szCs w:val="24"/>
            <w:u w:val="single"/>
          </w:rPr>
          <w:t>https://www.gazeta.ru/social/2020/07/21/13160443.shtml</w:t>
        </w:r>
      </w:hyperlink>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науки и высшего образования России. Интервью от 27 мая 2020 г. [Эл</w:t>
      </w:r>
      <w:r>
        <w:rPr>
          <w:rFonts w:ascii="Times New Roman" w:eastAsia="Times New Roman" w:hAnsi="Times New Roman" w:cs="Times New Roman"/>
          <w:color w:val="000000"/>
          <w:sz w:val="24"/>
          <w:szCs w:val="24"/>
        </w:rPr>
        <w:t>ектронный ресурс]. — Режим доступа:</w:t>
      </w:r>
      <w:r>
        <w:rPr>
          <w:color w:val="000000"/>
        </w:rPr>
        <w:t xml:space="preserve"> </w:t>
      </w:r>
      <w:hyperlink r:id="rId15">
        <w:r>
          <w:rPr>
            <w:rFonts w:ascii="Times New Roman" w:eastAsia="Times New Roman" w:hAnsi="Times New Roman" w:cs="Times New Roman"/>
            <w:color w:val="0563C1"/>
            <w:sz w:val="24"/>
            <w:szCs w:val="24"/>
            <w:u w:val="single"/>
          </w:rPr>
          <w:t>https://www.minobrnauki.gov.ru/press-center/news/?ELEMENT_ID=21574</w:t>
        </w:r>
      </w:hyperlink>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Министерство труда и социальной защиты Российской Федерации. </w:t>
      </w:r>
      <w:sdt>
        <w:sdtPr>
          <w:tag w:val="goog_rdk_0"/>
          <w:id w:val="-1960797708"/>
        </w:sdtPr>
        <w:sdtEndPr/>
        <w:sdtContent>
          <w:r>
            <w:rPr>
              <w:rFonts w:ascii="Arial" w:eastAsia="Arial" w:hAnsi="Arial" w:cs="Arial"/>
              <w:color w:val="000000"/>
              <w:highlight w:val="white"/>
            </w:rPr>
            <w:t>Приказ</w:t>
          </w:r>
          <w:r>
            <w:rPr>
              <w:rFonts w:ascii="Arial" w:eastAsia="Arial" w:hAnsi="Arial" w:cs="Arial"/>
              <w:color w:val="000000"/>
              <w:highlight w:val="white"/>
            </w:rPr>
            <w:t xml:space="preserve"> «Об утверждении Комплекса мер по содействию трудоустройству граждан». </w:t>
          </w:r>
        </w:sdtContent>
      </w:sdt>
      <w:r>
        <w:rPr>
          <w:rFonts w:ascii="Times New Roman" w:eastAsia="Times New Roman" w:hAnsi="Times New Roman" w:cs="Times New Roman"/>
          <w:color w:val="000000"/>
          <w:sz w:val="24"/>
          <w:szCs w:val="24"/>
        </w:rPr>
        <w:t xml:space="preserve">[Электронный ресурс]. — Режим доступа: </w:t>
      </w:r>
      <w:hyperlink r:id="rId16">
        <w:r>
          <w:rPr>
            <w:rFonts w:ascii="Times New Roman" w:eastAsia="Times New Roman" w:hAnsi="Times New Roman" w:cs="Times New Roman"/>
            <w:color w:val="0563C1"/>
            <w:sz w:val="24"/>
            <w:szCs w:val="24"/>
            <w:u w:val="single"/>
          </w:rPr>
          <w:t>https://mintrud.gov.ru/employment/69</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Официальный сайт Международной организации труда [Электронный ресурс]. — Режим доступа: https://www.ilo.org/moscow/news</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Официальный сайт Федеральной службы государственной статистики. [Электронный ресурс]. — Режим доступа: </w:t>
      </w:r>
      <w:hyperlink r:id="rId17">
        <w:r>
          <w:rPr>
            <w:rFonts w:ascii="Times New Roman" w:eastAsia="Times New Roman" w:hAnsi="Times New Roman" w:cs="Times New Roman"/>
            <w:color w:val="0563C1"/>
            <w:sz w:val="24"/>
            <w:szCs w:val="24"/>
            <w:u w:val="single"/>
          </w:rPr>
          <w:t>http://www.gks.ru</w:t>
        </w:r>
      </w:hyperlink>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экономический университет им. Г.В. Плеханова. Мероприятия. [Электронный ресурс]. — Режим доступа:</w:t>
      </w:r>
      <w:r>
        <w:rPr>
          <w:color w:val="000000"/>
        </w:rPr>
        <w:t xml:space="preserve"> </w:t>
      </w:r>
      <w:hyperlink r:id="rId18">
        <w:r>
          <w:rPr>
            <w:rFonts w:ascii="Times New Roman" w:eastAsia="Times New Roman" w:hAnsi="Times New Roman" w:cs="Times New Roman"/>
            <w:color w:val="0563C1"/>
            <w:sz w:val="24"/>
            <w:szCs w:val="24"/>
            <w:u w:val="single"/>
          </w:rPr>
          <w:t>https://www.rea.ru/ru/events/default.aspx</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обеспечения з</w:t>
      </w:r>
      <w:r>
        <w:rPr>
          <w:rFonts w:ascii="Times New Roman" w:eastAsia="Times New Roman" w:hAnsi="Times New Roman" w:cs="Times New Roman"/>
          <w:color w:val="000000"/>
          <w:sz w:val="24"/>
          <w:szCs w:val="24"/>
        </w:rPr>
        <w:t>аконодательной деятельности. Законопроект о внесении изменений в Федеральный закон «Об образовании в Российской Федерации». [Электронный ресурс]. — Режим доступа:</w:t>
      </w:r>
      <w:r>
        <w:rPr>
          <w:color w:val="000000"/>
        </w:rPr>
        <w:t xml:space="preserve"> </w:t>
      </w:r>
      <w:hyperlink r:id="rId19">
        <w:r>
          <w:rPr>
            <w:rFonts w:ascii="Times New Roman" w:eastAsia="Times New Roman" w:hAnsi="Times New Roman" w:cs="Times New Roman"/>
            <w:color w:val="0563C1"/>
            <w:sz w:val="24"/>
            <w:szCs w:val="24"/>
            <w:u w:val="single"/>
          </w:rPr>
          <w:t>https://sozd.duma.gov.ru/bill/1061</w:t>
        </w:r>
        <w:r>
          <w:rPr>
            <w:rFonts w:ascii="Times New Roman" w:eastAsia="Times New Roman" w:hAnsi="Times New Roman" w:cs="Times New Roman"/>
            <w:color w:val="0563C1"/>
            <w:sz w:val="24"/>
            <w:szCs w:val="24"/>
            <w:u w:val="single"/>
          </w:rPr>
          <w:t>478-7</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Трубин В., Николаева Н., Санишвили Т., Тарасова</w:t>
      </w:r>
      <w:r>
        <w:rPr>
          <w:color w:val="000000"/>
        </w:rPr>
        <w:t xml:space="preserve"> </w:t>
      </w:r>
      <w:r>
        <w:rPr>
          <w:rFonts w:ascii="Times New Roman" w:eastAsia="Times New Roman" w:hAnsi="Times New Roman" w:cs="Times New Roman"/>
          <w:color w:val="000000"/>
          <w:sz w:val="24"/>
          <w:szCs w:val="24"/>
        </w:rPr>
        <w:t>В. Социальная политика в зарубежных странах в период пандемии. [Электронный ресурс]. — Режим доступа:</w:t>
      </w:r>
      <w:r>
        <w:rPr>
          <w:color w:val="000000"/>
        </w:rPr>
        <w:t xml:space="preserve"> </w:t>
      </w:r>
      <w:hyperlink r:id="rId20">
        <w:r>
          <w:rPr>
            <w:rFonts w:ascii="Times New Roman" w:eastAsia="Times New Roman" w:hAnsi="Times New Roman" w:cs="Times New Roman"/>
            <w:color w:val="0563C1"/>
            <w:sz w:val="24"/>
            <w:szCs w:val="24"/>
            <w:u w:val="single"/>
          </w:rPr>
          <w:t>https://ac.gov</w:t>
        </w:r>
        <w:r>
          <w:rPr>
            <w:rFonts w:ascii="Times New Roman" w:eastAsia="Times New Roman" w:hAnsi="Times New Roman" w:cs="Times New Roman"/>
            <w:color w:val="0563C1"/>
            <w:sz w:val="24"/>
            <w:szCs w:val="24"/>
            <w:u w:val="single"/>
          </w:rPr>
          <w:t>.ru/uploads/2-Publications/social/social.2020.3.pdf</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Трудовой кодекс Российской Федерации от 30.12.2001 N 197-ФЗ (ред. от 29.12.2020) [Электронный ресурс]. — Режим доступа: </w:t>
      </w:r>
      <w:hyperlink r:id="rId21">
        <w:r>
          <w:rPr>
            <w:rFonts w:ascii="Times New Roman" w:eastAsia="Times New Roman" w:hAnsi="Times New Roman" w:cs="Times New Roman"/>
            <w:color w:val="0563C1"/>
            <w:sz w:val="24"/>
            <w:szCs w:val="24"/>
            <w:u w:val="single"/>
          </w:rPr>
          <w:t>http://www.consultant.ru</w:t>
        </w:r>
      </w:hyperlink>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Фондом содейст</w:t>
      </w:r>
      <w:r>
        <w:rPr>
          <w:rFonts w:ascii="Times New Roman" w:eastAsia="Times New Roman" w:hAnsi="Times New Roman" w:cs="Times New Roman"/>
          <w:color w:val="000000"/>
          <w:sz w:val="24"/>
          <w:szCs w:val="24"/>
        </w:rPr>
        <w:t xml:space="preserve">вия инновациям. Программа поддержки. [Электронный ресурс]. — Режим доступа: </w:t>
      </w:r>
      <w:hyperlink r:id="rId22">
        <w:r>
          <w:rPr>
            <w:rFonts w:ascii="Times New Roman" w:eastAsia="Times New Roman" w:hAnsi="Times New Roman" w:cs="Times New Roman"/>
            <w:color w:val="0563C1"/>
            <w:sz w:val="24"/>
            <w:szCs w:val="24"/>
            <w:u w:val="single"/>
          </w:rPr>
          <w:t>https://fasie.ru/programs/programma-umnik/</w:t>
        </w:r>
      </w:hyperlink>
      <w:r>
        <w:rPr>
          <w:rFonts w:ascii="Times New Roman" w:eastAsia="Times New Roman" w:hAnsi="Times New Roman" w:cs="Times New Roman"/>
          <w:color w:val="000000"/>
          <w:sz w:val="24"/>
          <w:szCs w:val="24"/>
        </w:rPr>
        <w:t xml:space="preserve"> </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больше пугает при поиске работы: результаты опроса [Электронный ресурс]. — Режим доступа: </w:t>
      </w:r>
      <w:hyperlink r:id="rId23">
        <w:r>
          <w:rPr>
            <w:rFonts w:ascii="Times New Roman" w:eastAsia="Times New Roman" w:hAnsi="Times New Roman" w:cs="Times New Roman"/>
            <w:color w:val="0563C1"/>
            <w:sz w:val="24"/>
            <w:szCs w:val="24"/>
            <w:u w:val="single"/>
          </w:rPr>
          <w:t>https://hh.ru/article/27424</w:t>
        </w:r>
      </w:hyperlink>
      <w:r>
        <w:rPr>
          <w:rFonts w:ascii="Times New Roman" w:eastAsia="Times New Roman" w:hAnsi="Times New Roman" w:cs="Times New Roman"/>
          <w:color w:val="000000"/>
          <w:sz w:val="24"/>
          <w:szCs w:val="24"/>
        </w:rPr>
        <w:t>, 14.09.2020.</w:t>
      </w:r>
    </w:p>
    <w:p w:rsidR="00FD2015" w:rsidRDefault="004C784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Шабунова А.А. Здоровье и самосохранительное поведение населения в контекст</w:t>
      </w:r>
      <w:r>
        <w:rPr>
          <w:rFonts w:ascii="Times New Roman" w:eastAsia="Times New Roman" w:hAnsi="Times New Roman" w:cs="Times New Roman"/>
          <w:color w:val="000000"/>
          <w:sz w:val="24"/>
          <w:szCs w:val="24"/>
        </w:rPr>
        <w:t>е COVID-19 // Социальное пространство. 2020. Т. 6. № 3. С. 1-7.</w:t>
      </w:r>
    </w:p>
    <w:p w:rsidR="00FD2015" w:rsidRDefault="00FD2015">
      <w:pPr>
        <w:pBdr>
          <w:top w:val="nil"/>
          <w:left w:val="nil"/>
          <w:bottom w:val="nil"/>
          <w:right w:val="nil"/>
          <w:between w:val="nil"/>
        </w:pBdr>
        <w:shd w:val="clear" w:color="auto" w:fill="FFFFFF"/>
        <w:spacing w:after="0" w:line="240" w:lineRule="auto"/>
        <w:ind w:left="400"/>
        <w:jc w:val="both"/>
        <w:rPr>
          <w:rFonts w:ascii="Times New Roman" w:eastAsia="Times New Roman" w:hAnsi="Times New Roman" w:cs="Times New Roman"/>
          <w:color w:val="000000"/>
          <w:sz w:val="24"/>
          <w:szCs w:val="24"/>
        </w:rPr>
      </w:pPr>
    </w:p>
    <w:p w:rsidR="00FD2015" w:rsidRDefault="00FD2015">
      <w:pPr>
        <w:pBdr>
          <w:top w:val="nil"/>
          <w:left w:val="nil"/>
          <w:bottom w:val="nil"/>
          <w:right w:val="nil"/>
          <w:between w:val="nil"/>
        </w:pBdr>
        <w:shd w:val="clear" w:color="auto" w:fill="FFFFFF"/>
        <w:spacing w:after="0" w:line="240" w:lineRule="auto"/>
        <w:ind w:left="400"/>
        <w:jc w:val="both"/>
        <w:rPr>
          <w:rFonts w:ascii="Times New Roman" w:eastAsia="Times New Roman" w:hAnsi="Times New Roman" w:cs="Times New Roman"/>
          <w:color w:val="000000"/>
          <w:sz w:val="24"/>
          <w:szCs w:val="24"/>
        </w:rPr>
      </w:pPr>
    </w:p>
    <w:p w:rsidR="00FD2015" w:rsidRDefault="00FD2015">
      <w:pPr>
        <w:pBdr>
          <w:top w:val="nil"/>
          <w:left w:val="nil"/>
          <w:bottom w:val="nil"/>
          <w:right w:val="nil"/>
          <w:between w:val="nil"/>
        </w:pBdr>
        <w:shd w:val="clear" w:color="auto" w:fill="FFFFFF"/>
        <w:spacing w:after="300" w:line="240" w:lineRule="auto"/>
        <w:ind w:left="400"/>
        <w:jc w:val="both"/>
        <w:rPr>
          <w:rFonts w:ascii="Times New Roman" w:eastAsia="Times New Roman" w:hAnsi="Times New Roman" w:cs="Times New Roman"/>
          <w:color w:val="000000"/>
          <w:sz w:val="24"/>
          <w:szCs w:val="24"/>
        </w:rPr>
      </w:pPr>
      <w:bookmarkStart w:id="2" w:name="_heading=h.1fob9te" w:colFirst="0" w:colLast="0"/>
      <w:bookmarkEnd w:id="2"/>
    </w:p>
    <w:p w:rsidR="00FD2015" w:rsidRDefault="004C78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об авторах</w:t>
      </w: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Портняга Екатерина Михайловна, магистрант кафедры общей и экономической социологии, Тюменский государственный университет, ул. Ленина 16, 6250003 г. Тюмень, российская Федерация, e-mail: </w:t>
      </w:r>
      <w:hyperlink r:id="rId24">
        <w:r>
          <w:rPr>
            <w:rFonts w:ascii="Times New Roman" w:eastAsia="Times New Roman" w:hAnsi="Times New Roman" w:cs="Times New Roman"/>
            <w:color w:val="0563C1"/>
            <w:sz w:val="24"/>
            <w:szCs w:val="24"/>
            <w:u w:val="single"/>
          </w:rPr>
          <w:t>stud0003948706</w:t>
        </w:r>
        <w:r>
          <w:rPr>
            <w:rFonts w:ascii="Times New Roman" w:eastAsia="Times New Roman" w:hAnsi="Times New Roman" w:cs="Times New Roman"/>
            <w:color w:val="0563C1"/>
            <w:sz w:val="24"/>
            <w:szCs w:val="24"/>
            <w:u w:val="single"/>
          </w:rPr>
          <w:t>@study.utmn.ru</w:t>
        </w:r>
      </w:hyperlink>
      <w:r>
        <w:rPr>
          <w:rFonts w:ascii="Times New Roman" w:eastAsia="Times New Roman" w:hAnsi="Times New Roman" w:cs="Times New Roman"/>
          <w:sz w:val="24"/>
          <w:szCs w:val="24"/>
        </w:rPr>
        <w:t xml:space="preserve"> </w:t>
      </w: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Чиркова Юлия Владимировна, магистрант кафедры общей и экономической социологии, Тюменский государственный университет, ул. Ленина 16, 6250003 г. Тюмень, российская Федерация, e-mail: </w:t>
      </w:r>
      <w:hyperlink r:id="rId25">
        <w:r>
          <w:rPr>
            <w:rFonts w:ascii="Times New Roman" w:eastAsia="Times New Roman" w:hAnsi="Times New Roman" w:cs="Times New Roman"/>
            <w:color w:val="0563C1"/>
            <w:sz w:val="24"/>
            <w:szCs w:val="24"/>
            <w:u w:val="single"/>
          </w:rPr>
          <w:t>y.v.chirko</w:t>
        </w:r>
        <w:r>
          <w:rPr>
            <w:rFonts w:ascii="Times New Roman" w:eastAsia="Times New Roman" w:hAnsi="Times New Roman" w:cs="Times New Roman"/>
            <w:color w:val="0563C1"/>
            <w:sz w:val="24"/>
            <w:szCs w:val="24"/>
            <w:u w:val="single"/>
          </w:rPr>
          <w:t>va@utmn.ru</w:t>
        </w:r>
      </w:hyperlink>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Ядрышникова Наталья Евгеньевна, магистрант кафедры общей и экономической социологии, Тюменский государственный университет, ул. Ленина 16, 6250003 г. Тюмень, российская Федерация, e-mail: </w:t>
      </w:r>
      <w:hyperlink r:id="rId26">
        <w:r>
          <w:rPr>
            <w:rFonts w:ascii="Times New Roman" w:eastAsia="Times New Roman" w:hAnsi="Times New Roman" w:cs="Times New Roman"/>
            <w:color w:val="0563C1"/>
            <w:sz w:val="24"/>
            <w:szCs w:val="24"/>
            <w:u w:val="single"/>
          </w:rPr>
          <w:t>n.e.yadryshnikova@utmn.ru</w:t>
        </w:r>
      </w:hyperlink>
    </w:p>
    <w:p w:rsidR="00FD2015" w:rsidRDefault="00FD2015">
      <w:pPr>
        <w:spacing w:after="0" w:line="240" w:lineRule="auto"/>
        <w:jc w:val="center"/>
        <w:rPr>
          <w:rFonts w:ascii="Times New Roman" w:eastAsia="Times New Roman" w:hAnsi="Times New Roman" w:cs="Times New Roman"/>
          <w:b/>
          <w:sz w:val="24"/>
          <w:szCs w:val="24"/>
        </w:rPr>
      </w:pPr>
    </w:p>
    <w:p w:rsidR="00FD2015" w:rsidRDefault="004C78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Employability of university graduates: modern conditions during a pandemic</w:t>
      </w:r>
    </w:p>
    <w:p w:rsidR="00FD2015" w:rsidRDefault="00FD2015">
      <w:pPr>
        <w:spacing w:after="0" w:line="240" w:lineRule="auto"/>
        <w:rPr>
          <w:rFonts w:ascii="Times New Roman" w:eastAsia="Times New Roman" w:hAnsi="Times New Roman" w:cs="Times New Roman"/>
          <w:b/>
          <w:sz w:val="24"/>
          <w:szCs w:val="24"/>
        </w:rPr>
      </w:pP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reported study was funded by RFBR, project number 19-29-07131</w:t>
      </w:r>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Abstact:</w:t>
      </w:r>
      <w:r>
        <w:rPr>
          <w:rFonts w:ascii="Times New Roman" w:eastAsia="Times New Roman" w:hAnsi="Times New Roman" w:cs="Times New Roman"/>
          <w:i/>
          <w:sz w:val="24"/>
          <w:szCs w:val="24"/>
        </w:rPr>
        <w:t xml:space="preserve"> Graduates of universities, as a rule, more often than other categories of the population face problems when looking for work. During the pandemic, the problem of employment has become even more acute: in the new post-like conditions, novice specialists ar</w:t>
      </w:r>
      <w:r>
        <w:rPr>
          <w:rFonts w:ascii="Times New Roman" w:eastAsia="Times New Roman" w:hAnsi="Times New Roman" w:cs="Times New Roman"/>
          <w:i/>
          <w:sz w:val="24"/>
          <w:szCs w:val="24"/>
        </w:rPr>
        <w:t>e faced with previously unknown mechanisms of adaptation to modern realities in the field of education and job search.</w:t>
      </w:r>
    </w:p>
    <w:p w:rsidR="00FD2015" w:rsidRDefault="004C78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2015" w:rsidRDefault="004C784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employment of graduates, pandemic, Covid-19, labor market.</w:t>
      </w:r>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Portnyaga E.V., Chirkova Yu.V., Yadryshnikova N.E.</w:t>
      </w:r>
    </w:p>
    <w:p w:rsidR="00FD2015" w:rsidRDefault="00FD2015">
      <w:pPr>
        <w:spacing w:after="0" w:line="240" w:lineRule="auto"/>
        <w:jc w:val="both"/>
        <w:rPr>
          <w:rFonts w:ascii="Times New Roman" w:eastAsia="Times New Roman" w:hAnsi="Times New Roman" w:cs="Times New Roman"/>
          <w:b/>
          <w:sz w:val="24"/>
          <w:szCs w:val="24"/>
        </w:rPr>
      </w:pPr>
    </w:p>
    <w:p w:rsidR="00FD2015" w:rsidRDefault="004C784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w:t>
      </w:r>
      <w:r>
        <w:rPr>
          <w:rFonts w:ascii="Times New Roman" w:eastAsia="Times New Roman" w:hAnsi="Times New Roman" w:cs="Times New Roman"/>
          <w:b/>
          <w:sz w:val="24"/>
          <w:szCs w:val="24"/>
        </w:rPr>
        <w:t>bout the authors</w:t>
      </w: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Portnyaga Ekaterina Mikhailovna, Master's student of the Department of General and Economic Sociology, Tyumen State University, st. Lenin 16, 6250003 Tyumen, Russian Federation, e-mail: </w:t>
      </w:r>
      <w:hyperlink r:id="rId27">
        <w:r>
          <w:rPr>
            <w:rFonts w:ascii="Times New Roman" w:eastAsia="Times New Roman" w:hAnsi="Times New Roman" w:cs="Times New Roman"/>
            <w:color w:val="0563C1"/>
            <w:sz w:val="24"/>
            <w:szCs w:val="24"/>
            <w:u w:val="single"/>
          </w:rPr>
          <w:t>stud0003948706@study.utmn.ru</w:t>
        </w:r>
      </w:hyperlink>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Chirkova Yulia Vladimirovna, Master's student, Department of General and Economic Sociology, Tyumen State University, st. Lenin 16, 6250003 Tyumen, Russian Federation, e-mail: </w:t>
      </w:r>
      <w:hyperlink r:id="rId28">
        <w:r>
          <w:rPr>
            <w:rFonts w:ascii="Times New Roman" w:eastAsia="Times New Roman" w:hAnsi="Times New Roman" w:cs="Times New Roman"/>
            <w:color w:val="0563C1"/>
            <w:sz w:val="24"/>
            <w:szCs w:val="24"/>
            <w:u w:val="single"/>
          </w:rPr>
          <w:t>y</w:t>
        </w:r>
        <w:r>
          <w:rPr>
            <w:rFonts w:ascii="Times New Roman" w:eastAsia="Times New Roman" w:hAnsi="Times New Roman" w:cs="Times New Roman"/>
            <w:color w:val="0563C1"/>
            <w:sz w:val="24"/>
            <w:szCs w:val="24"/>
            <w:u w:val="single"/>
          </w:rPr>
          <w:t>.v.chirkova@utmn.ru</w:t>
        </w:r>
      </w:hyperlink>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Yadryshnikova Natalya Evgenievna, Master's student of the Department of General and Economic Sociology, Tyumen State University, st. Lenin 16, 6250003 Tyumen, Russian Federation, e-mail: </w:t>
      </w:r>
      <w:hyperlink r:id="rId29">
        <w:r>
          <w:rPr>
            <w:rFonts w:ascii="Times New Roman" w:eastAsia="Times New Roman" w:hAnsi="Times New Roman" w:cs="Times New Roman"/>
            <w:color w:val="0563C1"/>
            <w:sz w:val="24"/>
            <w:szCs w:val="24"/>
            <w:u w:val="single"/>
          </w:rPr>
          <w:t>n.e.yadryshnikova@utmn.ru</w:t>
        </w:r>
      </w:hyperlink>
    </w:p>
    <w:p w:rsidR="00FD2015" w:rsidRDefault="00FD2015">
      <w:pPr>
        <w:spacing w:after="0" w:line="240" w:lineRule="auto"/>
        <w:jc w:val="both"/>
        <w:rPr>
          <w:rFonts w:ascii="Times New Roman" w:eastAsia="Times New Roman" w:hAnsi="Times New Roman" w:cs="Times New Roman"/>
          <w:sz w:val="24"/>
          <w:szCs w:val="24"/>
        </w:rPr>
      </w:pPr>
    </w:p>
    <w:p w:rsidR="00FD2015" w:rsidRDefault="004C78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FD2015" w:rsidRDefault="00FD2015">
      <w:pPr>
        <w:spacing w:after="0" w:line="240" w:lineRule="auto"/>
        <w:jc w:val="center"/>
        <w:rPr>
          <w:rFonts w:ascii="Times New Roman" w:eastAsia="Times New Roman" w:hAnsi="Times New Roman" w:cs="Times New Roman"/>
          <w:b/>
          <w:sz w:val="24"/>
          <w:szCs w:val="24"/>
        </w:rPr>
      </w:pP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Antonova G.V., Mirzabalaeva F.I., Bondarchuk A.G. Problems of employment of graduates of educational institutions in the context of the coronavirus pandemic // Economika truda, 2020. T. 7. No. 12. pp. 1249-1268 UR</w:t>
      </w:r>
      <w:r>
        <w:rPr>
          <w:rFonts w:ascii="Times New Roman" w:eastAsia="Times New Roman" w:hAnsi="Times New Roman" w:cs="Times New Roman"/>
          <w:sz w:val="24"/>
          <w:szCs w:val="24"/>
        </w:rPr>
        <w:t xml:space="preserve">L: </w:t>
      </w:r>
      <w:hyperlink r:id="rId30">
        <w:r>
          <w:rPr>
            <w:rFonts w:ascii="Times New Roman" w:eastAsia="Times New Roman" w:hAnsi="Times New Roman" w:cs="Times New Roman"/>
            <w:color w:val="1155CC"/>
            <w:sz w:val="24"/>
            <w:szCs w:val="24"/>
            <w:u w:val="single"/>
          </w:rPr>
          <w:t>https://www.elibrary.ru/item.asp?id=44483254</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Davydenko V.A., Mikhalevich I. Ya. Transformation of the concept of human capital for health in the context of the COVID-19 pandemic // Logos et praxis. 2020.Vol. 19.No. 4. pp. 21-33.</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dynamics of vacancies for the category "Career start, students" URL:</w:t>
      </w:r>
      <w:r>
        <w:rPr>
          <w:rFonts w:ascii="Times New Roman" w:eastAsia="Times New Roman" w:hAnsi="Times New Roman" w:cs="Times New Roman"/>
          <w:sz w:val="24"/>
          <w:szCs w:val="24"/>
        </w:rPr>
        <w:t xml:space="preserve"> </w:t>
      </w:r>
      <w:hyperlink r:id="rId31" w:anchor="vacancies%5Bactive%5D=true&amp;vacancies%5Bperiod%5D=year&amp;vacancies%5Bprofarea%5D=15">
        <w:r>
          <w:rPr>
            <w:rFonts w:ascii="Times New Roman" w:eastAsia="Times New Roman" w:hAnsi="Times New Roman" w:cs="Times New Roman"/>
            <w:color w:val="1155CC"/>
            <w:sz w:val="24"/>
            <w:szCs w:val="24"/>
            <w:u w:val="single"/>
          </w:rPr>
          <w:t>https://stats.hh.ru/#vacancies%5Bactive%5D=true&amp;vacancies%5Bperiod%5D=year&amp;vacancies%5Bprofarea%5D=15</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dynamics of the resume</w:t>
      </w:r>
      <w:r>
        <w:rPr>
          <w:rFonts w:ascii="Times New Roman" w:eastAsia="Times New Roman" w:hAnsi="Times New Roman" w:cs="Times New Roman"/>
          <w:sz w:val="24"/>
          <w:szCs w:val="24"/>
        </w:rPr>
        <w:t xml:space="preserve"> for the category "Career start, students" URL: </w:t>
      </w:r>
      <w:hyperlink r:id="rId32" w:anchor="resumes%5Bactive%5D=true&amp;resumes%5Bperiod%5D=year&amp;resumes%5Bprofarea%5D=15">
        <w:r>
          <w:rPr>
            <w:rFonts w:ascii="Times New Roman" w:eastAsia="Times New Roman" w:hAnsi="Times New Roman" w:cs="Times New Roman"/>
            <w:color w:val="1155CC"/>
            <w:sz w:val="24"/>
            <w:szCs w:val="24"/>
            <w:u w:val="single"/>
          </w:rPr>
          <w:t>https://stats.hh.ru/#resumes%5Bactive%5D=true&amp;resumes%5Bperiod%5D=year&amp;resumes%5Bprofare</w:t>
        </w:r>
        <w:r>
          <w:rPr>
            <w:rFonts w:ascii="Times New Roman" w:eastAsia="Times New Roman" w:hAnsi="Times New Roman" w:cs="Times New Roman"/>
            <w:color w:val="1155CC"/>
            <w:sz w:val="24"/>
            <w:szCs w:val="24"/>
            <w:u w:val="single"/>
          </w:rPr>
          <w:t>a%5D=15</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 of Covid: Preliminary Results and Challenges of the Decade / ed. K. Rogov. Liberal Mission, 2021. 99 p.</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Loktionova M. "Few people called back": why graduates are not hired // Gazeta.ru. 2020 URL: </w:t>
      </w:r>
      <w:hyperlink r:id="rId33">
        <w:r>
          <w:rPr>
            <w:rFonts w:ascii="Times New Roman" w:eastAsia="Times New Roman" w:hAnsi="Times New Roman" w:cs="Times New Roman"/>
            <w:color w:val="1155CC"/>
            <w:sz w:val="24"/>
            <w:szCs w:val="24"/>
            <w:u w:val="single"/>
          </w:rPr>
          <w:t>https://www.gazeta.ru/social/2020/07/21/13160443.shtml</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Ministry of Science and Higher Education of Russia. Interview dated May 27, 2020 URL: </w:t>
      </w:r>
      <w:hyperlink r:id="rId34">
        <w:r>
          <w:rPr>
            <w:rFonts w:ascii="Times New Roman" w:eastAsia="Times New Roman" w:hAnsi="Times New Roman" w:cs="Times New Roman"/>
            <w:color w:val="1155CC"/>
            <w:sz w:val="24"/>
            <w:szCs w:val="24"/>
            <w:u w:val="single"/>
          </w:rPr>
          <w:t>https://www.minobrnauki.gov.ru/press-center/news/?ELEMENT_ID=21574</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Ministry of Labor and Social Protection of the Russian Federation. Order "On approval of the Package of measures for the appointment of employment of citizens" URL: </w:t>
      </w:r>
      <w:hyperlink r:id="rId35">
        <w:r>
          <w:rPr>
            <w:rFonts w:ascii="Times New Roman" w:eastAsia="Times New Roman" w:hAnsi="Times New Roman" w:cs="Times New Roman"/>
            <w:color w:val="1155CC"/>
            <w:sz w:val="24"/>
            <w:szCs w:val="24"/>
            <w:u w:val="single"/>
          </w:rPr>
          <w:t>https://mintrud.gov.ru/employment/69</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site of labor organization URL: </w:t>
      </w:r>
      <w:hyperlink r:id="rId36">
        <w:r>
          <w:rPr>
            <w:rFonts w:ascii="Times New Roman" w:eastAsia="Times New Roman" w:hAnsi="Times New Roman" w:cs="Times New Roman"/>
            <w:color w:val="1155CC"/>
            <w:sz w:val="24"/>
            <w:szCs w:val="24"/>
            <w:u w:val="single"/>
          </w:rPr>
          <w:t>https://www.ilo.org/moscow/news</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site of the Federal State Stat</w:t>
      </w:r>
      <w:r>
        <w:rPr>
          <w:rFonts w:ascii="Times New Roman" w:eastAsia="Times New Roman" w:hAnsi="Times New Roman" w:cs="Times New Roman"/>
          <w:sz w:val="24"/>
          <w:szCs w:val="24"/>
        </w:rPr>
        <w:t xml:space="preserve">istics Service. URL: </w:t>
      </w:r>
      <w:hyperlink r:id="rId37">
        <w:r>
          <w:rPr>
            <w:rFonts w:ascii="Times New Roman" w:eastAsia="Times New Roman" w:hAnsi="Times New Roman" w:cs="Times New Roman"/>
            <w:color w:val="1155CC"/>
            <w:sz w:val="24"/>
            <w:szCs w:val="24"/>
            <w:u w:val="single"/>
          </w:rPr>
          <w:t>http://www.gks.ru</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University of Economics. G.V. Plekhanov. Activity. URL: </w:t>
      </w:r>
      <w:hyperlink r:id="rId38">
        <w:r>
          <w:rPr>
            <w:rFonts w:ascii="Times New Roman" w:eastAsia="Times New Roman" w:hAnsi="Times New Roman" w:cs="Times New Roman"/>
            <w:color w:val="1155CC"/>
            <w:sz w:val="24"/>
            <w:szCs w:val="24"/>
            <w:u w:val="single"/>
          </w:rPr>
          <w:t>https://www.rea.ru/ru/events/default.aspx</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activity software system. Draft Law on Amendments to the Federal Law "On Education in the Russian Federation". URL: </w:t>
      </w:r>
      <w:hyperlink r:id="rId39">
        <w:r>
          <w:rPr>
            <w:rFonts w:ascii="Times New Roman" w:eastAsia="Times New Roman" w:hAnsi="Times New Roman" w:cs="Times New Roman"/>
            <w:color w:val="1155CC"/>
            <w:sz w:val="24"/>
            <w:szCs w:val="24"/>
            <w:u w:val="single"/>
          </w:rPr>
          <w:t>https://sozd.duma.gov.ru/bill/1061478-7</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Trubin V., Nikolaeva N., Sanishvili T.,</w:t>
      </w:r>
      <w:r>
        <w:rPr>
          <w:rFonts w:ascii="Times New Roman" w:eastAsia="Times New Roman" w:hAnsi="Times New Roman" w:cs="Times New Roman"/>
          <w:sz w:val="24"/>
          <w:szCs w:val="24"/>
        </w:rPr>
        <w:t xml:space="preserve"> Tarasova V. Social policy in foreign countries during a pandemic. URL: </w:t>
      </w:r>
      <w:hyperlink r:id="rId40">
        <w:r>
          <w:rPr>
            <w:rFonts w:ascii="Times New Roman" w:eastAsia="Times New Roman" w:hAnsi="Times New Roman" w:cs="Times New Roman"/>
            <w:color w:val="1155CC"/>
            <w:sz w:val="24"/>
            <w:szCs w:val="24"/>
            <w:u w:val="single"/>
          </w:rPr>
          <w:t>https://ac.gov.ru/uploads/2-Publications/social/social.2020.3.pdf</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Code of the Russian Federation of 12/30/2001 N 197-FZ (as amended on 12/29/2020) URL: </w:t>
      </w:r>
      <w:hyperlink r:id="rId41">
        <w:r>
          <w:rPr>
            <w:rFonts w:ascii="Times New Roman" w:eastAsia="Times New Roman" w:hAnsi="Times New Roman" w:cs="Times New Roman"/>
            <w:color w:val="1155CC"/>
            <w:sz w:val="24"/>
            <w:szCs w:val="24"/>
            <w:u w:val="single"/>
          </w:rPr>
          <w:t>http://www.consultant.ru</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 for the Promotion of Innovation. Support program. URL: </w:t>
      </w:r>
      <w:hyperlink r:id="rId42">
        <w:r>
          <w:rPr>
            <w:rFonts w:ascii="Times New Roman" w:eastAsia="Times New Roman" w:hAnsi="Times New Roman" w:cs="Times New Roman"/>
            <w:color w:val="1155CC"/>
            <w:sz w:val="24"/>
            <w:szCs w:val="24"/>
            <w:u w:val="single"/>
          </w:rPr>
          <w:t>https://fasie.ru/programs/programma-umnik/</w:t>
        </w:r>
      </w:hyperlink>
      <w:r>
        <w:rPr>
          <w:rFonts w:ascii="Times New Roman" w:eastAsia="Times New Roman" w:hAnsi="Times New Roman" w:cs="Times New Roman"/>
          <w:sz w:val="24"/>
          <w:szCs w:val="24"/>
        </w:rPr>
        <w:t xml:space="preserve">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more frightening when looking for a job: survey results URL: https://hh.ru/article/27424, 09/14/2020. </w:t>
      </w:r>
    </w:p>
    <w:p w:rsidR="00FD2015" w:rsidRDefault="004C784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Shabunova A.A. Health and self-preservation behavior of the population in</w:t>
      </w:r>
      <w:r>
        <w:rPr>
          <w:rFonts w:ascii="Times New Roman" w:eastAsia="Times New Roman" w:hAnsi="Times New Roman" w:cs="Times New Roman"/>
          <w:sz w:val="24"/>
          <w:szCs w:val="24"/>
        </w:rPr>
        <w:t xml:space="preserve"> the context of COVID-19 //Socialnoe prostranstvo. 2020.Vol. 6. No. 3. pp. 1-7. </w:t>
      </w:r>
    </w:p>
    <w:sectPr w:rsidR="00FD201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2F58"/>
    <w:multiLevelType w:val="multilevel"/>
    <w:tmpl w:val="16C27824"/>
    <w:lvl w:ilvl="0">
      <w:start w:val="1"/>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 w15:restartNumberingAfterBreak="0">
    <w:nsid w:val="49297A00"/>
    <w:multiLevelType w:val="multilevel"/>
    <w:tmpl w:val="64903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15"/>
    <w:rsid w:val="004C7849"/>
    <w:rsid w:val="00FD20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532E5-726A-4457-8D84-02945F62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6475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Pr>
  </w:style>
  <w:style w:type="character" w:styleId="a7">
    <w:name w:val="Hyperlink"/>
    <w:basedOn w:val="a0"/>
    <w:uiPriority w:val="99"/>
    <w:unhideWhenUsed/>
    <w:rsid w:val="00F962DA"/>
    <w:rPr>
      <w:color w:val="0563C1" w:themeColor="hyperlink"/>
      <w:u w:val="single"/>
    </w:rPr>
  </w:style>
  <w:style w:type="paragraph" w:styleId="a8">
    <w:name w:val="footnote text"/>
    <w:basedOn w:val="a"/>
    <w:link w:val="a9"/>
    <w:uiPriority w:val="99"/>
    <w:semiHidden/>
    <w:unhideWhenUsed/>
    <w:rsid w:val="009575B6"/>
    <w:pPr>
      <w:spacing w:after="0" w:line="240" w:lineRule="auto"/>
    </w:pPr>
    <w:rPr>
      <w:sz w:val="20"/>
      <w:szCs w:val="20"/>
    </w:rPr>
  </w:style>
  <w:style w:type="character" w:customStyle="1" w:styleId="a9">
    <w:name w:val="Текст сноски Знак"/>
    <w:basedOn w:val="a0"/>
    <w:link w:val="a8"/>
    <w:uiPriority w:val="99"/>
    <w:semiHidden/>
    <w:rsid w:val="009575B6"/>
    <w:rPr>
      <w:sz w:val="20"/>
      <w:szCs w:val="20"/>
    </w:rPr>
  </w:style>
  <w:style w:type="character" w:styleId="aa">
    <w:name w:val="footnote reference"/>
    <w:basedOn w:val="a0"/>
    <w:uiPriority w:val="99"/>
    <w:semiHidden/>
    <w:unhideWhenUsed/>
    <w:rsid w:val="009575B6"/>
    <w:rPr>
      <w:vertAlign w:val="superscript"/>
    </w:rPr>
  </w:style>
  <w:style w:type="paragraph" w:styleId="ab">
    <w:name w:val="Balloon Text"/>
    <w:basedOn w:val="a"/>
    <w:link w:val="ac"/>
    <w:uiPriority w:val="99"/>
    <w:semiHidden/>
    <w:unhideWhenUsed/>
    <w:rsid w:val="00B451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4510B"/>
    <w:rPr>
      <w:rFonts w:ascii="Segoe UI" w:hAnsi="Segoe UI" w:cs="Segoe UI"/>
      <w:sz w:val="18"/>
      <w:szCs w:val="18"/>
    </w:rPr>
  </w:style>
  <w:style w:type="paragraph" w:styleId="ad">
    <w:name w:val="header"/>
    <w:basedOn w:val="a"/>
    <w:link w:val="ae"/>
    <w:uiPriority w:val="99"/>
    <w:unhideWhenUsed/>
    <w:rsid w:val="00B31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1147"/>
  </w:style>
  <w:style w:type="paragraph" w:styleId="af">
    <w:name w:val="footer"/>
    <w:basedOn w:val="a"/>
    <w:link w:val="af0"/>
    <w:uiPriority w:val="99"/>
    <w:unhideWhenUsed/>
    <w:rsid w:val="00B31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1147"/>
  </w:style>
  <w:style w:type="paragraph" w:styleId="af1">
    <w:name w:val="List Paragraph"/>
    <w:basedOn w:val="a"/>
    <w:uiPriority w:val="34"/>
    <w:qFormat/>
    <w:rsid w:val="008107D7"/>
    <w:pPr>
      <w:ind w:left="720"/>
      <w:contextualSpacing/>
    </w:pPr>
  </w:style>
  <w:style w:type="table" w:customStyle="1" w:styleId="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tats.hh.ru/" TargetMode="External"/><Relationship Id="rId18" Type="http://schemas.openxmlformats.org/officeDocument/2006/relationships/hyperlink" Target="https://www.rea.ru/ru/events/default.aspx" TargetMode="External"/><Relationship Id="rId26" Type="http://schemas.openxmlformats.org/officeDocument/2006/relationships/hyperlink" Target="mailto:n.e.yadryshnikova@utmn.ru" TargetMode="External"/><Relationship Id="rId39" Type="http://schemas.openxmlformats.org/officeDocument/2006/relationships/hyperlink" Target="https://sozd.duma.gov.ru/bill/1061478-7"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s://www.minobrnauki.gov.ru/press-center/news/?ELEMENT_ID=21574" TargetMode="External"/><Relationship Id="rId42" Type="http://schemas.openxmlformats.org/officeDocument/2006/relationships/hyperlink" Target="https://fasie.ru/programs/programma-umnik/" TargetMode="External"/><Relationship Id="rId7" Type="http://schemas.openxmlformats.org/officeDocument/2006/relationships/chart" Target="charts/chart2.xml"/><Relationship Id="rId12" Type="http://schemas.openxmlformats.org/officeDocument/2006/relationships/hyperlink" Target="https://stats.hh.ru/" TargetMode="External"/><Relationship Id="rId17" Type="http://schemas.openxmlformats.org/officeDocument/2006/relationships/hyperlink" Target="http://www.gks.ru" TargetMode="External"/><Relationship Id="rId25" Type="http://schemas.openxmlformats.org/officeDocument/2006/relationships/hyperlink" Target="mailto:y.v.chirkova@utmn.ru" TargetMode="External"/><Relationship Id="rId33" Type="http://schemas.openxmlformats.org/officeDocument/2006/relationships/hyperlink" Target="https://www.gazeta.ru/social/2020/07/21/13160443.shtml" TargetMode="External"/><Relationship Id="rId38" Type="http://schemas.openxmlformats.org/officeDocument/2006/relationships/hyperlink" Target="https://www.rea.ru/ru/events/default.aspx" TargetMode="External"/><Relationship Id="rId2" Type="http://schemas.openxmlformats.org/officeDocument/2006/relationships/numbering" Target="numbering.xml"/><Relationship Id="rId16" Type="http://schemas.openxmlformats.org/officeDocument/2006/relationships/hyperlink" Target="https://mintrud.gov.ru/employment/69" TargetMode="External"/><Relationship Id="rId20" Type="http://schemas.openxmlformats.org/officeDocument/2006/relationships/hyperlink" Target="https://ac.gov.ru/uploads/2-Publications/social/social.2020.3.pdf" TargetMode="External"/><Relationship Id="rId29" Type="http://schemas.openxmlformats.org/officeDocument/2006/relationships/hyperlink" Target="mailto:n.e.yadryshnikova@utmn.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elibrary.ru/item.asp?id=44483254" TargetMode="External"/><Relationship Id="rId24" Type="http://schemas.openxmlformats.org/officeDocument/2006/relationships/hyperlink" Target="mailto:stud0003948706@study.utmn.ru" TargetMode="External"/><Relationship Id="rId32" Type="http://schemas.openxmlformats.org/officeDocument/2006/relationships/hyperlink" Target="https://stats.hh.ru/" TargetMode="External"/><Relationship Id="rId37" Type="http://schemas.openxmlformats.org/officeDocument/2006/relationships/hyperlink" Target="http://www.gks.ru" TargetMode="External"/><Relationship Id="rId40" Type="http://schemas.openxmlformats.org/officeDocument/2006/relationships/hyperlink" Target="https://ac.gov.ru/uploads/2-Publications/social/social.2020.3.pdf" TargetMode="External"/><Relationship Id="rId5" Type="http://schemas.openxmlformats.org/officeDocument/2006/relationships/webSettings" Target="webSettings.xml"/><Relationship Id="rId15" Type="http://schemas.openxmlformats.org/officeDocument/2006/relationships/hyperlink" Target="https://www.minobrnauki.gov.ru/press-center/news/?ELEMENT_ID=21574" TargetMode="External"/><Relationship Id="rId23" Type="http://schemas.openxmlformats.org/officeDocument/2006/relationships/hyperlink" Target="https://hh.ru/article/27424" TargetMode="External"/><Relationship Id="rId28" Type="http://schemas.openxmlformats.org/officeDocument/2006/relationships/hyperlink" Target="mailto:y.v.chirkova@utmn.ru" TargetMode="External"/><Relationship Id="rId36" Type="http://schemas.openxmlformats.org/officeDocument/2006/relationships/hyperlink" Target="https://www.ilo.org/moscow/news" TargetMode="External"/><Relationship Id="rId10" Type="http://schemas.openxmlformats.org/officeDocument/2006/relationships/image" Target="media/image1.png"/><Relationship Id="rId19" Type="http://schemas.openxmlformats.org/officeDocument/2006/relationships/hyperlink" Target="https://sozd.duma.gov.ru/bill/1061478-7" TargetMode="External"/><Relationship Id="rId31" Type="http://schemas.openxmlformats.org/officeDocument/2006/relationships/hyperlink" Target="https://stats.hh.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zeta.ru/social/2020/07/21/13160443.shtml" TargetMode="External"/><Relationship Id="rId22" Type="http://schemas.openxmlformats.org/officeDocument/2006/relationships/hyperlink" Target="https://fasie.ru/programs/programma-umnik/" TargetMode="External"/><Relationship Id="rId27" Type="http://schemas.openxmlformats.org/officeDocument/2006/relationships/hyperlink" Target="mailto:stud0003948706@study.utmn.ru" TargetMode="External"/><Relationship Id="rId30" Type="http://schemas.openxmlformats.org/officeDocument/2006/relationships/hyperlink" Target="https://www.elibrary.ru/item.asp?id=44483254" TargetMode="External"/><Relationship Id="rId35" Type="http://schemas.openxmlformats.org/officeDocument/2006/relationships/hyperlink" Target="https://mintrud.gov.ru/employment/69"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Лист1!$B$1</c:f>
              <c:strCache>
                <c:ptCount val="1"/>
                <c:pt idx="0">
                  <c:v>2020</c:v>
                </c:pt>
              </c:strCache>
            </c:strRef>
          </c:tx>
          <c:spPr>
            <a:ln w="28575" cap="rnd">
              <a:solidFill>
                <a:schemeClr val="accent5">
                  <a:shade val="76000"/>
                </a:schemeClr>
              </a:solidFill>
              <a:round/>
            </a:ln>
            <a:effectLst/>
          </c:spPr>
          <c:marker>
            <c:symbol val="circle"/>
            <c:size val="5"/>
            <c:spPr>
              <a:solidFill>
                <a:schemeClr val="accent5">
                  <a:shade val="76000"/>
                </a:schemeClr>
              </a:solidFill>
              <a:ln w="9525">
                <a:solidFill>
                  <a:schemeClr val="accent5">
                    <a:shade val="76000"/>
                  </a:schemeClr>
                </a:solidFill>
              </a:ln>
              <a:effectLst/>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0.09</c:v>
                </c:pt>
                <c:pt idx="1">
                  <c:v>-0.08</c:v>
                </c:pt>
                <c:pt idx="2">
                  <c:v>0.01</c:v>
                </c:pt>
                <c:pt idx="3">
                  <c:v>-0.28999999999999998</c:v>
                </c:pt>
                <c:pt idx="4">
                  <c:v>0.13</c:v>
                </c:pt>
                <c:pt idx="5">
                  <c:v>0.69</c:v>
                </c:pt>
                <c:pt idx="6">
                  <c:v>0.17</c:v>
                </c:pt>
                <c:pt idx="7">
                  <c:v>0.1</c:v>
                </c:pt>
                <c:pt idx="8">
                  <c:v>0.01</c:v>
                </c:pt>
                <c:pt idx="9">
                  <c:v>-0.02</c:v>
                </c:pt>
                <c:pt idx="10">
                  <c:v>0.02</c:v>
                </c:pt>
                <c:pt idx="11">
                  <c:v>-0.19</c:v>
                </c:pt>
              </c:numCache>
            </c:numRef>
          </c:val>
          <c:smooth val="0"/>
          <c:extLst>
            <c:ext xmlns:c16="http://schemas.microsoft.com/office/drawing/2014/chart" uri="{C3380CC4-5D6E-409C-BE32-E72D297353CC}">
              <c16:uniqueId val="{00000000-AD3F-4CA0-B38D-DD576D8E8DC2}"/>
            </c:ext>
          </c:extLst>
        </c:ser>
        <c:ser>
          <c:idx val="1"/>
          <c:order val="1"/>
          <c:tx>
            <c:strRef>
              <c:f>Лист1!$C$1</c:f>
              <c:strCache>
                <c:ptCount val="1"/>
                <c:pt idx="0">
                  <c:v>2021</c:v>
                </c:pt>
              </c:strCache>
            </c:strRef>
          </c:tx>
          <c:spPr>
            <a:ln w="28575" cap="rnd">
              <a:solidFill>
                <a:schemeClr val="accent5">
                  <a:tint val="77000"/>
                </a:schemeClr>
              </a:solidFill>
              <a:round/>
            </a:ln>
            <a:effectLst/>
          </c:spPr>
          <c:marker>
            <c:symbol val="circle"/>
            <c:size val="5"/>
            <c:spPr>
              <a:solidFill>
                <a:schemeClr val="accent5">
                  <a:tint val="77000"/>
                </a:schemeClr>
              </a:solidFill>
              <a:ln w="9525">
                <a:solidFill>
                  <a:schemeClr val="accent5">
                    <a:tint val="77000"/>
                  </a:schemeClr>
                </a:solidFill>
              </a:ln>
              <a:effectLst/>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0.19</c:v>
                </c:pt>
                <c:pt idx="1">
                  <c:v>0.16</c:v>
                </c:pt>
              </c:numCache>
            </c:numRef>
          </c:val>
          <c:smooth val="0"/>
          <c:extLst>
            <c:ext xmlns:c16="http://schemas.microsoft.com/office/drawing/2014/chart" uri="{C3380CC4-5D6E-409C-BE32-E72D297353CC}">
              <c16:uniqueId val="{00000001-AD3F-4CA0-B38D-DD576D8E8DC2}"/>
            </c:ext>
          </c:extLst>
        </c:ser>
        <c:dLbls>
          <c:showLegendKey val="0"/>
          <c:showVal val="0"/>
          <c:showCatName val="0"/>
          <c:showSerName val="0"/>
          <c:showPercent val="0"/>
          <c:showBubbleSize val="0"/>
        </c:dLbls>
        <c:marker val="1"/>
        <c:smooth val="0"/>
        <c:axId val="325093632"/>
        <c:axId val="329387416"/>
      </c:lineChart>
      <c:catAx>
        <c:axId val="32509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9387416"/>
        <c:crosses val="autoZero"/>
        <c:auto val="1"/>
        <c:lblAlgn val="ctr"/>
        <c:lblOffset val="100"/>
        <c:noMultiLvlLbl val="0"/>
      </c:catAx>
      <c:valAx>
        <c:axId val="329387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509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Лист1!$B$1</c:f>
              <c:strCache>
                <c:ptCount val="1"/>
                <c:pt idx="0">
                  <c:v>2020</c:v>
                </c:pt>
              </c:strCache>
            </c:strRef>
          </c:tx>
          <c:spPr>
            <a:ln w="28575" cap="rnd">
              <a:solidFill>
                <a:schemeClr val="accent5">
                  <a:shade val="76000"/>
                </a:schemeClr>
              </a:solidFill>
              <a:round/>
            </a:ln>
            <a:effectLst/>
          </c:spPr>
          <c:marker>
            <c:symbol val="circle"/>
            <c:size val="5"/>
            <c:spPr>
              <a:solidFill>
                <a:schemeClr val="accent5">
                  <a:shade val="76000"/>
                </a:schemeClr>
              </a:solidFill>
              <a:ln w="9525">
                <a:solidFill>
                  <a:schemeClr val="accent5">
                    <a:shade val="76000"/>
                  </a:schemeClr>
                </a:solidFill>
              </a:ln>
              <a:effectLst/>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0.43</c:v>
                </c:pt>
                <c:pt idx="1">
                  <c:v>0.05</c:v>
                </c:pt>
                <c:pt idx="2">
                  <c:v>-0.13</c:v>
                </c:pt>
                <c:pt idx="3">
                  <c:v>-0.28999999999999998</c:v>
                </c:pt>
                <c:pt idx="4">
                  <c:v>0.28000000000000003</c:v>
                </c:pt>
                <c:pt idx="5">
                  <c:v>0.49</c:v>
                </c:pt>
                <c:pt idx="6">
                  <c:v>0.12</c:v>
                </c:pt>
                <c:pt idx="7">
                  <c:v>-0.15</c:v>
                </c:pt>
                <c:pt idx="8">
                  <c:v>0.1</c:v>
                </c:pt>
                <c:pt idx="9">
                  <c:v>-0.09</c:v>
                </c:pt>
                <c:pt idx="10">
                  <c:v>-0.04</c:v>
                </c:pt>
                <c:pt idx="11">
                  <c:v>-0.26</c:v>
                </c:pt>
              </c:numCache>
            </c:numRef>
          </c:val>
          <c:smooth val="0"/>
          <c:extLst>
            <c:ext xmlns:c16="http://schemas.microsoft.com/office/drawing/2014/chart" uri="{C3380CC4-5D6E-409C-BE32-E72D297353CC}">
              <c16:uniqueId val="{00000000-91CD-4A87-B6F0-01C8E575200A}"/>
            </c:ext>
          </c:extLst>
        </c:ser>
        <c:ser>
          <c:idx val="1"/>
          <c:order val="1"/>
          <c:tx>
            <c:strRef>
              <c:f>Лист1!$C$1</c:f>
              <c:strCache>
                <c:ptCount val="1"/>
                <c:pt idx="0">
                  <c:v>2021</c:v>
                </c:pt>
              </c:strCache>
            </c:strRef>
          </c:tx>
          <c:spPr>
            <a:ln w="28575" cap="rnd">
              <a:solidFill>
                <a:schemeClr val="accent5">
                  <a:tint val="77000"/>
                </a:schemeClr>
              </a:solidFill>
              <a:round/>
            </a:ln>
            <a:effectLst/>
          </c:spPr>
          <c:marker>
            <c:symbol val="circle"/>
            <c:size val="5"/>
            <c:spPr>
              <a:solidFill>
                <a:schemeClr val="accent5">
                  <a:tint val="77000"/>
                </a:schemeClr>
              </a:solidFill>
              <a:ln w="9525">
                <a:solidFill>
                  <a:schemeClr val="accent5">
                    <a:tint val="77000"/>
                  </a:schemeClr>
                </a:solidFill>
              </a:ln>
              <a:effectLst/>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0.34</c:v>
                </c:pt>
                <c:pt idx="1">
                  <c:v>0.04</c:v>
                </c:pt>
              </c:numCache>
            </c:numRef>
          </c:val>
          <c:smooth val="0"/>
          <c:extLst>
            <c:ext xmlns:c16="http://schemas.microsoft.com/office/drawing/2014/chart" uri="{C3380CC4-5D6E-409C-BE32-E72D297353CC}">
              <c16:uniqueId val="{00000001-91CD-4A87-B6F0-01C8E575200A}"/>
            </c:ext>
          </c:extLst>
        </c:ser>
        <c:dLbls>
          <c:showLegendKey val="0"/>
          <c:showVal val="0"/>
          <c:showCatName val="0"/>
          <c:showSerName val="0"/>
          <c:showPercent val="0"/>
          <c:showBubbleSize val="0"/>
        </c:dLbls>
        <c:marker val="1"/>
        <c:smooth val="0"/>
        <c:axId val="333677824"/>
        <c:axId val="333678216"/>
      </c:lineChart>
      <c:catAx>
        <c:axId val="33367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678216"/>
        <c:crosses val="autoZero"/>
        <c:auto val="1"/>
        <c:lblAlgn val="ctr"/>
        <c:lblOffset val="100"/>
        <c:noMultiLvlLbl val="0"/>
      </c:catAx>
      <c:valAx>
        <c:axId val="333678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367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Gn9iM7oWlXVC1sfMjNwe6hDAQ==">AMUW2mVpTR1E+E1LUnH6E24D4OgLsSDCsGrW/NRyhT09VXXIn7ZnWcD4M5yR98mtstCzjfsxXaxs2jgeKlrBquvgPfKdNaWwcsUa3sMOrn/26RXcAJZO4AjYSZmt5vlGQN/MnxL5B4SKUwcBUU0gKDcGmkeAsxDAEiLcs76alrnUEUw0BgTYo+PTowZsrWTMVKE6zKfJgl1a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Ядрышникова Наталья Евгеньевна</dc:creator>
  <cp:lastModifiedBy>Andrei Popov</cp:lastModifiedBy>
  <cp:revision>2</cp:revision>
  <dcterms:created xsi:type="dcterms:W3CDTF">2021-03-26T20:27:00Z</dcterms:created>
  <dcterms:modified xsi:type="dcterms:W3CDTF">2021-03-26T20:27:00Z</dcterms:modified>
</cp:coreProperties>
</file>