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0F56" w:rsidRPr="000E42B7" w:rsidRDefault="00B00F56" w:rsidP="00245A9F">
      <w:pPr>
        <w:jc w:val="both"/>
        <w:rPr>
          <w:b/>
          <w:caps/>
          <w:sz w:val="24"/>
          <w:szCs w:val="24"/>
        </w:rPr>
      </w:pPr>
      <w:r w:rsidRPr="000E42B7">
        <w:rPr>
          <w:b/>
          <w:caps/>
          <w:sz w:val="24"/>
          <w:szCs w:val="24"/>
        </w:rPr>
        <w:t>УДК 332.1 / ББК 65.050.2</w:t>
      </w:r>
    </w:p>
    <w:p w:rsidR="00B00F56" w:rsidRPr="000E42B7" w:rsidRDefault="00B00F56" w:rsidP="00245A9F">
      <w:pPr>
        <w:tabs>
          <w:tab w:val="left" w:pos="2530"/>
        </w:tabs>
        <w:ind w:firstLine="709"/>
        <w:contextualSpacing/>
        <w:jc w:val="right"/>
        <w:rPr>
          <w:b/>
          <w:sz w:val="24"/>
          <w:szCs w:val="24"/>
          <w:lang w:eastAsia="en-US"/>
        </w:rPr>
      </w:pPr>
      <w:r w:rsidRPr="000E42B7">
        <w:rPr>
          <w:b/>
          <w:sz w:val="24"/>
          <w:szCs w:val="24"/>
          <w:lang w:eastAsia="en-US"/>
        </w:rPr>
        <w:tab/>
        <w:t>Смирнов В.П.</w:t>
      </w:r>
    </w:p>
    <w:p w:rsidR="00B00F56" w:rsidRPr="000E42B7" w:rsidRDefault="00B00F56" w:rsidP="00245A9F">
      <w:pPr>
        <w:contextualSpacing/>
        <w:jc w:val="center"/>
        <w:rPr>
          <w:b/>
          <w:sz w:val="24"/>
          <w:szCs w:val="24"/>
          <w:lang w:eastAsia="en-US"/>
        </w:rPr>
      </w:pPr>
      <w:r w:rsidRPr="000E42B7">
        <w:rPr>
          <w:b/>
          <w:sz w:val="24"/>
          <w:szCs w:val="24"/>
          <w:lang w:eastAsia="en-US"/>
        </w:rPr>
        <w:t>ЦИФРОВИЗАЦИЯ ТАМОЖЕННОЙ ДЕЯТЕЛЬНОСТИ В 2020 ГОДУ</w:t>
      </w:r>
    </w:p>
    <w:p w:rsidR="00B00F56" w:rsidRPr="000E42B7" w:rsidRDefault="00B00F56" w:rsidP="00245A9F">
      <w:pPr>
        <w:ind w:firstLine="709"/>
        <w:contextualSpacing/>
        <w:jc w:val="both"/>
        <w:rPr>
          <w:sz w:val="24"/>
          <w:szCs w:val="24"/>
          <w:lang w:eastAsia="en-US"/>
        </w:rPr>
      </w:pPr>
    </w:p>
    <w:p w:rsidR="00B00F56" w:rsidRPr="000E42B7" w:rsidRDefault="00B00F56" w:rsidP="00245A9F">
      <w:pPr>
        <w:ind w:firstLine="709"/>
        <w:contextualSpacing/>
        <w:jc w:val="both"/>
        <w:rPr>
          <w:i/>
          <w:sz w:val="24"/>
          <w:szCs w:val="24"/>
          <w:lang w:eastAsia="en-US"/>
        </w:rPr>
      </w:pPr>
      <w:r w:rsidRPr="000E42B7">
        <w:rPr>
          <w:b/>
          <w:i/>
          <w:sz w:val="24"/>
          <w:szCs w:val="24"/>
          <w:lang w:eastAsia="en-US"/>
        </w:rPr>
        <w:t>Аннотация.</w:t>
      </w:r>
      <w:r w:rsidRPr="000E42B7">
        <w:rPr>
          <w:i/>
          <w:sz w:val="24"/>
          <w:szCs w:val="24"/>
          <w:lang w:eastAsia="en-US"/>
        </w:rPr>
        <w:t xml:space="preserve"> В статье проведен анализ и дана оценка реализации Федеральной таможенной службой России </w:t>
      </w:r>
      <w:r w:rsidRPr="000E42B7">
        <w:rPr>
          <w:i/>
          <w:sz w:val="24"/>
          <w:szCs w:val="24"/>
        </w:rPr>
        <w:t xml:space="preserve">Стратегии развития таможенной службы Российской Федерации до 2020 года, Комплексной программы развития </w:t>
      </w:r>
      <w:r>
        <w:rPr>
          <w:i/>
          <w:sz w:val="24"/>
          <w:szCs w:val="24"/>
          <w:lang w:eastAsia="en-US"/>
        </w:rPr>
        <w:t>Федеральной таможенной службы</w:t>
      </w:r>
      <w:r w:rsidRPr="000E42B7">
        <w:rPr>
          <w:i/>
          <w:sz w:val="24"/>
          <w:szCs w:val="24"/>
          <w:lang w:eastAsia="en-US"/>
        </w:rPr>
        <w:t xml:space="preserve"> </w:t>
      </w:r>
      <w:r w:rsidRPr="000E42B7">
        <w:rPr>
          <w:i/>
          <w:sz w:val="24"/>
          <w:szCs w:val="24"/>
        </w:rPr>
        <w:t xml:space="preserve">России на период до 2020 года и </w:t>
      </w:r>
      <w:r w:rsidRPr="000E42B7">
        <w:rPr>
          <w:bCs/>
          <w:i/>
          <w:sz w:val="24"/>
          <w:szCs w:val="24"/>
        </w:rPr>
        <w:t>ключевых показателей «10 шагов навстречу бизнесу».</w:t>
      </w:r>
      <w:r w:rsidRPr="000E42B7">
        <w:rPr>
          <w:i/>
          <w:sz w:val="24"/>
          <w:szCs w:val="24"/>
          <w:lang w:eastAsia="en-US"/>
        </w:rPr>
        <w:t xml:space="preserve"> </w:t>
      </w:r>
    </w:p>
    <w:p w:rsidR="00B00F56" w:rsidRPr="000E42B7" w:rsidRDefault="00B00F56" w:rsidP="00245A9F">
      <w:pPr>
        <w:ind w:firstLine="709"/>
        <w:contextualSpacing/>
        <w:jc w:val="both"/>
        <w:rPr>
          <w:i/>
          <w:sz w:val="24"/>
          <w:szCs w:val="24"/>
          <w:lang w:eastAsia="en-US"/>
        </w:rPr>
      </w:pPr>
      <w:r w:rsidRPr="000E42B7">
        <w:rPr>
          <w:b/>
          <w:i/>
          <w:sz w:val="24"/>
          <w:szCs w:val="24"/>
          <w:lang w:eastAsia="en-US"/>
        </w:rPr>
        <w:t>Ключевые слова:</w:t>
      </w:r>
      <w:r w:rsidRPr="000E42B7">
        <w:rPr>
          <w:i/>
          <w:sz w:val="24"/>
          <w:szCs w:val="24"/>
          <w:lang w:eastAsia="en-US"/>
        </w:rPr>
        <w:t xml:space="preserve"> таможенная деятельность, цифровизация, </w:t>
      </w:r>
      <w:r>
        <w:rPr>
          <w:i/>
          <w:sz w:val="24"/>
          <w:szCs w:val="24"/>
          <w:lang w:eastAsia="en-US"/>
        </w:rPr>
        <w:t>Федеральная таможенная служба России.</w:t>
      </w:r>
    </w:p>
    <w:p w:rsidR="00B00F56" w:rsidRPr="000E42B7" w:rsidRDefault="00B00F56" w:rsidP="00245A9F">
      <w:pPr>
        <w:ind w:firstLine="709"/>
        <w:contextualSpacing/>
        <w:jc w:val="both"/>
        <w:rPr>
          <w:sz w:val="24"/>
          <w:szCs w:val="24"/>
          <w:lang w:eastAsia="en-US"/>
        </w:rPr>
      </w:pPr>
    </w:p>
    <w:p w:rsidR="00B00F56" w:rsidRDefault="00B00F56" w:rsidP="00245A9F">
      <w:pPr>
        <w:ind w:firstLine="709"/>
        <w:contextualSpacing/>
        <w:jc w:val="both"/>
        <w:rPr>
          <w:sz w:val="28"/>
          <w:szCs w:val="28"/>
          <w:lang w:eastAsia="en-US"/>
        </w:rPr>
      </w:pPr>
      <w:r w:rsidRPr="000E42B7">
        <w:rPr>
          <w:sz w:val="24"/>
          <w:szCs w:val="24"/>
          <w:lang w:eastAsia="en-US"/>
        </w:rPr>
        <w:t>Национальной программой «Цифровая экономика Российской Федерации» предусматривается создание устойчивой и безопасной информационно-телекоммуникационной инфраструктуры передачи, обработки и хранения больших объемов данных, обеспечение информационной безопасности, создание цифровых технологий преимущественно на основе отечественных разработок, внедрение цифровых технологий в сфере государственного управления. Федеральная таможенная служба (ФТС) России выступает соисполнителем по этой программе.</w:t>
      </w:r>
      <w:r w:rsidRPr="000E42B7">
        <w:rPr>
          <w:sz w:val="28"/>
          <w:szCs w:val="28"/>
          <w:lang w:eastAsia="en-US"/>
        </w:rPr>
        <w:t xml:space="preserve"> </w:t>
      </w:r>
      <w:r w:rsidRPr="000E42B7">
        <w:rPr>
          <w:sz w:val="24"/>
          <w:szCs w:val="24"/>
          <w:lang w:eastAsia="en-US"/>
        </w:rPr>
        <w:t xml:space="preserve"> Федеральной таможенной службой (далее – ФТС) России в</w:t>
      </w:r>
      <w:r w:rsidRPr="000E42B7">
        <w:rPr>
          <w:sz w:val="24"/>
          <w:szCs w:val="24"/>
        </w:rPr>
        <w:t xml:space="preserve"> 2020 году завершена реализация Стратегии развития таможенной службы Российской Федерации до 2020 года (далее – Стратегия – 2020) и Комплексной программы развития ФТС России на период до 2020 года (далее – Комплексная программа). В этих документах ряд мероприятий был ориентирован на решение задач цифровизации таможенной деятельности.</w:t>
      </w:r>
      <w:r w:rsidRPr="000E42B7">
        <w:rPr>
          <w:sz w:val="28"/>
          <w:szCs w:val="28"/>
          <w:lang w:eastAsia="en-US"/>
        </w:rPr>
        <w:t xml:space="preserve"> </w:t>
      </w:r>
    </w:p>
    <w:p w:rsidR="00B00F56" w:rsidRPr="000E42B7" w:rsidRDefault="00B00F56" w:rsidP="00245A9F">
      <w:pPr>
        <w:ind w:firstLine="709"/>
        <w:contextualSpacing/>
        <w:jc w:val="both"/>
        <w:rPr>
          <w:sz w:val="24"/>
          <w:szCs w:val="24"/>
        </w:rPr>
      </w:pPr>
      <w:r>
        <w:rPr>
          <w:sz w:val="24"/>
          <w:szCs w:val="24"/>
          <w:lang w:eastAsia="en-US"/>
        </w:rPr>
        <w:t xml:space="preserve">Цифровизация таможенной деятельности вызывает научный интерес у исследователей. </w:t>
      </w:r>
      <w:r w:rsidRPr="000E42B7">
        <w:rPr>
          <w:sz w:val="24"/>
          <w:szCs w:val="24"/>
          <w:lang w:eastAsia="en-US"/>
        </w:rPr>
        <w:t>Специалисты описывают цифровые технологии в таможенном деле [1], выделяют основные направления цифровой трансформации таможенной деятельности [2], указывают, что «цифровые технологии трансформируют глобальный торговый ландшафт за счет снижения торговых издержек и обеспечения более быстрого, безопасного и надежного управления данными» [3].</w:t>
      </w:r>
      <w:r>
        <w:rPr>
          <w:sz w:val="24"/>
          <w:szCs w:val="24"/>
          <w:lang w:eastAsia="en-US"/>
        </w:rPr>
        <w:t xml:space="preserve"> Формулируются требования к современным таможенным процедурам </w:t>
      </w:r>
      <w:r w:rsidRPr="000E42B7">
        <w:rPr>
          <w:sz w:val="24"/>
          <w:szCs w:val="24"/>
          <w:lang w:eastAsia="en-US"/>
        </w:rPr>
        <w:t>[</w:t>
      </w:r>
      <w:r>
        <w:rPr>
          <w:sz w:val="24"/>
          <w:szCs w:val="24"/>
          <w:lang w:eastAsia="en-US"/>
        </w:rPr>
        <w:t>4</w:t>
      </w:r>
      <w:r w:rsidRPr="000E42B7">
        <w:rPr>
          <w:sz w:val="24"/>
          <w:szCs w:val="24"/>
          <w:lang w:eastAsia="en-US"/>
        </w:rPr>
        <w:t>]</w:t>
      </w:r>
      <w:r>
        <w:rPr>
          <w:sz w:val="24"/>
          <w:szCs w:val="24"/>
          <w:lang w:eastAsia="en-US"/>
        </w:rPr>
        <w:t>, выявляются с</w:t>
      </w:r>
      <w:r w:rsidRPr="000E42B7">
        <w:rPr>
          <w:sz w:val="24"/>
          <w:szCs w:val="24"/>
          <w:shd w:val="clear" w:color="auto" w:fill="FFFFFF"/>
        </w:rPr>
        <w:t>ущностные характеристики и прогнозируемые эффекты</w:t>
      </w:r>
      <w:r>
        <w:rPr>
          <w:sz w:val="24"/>
          <w:szCs w:val="24"/>
          <w:shd w:val="clear" w:color="auto" w:fill="FFFFFF"/>
        </w:rPr>
        <w:t xml:space="preserve"> цифровой таможни </w:t>
      </w:r>
      <w:r w:rsidRPr="000E42B7">
        <w:rPr>
          <w:sz w:val="24"/>
          <w:szCs w:val="24"/>
          <w:shd w:val="clear" w:color="auto" w:fill="FFFFFF"/>
        </w:rPr>
        <w:t>[</w:t>
      </w:r>
      <w:r>
        <w:rPr>
          <w:sz w:val="24"/>
          <w:szCs w:val="24"/>
          <w:shd w:val="clear" w:color="auto" w:fill="FFFFFF"/>
        </w:rPr>
        <w:t>5</w:t>
      </w:r>
      <w:r w:rsidRPr="000E42B7">
        <w:rPr>
          <w:sz w:val="24"/>
          <w:szCs w:val="24"/>
          <w:shd w:val="clear" w:color="auto" w:fill="FFFFFF"/>
        </w:rPr>
        <w:t>]</w:t>
      </w:r>
      <w:r>
        <w:rPr>
          <w:sz w:val="24"/>
          <w:szCs w:val="24"/>
          <w:shd w:val="clear" w:color="auto" w:fill="FFFFFF"/>
        </w:rPr>
        <w:t>, исследуются ц</w:t>
      </w:r>
      <w:r w:rsidRPr="000E42B7">
        <w:rPr>
          <w:sz w:val="24"/>
          <w:szCs w:val="24"/>
          <w:shd w:val="clear" w:color="auto" w:fill="FFFFFF"/>
        </w:rPr>
        <w:t>ентры электронного декларирования</w:t>
      </w:r>
      <w:r>
        <w:rPr>
          <w:sz w:val="24"/>
          <w:szCs w:val="24"/>
          <w:shd w:val="clear" w:color="auto" w:fill="FFFFFF"/>
        </w:rPr>
        <w:t>, составляющие</w:t>
      </w:r>
      <w:r w:rsidRPr="000E42B7">
        <w:rPr>
          <w:sz w:val="24"/>
          <w:szCs w:val="24"/>
          <w:shd w:val="clear" w:color="auto" w:fill="FFFFFF"/>
        </w:rPr>
        <w:t xml:space="preserve"> основ</w:t>
      </w:r>
      <w:r>
        <w:rPr>
          <w:sz w:val="24"/>
          <w:szCs w:val="24"/>
          <w:shd w:val="clear" w:color="auto" w:fill="FFFFFF"/>
        </w:rPr>
        <w:t>у</w:t>
      </w:r>
      <w:r w:rsidRPr="000E42B7">
        <w:rPr>
          <w:sz w:val="24"/>
          <w:szCs w:val="24"/>
          <w:shd w:val="clear" w:color="auto" w:fill="FFFFFF"/>
        </w:rPr>
        <w:t xml:space="preserve"> электронной таможни</w:t>
      </w:r>
      <w:r>
        <w:rPr>
          <w:sz w:val="24"/>
          <w:szCs w:val="24"/>
          <w:shd w:val="clear" w:color="auto" w:fill="FFFFFF"/>
        </w:rPr>
        <w:t xml:space="preserve"> </w:t>
      </w:r>
      <w:r w:rsidRPr="000E42B7">
        <w:rPr>
          <w:sz w:val="24"/>
          <w:szCs w:val="24"/>
          <w:shd w:val="clear" w:color="auto" w:fill="FFFFFF"/>
        </w:rPr>
        <w:t>[</w:t>
      </w:r>
      <w:r>
        <w:rPr>
          <w:sz w:val="24"/>
          <w:szCs w:val="24"/>
          <w:shd w:val="clear" w:color="auto" w:fill="FFFFFF"/>
        </w:rPr>
        <w:t>6</w:t>
      </w:r>
      <w:r w:rsidRPr="000E42B7">
        <w:rPr>
          <w:sz w:val="24"/>
          <w:szCs w:val="24"/>
          <w:shd w:val="clear" w:color="auto" w:fill="FFFFFF"/>
        </w:rPr>
        <w:t>]</w:t>
      </w:r>
      <w:r>
        <w:rPr>
          <w:sz w:val="24"/>
          <w:szCs w:val="24"/>
          <w:shd w:val="clear" w:color="auto" w:fill="FFFFFF"/>
        </w:rPr>
        <w:t>.</w:t>
      </w:r>
      <w:r w:rsidRPr="000E42B7">
        <w:rPr>
          <w:sz w:val="24"/>
          <w:szCs w:val="24"/>
          <w:lang w:eastAsia="en-US"/>
        </w:rPr>
        <w:t xml:space="preserve"> </w:t>
      </w:r>
      <w:r w:rsidRPr="000E42B7">
        <w:rPr>
          <w:sz w:val="24"/>
          <w:szCs w:val="24"/>
        </w:rPr>
        <w:t xml:space="preserve"> </w:t>
      </w:r>
    </w:p>
    <w:p w:rsidR="00B00F56" w:rsidRPr="000E42B7" w:rsidRDefault="00B00F56" w:rsidP="00245A9F">
      <w:pPr>
        <w:ind w:firstLine="709"/>
        <w:contextualSpacing/>
        <w:jc w:val="both"/>
        <w:rPr>
          <w:bCs/>
          <w:sz w:val="24"/>
          <w:szCs w:val="24"/>
        </w:rPr>
      </w:pPr>
      <w:r w:rsidRPr="000E42B7">
        <w:rPr>
          <w:sz w:val="24"/>
          <w:szCs w:val="24"/>
          <w:lang w:eastAsia="en-US"/>
        </w:rPr>
        <w:t>Цели, задачи и результаты, достигнутые в ходе</w:t>
      </w:r>
      <w:r w:rsidRPr="000E42B7">
        <w:rPr>
          <w:sz w:val="24"/>
          <w:szCs w:val="24"/>
        </w:rPr>
        <w:t xml:space="preserve"> реализации Стратегии – 2020, </w:t>
      </w:r>
      <w:r w:rsidRPr="000E42B7">
        <w:rPr>
          <w:bCs/>
          <w:sz w:val="24"/>
          <w:szCs w:val="24"/>
        </w:rPr>
        <w:t>представлены в таблице 1.</w:t>
      </w:r>
    </w:p>
    <w:p w:rsidR="00B00F56" w:rsidRPr="000E42B7" w:rsidRDefault="00B00F56" w:rsidP="00245A9F">
      <w:pPr>
        <w:contextualSpacing/>
        <w:jc w:val="right"/>
        <w:rPr>
          <w:bCs/>
          <w:i/>
          <w:sz w:val="24"/>
          <w:szCs w:val="24"/>
        </w:rPr>
      </w:pPr>
      <w:r w:rsidRPr="000E42B7">
        <w:rPr>
          <w:bCs/>
          <w:i/>
          <w:sz w:val="24"/>
          <w:szCs w:val="24"/>
        </w:rPr>
        <w:t xml:space="preserve">Таблица 1 </w:t>
      </w:r>
    </w:p>
    <w:p w:rsidR="00B00F56" w:rsidRPr="000E42B7" w:rsidRDefault="00B00F56" w:rsidP="00245A9F">
      <w:pPr>
        <w:contextualSpacing/>
        <w:jc w:val="center"/>
        <w:rPr>
          <w:bCs/>
          <w:sz w:val="24"/>
          <w:szCs w:val="24"/>
        </w:rPr>
      </w:pPr>
      <w:r w:rsidRPr="000E42B7">
        <w:rPr>
          <w:sz w:val="24"/>
          <w:szCs w:val="24"/>
          <w:lang w:eastAsia="en-US"/>
        </w:rPr>
        <w:t>Цели, задачи и результаты, достигнутые в ходе</w:t>
      </w:r>
      <w:r w:rsidRPr="000E42B7">
        <w:rPr>
          <w:sz w:val="24"/>
          <w:szCs w:val="24"/>
        </w:rPr>
        <w:t xml:space="preserve"> реализации Стратегии – 2020</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6320"/>
      </w:tblGrid>
      <w:tr w:rsidR="00B00F56" w:rsidRPr="000E42B7" w:rsidTr="00911FF4">
        <w:trPr>
          <w:trHeight w:val="324"/>
        </w:trPr>
        <w:tc>
          <w:tcPr>
            <w:tcW w:w="3240" w:type="dxa"/>
            <w:vMerge w:val="restart"/>
          </w:tcPr>
          <w:p w:rsidR="00B00F56" w:rsidRPr="000E42B7" w:rsidRDefault="00B00F56" w:rsidP="00245A9F">
            <w:pPr>
              <w:contextualSpacing/>
              <w:jc w:val="both"/>
              <w:rPr>
                <w:sz w:val="24"/>
                <w:szCs w:val="24"/>
              </w:rPr>
            </w:pPr>
            <w:r w:rsidRPr="000E42B7">
              <w:rPr>
                <w:sz w:val="24"/>
                <w:szCs w:val="24"/>
              </w:rPr>
              <w:t>Цели, задачи</w:t>
            </w:r>
          </w:p>
        </w:tc>
        <w:tc>
          <w:tcPr>
            <w:tcW w:w="6320" w:type="dxa"/>
            <w:vMerge w:val="restart"/>
          </w:tcPr>
          <w:p w:rsidR="00B00F56" w:rsidRPr="000E42B7" w:rsidRDefault="00B00F56" w:rsidP="00245A9F">
            <w:pPr>
              <w:contextualSpacing/>
              <w:jc w:val="both"/>
              <w:rPr>
                <w:sz w:val="24"/>
                <w:szCs w:val="24"/>
              </w:rPr>
            </w:pPr>
            <w:r w:rsidRPr="000E42B7">
              <w:rPr>
                <w:sz w:val="24"/>
                <w:szCs w:val="24"/>
              </w:rPr>
              <w:t>Результаты</w:t>
            </w:r>
          </w:p>
        </w:tc>
      </w:tr>
      <w:tr w:rsidR="00B00F56" w:rsidRPr="000E42B7" w:rsidTr="00911FF4">
        <w:trPr>
          <w:trHeight w:val="276"/>
        </w:trPr>
        <w:tc>
          <w:tcPr>
            <w:tcW w:w="3240" w:type="dxa"/>
            <w:vMerge/>
          </w:tcPr>
          <w:p w:rsidR="00B00F56" w:rsidRPr="000E42B7" w:rsidRDefault="00B00F56" w:rsidP="00245A9F">
            <w:pPr>
              <w:contextualSpacing/>
              <w:jc w:val="both"/>
              <w:rPr>
                <w:sz w:val="24"/>
                <w:szCs w:val="24"/>
              </w:rPr>
            </w:pPr>
          </w:p>
        </w:tc>
        <w:tc>
          <w:tcPr>
            <w:tcW w:w="6320" w:type="dxa"/>
            <w:vMerge/>
          </w:tcPr>
          <w:p w:rsidR="00B00F56" w:rsidRPr="000E42B7" w:rsidRDefault="00B00F56" w:rsidP="00245A9F">
            <w:pPr>
              <w:contextualSpacing/>
              <w:jc w:val="both"/>
              <w:rPr>
                <w:sz w:val="24"/>
                <w:szCs w:val="24"/>
              </w:rPr>
            </w:pPr>
          </w:p>
        </w:tc>
      </w:tr>
      <w:tr w:rsidR="00B00F56" w:rsidRPr="000E42B7" w:rsidTr="00911FF4">
        <w:trPr>
          <w:trHeight w:val="1362"/>
        </w:trPr>
        <w:tc>
          <w:tcPr>
            <w:tcW w:w="3240" w:type="dxa"/>
          </w:tcPr>
          <w:p w:rsidR="00B00F56" w:rsidRPr="000E42B7" w:rsidRDefault="00B00F56" w:rsidP="00245A9F">
            <w:pPr>
              <w:contextualSpacing/>
              <w:rPr>
                <w:sz w:val="24"/>
                <w:szCs w:val="24"/>
              </w:rPr>
            </w:pPr>
            <w:r w:rsidRPr="000E42B7">
              <w:rPr>
                <w:sz w:val="24"/>
                <w:szCs w:val="24"/>
              </w:rPr>
              <w:t>Повышение уровня экономической безопасности Российской Федерации;</w:t>
            </w:r>
          </w:p>
          <w:p w:rsidR="00B00F56" w:rsidRPr="000E42B7" w:rsidRDefault="00B00F56" w:rsidP="00245A9F">
            <w:pPr>
              <w:contextualSpacing/>
              <w:rPr>
                <w:sz w:val="24"/>
                <w:szCs w:val="24"/>
              </w:rPr>
            </w:pPr>
            <w:r w:rsidRPr="000E42B7">
              <w:rPr>
                <w:sz w:val="24"/>
                <w:szCs w:val="24"/>
              </w:rPr>
              <w:t>создание благоприятных условий для:</w:t>
            </w:r>
          </w:p>
          <w:p w:rsidR="00B00F56" w:rsidRPr="000E42B7" w:rsidRDefault="00B00F56" w:rsidP="00245A9F">
            <w:pPr>
              <w:contextualSpacing/>
              <w:rPr>
                <w:sz w:val="24"/>
                <w:szCs w:val="24"/>
              </w:rPr>
            </w:pPr>
            <w:r w:rsidRPr="000E42B7">
              <w:rPr>
                <w:sz w:val="24"/>
                <w:szCs w:val="24"/>
              </w:rPr>
              <w:t xml:space="preserve">- привлечения инвестиций в российскую экономику, </w:t>
            </w:r>
          </w:p>
          <w:p w:rsidR="00B00F56" w:rsidRPr="000E42B7" w:rsidRDefault="00B00F56" w:rsidP="00245A9F">
            <w:pPr>
              <w:contextualSpacing/>
              <w:rPr>
                <w:sz w:val="24"/>
                <w:szCs w:val="24"/>
              </w:rPr>
            </w:pPr>
            <w:r w:rsidRPr="000E42B7">
              <w:rPr>
                <w:sz w:val="24"/>
                <w:szCs w:val="24"/>
              </w:rPr>
              <w:t xml:space="preserve">- полного поступления доходов в федеральный бюджет, </w:t>
            </w:r>
          </w:p>
          <w:p w:rsidR="00B00F56" w:rsidRPr="000E42B7" w:rsidRDefault="00B00F56" w:rsidP="00245A9F">
            <w:pPr>
              <w:contextualSpacing/>
              <w:rPr>
                <w:sz w:val="24"/>
                <w:szCs w:val="24"/>
              </w:rPr>
            </w:pPr>
            <w:r w:rsidRPr="000E42B7">
              <w:rPr>
                <w:sz w:val="24"/>
                <w:szCs w:val="24"/>
              </w:rPr>
              <w:t xml:space="preserve">- защиты отечественных производителей, </w:t>
            </w:r>
          </w:p>
          <w:p w:rsidR="00B00F56" w:rsidRPr="000E42B7" w:rsidRDefault="00B00F56" w:rsidP="00245A9F">
            <w:pPr>
              <w:contextualSpacing/>
              <w:rPr>
                <w:sz w:val="24"/>
                <w:szCs w:val="24"/>
              </w:rPr>
            </w:pPr>
            <w:r w:rsidRPr="000E42B7">
              <w:rPr>
                <w:sz w:val="24"/>
                <w:szCs w:val="24"/>
              </w:rPr>
              <w:t>- охраны объектов интеллектуальной собственности,</w:t>
            </w:r>
          </w:p>
          <w:p w:rsidR="00B00F56" w:rsidRPr="000E42B7" w:rsidRDefault="00B00F56" w:rsidP="00245A9F">
            <w:pPr>
              <w:contextualSpacing/>
              <w:rPr>
                <w:sz w:val="24"/>
                <w:szCs w:val="24"/>
              </w:rPr>
            </w:pPr>
            <w:r w:rsidRPr="000E42B7">
              <w:rPr>
                <w:sz w:val="24"/>
                <w:szCs w:val="24"/>
              </w:rPr>
              <w:t xml:space="preserve">- максимального содействия внешнеторговой деятельности (цели) </w:t>
            </w:r>
          </w:p>
          <w:p w:rsidR="00B00F56" w:rsidRPr="000E42B7" w:rsidRDefault="00B00F56" w:rsidP="00245A9F">
            <w:pPr>
              <w:contextualSpacing/>
              <w:rPr>
                <w:sz w:val="24"/>
                <w:szCs w:val="24"/>
              </w:rPr>
            </w:pPr>
            <w:r w:rsidRPr="000E42B7">
              <w:rPr>
                <w:b/>
                <w:sz w:val="24"/>
                <w:szCs w:val="24"/>
              </w:rPr>
              <w:t>на основе повышения качества и результативности таможенного администрирования (задачи).</w:t>
            </w:r>
          </w:p>
        </w:tc>
        <w:tc>
          <w:tcPr>
            <w:tcW w:w="6320" w:type="dxa"/>
          </w:tcPr>
          <w:p w:rsidR="00B00F56" w:rsidRPr="000E42B7" w:rsidRDefault="00B00F56" w:rsidP="00245A9F">
            <w:pPr>
              <w:contextualSpacing/>
              <w:rPr>
                <w:i/>
                <w:sz w:val="24"/>
                <w:szCs w:val="24"/>
              </w:rPr>
            </w:pPr>
            <w:r w:rsidRPr="000E42B7">
              <w:rPr>
                <w:i/>
                <w:sz w:val="24"/>
                <w:szCs w:val="24"/>
              </w:rPr>
              <w:t xml:space="preserve"> Внедрено обязательное предварительное информирование таможенных органов о ввозимых товарах;</w:t>
            </w:r>
          </w:p>
          <w:p w:rsidR="00B00F56" w:rsidRPr="000E42B7" w:rsidRDefault="00B00F56" w:rsidP="00245A9F">
            <w:pPr>
              <w:contextualSpacing/>
              <w:rPr>
                <w:i/>
                <w:sz w:val="24"/>
                <w:szCs w:val="24"/>
              </w:rPr>
            </w:pPr>
            <w:r w:rsidRPr="000E42B7">
              <w:rPr>
                <w:i/>
                <w:sz w:val="24"/>
                <w:szCs w:val="24"/>
              </w:rPr>
              <w:t xml:space="preserve"> реализованы технологии автоматической регистрации декларации на товары, поданной в виде электронного документа, и автоматического выпуска товаров;</w:t>
            </w:r>
          </w:p>
          <w:p w:rsidR="00B00F56" w:rsidRPr="000E42B7" w:rsidRDefault="00B00F56" w:rsidP="00245A9F">
            <w:pPr>
              <w:contextualSpacing/>
              <w:rPr>
                <w:sz w:val="24"/>
                <w:szCs w:val="24"/>
              </w:rPr>
            </w:pPr>
            <w:r w:rsidRPr="000E42B7">
              <w:rPr>
                <w:sz w:val="24"/>
                <w:szCs w:val="24"/>
              </w:rPr>
              <w:t>сокращен перечень документов, представляемых при таможенном декларировании товаров;</w:t>
            </w:r>
          </w:p>
          <w:p w:rsidR="00B00F56" w:rsidRPr="000E42B7" w:rsidRDefault="00B00F56" w:rsidP="00245A9F">
            <w:pPr>
              <w:contextualSpacing/>
              <w:rPr>
                <w:sz w:val="24"/>
                <w:szCs w:val="24"/>
              </w:rPr>
            </w:pPr>
            <w:r w:rsidRPr="000E42B7">
              <w:rPr>
                <w:sz w:val="24"/>
                <w:szCs w:val="24"/>
              </w:rPr>
              <w:t>осуществлено развитие субъектно-ориентированного подхода к анализу и управлению рисками;</w:t>
            </w:r>
          </w:p>
          <w:p w:rsidR="00B00F56" w:rsidRPr="000E42B7" w:rsidRDefault="00B00F56" w:rsidP="00245A9F">
            <w:pPr>
              <w:contextualSpacing/>
              <w:rPr>
                <w:sz w:val="24"/>
                <w:szCs w:val="24"/>
              </w:rPr>
            </w:pPr>
            <w:r w:rsidRPr="000E42B7">
              <w:rPr>
                <w:sz w:val="24"/>
                <w:szCs w:val="24"/>
              </w:rPr>
              <w:t xml:space="preserve">внедрены принципиально новые подходы к проведению таможенного контроля после выпуска товаров, </w:t>
            </w:r>
          </w:p>
          <w:p w:rsidR="00B00F56" w:rsidRPr="000E42B7" w:rsidRDefault="00B00F56" w:rsidP="00245A9F">
            <w:pPr>
              <w:contextualSpacing/>
              <w:rPr>
                <w:sz w:val="24"/>
                <w:szCs w:val="24"/>
              </w:rPr>
            </w:pPr>
            <w:r w:rsidRPr="000E42B7">
              <w:rPr>
                <w:sz w:val="24"/>
                <w:szCs w:val="24"/>
              </w:rPr>
              <w:t xml:space="preserve">в качестве основных направлений проверочной деятельности определены: </w:t>
            </w:r>
          </w:p>
          <w:p w:rsidR="00B00F56" w:rsidRPr="000E42B7" w:rsidRDefault="00B00F56" w:rsidP="00245A9F">
            <w:pPr>
              <w:contextualSpacing/>
              <w:rPr>
                <w:sz w:val="24"/>
                <w:szCs w:val="24"/>
              </w:rPr>
            </w:pPr>
            <w:r w:rsidRPr="000E42B7">
              <w:rPr>
                <w:sz w:val="24"/>
                <w:szCs w:val="24"/>
              </w:rPr>
              <w:t xml:space="preserve">- борьба со схемами уклонения от уплаты платежей, </w:t>
            </w:r>
          </w:p>
          <w:p w:rsidR="00B00F56" w:rsidRPr="000E42B7" w:rsidRDefault="00B00F56" w:rsidP="00245A9F">
            <w:pPr>
              <w:contextualSpacing/>
              <w:rPr>
                <w:sz w:val="24"/>
                <w:szCs w:val="24"/>
              </w:rPr>
            </w:pPr>
            <w:r w:rsidRPr="000E42B7">
              <w:rPr>
                <w:sz w:val="24"/>
                <w:szCs w:val="24"/>
              </w:rPr>
              <w:t>- организация профилактических проверок;</w:t>
            </w:r>
          </w:p>
          <w:p w:rsidR="00B00F56" w:rsidRPr="000E42B7" w:rsidRDefault="00B00F56" w:rsidP="00245A9F">
            <w:pPr>
              <w:contextualSpacing/>
              <w:rPr>
                <w:i/>
                <w:sz w:val="24"/>
                <w:szCs w:val="24"/>
              </w:rPr>
            </w:pPr>
            <w:r w:rsidRPr="000E42B7">
              <w:rPr>
                <w:i/>
                <w:sz w:val="24"/>
                <w:szCs w:val="24"/>
              </w:rPr>
              <w:t>расширена практика применения современных технологий таможенного оформления;</w:t>
            </w:r>
          </w:p>
          <w:p w:rsidR="00B00F56" w:rsidRPr="000E42B7" w:rsidRDefault="00B00F56" w:rsidP="00245A9F">
            <w:pPr>
              <w:contextualSpacing/>
              <w:rPr>
                <w:sz w:val="24"/>
                <w:szCs w:val="24"/>
              </w:rPr>
            </w:pPr>
            <w:r w:rsidRPr="000E42B7">
              <w:rPr>
                <w:sz w:val="24"/>
                <w:szCs w:val="24"/>
              </w:rPr>
              <w:t xml:space="preserve">усовершенствована работа таможенных органов: </w:t>
            </w:r>
          </w:p>
          <w:p w:rsidR="00B00F56" w:rsidRPr="000E42B7" w:rsidRDefault="00B00F56" w:rsidP="00245A9F">
            <w:pPr>
              <w:contextualSpacing/>
              <w:rPr>
                <w:sz w:val="24"/>
                <w:szCs w:val="24"/>
              </w:rPr>
            </w:pPr>
            <w:r w:rsidRPr="000E42B7">
              <w:rPr>
                <w:sz w:val="24"/>
                <w:szCs w:val="24"/>
              </w:rPr>
              <w:t>- по администрированию таможенных платежей;</w:t>
            </w:r>
          </w:p>
          <w:p w:rsidR="00B00F56" w:rsidRPr="000E42B7" w:rsidRDefault="00B00F56" w:rsidP="00245A9F">
            <w:pPr>
              <w:contextualSpacing/>
              <w:rPr>
                <w:i/>
                <w:sz w:val="24"/>
                <w:szCs w:val="24"/>
              </w:rPr>
            </w:pPr>
            <w:r w:rsidRPr="000E42B7">
              <w:rPr>
                <w:i/>
                <w:sz w:val="24"/>
                <w:szCs w:val="24"/>
              </w:rPr>
              <w:t>- по межведомственному электронному взаимодействию ФТС России с другими федеральными органами исполнительной власти;</w:t>
            </w:r>
          </w:p>
          <w:p w:rsidR="00B00F56" w:rsidRPr="000E42B7" w:rsidRDefault="00B00F56" w:rsidP="00245A9F">
            <w:pPr>
              <w:contextualSpacing/>
              <w:rPr>
                <w:sz w:val="24"/>
                <w:szCs w:val="24"/>
              </w:rPr>
            </w:pPr>
            <w:r w:rsidRPr="000E42B7">
              <w:rPr>
                <w:sz w:val="24"/>
                <w:szCs w:val="24"/>
              </w:rPr>
              <w:t>- по международному сотрудничеству.</w:t>
            </w:r>
          </w:p>
        </w:tc>
      </w:tr>
    </w:tbl>
    <w:p w:rsidR="00B00F56" w:rsidRPr="000E42B7" w:rsidRDefault="00B00F56" w:rsidP="00245A9F">
      <w:pPr>
        <w:pStyle w:val="ConsPlusNormal"/>
        <w:ind w:firstLine="708"/>
        <w:jc w:val="both"/>
        <w:rPr>
          <w:bCs/>
        </w:rPr>
      </w:pPr>
    </w:p>
    <w:p w:rsidR="00B00F56" w:rsidRPr="000E42B7" w:rsidRDefault="00B00F56" w:rsidP="00245A9F">
      <w:pPr>
        <w:pStyle w:val="ConsPlusNormal"/>
        <w:ind w:firstLine="708"/>
        <w:jc w:val="both"/>
        <w:rPr>
          <w:bCs/>
        </w:rPr>
      </w:pPr>
      <w:r w:rsidRPr="000E42B7">
        <w:rPr>
          <w:bCs/>
        </w:rPr>
        <w:t>Результаты (четыре из двенадцати), обеспечивающие цифровизацию таможенной деятельности, выделены в таблице 1 курсивом.</w:t>
      </w:r>
    </w:p>
    <w:p w:rsidR="00B00F56" w:rsidRPr="000E42B7" w:rsidRDefault="00B00F56" w:rsidP="00911FF4">
      <w:pPr>
        <w:spacing w:after="100" w:afterAutospacing="1"/>
        <w:ind w:firstLine="709"/>
        <w:contextualSpacing/>
        <w:jc w:val="both"/>
        <w:rPr>
          <w:sz w:val="24"/>
          <w:szCs w:val="24"/>
        </w:rPr>
      </w:pPr>
      <w:r w:rsidRPr="000E42B7">
        <w:rPr>
          <w:sz w:val="24"/>
          <w:szCs w:val="24"/>
        </w:rPr>
        <w:t xml:space="preserve">Комплексная программа представляет собой документ, основанный на положениях Стратегии – 2020, нововведениях Таможенного кодекса Евразийского экономического союза (далее – ЕАЭС), мероприятиях «дорожных карт» по совершенствованию таможенного администрирования и поддержке экспорта, сформированный </w:t>
      </w:r>
      <w:r w:rsidRPr="000E42B7">
        <w:rPr>
          <w:sz w:val="24"/>
          <w:szCs w:val="24"/>
        </w:rPr>
        <w:br/>
        <w:t>с учетом задач, поставленных перед таможенной службой Правительством Российской Федерации и Министерством финансов Российской Федерации.</w:t>
      </w:r>
      <w:r w:rsidRPr="000E42B7">
        <w:rPr>
          <w:sz w:val="28"/>
          <w:szCs w:val="28"/>
        </w:rPr>
        <w:t xml:space="preserve"> Г</w:t>
      </w:r>
      <w:r w:rsidRPr="000E42B7">
        <w:rPr>
          <w:sz w:val="24"/>
          <w:szCs w:val="24"/>
        </w:rPr>
        <w:t xml:space="preserve">лавный принцип работы </w:t>
      </w:r>
      <w:r w:rsidRPr="000E42B7">
        <w:rPr>
          <w:sz w:val="24"/>
          <w:szCs w:val="24"/>
        </w:rPr>
        <w:br/>
        <w:t>ФТС России в период реализации Комплексной программы был следующим: простота и удобство – для участников внешнеэкономической деятельности, эффективность и безопасность – для государства.</w:t>
      </w:r>
    </w:p>
    <w:p w:rsidR="00B00F56" w:rsidRPr="000E42B7" w:rsidRDefault="00B00F56" w:rsidP="00911FF4">
      <w:pPr>
        <w:spacing w:after="100" w:afterAutospacing="1"/>
        <w:ind w:firstLine="709"/>
        <w:contextualSpacing/>
        <w:jc w:val="both"/>
        <w:rPr>
          <w:sz w:val="24"/>
          <w:szCs w:val="24"/>
        </w:rPr>
      </w:pPr>
      <w:r w:rsidRPr="000E42B7">
        <w:rPr>
          <w:sz w:val="24"/>
          <w:szCs w:val="24"/>
          <w:lang w:eastAsia="en-US"/>
        </w:rPr>
        <w:t>Цели, задачи и результаты, достигнутые в ходе</w:t>
      </w:r>
      <w:r w:rsidRPr="000E42B7">
        <w:rPr>
          <w:sz w:val="24"/>
          <w:szCs w:val="24"/>
        </w:rPr>
        <w:t xml:space="preserve"> реализации Комплексной программы, </w:t>
      </w:r>
      <w:r w:rsidRPr="000E42B7">
        <w:rPr>
          <w:bCs/>
          <w:sz w:val="24"/>
          <w:szCs w:val="24"/>
        </w:rPr>
        <w:t>представлены в таблице 2.</w:t>
      </w:r>
    </w:p>
    <w:p w:rsidR="00B00F56" w:rsidRPr="000E42B7" w:rsidRDefault="00B00F56" w:rsidP="00911FF4">
      <w:pPr>
        <w:contextualSpacing/>
        <w:jc w:val="right"/>
        <w:rPr>
          <w:bCs/>
          <w:i/>
          <w:sz w:val="24"/>
          <w:szCs w:val="24"/>
        </w:rPr>
      </w:pPr>
      <w:r w:rsidRPr="000E42B7">
        <w:rPr>
          <w:bCs/>
          <w:i/>
          <w:sz w:val="24"/>
          <w:szCs w:val="24"/>
        </w:rPr>
        <w:t xml:space="preserve">Таблица 2 </w:t>
      </w:r>
    </w:p>
    <w:p w:rsidR="00B00F56" w:rsidRPr="000E42B7" w:rsidRDefault="00B00F56" w:rsidP="00911FF4">
      <w:pPr>
        <w:contextualSpacing/>
        <w:jc w:val="center"/>
        <w:rPr>
          <w:sz w:val="24"/>
          <w:szCs w:val="24"/>
        </w:rPr>
      </w:pPr>
      <w:r w:rsidRPr="000E42B7">
        <w:rPr>
          <w:sz w:val="24"/>
          <w:szCs w:val="24"/>
          <w:lang w:eastAsia="en-US"/>
        </w:rPr>
        <w:t>Цели, задачи и результаты, достигнутые в ходе</w:t>
      </w:r>
      <w:r w:rsidRPr="000E42B7">
        <w:rPr>
          <w:sz w:val="24"/>
          <w:szCs w:val="24"/>
        </w:rPr>
        <w:t xml:space="preserve"> реализации Комплексной программы</w:t>
      </w:r>
    </w:p>
    <w:p w:rsidR="00B00F56" w:rsidRPr="000E42B7" w:rsidRDefault="00B00F56" w:rsidP="00911FF4">
      <w:pPr>
        <w:contextualSpacing/>
        <w:jc w:val="center"/>
        <w:rPr>
          <w:bCs/>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0"/>
        <w:gridCol w:w="1080"/>
        <w:gridCol w:w="7580"/>
      </w:tblGrid>
      <w:tr w:rsidR="00B00F56" w:rsidRPr="000E42B7" w:rsidTr="00103E16">
        <w:trPr>
          <w:trHeight w:val="324"/>
        </w:trPr>
        <w:tc>
          <w:tcPr>
            <w:tcW w:w="900" w:type="dxa"/>
            <w:vMerge w:val="restart"/>
          </w:tcPr>
          <w:p w:rsidR="00B00F56" w:rsidRPr="000E42B7" w:rsidRDefault="00B00F56" w:rsidP="00CF4E2D">
            <w:pPr>
              <w:contextualSpacing/>
              <w:jc w:val="both"/>
              <w:rPr>
                <w:sz w:val="24"/>
                <w:szCs w:val="24"/>
              </w:rPr>
            </w:pPr>
            <w:r w:rsidRPr="000E42B7">
              <w:rPr>
                <w:sz w:val="24"/>
                <w:szCs w:val="24"/>
              </w:rPr>
              <w:t>Цели, задачи</w:t>
            </w:r>
          </w:p>
        </w:tc>
        <w:tc>
          <w:tcPr>
            <w:tcW w:w="8660" w:type="dxa"/>
            <w:gridSpan w:val="2"/>
          </w:tcPr>
          <w:p w:rsidR="00B00F56" w:rsidRPr="000E42B7" w:rsidRDefault="00B00F56" w:rsidP="00103E16">
            <w:pPr>
              <w:contextualSpacing/>
              <w:jc w:val="center"/>
              <w:rPr>
                <w:sz w:val="24"/>
                <w:szCs w:val="24"/>
              </w:rPr>
            </w:pPr>
            <w:r w:rsidRPr="000E42B7">
              <w:rPr>
                <w:sz w:val="24"/>
                <w:szCs w:val="24"/>
              </w:rPr>
              <w:t>Результаты</w:t>
            </w:r>
          </w:p>
        </w:tc>
      </w:tr>
      <w:tr w:rsidR="00B00F56" w:rsidRPr="000E42B7" w:rsidTr="00103E16">
        <w:trPr>
          <w:trHeight w:val="276"/>
        </w:trPr>
        <w:tc>
          <w:tcPr>
            <w:tcW w:w="900" w:type="dxa"/>
            <w:vMerge/>
          </w:tcPr>
          <w:p w:rsidR="00B00F56" w:rsidRPr="000E42B7" w:rsidRDefault="00B00F56" w:rsidP="00CF4E2D">
            <w:pPr>
              <w:contextualSpacing/>
              <w:jc w:val="both"/>
              <w:rPr>
                <w:sz w:val="24"/>
                <w:szCs w:val="24"/>
              </w:rPr>
            </w:pPr>
          </w:p>
        </w:tc>
        <w:tc>
          <w:tcPr>
            <w:tcW w:w="1080" w:type="dxa"/>
          </w:tcPr>
          <w:p w:rsidR="00B00F56" w:rsidRPr="000E42B7" w:rsidRDefault="00B00F56" w:rsidP="00103E16">
            <w:pPr>
              <w:contextualSpacing/>
              <w:jc w:val="center"/>
              <w:rPr>
                <w:sz w:val="24"/>
                <w:szCs w:val="24"/>
              </w:rPr>
            </w:pPr>
            <w:r w:rsidRPr="000E42B7">
              <w:rPr>
                <w:sz w:val="24"/>
                <w:szCs w:val="24"/>
              </w:rPr>
              <w:t>укрупненные</w:t>
            </w:r>
          </w:p>
        </w:tc>
        <w:tc>
          <w:tcPr>
            <w:tcW w:w="7580" w:type="dxa"/>
          </w:tcPr>
          <w:p w:rsidR="00B00F56" w:rsidRPr="000E42B7" w:rsidRDefault="00B00F56" w:rsidP="00103E16">
            <w:pPr>
              <w:contextualSpacing/>
              <w:jc w:val="center"/>
              <w:rPr>
                <w:sz w:val="24"/>
                <w:szCs w:val="24"/>
              </w:rPr>
            </w:pPr>
            <w:r w:rsidRPr="000E42B7">
              <w:rPr>
                <w:sz w:val="24"/>
                <w:szCs w:val="24"/>
              </w:rPr>
              <w:t>частные</w:t>
            </w:r>
          </w:p>
        </w:tc>
      </w:tr>
      <w:tr w:rsidR="00B00F56" w:rsidRPr="000E42B7" w:rsidTr="00103E16">
        <w:trPr>
          <w:trHeight w:val="1362"/>
        </w:trPr>
        <w:tc>
          <w:tcPr>
            <w:tcW w:w="900" w:type="dxa"/>
          </w:tcPr>
          <w:p w:rsidR="00B00F56" w:rsidRPr="000E42B7" w:rsidRDefault="00B00F56" w:rsidP="00103E16">
            <w:pPr>
              <w:contextualSpacing/>
              <w:rPr>
                <w:sz w:val="24"/>
                <w:szCs w:val="24"/>
              </w:rPr>
            </w:pPr>
            <w:r w:rsidRPr="000E42B7">
              <w:rPr>
                <w:sz w:val="24"/>
                <w:szCs w:val="24"/>
              </w:rPr>
              <w:t>Клиентоориентированность;</w:t>
            </w:r>
          </w:p>
          <w:p w:rsidR="00B00F56" w:rsidRPr="000E42B7" w:rsidRDefault="00B00F56" w:rsidP="00103E16">
            <w:pPr>
              <w:contextualSpacing/>
              <w:rPr>
                <w:sz w:val="24"/>
                <w:szCs w:val="24"/>
              </w:rPr>
            </w:pPr>
            <w:r w:rsidRPr="000E42B7">
              <w:rPr>
                <w:sz w:val="24"/>
                <w:szCs w:val="24"/>
              </w:rPr>
              <w:t>повышение уровня добросовестности участников ВЭД;</w:t>
            </w:r>
          </w:p>
          <w:p w:rsidR="00B00F56" w:rsidRPr="000E42B7" w:rsidRDefault="00B00F56" w:rsidP="00103E16">
            <w:pPr>
              <w:contextualSpacing/>
              <w:rPr>
                <w:sz w:val="24"/>
                <w:szCs w:val="24"/>
              </w:rPr>
            </w:pPr>
            <w:r w:rsidRPr="000E42B7">
              <w:rPr>
                <w:sz w:val="24"/>
                <w:szCs w:val="24"/>
              </w:rPr>
              <w:t>улучшение условий ведения ВЭД;</w:t>
            </w:r>
          </w:p>
          <w:p w:rsidR="00B00F56" w:rsidRPr="000E42B7" w:rsidRDefault="00B00F56" w:rsidP="00103E16">
            <w:pPr>
              <w:contextualSpacing/>
              <w:rPr>
                <w:sz w:val="24"/>
                <w:szCs w:val="24"/>
              </w:rPr>
            </w:pPr>
            <w:r w:rsidRPr="000E42B7">
              <w:rPr>
                <w:sz w:val="24"/>
                <w:szCs w:val="24"/>
              </w:rPr>
              <w:t>повышение эффективности осуществления таможенного контроля;</w:t>
            </w:r>
          </w:p>
          <w:p w:rsidR="00B00F56" w:rsidRPr="000E42B7" w:rsidRDefault="00B00F56" w:rsidP="00103E16">
            <w:pPr>
              <w:contextualSpacing/>
              <w:rPr>
                <w:sz w:val="24"/>
                <w:szCs w:val="24"/>
              </w:rPr>
            </w:pPr>
            <w:r w:rsidRPr="000E42B7">
              <w:rPr>
                <w:sz w:val="24"/>
                <w:szCs w:val="24"/>
              </w:rPr>
              <w:t>снижение фискальных рисков для бюджета страны</w:t>
            </w:r>
          </w:p>
          <w:p w:rsidR="00B00F56" w:rsidRPr="000E42B7" w:rsidRDefault="00B00F56" w:rsidP="00103E16">
            <w:pPr>
              <w:contextualSpacing/>
              <w:rPr>
                <w:sz w:val="24"/>
                <w:szCs w:val="24"/>
              </w:rPr>
            </w:pPr>
          </w:p>
        </w:tc>
        <w:tc>
          <w:tcPr>
            <w:tcW w:w="1080" w:type="dxa"/>
          </w:tcPr>
          <w:p w:rsidR="00B00F56" w:rsidRPr="000E42B7" w:rsidRDefault="00B00F56" w:rsidP="00103E16">
            <w:pPr>
              <w:contextualSpacing/>
              <w:rPr>
                <w:sz w:val="24"/>
                <w:szCs w:val="24"/>
              </w:rPr>
            </w:pPr>
            <w:r w:rsidRPr="000E42B7">
              <w:rPr>
                <w:sz w:val="24"/>
                <w:szCs w:val="24"/>
              </w:rPr>
              <w:t xml:space="preserve">Обеспечены: </w:t>
            </w:r>
          </w:p>
          <w:p w:rsidR="00B00F56" w:rsidRPr="000E42B7" w:rsidRDefault="00B00F56" w:rsidP="00103E16">
            <w:pPr>
              <w:contextualSpacing/>
              <w:rPr>
                <w:sz w:val="24"/>
                <w:szCs w:val="24"/>
              </w:rPr>
            </w:pPr>
            <w:r w:rsidRPr="000E42B7">
              <w:rPr>
                <w:i/>
                <w:sz w:val="24"/>
                <w:szCs w:val="24"/>
              </w:rPr>
              <w:t xml:space="preserve">запланированный уровень автоматизации бизнес-процессов, связанных </w:t>
            </w:r>
            <w:r w:rsidRPr="000E42B7">
              <w:rPr>
                <w:i/>
                <w:sz w:val="24"/>
                <w:szCs w:val="24"/>
              </w:rPr>
              <w:br/>
              <w:t>с таможенным администрированием;</w:t>
            </w:r>
            <w:r w:rsidRPr="000E42B7">
              <w:rPr>
                <w:sz w:val="24"/>
                <w:szCs w:val="24"/>
              </w:rPr>
              <w:t xml:space="preserve"> </w:t>
            </w:r>
          </w:p>
          <w:p w:rsidR="00B00F56" w:rsidRPr="000E42B7" w:rsidRDefault="00B00F56" w:rsidP="00103E16">
            <w:pPr>
              <w:contextualSpacing/>
              <w:rPr>
                <w:sz w:val="24"/>
                <w:szCs w:val="24"/>
              </w:rPr>
            </w:pPr>
            <w:r w:rsidRPr="000E42B7">
              <w:rPr>
                <w:sz w:val="24"/>
                <w:szCs w:val="24"/>
              </w:rPr>
              <w:t xml:space="preserve">повышение эффективности таможенного контроля; </w:t>
            </w:r>
          </w:p>
          <w:p w:rsidR="00B00F56" w:rsidRPr="000E42B7" w:rsidRDefault="00B00F56" w:rsidP="00103E16">
            <w:pPr>
              <w:contextualSpacing/>
              <w:rPr>
                <w:sz w:val="24"/>
                <w:szCs w:val="24"/>
              </w:rPr>
            </w:pPr>
            <w:r w:rsidRPr="000E42B7">
              <w:rPr>
                <w:i/>
                <w:sz w:val="24"/>
                <w:szCs w:val="24"/>
              </w:rPr>
              <w:t>перевод информационного взаимодействия с бизнесом преимущественно в электронный вид;</w:t>
            </w:r>
            <w:r w:rsidRPr="000E42B7">
              <w:rPr>
                <w:sz w:val="24"/>
                <w:szCs w:val="24"/>
              </w:rPr>
              <w:t xml:space="preserve"> </w:t>
            </w:r>
          </w:p>
          <w:p w:rsidR="00B00F56" w:rsidRPr="000E42B7" w:rsidRDefault="00B00F56" w:rsidP="00103E16">
            <w:pPr>
              <w:contextualSpacing/>
              <w:rPr>
                <w:sz w:val="24"/>
                <w:szCs w:val="24"/>
              </w:rPr>
            </w:pPr>
            <w:r w:rsidRPr="000E42B7">
              <w:rPr>
                <w:sz w:val="24"/>
                <w:szCs w:val="24"/>
              </w:rPr>
              <w:t>сокращение временных и финансовых затрат участников ВЭД</w:t>
            </w:r>
          </w:p>
        </w:tc>
        <w:tc>
          <w:tcPr>
            <w:tcW w:w="7580" w:type="dxa"/>
          </w:tcPr>
          <w:p w:rsidR="00B00F56" w:rsidRPr="000E42B7" w:rsidRDefault="00B00F56" w:rsidP="00103E16">
            <w:pPr>
              <w:contextualSpacing/>
              <w:rPr>
                <w:sz w:val="24"/>
                <w:szCs w:val="24"/>
              </w:rPr>
            </w:pPr>
            <w:r w:rsidRPr="000E42B7">
              <w:rPr>
                <w:sz w:val="24"/>
                <w:szCs w:val="24"/>
              </w:rPr>
              <w:t>введено обязательное предварительное информирование для всех видов транспорта (за исключением трубопроводного транспорта и линий электропередачи);</w:t>
            </w:r>
          </w:p>
          <w:p w:rsidR="00B00F56" w:rsidRPr="000E42B7" w:rsidRDefault="00B00F56" w:rsidP="00103E16">
            <w:pPr>
              <w:contextualSpacing/>
              <w:rPr>
                <w:i/>
                <w:sz w:val="24"/>
                <w:szCs w:val="24"/>
              </w:rPr>
            </w:pPr>
            <w:r w:rsidRPr="000E42B7">
              <w:rPr>
                <w:i/>
                <w:sz w:val="24"/>
                <w:szCs w:val="24"/>
              </w:rPr>
              <w:t>внедрено электронное декларирование процедуры транзита, что позволило обеспечить применение с 2019 года технологий «авторегистрации»</w:t>
            </w:r>
            <w:r w:rsidRPr="000E42B7">
              <w:rPr>
                <w:sz w:val="24"/>
                <w:szCs w:val="24"/>
              </w:rPr>
              <w:t xml:space="preserve"> </w:t>
            </w:r>
            <w:r w:rsidRPr="000E42B7">
              <w:rPr>
                <w:i/>
                <w:sz w:val="24"/>
                <w:szCs w:val="24"/>
              </w:rPr>
              <w:t>и автоматизированного выпуска электронных транзитных деклараций;</w:t>
            </w:r>
          </w:p>
          <w:p w:rsidR="00B00F56" w:rsidRPr="000E42B7" w:rsidRDefault="00B00F56" w:rsidP="00103E16">
            <w:pPr>
              <w:contextualSpacing/>
              <w:rPr>
                <w:sz w:val="24"/>
                <w:szCs w:val="24"/>
              </w:rPr>
            </w:pPr>
            <w:r w:rsidRPr="000E42B7">
              <w:rPr>
                <w:sz w:val="24"/>
                <w:szCs w:val="24"/>
              </w:rPr>
              <w:t xml:space="preserve">реализована технология централизации уплаты таможенных платежей </w:t>
            </w:r>
            <w:r w:rsidRPr="000E42B7">
              <w:rPr>
                <w:sz w:val="24"/>
                <w:szCs w:val="24"/>
              </w:rPr>
              <w:br/>
              <w:t>с применением единых лицевых счетов, что позволило оптимизировать большинство операций с денежными средствами, сократить сроки их зачисления на лицевые счета;</w:t>
            </w:r>
          </w:p>
          <w:p w:rsidR="00B00F56" w:rsidRPr="000E42B7" w:rsidRDefault="00B00F56" w:rsidP="00103E16">
            <w:pPr>
              <w:contextualSpacing/>
              <w:rPr>
                <w:i/>
                <w:sz w:val="24"/>
                <w:szCs w:val="24"/>
              </w:rPr>
            </w:pPr>
            <w:r w:rsidRPr="000E42B7">
              <w:rPr>
                <w:i/>
                <w:sz w:val="24"/>
                <w:szCs w:val="24"/>
              </w:rPr>
              <w:t xml:space="preserve">реализовано множество сервисов в автоматизированной подсистеме «Личный кабинет», обеспечивающих автоматизацию процессов при реализации различных таможенных процедур; </w:t>
            </w:r>
          </w:p>
          <w:p w:rsidR="00B00F56" w:rsidRPr="000E42B7" w:rsidRDefault="00B00F56" w:rsidP="00103E16">
            <w:pPr>
              <w:contextualSpacing/>
              <w:rPr>
                <w:i/>
                <w:sz w:val="24"/>
                <w:szCs w:val="24"/>
              </w:rPr>
            </w:pPr>
            <w:r w:rsidRPr="000E42B7">
              <w:rPr>
                <w:i/>
                <w:sz w:val="24"/>
                <w:szCs w:val="24"/>
              </w:rPr>
              <w:t>увеличен перечень документов/сведений, получаемых заинтересованным лицом от таможенных органов и представляемых заинтересованным лицом в таможенные органы с использованием АПС «Личный кабинет»;</w:t>
            </w:r>
          </w:p>
          <w:p w:rsidR="00B00F56" w:rsidRPr="000E42B7" w:rsidRDefault="00B00F56" w:rsidP="00103E16">
            <w:pPr>
              <w:contextualSpacing/>
              <w:rPr>
                <w:sz w:val="24"/>
                <w:szCs w:val="24"/>
              </w:rPr>
            </w:pPr>
            <w:r w:rsidRPr="000E42B7">
              <w:rPr>
                <w:sz w:val="24"/>
                <w:szCs w:val="24"/>
              </w:rPr>
              <w:t>внедрено трехуровневое дифференцирование риска при категорировании участников ВЭД, а также усовершенствованы подходы к идентификации уровня риска нарушения таможенного законодательства участниками ВЭД. Количество организаций низкого уровня риска выросло практически вдвое;</w:t>
            </w:r>
          </w:p>
          <w:p w:rsidR="00B00F56" w:rsidRPr="000E42B7" w:rsidRDefault="00B00F56" w:rsidP="00103E16">
            <w:pPr>
              <w:contextualSpacing/>
              <w:rPr>
                <w:i/>
                <w:sz w:val="24"/>
                <w:szCs w:val="24"/>
              </w:rPr>
            </w:pPr>
            <w:r w:rsidRPr="000E42B7">
              <w:rPr>
                <w:i/>
                <w:sz w:val="24"/>
                <w:szCs w:val="24"/>
              </w:rPr>
              <w:t>реализованы мероприятия по разработке единого механизма таможенного и налогового администрирования, а также валютного контроля, основанного на создании и применении интегрированных информационно-телекоммуникационных технологий федеральных органов исполнительной власти, подведомственных Минфину России;</w:t>
            </w:r>
          </w:p>
          <w:p w:rsidR="00B00F56" w:rsidRPr="000E42B7" w:rsidRDefault="00B00F56" w:rsidP="00103E16">
            <w:pPr>
              <w:contextualSpacing/>
              <w:rPr>
                <w:sz w:val="24"/>
                <w:szCs w:val="24"/>
              </w:rPr>
            </w:pPr>
            <w:r w:rsidRPr="000E42B7">
              <w:rPr>
                <w:sz w:val="24"/>
                <w:szCs w:val="24"/>
              </w:rPr>
              <w:t xml:space="preserve">осуществлены мероприятия по созданию системы прослеживаемости движения товаров ЕАЭС в части реализации задач, поставленных </w:t>
            </w:r>
            <w:r w:rsidRPr="000E42B7">
              <w:rPr>
                <w:sz w:val="24"/>
                <w:szCs w:val="24"/>
              </w:rPr>
              <w:br/>
              <w:t>на национальном уровне;</w:t>
            </w:r>
          </w:p>
          <w:p w:rsidR="00B00F56" w:rsidRPr="000E42B7" w:rsidRDefault="00B00F56" w:rsidP="00103E16">
            <w:pPr>
              <w:contextualSpacing/>
              <w:rPr>
                <w:i/>
                <w:sz w:val="24"/>
                <w:szCs w:val="24"/>
              </w:rPr>
            </w:pPr>
            <w:r w:rsidRPr="000E42B7">
              <w:rPr>
                <w:i/>
                <w:sz w:val="24"/>
                <w:szCs w:val="24"/>
              </w:rPr>
              <w:t xml:space="preserve">обеспечено совершенствование межведомственного информационного взаимодействия с федеральными органами исполнительной власти </w:t>
            </w:r>
            <w:r w:rsidRPr="000E42B7">
              <w:rPr>
                <w:i/>
                <w:sz w:val="24"/>
                <w:szCs w:val="24"/>
              </w:rPr>
              <w:br/>
              <w:t>и организациями, в том числе с использованием современных информационных сервисов системы межведомственного электронного взаимодействия (далее – СМЭВ) в целях получения сведений о разрешительных документах в автоматическом режиме, близком к реальному времени;</w:t>
            </w:r>
          </w:p>
          <w:p w:rsidR="00B00F56" w:rsidRPr="000E42B7" w:rsidRDefault="00B00F56" w:rsidP="00103E16">
            <w:pPr>
              <w:contextualSpacing/>
              <w:rPr>
                <w:sz w:val="24"/>
                <w:szCs w:val="24"/>
              </w:rPr>
            </w:pPr>
            <w:r w:rsidRPr="000E42B7">
              <w:rPr>
                <w:sz w:val="24"/>
                <w:szCs w:val="24"/>
              </w:rPr>
              <w:t xml:space="preserve">расширена договорно-правовая база международного сотрудничества </w:t>
            </w:r>
            <w:r w:rsidRPr="000E42B7">
              <w:rPr>
                <w:sz w:val="24"/>
                <w:szCs w:val="24"/>
              </w:rPr>
              <w:br/>
              <w:t xml:space="preserve">с таможенными службами иностранных государств (в части организации информационного обмена, взаимного признания результатов таможенного контроля, обмена информацией о таможенной стоимости товаров, содействия развитию торговли и применения СУР, правоохранительного сотрудничества </w:t>
            </w:r>
            <w:r w:rsidRPr="000E42B7">
              <w:rPr>
                <w:sz w:val="24"/>
                <w:szCs w:val="24"/>
              </w:rPr>
              <w:br/>
              <w:t>и др.);</w:t>
            </w:r>
          </w:p>
          <w:p w:rsidR="00B00F56" w:rsidRPr="000E42B7" w:rsidRDefault="00B00F56" w:rsidP="00103E16">
            <w:pPr>
              <w:contextualSpacing/>
              <w:rPr>
                <w:sz w:val="24"/>
                <w:szCs w:val="24"/>
              </w:rPr>
            </w:pPr>
            <w:r w:rsidRPr="000E42B7">
              <w:rPr>
                <w:sz w:val="24"/>
                <w:szCs w:val="24"/>
              </w:rPr>
              <w:t xml:space="preserve">достигнут стабильный рост количества уголовных дел, возбуждаемых </w:t>
            </w:r>
            <w:r w:rsidRPr="000E42B7">
              <w:rPr>
                <w:sz w:val="24"/>
                <w:szCs w:val="24"/>
              </w:rPr>
              <w:br/>
              <w:t>по оперативным материалам. Сделан акцент  на обеспечение предотвращения и возмещения ущерба государству, выявление и привлечение к уголовной ответственности всех лиц, причастных к организации и совершению преступлений;</w:t>
            </w:r>
          </w:p>
          <w:p w:rsidR="00B00F56" w:rsidRPr="000E42B7" w:rsidRDefault="00B00F56" w:rsidP="00103E16">
            <w:pPr>
              <w:contextualSpacing/>
              <w:rPr>
                <w:sz w:val="24"/>
                <w:szCs w:val="24"/>
              </w:rPr>
            </w:pPr>
            <w:r w:rsidRPr="000E42B7">
              <w:rPr>
                <w:sz w:val="24"/>
                <w:szCs w:val="24"/>
              </w:rPr>
              <w:t xml:space="preserve">проведена работа по реализации системы мер, направленных </w:t>
            </w:r>
            <w:r w:rsidRPr="000E42B7">
              <w:rPr>
                <w:sz w:val="24"/>
                <w:szCs w:val="24"/>
              </w:rPr>
              <w:br/>
              <w:t>на профилактику, предупреждение и пресечение коррупции, которая способствовала снижению количества совершаемых должностными лицами таможенных органов преступлений;</w:t>
            </w:r>
          </w:p>
          <w:p w:rsidR="00B00F56" w:rsidRPr="000E42B7" w:rsidRDefault="00B00F56" w:rsidP="00103E16">
            <w:pPr>
              <w:contextualSpacing/>
              <w:rPr>
                <w:sz w:val="28"/>
                <w:szCs w:val="28"/>
              </w:rPr>
            </w:pPr>
            <w:r w:rsidRPr="000E42B7">
              <w:rPr>
                <w:sz w:val="24"/>
                <w:szCs w:val="24"/>
              </w:rPr>
              <w:t>принят комплекс мер, направленных на повышение уровня законности решений, действий таможенных органов и (или) их должностных лиц в области таможенного дела. Реализованы мероприятия по совершенствованию правового обеспечения деятельности таможенных органов.</w:t>
            </w:r>
          </w:p>
          <w:p w:rsidR="00B00F56" w:rsidRPr="000E42B7" w:rsidRDefault="00B00F56" w:rsidP="00103E16">
            <w:pPr>
              <w:contextualSpacing/>
              <w:rPr>
                <w:sz w:val="24"/>
                <w:szCs w:val="24"/>
              </w:rPr>
            </w:pPr>
            <w:r w:rsidRPr="000E42B7">
              <w:rPr>
                <w:i/>
                <w:sz w:val="24"/>
                <w:szCs w:val="24"/>
              </w:rPr>
              <w:t xml:space="preserve"> </w:t>
            </w:r>
          </w:p>
        </w:tc>
      </w:tr>
    </w:tbl>
    <w:p w:rsidR="00B00F56" w:rsidRDefault="00B00F56" w:rsidP="00103E16">
      <w:pPr>
        <w:pStyle w:val="ConsPlusNormal"/>
        <w:ind w:firstLine="708"/>
        <w:jc w:val="both"/>
        <w:rPr>
          <w:bCs/>
        </w:rPr>
      </w:pPr>
    </w:p>
    <w:p w:rsidR="00B00F56" w:rsidRPr="000E42B7" w:rsidRDefault="00B00F56" w:rsidP="00103E16">
      <w:pPr>
        <w:pStyle w:val="ConsPlusNormal"/>
        <w:ind w:firstLine="708"/>
        <w:jc w:val="both"/>
        <w:rPr>
          <w:bCs/>
        </w:rPr>
      </w:pPr>
      <w:r w:rsidRPr="000E42B7">
        <w:rPr>
          <w:bCs/>
        </w:rPr>
        <w:t>Результаты, имеющие отношение к цифровизации таможенной деятельности (два из четырех укрупненных, четыре из двенадцати частных), выделены в таблице 2 курсивом.</w:t>
      </w:r>
    </w:p>
    <w:p w:rsidR="00B00F56" w:rsidRPr="000E42B7" w:rsidRDefault="00B00F56" w:rsidP="00D2783B">
      <w:pPr>
        <w:spacing w:after="100" w:afterAutospacing="1"/>
        <w:ind w:firstLine="709"/>
        <w:contextualSpacing/>
        <w:jc w:val="both"/>
        <w:rPr>
          <w:bCs/>
          <w:sz w:val="24"/>
          <w:szCs w:val="24"/>
        </w:rPr>
      </w:pPr>
      <w:r w:rsidRPr="000E42B7">
        <w:rPr>
          <w:bCs/>
          <w:sz w:val="24"/>
          <w:szCs w:val="24"/>
        </w:rPr>
        <w:t>Особую важность для предпринимательского сообщества представило выполнение ключевых показателей «10 шагов навстречу бизнесу».</w:t>
      </w:r>
      <w:r w:rsidRPr="000E42B7">
        <w:rPr>
          <w:sz w:val="24"/>
          <w:szCs w:val="24"/>
          <w:lang w:eastAsia="en-US"/>
        </w:rPr>
        <w:t xml:space="preserve"> Плановые показатели и фактические значения ключевых показателей в 2020 году  </w:t>
      </w:r>
      <w:r w:rsidRPr="000E42B7">
        <w:rPr>
          <w:bCs/>
          <w:sz w:val="24"/>
          <w:szCs w:val="24"/>
        </w:rPr>
        <w:t>представлены в таблице 3.</w:t>
      </w:r>
    </w:p>
    <w:p w:rsidR="00B00F56" w:rsidRPr="000E42B7" w:rsidRDefault="00B00F56" w:rsidP="00D2783B">
      <w:pPr>
        <w:contextualSpacing/>
        <w:jc w:val="right"/>
        <w:rPr>
          <w:bCs/>
          <w:i/>
          <w:sz w:val="24"/>
          <w:szCs w:val="24"/>
        </w:rPr>
      </w:pPr>
      <w:r w:rsidRPr="000E42B7">
        <w:rPr>
          <w:bCs/>
          <w:i/>
          <w:sz w:val="24"/>
          <w:szCs w:val="24"/>
        </w:rPr>
        <w:t xml:space="preserve">Таблица 3 </w:t>
      </w:r>
    </w:p>
    <w:p w:rsidR="00B00F56" w:rsidRPr="000E42B7" w:rsidRDefault="00B00F56" w:rsidP="00D2783B">
      <w:pPr>
        <w:contextualSpacing/>
        <w:jc w:val="center"/>
        <w:rPr>
          <w:sz w:val="24"/>
          <w:szCs w:val="24"/>
          <w:lang w:eastAsia="en-US"/>
        </w:rPr>
      </w:pPr>
      <w:r w:rsidRPr="000E42B7">
        <w:rPr>
          <w:sz w:val="24"/>
          <w:szCs w:val="24"/>
          <w:lang w:eastAsia="en-US"/>
        </w:rPr>
        <w:t xml:space="preserve">Плановые показатели и фактические значения ключевых показателей в 2020 году </w:t>
      </w:r>
    </w:p>
    <w:p w:rsidR="00B00F56" w:rsidRPr="000E42B7" w:rsidRDefault="00B00F56" w:rsidP="00D2783B">
      <w:pPr>
        <w:contextualSpacing/>
        <w:jc w:val="center"/>
        <w:rPr>
          <w:bCs/>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20"/>
        <w:gridCol w:w="6660"/>
        <w:gridCol w:w="1080"/>
        <w:gridCol w:w="1100"/>
      </w:tblGrid>
      <w:tr w:rsidR="00B00F56" w:rsidRPr="000E42B7" w:rsidTr="00225598">
        <w:trPr>
          <w:trHeight w:val="324"/>
        </w:trPr>
        <w:tc>
          <w:tcPr>
            <w:tcW w:w="720" w:type="dxa"/>
            <w:vMerge w:val="restart"/>
          </w:tcPr>
          <w:p w:rsidR="00B00F56" w:rsidRPr="000E42B7" w:rsidRDefault="00B00F56" w:rsidP="00A32C09">
            <w:pPr>
              <w:contextualSpacing/>
              <w:jc w:val="center"/>
              <w:rPr>
                <w:sz w:val="24"/>
                <w:szCs w:val="24"/>
              </w:rPr>
            </w:pPr>
            <w:r w:rsidRPr="000E42B7">
              <w:rPr>
                <w:sz w:val="24"/>
                <w:szCs w:val="24"/>
              </w:rPr>
              <w:t>№ пп</w:t>
            </w:r>
          </w:p>
        </w:tc>
        <w:tc>
          <w:tcPr>
            <w:tcW w:w="6660" w:type="dxa"/>
            <w:vMerge w:val="restart"/>
          </w:tcPr>
          <w:p w:rsidR="00B00F56" w:rsidRPr="000E42B7" w:rsidRDefault="00B00F56" w:rsidP="00A32C09">
            <w:pPr>
              <w:contextualSpacing/>
              <w:jc w:val="center"/>
              <w:rPr>
                <w:sz w:val="24"/>
                <w:szCs w:val="24"/>
              </w:rPr>
            </w:pPr>
            <w:r w:rsidRPr="000E42B7">
              <w:rPr>
                <w:sz w:val="24"/>
                <w:szCs w:val="24"/>
              </w:rPr>
              <w:t>Ключевые показатели</w:t>
            </w:r>
          </w:p>
        </w:tc>
        <w:tc>
          <w:tcPr>
            <w:tcW w:w="2180" w:type="dxa"/>
            <w:gridSpan w:val="2"/>
          </w:tcPr>
          <w:p w:rsidR="00B00F56" w:rsidRPr="000E42B7" w:rsidRDefault="00B00F56" w:rsidP="00CF4E2D">
            <w:pPr>
              <w:contextualSpacing/>
              <w:jc w:val="center"/>
              <w:rPr>
                <w:sz w:val="24"/>
                <w:szCs w:val="24"/>
              </w:rPr>
            </w:pPr>
            <w:r w:rsidRPr="000E42B7">
              <w:rPr>
                <w:sz w:val="24"/>
                <w:szCs w:val="24"/>
              </w:rPr>
              <w:t>Значения, %</w:t>
            </w:r>
          </w:p>
        </w:tc>
      </w:tr>
      <w:tr w:rsidR="00B00F56" w:rsidRPr="000E42B7" w:rsidTr="00225598">
        <w:trPr>
          <w:trHeight w:val="276"/>
        </w:trPr>
        <w:tc>
          <w:tcPr>
            <w:tcW w:w="720" w:type="dxa"/>
            <w:vMerge/>
          </w:tcPr>
          <w:p w:rsidR="00B00F56" w:rsidRPr="000E42B7" w:rsidRDefault="00B00F56" w:rsidP="00CF4E2D">
            <w:pPr>
              <w:contextualSpacing/>
              <w:jc w:val="both"/>
              <w:rPr>
                <w:sz w:val="24"/>
                <w:szCs w:val="24"/>
              </w:rPr>
            </w:pPr>
          </w:p>
        </w:tc>
        <w:tc>
          <w:tcPr>
            <w:tcW w:w="6660" w:type="dxa"/>
            <w:vMerge/>
          </w:tcPr>
          <w:p w:rsidR="00B00F56" w:rsidRPr="000E42B7" w:rsidRDefault="00B00F56" w:rsidP="00CF4E2D">
            <w:pPr>
              <w:contextualSpacing/>
              <w:jc w:val="both"/>
              <w:rPr>
                <w:sz w:val="24"/>
                <w:szCs w:val="24"/>
              </w:rPr>
            </w:pPr>
          </w:p>
        </w:tc>
        <w:tc>
          <w:tcPr>
            <w:tcW w:w="1080" w:type="dxa"/>
          </w:tcPr>
          <w:p w:rsidR="00B00F56" w:rsidRPr="000E42B7" w:rsidRDefault="00B00F56" w:rsidP="00CF4E2D">
            <w:pPr>
              <w:contextualSpacing/>
              <w:jc w:val="center"/>
              <w:rPr>
                <w:sz w:val="24"/>
                <w:szCs w:val="24"/>
              </w:rPr>
            </w:pPr>
            <w:r w:rsidRPr="000E42B7">
              <w:rPr>
                <w:sz w:val="24"/>
                <w:szCs w:val="24"/>
              </w:rPr>
              <w:t>план</w:t>
            </w:r>
          </w:p>
        </w:tc>
        <w:tc>
          <w:tcPr>
            <w:tcW w:w="1100" w:type="dxa"/>
          </w:tcPr>
          <w:p w:rsidR="00B00F56" w:rsidRPr="000E42B7" w:rsidRDefault="00B00F56" w:rsidP="00CF4E2D">
            <w:pPr>
              <w:contextualSpacing/>
              <w:jc w:val="center"/>
              <w:rPr>
                <w:sz w:val="24"/>
                <w:szCs w:val="24"/>
              </w:rPr>
            </w:pPr>
            <w:r w:rsidRPr="000E42B7">
              <w:rPr>
                <w:sz w:val="24"/>
                <w:szCs w:val="24"/>
              </w:rPr>
              <w:t>факт</w:t>
            </w:r>
          </w:p>
        </w:tc>
      </w:tr>
      <w:tr w:rsidR="00B00F56" w:rsidRPr="000E42B7" w:rsidTr="00225598">
        <w:trPr>
          <w:trHeight w:val="501"/>
        </w:trPr>
        <w:tc>
          <w:tcPr>
            <w:tcW w:w="720" w:type="dxa"/>
          </w:tcPr>
          <w:p w:rsidR="00B00F56" w:rsidRPr="000E42B7" w:rsidRDefault="00B00F56" w:rsidP="00CF4E2D">
            <w:pPr>
              <w:contextualSpacing/>
              <w:rPr>
                <w:sz w:val="24"/>
                <w:szCs w:val="24"/>
              </w:rPr>
            </w:pPr>
            <w:r w:rsidRPr="000E42B7">
              <w:rPr>
                <w:sz w:val="24"/>
                <w:szCs w:val="24"/>
              </w:rPr>
              <w:t>1</w:t>
            </w:r>
          </w:p>
        </w:tc>
        <w:tc>
          <w:tcPr>
            <w:tcW w:w="6660" w:type="dxa"/>
          </w:tcPr>
          <w:p w:rsidR="00B00F56" w:rsidRPr="000E42B7" w:rsidRDefault="00B00F56" w:rsidP="00CF4E2D">
            <w:pPr>
              <w:contextualSpacing/>
              <w:rPr>
                <w:i/>
                <w:sz w:val="24"/>
                <w:szCs w:val="24"/>
              </w:rPr>
            </w:pPr>
            <w:r w:rsidRPr="000E42B7">
              <w:rPr>
                <w:i/>
                <w:sz w:val="24"/>
                <w:szCs w:val="24"/>
              </w:rPr>
              <w:t>доля электронных деклараций на товары, зарегистрированных в центрах электронного декларирования</w:t>
            </w:r>
          </w:p>
        </w:tc>
        <w:tc>
          <w:tcPr>
            <w:tcW w:w="1080" w:type="dxa"/>
          </w:tcPr>
          <w:p w:rsidR="00B00F56" w:rsidRPr="000E42B7" w:rsidRDefault="00B00F56" w:rsidP="00CF4E2D">
            <w:pPr>
              <w:contextualSpacing/>
              <w:rPr>
                <w:sz w:val="24"/>
                <w:szCs w:val="24"/>
              </w:rPr>
            </w:pPr>
            <w:r w:rsidRPr="000E42B7">
              <w:rPr>
                <w:sz w:val="24"/>
                <w:szCs w:val="24"/>
              </w:rPr>
              <w:t>95</w:t>
            </w:r>
          </w:p>
        </w:tc>
        <w:tc>
          <w:tcPr>
            <w:tcW w:w="1100" w:type="dxa"/>
          </w:tcPr>
          <w:p w:rsidR="00B00F56" w:rsidRPr="000E42B7" w:rsidRDefault="00B00F56" w:rsidP="00CF4E2D">
            <w:pPr>
              <w:contextualSpacing/>
              <w:rPr>
                <w:sz w:val="24"/>
                <w:szCs w:val="24"/>
              </w:rPr>
            </w:pPr>
            <w:r w:rsidRPr="000E42B7">
              <w:rPr>
                <w:sz w:val="24"/>
                <w:szCs w:val="24"/>
              </w:rPr>
              <w:t>97,2</w:t>
            </w:r>
          </w:p>
        </w:tc>
      </w:tr>
      <w:tr w:rsidR="00B00F56" w:rsidRPr="000E42B7" w:rsidTr="00225598">
        <w:trPr>
          <w:trHeight w:val="501"/>
        </w:trPr>
        <w:tc>
          <w:tcPr>
            <w:tcW w:w="720" w:type="dxa"/>
          </w:tcPr>
          <w:p w:rsidR="00B00F56" w:rsidRPr="000E42B7" w:rsidRDefault="00B00F56" w:rsidP="00CF4E2D">
            <w:pPr>
              <w:contextualSpacing/>
              <w:rPr>
                <w:sz w:val="24"/>
                <w:szCs w:val="24"/>
              </w:rPr>
            </w:pPr>
            <w:r w:rsidRPr="000E42B7">
              <w:rPr>
                <w:sz w:val="24"/>
                <w:szCs w:val="24"/>
              </w:rPr>
              <w:t>2</w:t>
            </w:r>
          </w:p>
        </w:tc>
        <w:tc>
          <w:tcPr>
            <w:tcW w:w="6660" w:type="dxa"/>
          </w:tcPr>
          <w:p w:rsidR="00B00F56" w:rsidRPr="000E42B7" w:rsidRDefault="00B00F56" w:rsidP="00CF4E2D">
            <w:pPr>
              <w:contextualSpacing/>
              <w:rPr>
                <w:sz w:val="24"/>
                <w:szCs w:val="24"/>
              </w:rPr>
            </w:pPr>
            <w:r w:rsidRPr="000E42B7">
              <w:rPr>
                <w:sz w:val="24"/>
                <w:szCs w:val="24"/>
              </w:rPr>
              <w:t>доля центров электронного декларирования, размещенных на площадях, находящихся в государственной собственности, от их общего количества</w:t>
            </w:r>
          </w:p>
        </w:tc>
        <w:tc>
          <w:tcPr>
            <w:tcW w:w="1080" w:type="dxa"/>
          </w:tcPr>
          <w:p w:rsidR="00B00F56" w:rsidRPr="000E42B7" w:rsidRDefault="00B00F56" w:rsidP="00CF4E2D">
            <w:pPr>
              <w:contextualSpacing/>
              <w:rPr>
                <w:sz w:val="24"/>
                <w:szCs w:val="24"/>
              </w:rPr>
            </w:pPr>
            <w:r w:rsidRPr="000E42B7">
              <w:rPr>
                <w:sz w:val="24"/>
                <w:szCs w:val="24"/>
              </w:rPr>
              <w:t>100</w:t>
            </w:r>
          </w:p>
        </w:tc>
        <w:tc>
          <w:tcPr>
            <w:tcW w:w="1100" w:type="dxa"/>
          </w:tcPr>
          <w:p w:rsidR="00B00F56" w:rsidRPr="000E42B7" w:rsidRDefault="00B00F56" w:rsidP="00CF4E2D">
            <w:pPr>
              <w:contextualSpacing/>
              <w:rPr>
                <w:sz w:val="24"/>
                <w:szCs w:val="24"/>
              </w:rPr>
            </w:pPr>
            <w:r w:rsidRPr="000E42B7">
              <w:rPr>
                <w:sz w:val="24"/>
                <w:szCs w:val="24"/>
              </w:rPr>
              <w:t>100</w:t>
            </w:r>
          </w:p>
        </w:tc>
      </w:tr>
      <w:tr w:rsidR="00B00F56" w:rsidRPr="000E42B7" w:rsidTr="00225598">
        <w:trPr>
          <w:trHeight w:val="501"/>
        </w:trPr>
        <w:tc>
          <w:tcPr>
            <w:tcW w:w="720" w:type="dxa"/>
          </w:tcPr>
          <w:p w:rsidR="00B00F56" w:rsidRPr="000E42B7" w:rsidRDefault="00B00F56" w:rsidP="00CF4E2D">
            <w:pPr>
              <w:contextualSpacing/>
              <w:rPr>
                <w:sz w:val="24"/>
                <w:szCs w:val="24"/>
              </w:rPr>
            </w:pPr>
          </w:p>
          <w:p w:rsidR="00B00F56" w:rsidRPr="000E42B7" w:rsidRDefault="00B00F56" w:rsidP="00CF4E2D">
            <w:pPr>
              <w:contextualSpacing/>
              <w:rPr>
                <w:sz w:val="24"/>
                <w:szCs w:val="24"/>
              </w:rPr>
            </w:pPr>
            <w:r w:rsidRPr="000E42B7">
              <w:rPr>
                <w:sz w:val="24"/>
                <w:szCs w:val="24"/>
              </w:rPr>
              <w:t>3</w:t>
            </w:r>
          </w:p>
          <w:p w:rsidR="00B00F56" w:rsidRPr="000E42B7" w:rsidRDefault="00B00F56" w:rsidP="00CF4E2D">
            <w:pPr>
              <w:contextualSpacing/>
              <w:rPr>
                <w:sz w:val="24"/>
                <w:szCs w:val="24"/>
              </w:rPr>
            </w:pPr>
            <w:r w:rsidRPr="000E42B7">
              <w:rPr>
                <w:sz w:val="24"/>
                <w:szCs w:val="24"/>
              </w:rPr>
              <w:t>4</w:t>
            </w:r>
          </w:p>
        </w:tc>
        <w:tc>
          <w:tcPr>
            <w:tcW w:w="6660" w:type="dxa"/>
          </w:tcPr>
          <w:p w:rsidR="00B00F56" w:rsidRPr="000E42B7" w:rsidRDefault="00B00F56" w:rsidP="00CF4E2D">
            <w:pPr>
              <w:contextualSpacing/>
              <w:rPr>
                <w:i/>
                <w:sz w:val="24"/>
                <w:szCs w:val="24"/>
              </w:rPr>
            </w:pPr>
            <w:r w:rsidRPr="000E42B7">
              <w:rPr>
                <w:i/>
                <w:sz w:val="24"/>
                <w:szCs w:val="24"/>
              </w:rPr>
              <w:t xml:space="preserve">доля автоматически зарегистрированных электронных деклараций на экспортируемые товары, </w:t>
            </w:r>
          </w:p>
          <w:p w:rsidR="00B00F56" w:rsidRPr="000E42B7" w:rsidRDefault="00B00F56" w:rsidP="00CF4E2D">
            <w:pPr>
              <w:contextualSpacing/>
              <w:rPr>
                <w:sz w:val="24"/>
                <w:szCs w:val="24"/>
              </w:rPr>
            </w:pPr>
            <w:r w:rsidRPr="000E42B7">
              <w:rPr>
                <w:i/>
                <w:sz w:val="24"/>
                <w:szCs w:val="24"/>
              </w:rPr>
              <w:t>на импортируемые товары</w:t>
            </w:r>
            <w:r w:rsidRPr="000E42B7">
              <w:rPr>
                <w:sz w:val="24"/>
                <w:szCs w:val="24"/>
              </w:rPr>
              <w:t xml:space="preserve"> </w:t>
            </w:r>
          </w:p>
        </w:tc>
        <w:tc>
          <w:tcPr>
            <w:tcW w:w="1080" w:type="dxa"/>
          </w:tcPr>
          <w:p w:rsidR="00B00F56" w:rsidRPr="000E42B7" w:rsidRDefault="00B00F56" w:rsidP="00CF4E2D">
            <w:pPr>
              <w:contextualSpacing/>
              <w:rPr>
                <w:sz w:val="24"/>
                <w:szCs w:val="24"/>
              </w:rPr>
            </w:pPr>
          </w:p>
          <w:p w:rsidR="00B00F56" w:rsidRPr="000E42B7" w:rsidRDefault="00B00F56" w:rsidP="00CF4E2D">
            <w:pPr>
              <w:contextualSpacing/>
              <w:rPr>
                <w:sz w:val="24"/>
                <w:szCs w:val="24"/>
              </w:rPr>
            </w:pPr>
            <w:r w:rsidRPr="000E42B7">
              <w:rPr>
                <w:sz w:val="24"/>
                <w:szCs w:val="24"/>
              </w:rPr>
              <w:t>99</w:t>
            </w:r>
          </w:p>
          <w:p w:rsidR="00B00F56" w:rsidRPr="000E42B7" w:rsidRDefault="00B00F56" w:rsidP="00CF4E2D">
            <w:pPr>
              <w:contextualSpacing/>
              <w:rPr>
                <w:sz w:val="24"/>
                <w:szCs w:val="24"/>
              </w:rPr>
            </w:pPr>
            <w:r w:rsidRPr="000E42B7">
              <w:rPr>
                <w:sz w:val="24"/>
                <w:szCs w:val="24"/>
              </w:rPr>
              <w:t>99</w:t>
            </w:r>
          </w:p>
        </w:tc>
        <w:tc>
          <w:tcPr>
            <w:tcW w:w="1100" w:type="dxa"/>
          </w:tcPr>
          <w:p w:rsidR="00B00F56" w:rsidRPr="000E42B7" w:rsidRDefault="00B00F56" w:rsidP="00CF4E2D">
            <w:pPr>
              <w:contextualSpacing/>
              <w:rPr>
                <w:sz w:val="24"/>
                <w:szCs w:val="24"/>
              </w:rPr>
            </w:pPr>
          </w:p>
          <w:p w:rsidR="00B00F56" w:rsidRPr="000E42B7" w:rsidRDefault="00B00F56" w:rsidP="00CF4E2D">
            <w:pPr>
              <w:contextualSpacing/>
              <w:rPr>
                <w:sz w:val="24"/>
                <w:szCs w:val="24"/>
              </w:rPr>
            </w:pPr>
            <w:r w:rsidRPr="000E42B7">
              <w:rPr>
                <w:sz w:val="24"/>
                <w:szCs w:val="24"/>
              </w:rPr>
              <w:t>99,1</w:t>
            </w:r>
          </w:p>
          <w:p w:rsidR="00B00F56" w:rsidRPr="000E42B7" w:rsidRDefault="00B00F56" w:rsidP="00CF4E2D">
            <w:pPr>
              <w:contextualSpacing/>
              <w:rPr>
                <w:sz w:val="24"/>
                <w:szCs w:val="24"/>
              </w:rPr>
            </w:pPr>
            <w:r w:rsidRPr="000E42B7">
              <w:rPr>
                <w:sz w:val="24"/>
                <w:szCs w:val="24"/>
              </w:rPr>
              <w:t>99,3</w:t>
            </w:r>
          </w:p>
        </w:tc>
      </w:tr>
      <w:tr w:rsidR="00B00F56" w:rsidRPr="000E42B7" w:rsidTr="00225598">
        <w:trPr>
          <w:trHeight w:val="1154"/>
        </w:trPr>
        <w:tc>
          <w:tcPr>
            <w:tcW w:w="720" w:type="dxa"/>
          </w:tcPr>
          <w:p w:rsidR="00B00F56" w:rsidRPr="000E42B7" w:rsidRDefault="00B00F56" w:rsidP="004F41FC">
            <w:pPr>
              <w:contextualSpacing/>
              <w:rPr>
                <w:sz w:val="24"/>
                <w:szCs w:val="24"/>
              </w:rPr>
            </w:pPr>
          </w:p>
          <w:p w:rsidR="00B00F56" w:rsidRPr="000E42B7" w:rsidRDefault="00B00F56" w:rsidP="004F41FC">
            <w:pPr>
              <w:contextualSpacing/>
              <w:rPr>
                <w:sz w:val="24"/>
                <w:szCs w:val="24"/>
              </w:rPr>
            </w:pPr>
          </w:p>
          <w:p w:rsidR="00B00F56" w:rsidRPr="000E42B7" w:rsidRDefault="00B00F56" w:rsidP="004F41FC">
            <w:pPr>
              <w:contextualSpacing/>
              <w:rPr>
                <w:sz w:val="24"/>
                <w:szCs w:val="24"/>
              </w:rPr>
            </w:pPr>
            <w:r w:rsidRPr="000E42B7">
              <w:rPr>
                <w:sz w:val="24"/>
                <w:szCs w:val="24"/>
              </w:rPr>
              <w:t>5</w:t>
            </w:r>
          </w:p>
          <w:p w:rsidR="00B00F56" w:rsidRPr="000E42B7" w:rsidRDefault="00B00F56" w:rsidP="004F41FC">
            <w:pPr>
              <w:contextualSpacing/>
              <w:rPr>
                <w:sz w:val="24"/>
                <w:szCs w:val="24"/>
              </w:rPr>
            </w:pPr>
            <w:r w:rsidRPr="000E42B7">
              <w:rPr>
                <w:sz w:val="24"/>
                <w:szCs w:val="24"/>
              </w:rPr>
              <w:t>6</w:t>
            </w:r>
          </w:p>
        </w:tc>
        <w:tc>
          <w:tcPr>
            <w:tcW w:w="6660" w:type="dxa"/>
          </w:tcPr>
          <w:p w:rsidR="00B00F56" w:rsidRPr="000E42B7" w:rsidRDefault="00B00F56" w:rsidP="004F41FC">
            <w:pPr>
              <w:contextualSpacing/>
              <w:rPr>
                <w:i/>
                <w:sz w:val="24"/>
                <w:szCs w:val="24"/>
              </w:rPr>
            </w:pPr>
            <w:r w:rsidRPr="000E42B7">
              <w:rPr>
                <w:i/>
                <w:sz w:val="24"/>
                <w:szCs w:val="24"/>
              </w:rPr>
              <w:t xml:space="preserve">доля автоматически выпущенных электронных деклараций, поданных участниками внешнеэкономической деятельности низкого уровня риска, на экспортируемые товары, </w:t>
            </w:r>
            <w:r w:rsidRPr="000E42B7">
              <w:rPr>
                <w:i/>
                <w:sz w:val="24"/>
                <w:szCs w:val="24"/>
              </w:rPr>
              <w:br/>
              <w:t>на импортируемые товары</w:t>
            </w:r>
          </w:p>
        </w:tc>
        <w:tc>
          <w:tcPr>
            <w:tcW w:w="1080" w:type="dxa"/>
          </w:tcPr>
          <w:p w:rsidR="00B00F56" w:rsidRPr="000E42B7" w:rsidRDefault="00B00F56" w:rsidP="004F41FC">
            <w:pPr>
              <w:contextualSpacing/>
              <w:rPr>
                <w:sz w:val="24"/>
                <w:szCs w:val="24"/>
              </w:rPr>
            </w:pPr>
          </w:p>
          <w:p w:rsidR="00B00F56" w:rsidRPr="000E42B7" w:rsidRDefault="00B00F56" w:rsidP="004F41FC">
            <w:pPr>
              <w:contextualSpacing/>
              <w:rPr>
                <w:sz w:val="24"/>
                <w:szCs w:val="24"/>
              </w:rPr>
            </w:pPr>
          </w:p>
          <w:p w:rsidR="00B00F56" w:rsidRPr="000E42B7" w:rsidRDefault="00B00F56" w:rsidP="004F41FC">
            <w:pPr>
              <w:contextualSpacing/>
              <w:rPr>
                <w:sz w:val="24"/>
                <w:szCs w:val="24"/>
              </w:rPr>
            </w:pPr>
            <w:r w:rsidRPr="000E42B7">
              <w:rPr>
                <w:sz w:val="24"/>
                <w:szCs w:val="24"/>
              </w:rPr>
              <w:t>80</w:t>
            </w:r>
          </w:p>
          <w:p w:rsidR="00B00F56" w:rsidRPr="000E42B7" w:rsidRDefault="00B00F56" w:rsidP="004F41FC">
            <w:pPr>
              <w:contextualSpacing/>
              <w:rPr>
                <w:sz w:val="24"/>
                <w:szCs w:val="24"/>
              </w:rPr>
            </w:pPr>
            <w:r w:rsidRPr="000E42B7">
              <w:rPr>
                <w:sz w:val="24"/>
                <w:szCs w:val="24"/>
              </w:rPr>
              <w:t>80</w:t>
            </w:r>
          </w:p>
        </w:tc>
        <w:tc>
          <w:tcPr>
            <w:tcW w:w="1100" w:type="dxa"/>
          </w:tcPr>
          <w:p w:rsidR="00B00F56" w:rsidRPr="000E42B7" w:rsidRDefault="00B00F56" w:rsidP="004F41FC">
            <w:pPr>
              <w:contextualSpacing/>
              <w:rPr>
                <w:sz w:val="24"/>
                <w:szCs w:val="24"/>
              </w:rPr>
            </w:pPr>
          </w:p>
          <w:p w:rsidR="00B00F56" w:rsidRPr="000E42B7" w:rsidRDefault="00B00F56" w:rsidP="004F41FC">
            <w:pPr>
              <w:contextualSpacing/>
              <w:rPr>
                <w:sz w:val="24"/>
                <w:szCs w:val="24"/>
              </w:rPr>
            </w:pPr>
          </w:p>
          <w:p w:rsidR="00B00F56" w:rsidRPr="000E42B7" w:rsidRDefault="00B00F56" w:rsidP="004F41FC">
            <w:pPr>
              <w:contextualSpacing/>
              <w:rPr>
                <w:sz w:val="24"/>
                <w:szCs w:val="24"/>
              </w:rPr>
            </w:pPr>
            <w:r w:rsidRPr="000E42B7">
              <w:rPr>
                <w:sz w:val="24"/>
                <w:szCs w:val="24"/>
              </w:rPr>
              <w:t>93,7</w:t>
            </w:r>
          </w:p>
          <w:p w:rsidR="00B00F56" w:rsidRPr="000E42B7" w:rsidRDefault="00B00F56" w:rsidP="004F41FC">
            <w:pPr>
              <w:contextualSpacing/>
              <w:rPr>
                <w:sz w:val="24"/>
                <w:szCs w:val="24"/>
              </w:rPr>
            </w:pPr>
            <w:r w:rsidRPr="000E42B7">
              <w:rPr>
                <w:sz w:val="24"/>
                <w:szCs w:val="24"/>
              </w:rPr>
              <w:t>86</w:t>
            </w:r>
          </w:p>
        </w:tc>
      </w:tr>
      <w:tr w:rsidR="00B00F56" w:rsidRPr="000E42B7" w:rsidTr="00225598">
        <w:trPr>
          <w:trHeight w:val="501"/>
        </w:trPr>
        <w:tc>
          <w:tcPr>
            <w:tcW w:w="720" w:type="dxa"/>
          </w:tcPr>
          <w:p w:rsidR="00B00F56" w:rsidRPr="000E42B7" w:rsidRDefault="00B00F56" w:rsidP="00CF4E2D">
            <w:pPr>
              <w:contextualSpacing/>
              <w:rPr>
                <w:sz w:val="24"/>
                <w:szCs w:val="24"/>
              </w:rPr>
            </w:pPr>
            <w:r w:rsidRPr="000E42B7">
              <w:rPr>
                <w:sz w:val="24"/>
                <w:szCs w:val="24"/>
              </w:rPr>
              <w:t>7</w:t>
            </w:r>
          </w:p>
        </w:tc>
        <w:tc>
          <w:tcPr>
            <w:tcW w:w="6660" w:type="dxa"/>
          </w:tcPr>
          <w:p w:rsidR="00B00F56" w:rsidRPr="000E42B7" w:rsidRDefault="00B00F56" w:rsidP="00CF4E2D">
            <w:pPr>
              <w:contextualSpacing/>
              <w:rPr>
                <w:sz w:val="24"/>
                <w:szCs w:val="24"/>
              </w:rPr>
            </w:pPr>
            <w:r w:rsidRPr="000E42B7">
              <w:rPr>
                <w:sz w:val="24"/>
                <w:szCs w:val="24"/>
              </w:rPr>
              <w:t>доля товарных партий с результативными мерами по минимизации рисков, примененными при таможенном декларировании товаров, от общего количества товарных партий, в отношении которых применялись меры по минимизации рисков</w:t>
            </w:r>
          </w:p>
        </w:tc>
        <w:tc>
          <w:tcPr>
            <w:tcW w:w="1080" w:type="dxa"/>
          </w:tcPr>
          <w:p w:rsidR="00B00F56" w:rsidRPr="000E42B7" w:rsidRDefault="00B00F56" w:rsidP="00CF4E2D">
            <w:pPr>
              <w:contextualSpacing/>
              <w:rPr>
                <w:sz w:val="24"/>
                <w:szCs w:val="24"/>
              </w:rPr>
            </w:pPr>
            <w:r w:rsidRPr="000E42B7">
              <w:rPr>
                <w:sz w:val="24"/>
                <w:szCs w:val="24"/>
              </w:rPr>
              <w:t>не менее 50</w:t>
            </w:r>
          </w:p>
        </w:tc>
        <w:tc>
          <w:tcPr>
            <w:tcW w:w="1100" w:type="dxa"/>
          </w:tcPr>
          <w:p w:rsidR="00B00F56" w:rsidRPr="000E42B7" w:rsidRDefault="00B00F56" w:rsidP="00CF4E2D">
            <w:pPr>
              <w:contextualSpacing/>
              <w:rPr>
                <w:sz w:val="24"/>
                <w:szCs w:val="24"/>
              </w:rPr>
            </w:pPr>
            <w:r w:rsidRPr="000E42B7">
              <w:rPr>
                <w:sz w:val="24"/>
                <w:szCs w:val="24"/>
              </w:rPr>
              <w:t>50,13</w:t>
            </w:r>
          </w:p>
        </w:tc>
      </w:tr>
      <w:tr w:rsidR="00B00F56" w:rsidRPr="000E42B7" w:rsidTr="00225598">
        <w:trPr>
          <w:trHeight w:val="501"/>
        </w:trPr>
        <w:tc>
          <w:tcPr>
            <w:tcW w:w="720" w:type="dxa"/>
          </w:tcPr>
          <w:p w:rsidR="00B00F56" w:rsidRPr="000E42B7" w:rsidRDefault="00B00F56" w:rsidP="00CF4E2D">
            <w:pPr>
              <w:contextualSpacing/>
              <w:rPr>
                <w:sz w:val="24"/>
                <w:szCs w:val="24"/>
              </w:rPr>
            </w:pPr>
            <w:r w:rsidRPr="000E42B7">
              <w:rPr>
                <w:sz w:val="24"/>
                <w:szCs w:val="24"/>
              </w:rPr>
              <w:t>8</w:t>
            </w:r>
          </w:p>
        </w:tc>
        <w:tc>
          <w:tcPr>
            <w:tcW w:w="6660" w:type="dxa"/>
          </w:tcPr>
          <w:p w:rsidR="00B00F56" w:rsidRPr="000E42B7" w:rsidRDefault="00B00F56" w:rsidP="00CF4E2D">
            <w:pPr>
              <w:contextualSpacing/>
              <w:rPr>
                <w:i/>
                <w:sz w:val="24"/>
                <w:szCs w:val="24"/>
              </w:rPr>
            </w:pPr>
            <w:r w:rsidRPr="000E42B7">
              <w:rPr>
                <w:i/>
                <w:sz w:val="24"/>
                <w:szCs w:val="24"/>
              </w:rPr>
              <w:t>доля автоматических профилей рисков от общего количества действующих профилей рисков</w:t>
            </w:r>
          </w:p>
        </w:tc>
        <w:tc>
          <w:tcPr>
            <w:tcW w:w="1080" w:type="dxa"/>
          </w:tcPr>
          <w:p w:rsidR="00B00F56" w:rsidRPr="000E42B7" w:rsidRDefault="00B00F56" w:rsidP="00CF4E2D">
            <w:pPr>
              <w:contextualSpacing/>
              <w:rPr>
                <w:sz w:val="24"/>
                <w:szCs w:val="24"/>
              </w:rPr>
            </w:pPr>
            <w:r w:rsidRPr="000E42B7">
              <w:rPr>
                <w:sz w:val="24"/>
                <w:szCs w:val="24"/>
              </w:rPr>
              <w:t>90</w:t>
            </w:r>
          </w:p>
        </w:tc>
        <w:tc>
          <w:tcPr>
            <w:tcW w:w="1100" w:type="dxa"/>
          </w:tcPr>
          <w:p w:rsidR="00B00F56" w:rsidRPr="000E42B7" w:rsidRDefault="00B00F56" w:rsidP="00CF4E2D">
            <w:pPr>
              <w:contextualSpacing/>
              <w:rPr>
                <w:sz w:val="24"/>
                <w:szCs w:val="24"/>
              </w:rPr>
            </w:pPr>
            <w:r w:rsidRPr="000E42B7">
              <w:rPr>
                <w:sz w:val="24"/>
                <w:szCs w:val="24"/>
              </w:rPr>
              <w:t>90,03</w:t>
            </w:r>
          </w:p>
        </w:tc>
      </w:tr>
      <w:tr w:rsidR="00B00F56" w:rsidRPr="000E42B7" w:rsidTr="00225598">
        <w:trPr>
          <w:trHeight w:val="501"/>
        </w:trPr>
        <w:tc>
          <w:tcPr>
            <w:tcW w:w="720" w:type="dxa"/>
          </w:tcPr>
          <w:p w:rsidR="00B00F56" w:rsidRPr="000E42B7" w:rsidRDefault="00B00F56" w:rsidP="00CF4E2D">
            <w:pPr>
              <w:contextualSpacing/>
              <w:rPr>
                <w:sz w:val="24"/>
                <w:szCs w:val="24"/>
              </w:rPr>
            </w:pPr>
            <w:r w:rsidRPr="000E42B7">
              <w:rPr>
                <w:sz w:val="24"/>
                <w:szCs w:val="24"/>
              </w:rPr>
              <w:t>9</w:t>
            </w:r>
          </w:p>
        </w:tc>
        <w:tc>
          <w:tcPr>
            <w:tcW w:w="6660" w:type="dxa"/>
          </w:tcPr>
          <w:p w:rsidR="00B00F56" w:rsidRPr="000E42B7" w:rsidRDefault="00B00F56" w:rsidP="00CF4E2D">
            <w:pPr>
              <w:contextualSpacing/>
              <w:rPr>
                <w:i/>
                <w:sz w:val="24"/>
                <w:szCs w:val="24"/>
              </w:rPr>
            </w:pPr>
            <w:r w:rsidRPr="000E42B7">
              <w:rPr>
                <w:i/>
                <w:sz w:val="24"/>
                <w:szCs w:val="24"/>
              </w:rPr>
              <w:t>доля таможенных и иных платежей, уплачиваемых с применением лицевых счетов юридических лиц, открытых в едином информационном ресурсе ФТС России</w:t>
            </w:r>
          </w:p>
        </w:tc>
        <w:tc>
          <w:tcPr>
            <w:tcW w:w="1080" w:type="dxa"/>
          </w:tcPr>
          <w:p w:rsidR="00B00F56" w:rsidRPr="000E42B7" w:rsidRDefault="00B00F56" w:rsidP="00CF4E2D">
            <w:pPr>
              <w:contextualSpacing/>
              <w:rPr>
                <w:sz w:val="24"/>
                <w:szCs w:val="24"/>
              </w:rPr>
            </w:pPr>
            <w:r w:rsidRPr="000E42B7">
              <w:rPr>
                <w:sz w:val="24"/>
                <w:szCs w:val="24"/>
              </w:rPr>
              <w:t>100</w:t>
            </w:r>
          </w:p>
        </w:tc>
        <w:tc>
          <w:tcPr>
            <w:tcW w:w="1100" w:type="dxa"/>
          </w:tcPr>
          <w:p w:rsidR="00B00F56" w:rsidRPr="000E42B7" w:rsidRDefault="00B00F56" w:rsidP="00CF4E2D">
            <w:pPr>
              <w:contextualSpacing/>
              <w:rPr>
                <w:sz w:val="24"/>
                <w:szCs w:val="24"/>
              </w:rPr>
            </w:pPr>
            <w:r w:rsidRPr="000E42B7">
              <w:rPr>
                <w:sz w:val="24"/>
                <w:szCs w:val="24"/>
              </w:rPr>
              <w:t>100</w:t>
            </w:r>
          </w:p>
        </w:tc>
      </w:tr>
      <w:tr w:rsidR="00B00F56" w:rsidRPr="000E42B7" w:rsidTr="00225598">
        <w:trPr>
          <w:trHeight w:val="501"/>
        </w:trPr>
        <w:tc>
          <w:tcPr>
            <w:tcW w:w="720" w:type="dxa"/>
          </w:tcPr>
          <w:p w:rsidR="00B00F56" w:rsidRPr="000E42B7" w:rsidRDefault="00B00F56" w:rsidP="00CF4E2D">
            <w:pPr>
              <w:contextualSpacing/>
              <w:rPr>
                <w:sz w:val="24"/>
                <w:szCs w:val="24"/>
              </w:rPr>
            </w:pPr>
            <w:r w:rsidRPr="000E42B7">
              <w:rPr>
                <w:sz w:val="24"/>
                <w:szCs w:val="24"/>
              </w:rPr>
              <w:t>10</w:t>
            </w:r>
          </w:p>
        </w:tc>
        <w:tc>
          <w:tcPr>
            <w:tcW w:w="6660" w:type="dxa"/>
          </w:tcPr>
          <w:p w:rsidR="00B00F56" w:rsidRPr="000E42B7" w:rsidRDefault="00B00F56" w:rsidP="00CF4E2D">
            <w:pPr>
              <w:contextualSpacing/>
              <w:rPr>
                <w:sz w:val="24"/>
                <w:szCs w:val="24"/>
              </w:rPr>
            </w:pPr>
            <w:r w:rsidRPr="000E42B7">
              <w:rPr>
                <w:sz w:val="24"/>
                <w:szCs w:val="24"/>
              </w:rPr>
              <w:t>доля выявляемых оперативными подразделениями таможенных органов преступлений в общем количестве возбужденных таможенными органами уголовных дел, отнесенных к компетенции таможенных органов</w:t>
            </w:r>
          </w:p>
        </w:tc>
        <w:tc>
          <w:tcPr>
            <w:tcW w:w="1080" w:type="dxa"/>
          </w:tcPr>
          <w:p w:rsidR="00B00F56" w:rsidRPr="000E42B7" w:rsidRDefault="00B00F56" w:rsidP="00CF4E2D">
            <w:pPr>
              <w:contextualSpacing/>
              <w:rPr>
                <w:sz w:val="24"/>
                <w:szCs w:val="24"/>
              </w:rPr>
            </w:pPr>
            <w:r w:rsidRPr="000E42B7">
              <w:rPr>
                <w:sz w:val="24"/>
                <w:szCs w:val="24"/>
              </w:rPr>
              <w:t>90</w:t>
            </w:r>
          </w:p>
        </w:tc>
        <w:tc>
          <w:tcPr>
            <w:tcW w:w="1100" w:type="dxa"/>
          </w:tcPr>
          <w:p w:rsidR="00B00F56" w:rsidRPr="000E42B7" w:rsidRDefault="00B00F56" w:rsidP="00CF4E2D">
            <w:pPr>
              <w:contextualSpacing/>
              <w:rPr>
                <w:sz w:val="24"/>
                <w:szCs w:val="24"/>
              </w:rPr>
            </w:pPr>
            <w:r w:rsidRPr="000E42B7">
              <w:rPr>
                <w:sz w:val="24"/>
                <w:szCs w:val="24"/>
              </w:rPr>
              <w:t>96,5</w:t>
            </w:r>
          </w:p>
        </w:tc>
      </w:tr>
    </w:tbl>
    <w:p w:rsidR="00B00F56" w:rsidRDefault="00B00F56" w:rsidP="0074353C">
      <w:pPr>
        <w:pStyle w:val="ConsPlusNormal"/>
        <w:ind w:firstLine="708"/>
        <w:jc w:val="both"/>
      </w:pPr>
    </w:p>
    <w:p w:rsidR="00B00F56" w:rsidRPr="000E42B7" w:rsidRDefault="00B00F56" w:rsidP="0074353C">
      <w:pPr>
        <w:pStyle w:val="ConsPlusNormal"/>
        <w:ind w:firstLine="708"/>
        <w:jc w:val="both"/>
      </w:pPr>
      <w:r w:rsidRPr="000E42B7">
        <w:t xml:space="preserve">Результаты, имеющие отношение к цифровизации таможенной деятельности (шесть из десяти), выделены в таблице 2 курсивом. Все фактические значения ключевых показателей либо соответствуют плановым значениям, либо превышают их. </w:t>
      </w:r>
    </w:p>
    <w:p w:rsidR="00B00F56" w:rsidRDefault="00B00F56" w:rsidP="00690BCA">
      <w:pPr>
        <w:suppressAutoHyphens/>
        <w:ind w:firstLine="709"/>
        <w:jc w:val="both"/>
        <w:rPr>
          <w:sz w:val="24"/>
          <w:szCs w:val="24"/>
          <w:lang w:eastAsia="en-US"/>
        </w:rPr>
      </w:pPr>
      <w:r>
        <w:rPr>
          <w:sz w:val="24"/>
          <w:szCs w:val="24"/>
          <w:lang w:eastAsia="en-US"/>
        </w:rPr>
        <w:t>По результатам анализа м</w:t>
      </w:r>
      <w:r w:rsidRPr="004E6AF0">
        <w:rPr>
          <w:sz w:val="24"/>
          <w:szCs w:val="24"/>
          <w:lang w:eastAsia="en-US"/>
        </w:rPr>
        <w:t>ожно сделать вывод</w:t>
      </w:r>
      <w:r>
        <w:rPr>
          <w:sz w:val="24"/>
          <w:szCs w:val="24"/>
          <w:lang w:eastAsia="en-US"/>
        </w:rPr>
        <w:t xml:space="preserve"> о том, что ФТС России успешно решает сложные проблемы цифровизации таможенной деятельности.</w:t>
      </w:r>
    </w:p>
    <w:p w:rsidR="00B00F56" w:rsidRPr="004E6AF0" w:rsidRDefault="00B00F56" w:rsidP="00690BCA">
      <w:pPr>
        <w:suppressAutoHyphens/>
        <w:ind w:firstLine="709"/>
        <w:jc w:val="both"/>
        <w:rPr>
          <w:sz w:val="24"/>
          <w:szCs w:val="24"/>
          <w:lang w:eastAsia="en-US"/>
        </w:rPr>
      </w:pPr>
    </w:p>
    <w:p w:rsidR="00B00F56" w:rsidRPr="000E42B7" w:rsidRDefault="00B00F56" w:rsidP="00690BCA">
      <w:pPr>
        <w:suppressAutoHyphens/>
        <w:ind w:firstLine="709"/>
        <w:jc w:val="both"/>
        <w:rPr>
          <w:b/>
          <w:sz w:val="24"/>
          <w:szCs w:val="24"/>
          <w:lang w:eastAsia="en-US"/>
        </w:rPr>
      </w:pPr>
      <w:r w:rsidRPr="000E42B7">
        <w:rPr>
          <w:b/>
          <w:sz w:val="24"/>
          <w:szCs w:val="24"/>
          <w:lang w:eastAsia="en-US"/>
        </w:rPr>
        <w:t>Библиографический список</w:t>
      </w:r>
    </w:p>
    <w:p w:rsidR="00B00F56" w:rsidRPr="000E42B7" w:rsidRDefault="00B00F56" w:rsidP="00FF7A4C">
      <w:pPr>
        <w:suppressAutoHyphens/>
        <w:ind w:firstLine="709"/>
        <w:jc w:val="both"/>
        <w:rPr>
          <w:sz w:val="24"/>
          <w:szCs w:val="24"/>
          <w:shd w:val="clear" w:color="auto" w:fill="FFFFFF"/>
        </w:rPr>
      </w:pPr>
      <w:r w:rsidRPr="000E42B7">
        <w:rPr>
          <w:sz w:val="24"/>
          <w:szCs w:val="24"/>
          <w:lang w:eastAsia="ja-JP"/>
        </w:rPr>
        <w:t xml:space="preserve">1. </w:t>
      </w:r>
      <w:r w:rsidRPr="000E42B7">
        <w:rPr>
          <w:sz w:val="24"/>
          <w:szCs w:val="24"/>
          <w:shd w:val="clear" w:color="auto" w:fill="FFFFFF"/>
        </w:rPr>
        <w:t>Алёхина О. В. и др. Цифровые технологии в таможенном деле //Вестник Саратовского государственного социально-экономического университета. – 2018. – №. 3 (72).</w:t>
      </w:r>
      <w:r>
        <w:rPr>
          <w:sz w:val="24"/>
          <w:szCs w:val="24"/>
          <w:shd w:val="clear" w:color="auto" w:fill="FFFFFF"/>
        </w:rPr>
        <w:t xml:space="preserve"> – С. 9-15.</w:t>
      </w:r>
      <w:r w:rsidRPr="000E42B7">
        <w:rPr>
          <w:sz w:val="24"/>
          <w:szCs w:val="24"/>
          <w:shd w:val="clear" w:color="auto" w:fill="FFFFFF"/>
        </w:rPr>
        <w:t xml:space="preserve"> </w:t>
      </w:r>
    </w:p>
    <w:p w:rsidR="00B00F56" w:rsidRPr="000E42B7" w:rsidRDefault="00B00F56" w:rsidP="00FF7A4C">
      <w:pPr>
        <w:suppressAutoHyphens/>
        <w:ind w:firstLine="709"/>
        <w:jc w:val="both"/>
        <w:rPr>
          <w:sz w:val="24"/>
          <w:szCs w:val="24"/>
          <w:shd w:val="clear" w:color="auto" w:fill="FFFFFF"/>
        </w:rPr>
      </w:pPr>
      <w:r w:rsidRPr="000E42B7">
        <w:rPr>
          <w:sz w:val="24"/>
          <w:szCs w:val="24"/>
          <w:shd w:val="clear" w:color="auto" w:fill="FFFFFF"/>
        </w:rPr>
        <w:t>2. Антонова Е. И., Белоусова Т. И. Цифровая трансформация таможенной деятельности. основные направления // Информатизация и связь. – 2019. – №. 5. – С. 15-19.</w:t>
      </w:r>
    </w:p>
    <w:p w:rsidR="00B00F56" w:rsidRPr="000E42B7" w:rsidRDefault="00B00F56" w:rsidP="00FF7A4C">
      <w:pPr>
        <w:suppressAutoHyphens/>
        <w:ind w:firstLine="709"/>
        <w:jc w:val="both"/>
        <w:rPr>
          <w:sz w:val="24"/>
          <w:szCs w:val="24"/>
          <w:shd w:val="clear" w:color="auto" w:fill="FFFFFF"/>
        </w:rPr>
      </w:pPr>
      <w:r w:rsidRPr="000E42B7">
        <w:rPr>
          <w:sz w:val="24"/>
          <w:szCs w:val="24"/>
          <w:lang w:eastAsia="ja-JP"/>
        </w:rPr>
        <w:t>3. Афонин П. Н. и др. Деятельность таможенных органов в условиях цифровой экономики // Бюллетень инновационных технологий. – 2018. – Т. 2. – №. 4 (8). – С. 17-24.</w:t>
      </w:r>
      <w:r w:rsidRPr="000E42B7">
        <w:rPr>
          <w:sz w:val="24"/>
          <w:szCs w:val="24"/>
          <w:shd w:val="clear" w:color="auto" w:fill="FFFFFF"/>
        </w:rPr>
        <w:t xml:space="preserve"> </w:t>
      </w:r>
    </w:p>
    <w:p w:rsidR="00B00F56" w:rsidRPr="000E42B7" w:rsidRDefault="00B00F56" w:rsidP="00FF7A4C">
      <w:pPr>
        <w:suppressAutoHyphens/>
        <w:ind w:firstLine="709"/>
        <w:jc w:val="both"/>
        <w:rPr>
          <w:sz w:val="24"/>
          <w:szCs w:val="24"/>
          <w:shd w:val="clear" w:color="auto" w:fill="FFFFFF"/>
        </w:rPr>
      </w:pPr>
      <w:r w:rsidRPr="000E42B7">
        <w:rPr>
          <w:sz w:val="24"/>
          <w:szCs w:val="24"/>
          <w:shd w:val="clear" w:color="auto" w:fill="FFFFFF"/>
        </w:rPr>
        <w:t>4. Баландина Г. В., Пономарев Ю. Ю., Синельников-Мурылев С. Г. Таможенное администрирование в России: какими должны быть современные процедуры //Экономическая политика. – 2020. – Т. 15. – №. 1</w:t>
      </w:r>
      <w:r>
        <w:rPr>
          <w:sz w:val="24"/>
          <w:szCs w:val="24"/>
          <w:shd w:val="clear" w:color="auto" w:fill="FFFFFF"/>
        </w:rPr>
        <w:t>. – С. 108-135</w:t>
      </w:r>
      <w:r w:rsidRPr="000E42B7">
        <w:rPr>
          <w:sz w:val="24"/>
          <w:szCs w:val="24"/>
          <w:shd w:val="clear" w:color="auto" w:fill="FFFFFF"/>
        </w:rPr>
        <w:t xml:space="preserve">. </w:t>
      </w:r>
    </w:p>
    <w:p w:rsidR="00B00F56" w:rsidRPr="000E42B7" w:rsidRDefault="00B00F56" w:rsidP="00FF7A4C">
      <w:pPr>
        <w:suppressAutoHyphens/>
        <w:ind w:firstLine="709"/>
        <w:jc w:val="both"/>
        <w:rPr>
          <w:sz w:val="24"/>
          <w:szCs w:val="24"/>
          <w:shd w:val="clear" w:color="auto" w:fill="FFFFFF"/>
        </w:rPr>
      </w:pPr>
      <w:r w:rsidRPr="000E42B7">
        <w:rPr>
          <w:sz w:val="24"/>
          <w:szCs w:val="24"/>
          <w:shd w:val="clear" w:color="auto" w:fill="FFFFFF"/>
        </w:rPr>
        <w:t>5. Кожанков А. Ю., Бабенко К. И., Боброва О. Г. Цифровая таможня</w:t>
      </w:r>
      <w:r>
        <w:rPr>
          <w:sz w:val="24"/>
          <w:szCs w:val="24"/>
          <w:shd w:val="clear" w:color="auto" w:fill="FFFFFF"/>
        </w:rPr>
        <w:t xml:space="preserve"> – </w:t>
      </w:r>
      <w:r w:rsidRPr="000E42B7">
        <w:rPr>
          <w:sz w:val="24"/>
          <w:szCs w:val="24"/>
          <w:shd w:val="clear" w:color="auto" w:fill="FFFFFF"/>
        </w:rPr>
        <w:t xml:space="preserve">современный международный тренд. Сущностные характеристики и прогнозируемые эффекты // Государственное управление Российской Федерации: вызовы и перспективы. – 2018. – С. 92-96. </w:t>
      </w:r>
    </w:p>
    <w:p w:rsidR="00B00F56" w:rsidRPr="00981171" w:rsidRDefault="00B00F56" w:rsidP="00FF7A4C">
      <w:pPr>
        <w:suppressAutoHyphens/>
        <w:ind w:firstLine="709"/>
        <w:jc w:val="both"/>
        <w:rPr>
          <w:b/>
          <w:sz w:val="24"/>
          <w:szCs w:val="24"/>
        </w:rPr>
      </w:pPr>
      <w:r w:rsidRPr="000E42B7">
        <w:rPr>
          <w:sz w:val="24"/>
          <w:szCs w:val="24"/>
          <w:shd w:val="clear" w:color="auto" w:fill="FFFFFF"/>
        </w:rPr>
        <w:t>6. Сальникова А. В. Центры электронного декларирования как основа электронной таможни //Вестник Сибирского института бизнеса и информационных технологий. – 2018. – №. 3 (27).</w:t>
      </w:r>
      <w:r>
        <w:rPr>
          <w:sz w:val="24"/>
          <w:szCs w:val="24"/>
          <w:shd w:val="clear" w:color="auto" w:fill="FFFFFF"/>
          <w:lang w:val="en-US"/>
        </w:rPr>
        <w:t xml:space="preserve"> – </w:t>
      </w:r>
      <w:r>
        <w:rPr>
          <w:sz w:val="24"/>
          <w:szCs w:val="24"/>
          <w:shd w:val="clear" w:color="auto" w:fill="FFFFFF"/>
        </w:rPr>
        <w:t>С. 49-53.</w:t>
      </w:r>
    </w:p>
    <w:p w:rsidR="00B00F56" w:rsidRDefault="00B00F56" w:rsidP="00690BCA">
      <w:pPr>
        <w:suppressAutoHyphens/>
        <w:ind w:firstLine="709"/>
        <w:jc w:val="both"/>
        <w:rPr>
          <w:b/>
          <w:sz w:val="24"/>
          <w:szCs w:val="24"/>
        </w:rPr>
      </w:pPr>
    </w:p>
    <w:p w:rsidR="00B00F56" w:rsidRPr="000E42B7" w:rsidRDefault="00B00F56" w:rsidP="00690BCA">
      <w:pPr>
        <w:suppressAutoHyphens/>
        <w:ind w:firstLine="709"/>
        <w:jc w:val="both"/>
        <w:rPr>
          <w:b/>
          <w:sz w:val="24"/>
          <w:szCs w:val="24"/>
        </w:rPr>
      </w:pPr>
      <w:r w:rsidRPr="000E42B7">
        <w:rPr>
          <w:b/>
          <w:sz w:val="24"/>
          <w:szCs w:val="24"/>
        </w:rPr>
        <w:t>Информация об авторе</w:t>
      </w:r>
    </w:p>
    <w:p w:rsidR="00B00F56" w:rsidRPr="000E42B7" w:rsidRDefault="00B00F56" w:rsidP="00690BCA">
      <w:pPr>
        <w:ind w:firstLine="709"/>
        <w:jc w:val="both"/>
        <w:rPr>
          <w:sz w:val="24"/>
          <w:szCs w:val="24"/>
        </w:rPr>
      </w:pPr>
      <w:r w:rsidRPr="000E42B7">
        <w:rPr>
          <w:sz w:val="24"/>
          <w:szCs w:val="24"/>
        </w:rPr>
        <w:t>Смирнов Владимир Петрович (Российская Федерация, г. Владивосток) – кандидат экономических наук, доцент, профессор кафедры экономики таможенного дела и управления, Владивостокский филиал Российской таможенной академии (690034, г. Владивосток, ул. Стрелковая,</w:t>
      </w:r>
      <w:r w:rsidRPr="000E42B7">
        <w:rPr>
          <w:sz w:val="24"/>
          <w:szCs w:val="24"/>
          <w:lang w:val="en-US"/>
        </w:rPr>
        <w:t> </w:t>
      </w:r>
      <w:r w:rsidRPr="000E42B7">
        <w:rPr>
          <w:sz w:val="24"/>
          <w:szCs w:val="24"/>
        </w:rPr>
        <w:t xml:space="preserve">16в). </w:t>
      </w:r>
      <w:r w:rsidRPr="000E42B7">
        <w:rPr>
          <w:sz w:val="24"/>
          <w:szCs w:val="24"/>
          <w:lang w:val="en-US"/>
        </w:rPr>
        <w:t>E</w:t>
      </w:r>
      <w:r w:rsidRPr="000E42B7">
        <w:rPr>
          <w:sz w:val="24"/>
          <w:szCs w:val="24"/>
        </w:rPr>
        <w:t>-</w:t>
      </w:r>
      <w:r w:rsidRPr="000E42B7">
        <w:rPr>
          <w:sz w:val="24"/>
          <w:szCs w:val="24"/>
          <w:lang w:val="en-US"/>
        </w:rPr>
        <w:t>mail</w:t>
      </w:r>
      <w:r w:rsidRPr="000E42B7">
        <w:rPr>
          <w:sz w:val="24"/>
          <w:szCs w:val="24"/>
        </w:rPr>
        <w:t xml:space="preserve">: </w:t>
      </w:r>
      <w:r w:rsidRPr="000E42B7">
        <w:rPr>
          <w:sz w:val="24"/>
          <w:szCs w:val="24"/>
          <w:lang w:val="en-US"/>
        </w:rPr>
        <w:t>smirnov</w:t>
      </w:r>
      <w:r w:rsidRPr="000E42B7">
        <w:rPr>
          <w:sz w:val="24"/>
          <w:szCs w:val="24"/>
        </w:rPr>
        <w:t>.</w:t>
      </w:r>
      <w:r w:rsidRPr="000E42B7">
        <w:rPr>
          <w:sz w:val="24"/>
          <w:szCs w:val="24"/>
          <w:lang w:val="en-US"/>
        </w:rPr>
        <w:t>vladimir</w:t>
      </w:r>
      <w:r w:rsidRPr="000E42B7">
        <w:rPr>
          <w:sz w:val="24"/>
          <w:szCs w:val="24"/>
        </w:rPr>
        <w:t>@</w:t>
      </w:r>
      <w:r w:rsidRPr="000E42B7">
        <w:rPr>
          <w:sz w:val="24"/>
          <w:szCs w:val="24"/>
          <w:lang w:val="en-US"/>
        </w:rPr>
        <w:t>vfrta</w:t>
      </w:r>
      <w:r w:rsidRPr="000E42B7">
        <w:rPr>
          <w:sz w:val="24"/>
          <w:szCs w:val="24"/>
        </w:rPr>
        <w:t>.</w:t>
      </w:r>
      <w:r w:rsidRPr="000E42B7">
        <w:rPr>
          <w:sz w:val="24"/>
          <w:szCs w:val="24"/>
          <w:lang w:val="en-US"/>
        </w:rPr>
        <w:t>ru</w:t>
      </w:r>
      <w:r w:rsidRPr="000E42B7">
        <w:rPr>
          <w:sz w:val="24"/>
          <w:szCs w:val="24"/>
        </w:rPr>
        <w:t xml:space="preserve"> </w:t>
      </w:r>
    </w:p>
    <w:p w:rsidR="00B00F56" w:rsidRPr="000E42B7" w:rsidRDefault="00B00F56" w:rsidP="00690BCA">
      <w:pPr>
        <w:suppressAutoHyphens/>
        <w:ind w:firstLine="709"/>
        <w:jc w:val="both"/>
        <w:rPr>
          <w:sz w:val="24"/>
          <w:szCs w:val="24"/>
        </w:rPr>
      </w:pPr>
      <w:r w:rsidRPr="000E42B7">
        <w:rPr>
          <w:sz w:val="24"/>
          <w:szCs w:val="24"/>
        </w:rPr>
        <w:t xml:space="preserve"> </w:t>
      </w:r>
    </w:p>
    <w:p w:rsidR="00B00F56" w:rsidRPr="000E42B7" w:rsidRDefault="00B00F56" w:rsidP="00690BCA">
      <w:pPr>
        <w:suppressAutoHyphens/>
        <w:ind w:firstLine="709"/>
        <w:jc w:val="right"/>
        <w:rPr>
          <w:b/>
          <w:sz w:val="24"/>
          <w:szCs w:val="24"/>
        </w:rPr>
      </w:pPr>
      <w:r w:rsidRPr="000E42B7">
        <w:rPr>
          <w:b/>
          <w:sz w:val="24"/>
          <w:szCs w:val="24"/>
          <w:lang w:val="en-US"/>
        </w:rPr>
        <w:t>Smirnov</w:t>
      </w:r>
      <w:r w:rsidRPr="000E42B7">
        <w:rPr>
          <w:b/>
          <w:sz w:val="24"/>
          <w:szCs w:val="24"/>
        </w:rPr>
        <w:t xml:space="preserve"> </w:t>
      </w:r>
      <w:r w:rsidRPr="000E42B7">
        <w:rPr>
          <w:b/>
          <w:sz w:val="24"/>
          <w:szCs w:val="24"/>
          <w:lang w:val="en-US"/>
        </w:rPr>
        <w:t>V</w:t>
      </w:r>
      <w:r w:rsidRPr="000E42B7">
        <w:rPr>
          <w:b/>
          <w:sz w:val="24"/>
          <w:szCs w:val="24"/>
        </w:rPr>
        <w:t xml:space="preserve">. </w:t>
      </w:r>
      <w:r w:rsidRPr="000E42B7">
        <w:rPr>
          <w:b/>
          <w:sz w:val="24"/>
          <w:szCs w:val="24"/>
          <w:lang w:val="en-US"/>
        </w:rPr>
        <w:t>P</w:t>
      </w:r>
      <w:r w:rsidRPr="000E42B7">
        <w:rPr>
          <w:b/>
          <w:sz w:val="24"/>
          <w:szCs w:val="24"/>
        </w:rPr>
        <w:t>.</w:t>
      </w:r>
    </w:p>
    <w:p w:rsidR="00B00F56" w:rsidRPr="00FF7A4C" w:rsidRDefault="00B00F56" w:rsidP="00FF7A4C">
      <w:pPr>
        <w:suppressAutoHyphens/>
        <w:jc w:val="center"/>
        <w:rPr>
          <w:b/>
          <w:sz w:val="24"/>
          <w:szCs w:val="24"/>
          <w:lang w:val="en-US"/>
        </w:rPr>
      </w:pPr>
      <w:r w:rsidRPr="00FF7A4C">
        <w:rPr>
          <w:b/>
          <w:sz w:val="24"/>
          <w:szCs w:val="24"/>
          <w:lang w:val="en-US"/>
        </w:rPr>
        <w:t>DIGITALIZATION OF CUSTOMS ACTIVITIES IN 2020</w:t>
      </w:r>
    </w:p>
    <w:p w:rsidR="00B00F56" w:rsidRPr="00FF7A4C" w:rsidRDefault="00B00F56" w:rsidP="00FF7A4C">
      <w:pPr>
        <w:suppressAutoHyphens/>
        <w:jc w:val="center"/>
        <w:rPr>
          <w:b/>
          <w:sz w:val="24"/>
          <w:szCs w:val="24"/>
          <w:lang w:val="en-US"/>
        </w:rPr>
      </w:pPr>
    </w:p>
    <w:p w:rsidR="00B00F56" w:rsidRPr="00FF7A4C" w:rsidRDefault="00B00F56" w:rsidP="00FF7A4C">
      <w:pPr>
        <w:suppressAutoHyphens/>
        <w:ind w:firstLine="708"/>
        <w:jc w:val="both"/>
        <w:rPr>
          <w:i/>
          <w:sz w:val="24"/>
          <w:szCs w:val="24"/>
          <w:lang w:val="en-US"/>
        </w:rPr>
      </w:pPr>
      <w:r w:rsidRPr="00FF7A4C">
        <w:rPr>
          <w:i/>
          <w:sz w:val="24"/>
          <w:szCs w:val="24"/>
          <w:lang w:val="en-US"/>
        </w:rPr>
        <w:t>Abstract. The article analyzes and evaluates the implementation by the Federal Customs Service of Russia of the Strategy for the Development of the Customs Service of the Russian Federation until 2020, the Comprehensive Program for the Development of the Federal Customs Service of Russia for the period up to 2020 and the key indicators "10 steps towards business".</w:t>
      </w:r>
    </w:p>
    <w:p w:rsidR="00B00F56" w:rsidRPr="00FF7A4C" w:rsidRDefault="00B00F56" w:rsidP="00FF7A4C">
      <w:pPr>
        <w:suppressAutoHyphens/>
        <w:ind w:firstLine="709"/>
        <w:jc w:val="both"/>
        <w:rPr>
          <w:i/>
          <w:sz w:val="24"/>
          <w:szCs w:val="24"/>
          <w:lang w:val="en-US"/>
        </w:rPr>
      </w:pPr>
      <w:r w:rsidRPr="00FF7A4C">
        <w:rPr>
          <w:i/>
          <w:sz w:val="24"/>
          <w:szCs w:val="24"/>
          <w:lang w:val="en-US"/>
        </w:rPr>
        <w:t xml:space="preserve">Keywords: customs activity, digitalization, Federal Customs Service of Russia. </w:t>
      </w:r>
    </w:p>
    <w:p w:rsidR="00B00F56" w:rsidRPr="000E42B7" w:rsidRDefault="00B00F56" w:rsidP="00690BCA">
      <w:pPr>
        <w:suppressAutoHyphens/>
        <w:ind w:firstLine="709"/>
        <w:jc w:val="both"/>
        <w:rPr>
          <w:b/>
          <w:sz w:val="24"/>
          <w:szCs w:val="24"/>
          <w:lang w:val="en-US"/>
        </w:rPr>
      </w:pPr>
    </w:p>
    <w:p w:rsidR="00B00F56" w:rsidRPr="000E42B7" w:rsidRDefault="00B00F56" w:rsidP="00690BCA">
      <w:pPr>
        <w:suppressAutoHyphens/>
        <w:ind w:firstLine="709"/>
        <w:jc w:val="both"/>
        <w:rPr>
          <w:b/>
          <w:sz w:val="24"/>
          <w:szCs w:val="24"/>
          <w:lang w:val="en-US"/>
        </w:rPr>
      </w:pPr>
      <w:r w:rsidRPr="000E42B7">
        <w:rPr>
          <w:b/>
          <w:sz w:val="24"/>
          <w:szCs w:val="24"/>
          <w:lang w:val="en-US"/>
        </w:rPr>
        <w:t>Information about the author</w:t>
      </w:r>
    </w:p>
    <w:p w:rsidR="00B00F56" w:rsidRPr="000E42B7" w:rsidRDefault="00B00F56" w:rsidP="00690BCA">
      <w:pPr>
        <w:suppressAutoHyphens/>
        <w:ind w:firstLine="709"/>
        <w:jc w:val="both"/>
        <w:rPr>
          <w:sz w:val="24"/>
          <w:szCs w:val="24"/>
          <w:lang w:val="en-US"/>
        </w:rPr>
      </w:pPr>
      <w:r w:rsidRPr="000E42B7">
        <w:rPr>
          <w:sz w:val="24"/>
          <w:szCs w:val="24"/>
          <w:lang w:val="en-US"/>
        </w:rPr>
        <w:t>Vladimir P. Smirnov (Vladivostok, Russian Federation) – PhD in economics, associate professor, Professor of the Department of Economics of customs affairs and management, Vladivostok branch of the Russian customs Academy (690034, Vladivostok, Strelkova str., 16B). E-mail: smirnov.vladimir@vfrta.ru</w:t>
      </w:r>
    </w:p>
    <w:p w:rsidR="00B00F56" w:rsidRPr="000E42B7" w:rsidRDefault="00B00F56" w:rsidP="00690BCA">
      <w:pPr>
        <w:suppressAutoHyphens/>
        <w:ind w:firstLine="709"/>
        <w:jc w:val="both"/>
        <w:rPr>
          <w:sz w:val="24"/>
          <w:szCs w:val="24"/>
          <w:lang w:val="en-US"/>
        </w:rPr>
      </w:pPr>
    </w:p>
    <w:p w:rsidR="00B00F56" w:rsidRPr="004E6AF0" w:rsidRDefault="00B00F56" w:rsidP="004E6AF0">
      <w:pPr>
        <w:suppressAutoHyphens/>
        <w:ind w:firstLine="708"/>
        <w:jc w:val="both"/>
        <w:rPr>
          <w:b/>
          <w:sz w:val="24"/>
          <w:szCs w:val="24"/>
          <w:lang w:val="en-US"/>
        </w:rPr>
      </w:pPr>
      <w:r w:rsidRPr="004E6AF0">
        <w:rPr>
          <w:b/>
          <w:sz w:val="24"/>
          <w:szCs w:val="24"/>
          <w:lang w:val="en-US"/>
        </w:rPr>
        <w:t>References</w:t>
      </w:r>
    </w:p>
    <w:p w:rsidR="00B00F56" w:rsidRPr="00981171" w:rsidRDefault="00B00F56" w:rsidP="00FF7A4C">
      <w:pPr>
        <w:suppressAutoHyphens/>
        <w:ind w:firstLine="709"/>
        <w:jc w:val="both"/>
        <w:rPr>
          <w:sz w:val="24"/>
          <w:szCs w:val="24"/>
          <w:lang w:val="en-US"/>
        </w:rPr>
      </w:pPr>
      <w:r w:rsidRPr="004E6AF0">
        <w:rPr>
          <w:sz w:val="24"/>
          <w:szCs w:val="24"/>
          <w:lang w:val="da-DK"/>
        </w:rPr>
        <w:t xml:space="preserve">1. Alyokhina O. V. et al. </w:t>
      </w:r>
      <w:r w:rsidRPr="004E6AF0">
        <w:rPr>
          <w:sz w:val="24"/>
          <w:szCs w:val="24"/>
          <w:lang w:val="en-US"/>
        </w:rPr>
        <w:t>Digital technologies in customs //Bulletin of the Saratov State Socio-Economic University. – 2018. – №. 3 (72).</w:t>
      </w:r>
      <w:r>
        <w:rPr>
          <w:sz w:val="24"/>
          <w:szCs w:val="24"/>
        </w:rPr>
        <w:t xml:space="preserve"> </w:t>
      </w:r>
      <w:r>
        <w:rPr>
          <w:sz w:val="24"/>
          <w:szCs w:val="24"/>
          <w:lang w:val="en-US"/>
        </w:rPr>
        <w:t>– P. 9-15.</w:t>
      </w:r>
    </w:p>
    <w:p w:rsidR="00B00F56" w:rsidRPr="004E6AF0" w:rsidRDefault="00B00F56" w:rsidP="00FF7A4C">
      <w:pPr>
        <w:suppressAutoHyphens/>
        <w:ind w:firstLine="709"/>
        <w:jc w:val="both"/>
        <w:rPr>
          <w:sz w:val="24"/>
          <w:szCs w:val="24"/>
          <w:lang w:val="en-US"/>
        </w:rPr>
      </w:pPr>
      <w:r w:rsidRPr="004E6AF0">
        <w:rPr>
          <w:sz w:val="24"/>
          <w:szCs w:val="24"/>
          <w:lang w:val="en-US"/>
        </w:rPr>
        <w:t>2. Antonova E. I., Belousova T. I. Digital transformation of customs activity. main directions / / Informatization and Communication. – 2019. – №. 5. – P. 15-19.</w:t>
      </w:r>
    </w:p>
    <w:p w:rsidR="00B00F56" w:rsidRPr="004E6AF0" w:rsidRDefault="00B00F56" w:rsidP="00FF7A4C">
      <w:pPr>
        <w:suppressAutoHyphens/>
        <w:ind w:firstLine="709"/>
        <w:jc w:val="both"/>
        <w:rPr>
          <w:sz w:val="24"/>
          <w:szCs w:val="24"/>
          <w:lang w:val="en-US"/>
        </w:rPr>
      </w:pPr>
      <w:r w:rsidRPr="004E6AF0">
        <w:rPr>
          <w:sz w:val="24"/>
          <w:szCs w:val="24"/>
          <w:lang w:val="en-US"/>
        </w:rPr>
        <w:t xml:space="preserve">3. Afonin P. N. et al. The activity of customs authorities in the digital economy / / Bulletin of Innovative Technologies. - 2018. - Vol. 2. – №. </w:t>
      </w:r>
      <w:r>
        <w:rPr>
          <w:sz w:val="24"/>
          <w:szCs w:val="24"/>
          <w:lang w:val="en-US"/>
        </w:rPr>
        <w:t>4 (8). – P</w:t>
      </w:r>
      <w:r w:rsidRPr="004E6AF0">
        <w:rPr>
          <w:sz w:val="24"/>
          <w:szCs w:val="24"/>
          <w:lang w:val="en-US"/>
        </w:rPr>
        <w:t>. 17-24.</w:t>
      </w:r>
    </w:p>
    <w:p w:rsidR="00B00F56" w:rsidRPr="00981171" w:rsidRDefault="00B00F56" w:rsidP="00FF7A4C">
      <w:pPr>
        <w:suppressAutoHyphens/>
        <w:ind w:firstLine="709"/>
        <w:jc w:val="both"/>
        <w:rPr>
          <w:sz w:val="24"/>
          <w:szCs w:val="24"/>
          <w:lang w:val="en-US"/>
        </w:rPr>
      </w:pPr>
      <w:r w:rsidRPr="004E6AF0">
        <w:rPr>
          <w:sz w:val="24"/>
          <w:szCs w:val="24"/>
          <w:lang w:val="en-US"/>
        </w:rPr>
        <w:t>4. Balandina G. V., Ponomarev Yu. Yu., Sinelnikov-Murylev S. G. Customs administration in Russia: what should be the modern procedures? //Economic policy. - 2020. - Vol. 15. - no. 1.</w:t>
      </w:r>
      <w:r w:rsidRPr="00981171">
        <w:rPr>
          <w:sz w:val="24"/>
          <w:szCs w:val="24"/>
          <w:lang w:val="en-US"/>
        </w:rPr>
        <w:t xml:space="preserve"> </w:t>
      </w:r>
      <w:r>
        <w:rPr>
          <w:sz w:val="24"/>
          <w:szCs w:val="24"/>
          <w:lang w:val="en-US"/>
        </w:rPr>
        <w:t>– P. 108-135.</w:t>
      </w:r>
    </w:p>
    <w:p w:rsidR="00B00F56" w:rsidRPr="004E6AF0" w:rsidRDefault="00B00F56" w:rsidP="00FF7A4C">
      <w:pPr>
        <w:suppressAutoHyphens/>
        <w:ind w:firstLine="709"/>
        <w:jc w:val="both"/>
        <w:rPr>
          <w:sz w:val="24"/>
          <w:szCs w:val="24"/>
          <w:lang w:val="en-US"/>
        </w:rPr>
      </w:pPr>
      <w:r w:rsidRPr="004E6AF0">
        <w:rPr>
          <w:sz w:val="24"/>
          <w:szCs w:val="24"/>
          <w:lang w:val="en-US"/>
        </w:rPr>
        <w:t xml:space="preserve">5. Kozhenkov A. Yu., Babenko K. I., Bobrova O. G. Digital customs – a modern international trend. Essential characteristics and predicted effects / / State Management of the Russian Federation: challenges and Prospects. - 2018. - </w:t>
      </w:r>
      <w:r>
        <w:rPr>
          <w:sz w:val="24"/>
          <w:szCs w:val="24"/>
          <w:lang w:val="en-US"/>
        </w:rPr>
        <w:t>P</w:t>
      </w:r>
      <w:r w:rsidRPr="004E6AF0">
        <w:rPr>
          <w:sz w:val="24"/>
          <w:szCs w:val="24"/>
          <w:lang w:val="en-US"/>
        </w:rPr>
        <w:t>. 92-96.</w:t>
      </w:r>
    </w:p>
    <w:p w:rsidR="00B00F56" w:rsidRPr="004E6AF0" w:rsidRDefault="00B00F56" w:rsidP="00FF7A4C">
      <w:pPr>
        <w:suppressAutoHyphens/>
        <w:ind w:firstLine="709"/>
        <w:jc w:val="both"/>
        <w:rPr>
          <w:sz w:val="24"/>
          <w:szCs w:val="24"/>
          <w:lang w:val="it-IT"/>
        </w:rPr>
      </w:pPr>
      <w:r w:rsidRPr="004E6AF0">
        <w:rPr>
          <w:sz w:val="24"/>
          <w:szCs w:val="24"/>
          <w:lang w:val="en-US"/>
        </w:rPr>
        <w:t xml:space="preserve">6. Salnikova A.V. Centers of electronic declaration as the basis of electronic customs //Bulletin of the Siberian Institute of Business and Information Technologies. – 2018. – №. </w:t>
      </w:r>
      <w:r w:rsidRPr="004E6AF0">
        <w:rPr>
          <w:sz w:val="24"/>
          <w:szCs w:val="24"/>
          <w:lang w:val="it-IT"/>
        </w:rPr>
        <w:t>3 (27).</w:t>
      </w:r>
      <w:r>
        <w:rPr>
          <w:sz w:val="24"/>
          <w:szCs w:val="24"/>
          <w:lang w:val="it-IT"/>
        </w:rPr>
        <w:t xml:space="preserve"> – P/ 49-53.</w:t>
      </w:r>
    </w:p>
    <w:sectPr w:rsidR="00B00F56" w:rsidRPr="004E6AF0" w:rsidSect="007B185E">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0F56" w:rsidRDefault="00B00F56">
      <w:r>
        <w:separator/>
      </w:r>
    </w:p>
  </w:endnote>
  <w:endnote w:type="continuationSeparator" w:id="0">
    <w:p w:rsidR="00B00F56" w:rsidRDefault="00B00F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MS Mincho">
    <w:altName w:val="?l?r ??Ѓfc"/>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0F56" w:rsidRDefault="00B00F56">
      <w:r>
        <w:separator/>
      </w:r>
    </w:p>
  </w:footnote>
  <w:footnote w:type="continuationSeparator" w:id="0">
    <w:p w:rsidR="00B00F56" w:rsidRDefault="00B00F5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357"/>
  <w:doNotHyphenateCaps/>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E2017"/>
    <w:rsid w:val="00000145"/>
    <w:rsid w:val="00015882"/>
    <w:rsid w:val="00017E23"/>
    <w:rsid w:val="00027A60"/>
    <w:rsid w:val="000509AE"/>
    <w:rsid w:val="00055EFC"/>
    <w:rsid w:val="00067DAC"/>
    <w:rsid w:val="000730E7"/>
    <w:rsid w:val="000735DF"/>
    <w:rsid w:val="0007653E"/>
    <w:rsid w:val="00080421"/>
    <w:rsid w:val="00083BCB"/>
    <w:rsid w:val="00094069"/>
    <w:rsid w:val="000D0905"/>
    <w:rsid w:val="000E3D43"/>
    <w:rsid w:val="000E42B7"/>
    <w:rsid w:val="000E44BC"/>
    <w:rsid w:val="00103E16"/>
    <w:rsid w:val="00107ADA"/>
    <w:rsid w:val="00113442"/>
    <w:rsid w:val="001136D3"/>
    <w:rsid w:val="001468B9"/>
    <w:rsid w:val="00196D7D"/>
    <w:rsid w:val="001C1FB5"/>
    <w:rsid w:val="001C4CAD"/>
    <w:rsid w:val="002059A5"/>
    <w:rsid w:val="0022290F"/>
    <w:rsid w:val="00225598"/>
    <w:rsid w:val="00245A9F"/>
    <w:rsid w:val="00251814"/>
    <w:rsid w:val="002672BB"/>
    <w:rsid w:val="00296933"/>
    <w:rsid w:val="002B2382"/>
    <w:rsid w:val="002D4A32"/>
    <w:rsid w:val="003044E9"/>
    <w:rsid w:val="003163EB"/>
    <w:rsid w:val="00323419"/>
    <w:rsid w:val="00336EC9"/>
    <w:rsid w:val="00343D04"/>
    <w:rsid w:val="00350268"/>
    <w:rsid w:val="00352710"/>
    <w:rsid w:val="00460168"/>
    <w:rsid w:val="00463C3F"/>
    <w:rsid w:val="0047605D"/>
    <w:rsid w:val="004A70DA"/>
    <w:rsid w:val="004B6AEC"/>
    <w:rsid w:val="004E42A5"/>
    <w:rsid w:val="004E6AF0"/>
    <w:rsid w:val="004F41FC"/>
    <w:rsid w:val="00504B1F"/>
    <w:rsid w:val="005106B0"/>
    <w:rsid w:val="00526A44"/>
    <w:rsid w:val="00533749"/>
    <w:rsid w:val="00537DD6"/>
    <w:rsid w:val="00552298"/>
    <w:rsid w:val="005748ED"/>
    <w:rsid w:val="0059032E"/>
    <w:rsid w:val="00590EB2"/>
    <w:rsid w:val="005B6418"/>
    <w:rsid w:val="005E3218"/>
    <w:rsid w:val="005E6D86"/>
    <w:rsid w:val="00624D90"/>
    <w:rsid w:val="0063488F"/>
    <w:rsid w:val="006854DF"/>
    <w:rsid w:val="00690BCA"/>
    <w:rsid w:val="006A2C19"/>
    <w:rsid w:val="006C6248"/>
    <w:rsid w:val="006E2E6E"/>
    <w:rsid w:val="00707772"/>
    <w:rsid w:val="0072566B"/>
    <w:rsid w:val="0074353C"/>
    <w:rsid w:val="00745C9E"/>
    <w:rsid w:val="007633DA"/>
    <w:rsid w:val="0077406A"/>
    <w:rsid w:val="00781C73"/>
    <w:rsid w:val="0078320A"/>
    <w:rsid w:val="00783B86"/>
    <w:rsid w:val="0079743D"/>
    <w:rsid w:val="007A3801"/>
    <w:rsid w:val="007B185E"/>
    <w:rsid w:val="007B1933"/>
    <w:rsid w:val="007D150B"/>
    <w:rsid w:val="00837BF2"/>
    <w:rsid w:val="00842BD1"/>
    <w:rsid w:val="0086541F"/>
    <w:rsid w:val="008656DF"/>
    <w:rsid w:val="00885E39"/>
    <w:rsid w:val="00892EF4"/>
    <w:rsid w:val="008A090B"/>
    <w:rsid w:val="008E2017"/>
    <w:rsid w:val="008F0200"/>
    <w:rsid w:val="00911FF4"/>
    <w:rsid w:val="0091656C"/>
    <w:rsid w:val="0092064A"/>
    <w:rsid w:val="00960B49"/>
    <w:rsid w:val="00966DA8"/>
    <w:rsid w:val="0097486C"/>
    <w:rsid w:val="00977CF4"/>
    <w:rsid w:val="0098062E"/>
    <w:rsid w:val="00981171"/>
    <w:rsid w:val="0098308A"/>
    <w:rsid w:val="009836F7"/>
    <w:rsid w:val="00993DE4"/>
    <w:rsid w:val="009B47F0"/>
    <w:rsid w:val="009C7126"/>
    <w:rsid w:val="00A278F0"/>
    <w:rsid w:val="00A32C09"/>
    <w:rsid w:val="00A47669"/>
    <w:rsid w:val="00A67E30"/>
    <w:rsid w:val="00A70AFB"/>
    <w:rsid w:val="00A84B63"/>
    <w:rsid w:val="00AA2288"/>
    <w:rsid w:val="00AC7C8D"/>
    <w:rsid w:val="00AE0296"/>
    <w:rsid w:val="00AE0634"/>
    <w:rsid w:val="00AE1217"/>
    <w:rsid w:val="00AF2F27"/>
    <w:rsid w:val="00B00F56"/>
    <w:rsid w:val="00B043BE"/>
    <w:rsid w:val="00B10C65"/>
    <w:rsid w:val="00B20BB3"/>
    <w:rsid w:val="00B51F09"/>
    <w:rsid w:val="00B527CB"/>
    <w:rsid w:val="00B708C6"/>
    <w:rsid w:val="00B956E8"/>
    <w:rsid w:val="00BA6FF3"/>
    <w:rsid w:val="00C10F39"/>
    <w:rsid w:val="00C14225"/>
    <w:rsid w:val="00C1574F"/>
    <w:rsid w:val="00C26E7A"/>
    <w:rsid w:val="00C442F1"/>
    <w:rsid w:val="00C46E62"/>
    <w:rsid w:val="00C77E09"/>
    <w:rsid w:val="00CA0291"/>
    <w:rsid w:val="00CA0DA5"/>
    <w:rsid w:val="00CA797B"/>
    <w:rsid w:val="00CB2907"/>
    <w:rsid w:val="00CB34F1"/>
    <w:rsid w:val="00CB68DD"/>
    <w:rsid w:val="00CC14E8"/>
    <w:rsid w:val="00CC4ADA"/>
    <w:rsid w:val="00CD17F8"/>
    <w:rsid w:val="00CF25DD"/>
    <w:rsid w:val="00CF4E2D"/>
    <w:rsid w:val="00D06E67"/>
    <w:rsid w:val="00D2783B"/>
    <w:rsid w:val="00D46351"/>
    <w:rsid w:val="00D5767D"/>
    <w:rsid w:val="00D67686"/>
    <w:rsid w:val="00D7132E"/>
    <w:rsid w:val="00D77579"/>
    <w:rsid w:val="00D85747"/>
    <w:rsid w:val="00D92FF0"/>
    <w:rsid w:val="00DA138E"/>
    <w:rsid w:val="00DB2051"/>
    <w:rsid w:val="00DC7EB4"/>
    <w:rsid w:val="00DE1618"/>
    <w:rsid w:val="00E20DE0"/>
    <w:rsid w:val="00E246B9"/>
    <w:rsid w:val="00E84CB1"/>
    <w:rsid w:val="00EA08E3"/>
    <w:rsid w:val="00EB3354"/>
    <w:rsid w:val="00EB3E99"/>
    <w:rsid w:val="00EB5751"/>
    <w:rsid w:val="00ED4F68"/>
    <w:rsid w:val="00EE0570"/>
    <w:rsid w:val="00EF6574"/>
    <w:rsid w:val="00F03B8C"/>
    <w:rsid w:val="00F0410B"/>
    <w:rsid w:val="00F07FF9"/>
    <w:rsid w:val="00F24625"/>
    <w:rsid w:val="00F30AC0"/>
    <w:rsid w:val="00F3143A"/>
    <w:rsid w:val="00F348F9"/>
    <w:rsid w:val="00F470C1"/>
    <w:rsid w:val="00F65051"/>
    <w:rsid w:val="00F75E05"/>
    <w:rsid w:val="00F807A0"/>
    <w:rsid w:val="00F83D31"/>
    <w:rsid w:val="00FA3F46"/>
    <w:rsid w:val="00FB0AFD"/>
    <w:rsid w:val="00FB38FA"/>
    <w:rsid w:val="00FC25B2"/>
    <w:rsid w:val="00FD7A39"/>
    <w:rsid w:val="00FF7A4C"/>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2017"/>
    <w:rPr>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055EF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63488F"/>
    <w:rPr>
      <w:rFonts w:cs="Times New Roman"/>
      <w:color w:val="0000FF"/>
      <w:u w:val="single"/>
    </w:rPr>
  </w:style>
  <w:style w:type="paragraph" w:customStyle="1" w:styleId="ConsPlusNormal">
    <w:name w:val="ConsPlusNormal"/>
    <w:uiPriority w:val="99"/>
    <w:rsid w:val="00251814"/>
    <w:pPr>
      <w:widowControl w:val="0"/>
      <w:autoSpaceDE w:val="0"/>
      <w:autoSpaceDN w:val="0"/>
      <w:adjustRightInd w:val="0"/>
    </w:pPr>
    <w:rPr>
      <w:sz w:val="24"/>
      <w:szCs w:val="24"/>
      <w:lang w:eastAsia="ja-JP"/>
    </w:rPr>
  </w:style>
  <w:style w:type="paragraph" w:styleId="NormalWeb">
    <w:name w:val="Normal (Web)"/>
    <w:basedOn w:val="Normal"/>
    <w:uiPriority w:val="99"/>
    <w:rsid w:val="00ED4F68"/>
    <w:pPr>
      <w:spacing w:before="100" w:beforeAutospacing="1" w:after="100" w:afterAutospacing="1"/>
    </w:pPr>
    <w:rPr>
      <w:sz w:val="24"/>
      <w:szCs w:val="24"/>
      <w:lang w:eastAsia="ja-JP"/>
    </w:rPr>
  </w:style>
  <w:style w:type="character" w:styleId="FootnoteReference">
    <w:name w:val="footnote reference"/>
    <w:aliases w:val="текст сноски,Знак сноски 1,Знак сноски-FN,SUPERS,Ciae niinee-FN,ftref,16 Point,Superscript 6 Point,сноска,вески,Referencia nota al pie,СНОСКА,сноска1,fr,Style 49,Used by Word for Help footnote symbols,Avg - Знак сноски,avg-Знак сноск"/>
    <w:basedOn w:val="DefaultParagraphFont"/>
    <w:uiPriority w:val="99"/>
    <w:rsid w:val="00CF25DD"/>
    <w:rPr>
      <w:rFonts w:cs="Times New Roman"/>
      <w:vertAlign w:val="superscript"/>
    </w:rPr>
  </w:style>
  <w:style w:type="paragraph" w:styleId="FootnoteText">
    <w:name w:val="footnote text"/>
    <w:basedOn w:val="Normal"/>
    <w:link w:val="FootnoteTextChar"/>
    <w:uiPriority w:val="99"/>
    <w:rsid w:val="00CF25DD"/>
    <w:pPr>
      <w:autoSpaceDE w:val="0"/>
      <w:autoSpaceDN w:val="0"/>
    </w:pPr>
    <w:rPr>
      <w:rFonts w:eastAsia="Times New Roman"/>
    </w:rPr>
  </w:style>
  <w:style w:type="character" w:customStyle="1" w:styleId="FootnoteTextChar">
    <w:name w:val="Footnote Text Char"/>
    <w:basedOn w:val="DefaultParagraphFont"/>
    <w:link w:val="FootnoteText"/>
    <w:uiPriority w:val="99"/>
    <w:locked/>
    <w:rsid w:val="00CF25DD"/>
    <w:rPr>
      <w:rFonts w:eastAsia="Times New Roman" w:cs="Times New Roman"/>
      <w:lang w:val="ru-RU" w:eastAsia="ru-RU" w:bidi="ar-SA"/>
    </w:rPr>
  </w:style>
</w:styles>
</file>

<file path=word/webSettings.xml><?xml version="1.0" encoding="utf-8"?>
<w:webSettings xmlns:r="http://schemas.openxmlformats.org/officeDocument/2006/relationships" xmlns:w="http://schemas.openxmlformats.org/wordprocessingml/2006/main">
  <w:divs>
    <w:div w:id="196746732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TotalTime>
  <Pages>5</Pages>
  <Words>2091</Words>
  <Characters>11924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Результаты участия ФТС России в осуществлении национального проекта «Цифровая экономика Российской Федерации»</dc:title>
  <dc:subject/>
  <dc:creator>user</dc:creator>
  <cp:keywords/>
  <dc:description/>
  <cp:lastModifiedBy>user</cp:lastModifiedBy>
  <cp:revision>2</cp:revision>
  <dcterms:created xsi:type="dcterms:W3CDTF">2021-03-29T11:31:00Z</dcterms:created>
  <dcterms:modified xsi:type="dcterms:W3CDTF">2021-03-29T11:31:00Z</dcterms:modified>
</cp:coreProperties>
</file>