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7F4E7D" w14:textId="7CE6B2AF" w:rsidR="00185E01" w:rsidRPr="00990747" w:rsidRDefault="009A3140" w:rsidP="00185E01">
      <w:pPr>
        <w:widowControl w:val="0"/>
        <w:spacing w:after="0" w:line="240" w:lineRule="auto"/>
        <w:rPr>
          <w:rFonts w:ascii="Times New Roman" w:eastAsia="Courier New" w:hAnsi="Times New Roman" w:cs="Courier New"/>
          <w:b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185E01" w:rsidRPr="009907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85E01" w:rsidRPr="00990747">
        <w:rPr>
          <w:rFonts w:ascii="Times New Roman" w:eastAsia="Courier New" w:hAnsi="Times New Roman" w:cs="Courier New"/>
          <w:b/>
          <w:sz w:val="24"/>
          <w:szCs w:val="24"/>
        </w:rPr>
        <w:t>33</w:t>
      </w:r>
      <w:r w:rsidR="00654574" w:rsidRPr="00990747">
        <w:rPr>
          <w:rFonts w:ascii="Times New Roman" w:eastAsia="Courier New" w:hAnsi="Times New Roman" w:cs="Courier New"/>
          <w:b/>
          <w:sz w:val="24"/>
          <w:szCs w:val="24"/>
        </w:rPr>
        <w:t>0.3</w:t>
      </w:r>
      <w:r w:rsidR="00185E01" w:rsidRPr="00990747">
        <w:rPr>
          <w:rFonts w:ascii="Times New Roman" w:eastAsia="Courier New" w:hAnsi="Times New Roman" w:cs="Courier New"/>
          <w:b/>
          <w:sz w:val="24"/>
          <w:szCs w:val="24"/>
        </w:rPr>
        <w:t>/ББК 65.</w:t>
      </w:r>
      <w:r w:rsidR="00654574" w:rsidRPr="00990747">
        <w:rPr>
          <w:rFonts w:ascii="Times New Roman" w:eastAsia="Courier New" w:hAnsi="Times New Roman" w:cs="Courier New"/>
          <w:b/>
          <w:sz w:val="24"/>
          <w:szCs w:val="24"/>
        </w:rPr>
        <w:t>5</w:t>
      </w:r>
    </w:p>
    <w:p w14:paraId="2124B98C" w14:textId="74F2FD4E" w:rsidR="0091263A" w:rsidRPr="00990747" w:rsidRDefault="0091263A" w:rsidP="009A314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46D2753" w14:textId="724BE263" w:rsidR="009A3140" w:rsidRPr="00990747" w:rsidRDefault="00B37802" w:rsidP="00994A61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Малышев М.К.</w:t>
      </w:r>
    </w:p>
    <w:p w14:paraId="42DAD750" w14:textId="0E421CF8" w:rsidR="009A3140" w:rsidRPr="00990747" w:rsidRDefault="00654574" w:rsidP="009A31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РАЗВИТИЕ НЕФТЕГАЗОВОЙ ОТРАСЛИ РФ С 2012 ПО 2020 ГОД И ЕЕ ВЛИЯНИЕ НА КУРС НАЦИОНАЛЬНОЙ ВАЛЮТЫ</w:t>
      </w:r>
    </w:p>
    <w:p w14:paraId="2331CBFA" w14:textId="2C7AAC2B" w:rsidR="009A3140" w:rsidRPr="00990747" w:rsidRDefault="009A3140" w:rsidP="009A314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2BB8C5" w14:textId="1F1567A0" w:rsidR="009A3140" w:rsidRPr="00990747" w:rsidRDefault="009A3140" w:rsidP="009A314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Аннотация статьи</w:t>
      </w:r>
      <w:r w:rsidR="0099074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E8A5E12" w14:textId="045BBCED" w:rsidR="00990747" w:rsidRDefault="00990747" w:rsidP="009A314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В данном исследовании проведен анализ </w:t>
      </w:r>
      <w:r w:rsidR="00E8016F">
        <w:rPr>
          <w:rFonts w:ascii="Times New Roman" w:hAnsi="Times New Roman" w:cs="Times New Roman"/>
          <w:i/>
          <w:iCs/>
          <w:sz w:val="24"/>
          <w:szCs w:val="24"/>
        </w:rPr>
        <w:t xml:space="preserve">основных тенденций </w:t>
      </w:r>
      <w:r>
        <w:rPr>
          <w:rFonts w:ascii="Times New Roman" w:hAnsi="Times New Roman" w:cs="Times New Roman"/>
          <w:i/>
          <w:iCs/>
          <w:sz w:val="24"/>
          <w:szCs w:val="24"/>
        </w:rPr>
        <w:t>развития нефтегазовой отрасли России за последние 9 лет</w:t>
      </w:r>
      <w:r w:rsidR="00E8016F">
        <w:rPr>
          <w:rFonts w:ascii="Times New Roman" w:hAnsi="Times New Roman" w:cs="Times New Roman"/>
          <w:i/>
          <w:iCs/>
          <w:sz w:val="24"/>
          <w:szCs w:val="24"/>
        </w:rPr>
        <w:t>. О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пределена зависимость курса национальной валюты от цены и спроса на нефть. Рассмотрено влияние пандемии на показатели отрасли. </w:t>
      </w:r>
    </w:p>
    <w:p w14:paraId="32DEF2C6" w14:textId="13351B87" w:rsidR="009A3140" w:rsidRPr="00990747" w:rsidRDefault="009A3140" w:rsidP="009A314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 w:rsidR="0099074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8BDB221" w14:textId="421111EE" w:rsidR="009A3140" w:rsidRPr="00990747" w:rsidRDefault="00654574" w:rsidP="009A3140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90747">
        <w:rPr>
          <w:rFonts w:ascii="Times New Roman" w:hAnsi="Times New Roman" w:cs="Times New Roman"/>
          <w:i/>
          <w:iCs/>
          <w:sz w:val="24"/>
          <w:szCs w:val="24"/>
        </w:rPr>
        <w:t>Нефтегазовая отрасль, курс рубля, цены на нефть, влияние пандемии на спрос нефти.</w:t>
      </w:r>
    </w:p>
    <w:p w14:paraId="3A9E4708" w14:textId="77777777" w:rsidR="00185E01" w:rsidRPr="00990747" w:rsidRDefault="00185E01" w:rsidP="009A31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1920244" w14:textId="53D949C3" w:rsidR="007559B3" w:rsidRPr="007559B3" w:rsidRDefault="007559B3" w:rsidP="008B7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Вопросам развития </w:t>
      </w:r>
      <w:r w:rsidR="00297A0C">
        <w:rPr>
          <w:rFonts w:ascii="Times New Roman" w:hAnsi="Times New Roman" w:cs="Times New Roman"/>
          <w:sz w:val="24"/>
          <w:szCs w:val="24"/>
        </w:rPr>
        <w:t>нефтегазовой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7A0C">
        <w:rPr>
          <w:rFonts w:ascii="Times New Roman" w:hAnsi="Times New Roman" w:cs="Times New Roman"/>
          <w:sz w:val="24"/>
          <w:szCs w:val="24"/>
        </w:rPr>
        <w:t>отрасли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7A0C">
        <w:rPr>
          <w:rFonts w:ascii="Times New Roman" w:hAnsi="Times New Roman" w:cs="Times New Roman"/>
          <w:sz w:val="24"/>
          <w:szCs w:val="24"/>
        </w:rPr>
        <w:t>России</w:t>
      </w:r>
      <w:r>
        <w:rPr>
          <w:rFonts w:ascii="Times New Roman" w:hAnsi="Times New Roman" w:cs="Times New Roman"/>
          <w:sz w:val="24"/>
          <w:szCs w:val="24"/>
        </w:rPr>
        <w:t xml:space="preserve"> посвящены исследования многих авторов</w:t>
      </w:r>
      <w:r w:rsidR="00297A0C">
        <w:rPr>
          <w:rFonts w:ascii="Times New Roman" w:hAnsi="Times New Roman" w:cs="Times New Roman"/>
          <w:sz w:val="24"/>
          <w:szCs w:val="24"/>
        </w:rPr>
        <w:t xml:space="preserve">. </w:t>
      </w:r>
      <w:r w:rsidR="008B7272" w:rsidRPr="008B7272">
        <w:rPr>
          <w:rFonts w:ascii="Times New Roman" w:hAnsi="Times New Roman" w:cs="Times New Roman"/>
          <w:sz w:val="24"/>
          <w:szCs w:val="24"/>
        </w:rPr>
        <w:t xml:space="preserve">Для Российской Федерации </w:t>
      </w:r>
      <w:r w:rsidR="00297A0C">
        <w:rPr>
          <w:rFonts w:ascii="Times New Roman" w:hAnsi="Times New Roman" w:cs="Times New Roman"/>
          <w:sz w:val="24"/>
          <w:szCs w:val="24"/>
        </w:rPr>
        <w:t>данная</w:t>
      </w:r>
      <w:r w:rsidR="008B7272" w:rsidRPr="008B7272">
        <w:rPr>
          <w:rFonts w:ascii="Times New Roman" w:hAnsi="Times New Roman" w:cs="Times New Roman"/>
          <w:sz w:val="24"/>
          <w:szCs w:val="24"/>
        </w:rPr>
        <w:t xml:space="preserve"> отрасль одна </w:t>
      </w:r>
      <w:r w:rsidR="00297A0C">
        <w:rPr>
          <w:rFonts w:ascii="Times New Roman" w:hAnsi="Times New Roman" w:cs="Times New Roman"/>
          <w:sz w:val="24"/>
          <w:szCs w:val="24"/>
        </w:rPr>
        <w:t>– в</w:t>
      </w:r>
      <w:r w:rsidR="008B7272" w:rsidRPr="008B7272">
        <w:rPr>
          <w:rFonts w:ascii="Times New Roman" w:hAnsi="Times New Roman" w:cs="Times New Roman"/>
          <w:sz w:val="24"/>
          <w:szCs w:val="24"/>
        </w:rPr>
        <w:t>ажнейш</w:t>
      </w:r>
      <w:r w:rsidR="00297A0C">
        <w:rPr>
          <w:rFonts w:ascii="Times New Roman" w:hAnsi="Times New Roman" w:cs="Times New Roman"/>
          <w:sz w:val="24"/>
          <w:szCs w:val="24"/>
        </w:rPr>
        <w:t>ая</w:t>
      </w:r>
      <w:r w:rsidR="008B7272" w:rsidRPr="008B7272">
        <w:rPr>
          <w:rFonts w:ascii="Times New Roman" w:hAnsi="Times New Roman" w:cs="Times New Roman"/>
          <w:sz w:val="24"/>
          <w:szCs w:val="24"/>
        </w:rPr>
        <w:t xml:space="preserve"> отрасл</w:t>
      </w:r>
      <w:r w:rsidR="00297A0C">
        <w:rPr>
          <w:rFonts w:ascii="Times New Roman" w:hAnsi="Times New Roman" w:cs="Times New Roman"/>
          <w:sz w:val="24"/>
          <w:szCs w:val="24"/>
        </w:rPr>
        <w:t>ь</w:t>
      </w:r>
      <w:r w:rsidR="008B7272" w:rsidRPr="008B7272">
        <w:rPr>
          <w:rFonts w:ascii="Times New Roman" w:hAnsi="Times New Roman" w:cs="Times New Roman"/>
          <w:sz w:val="24"/>
          <w:szCs w:val="24"/>
        </w:rPr>
        <w:t xml:space="preserve"> промышленного производства, которая в значительной степени формирует бюджет и платежный баланс страны, обеспечивающая валютные поступления и поддерж</w:t>
      </w:r>
      <w:r w:rsidR="008B7272">
        <w:rPr>
          <w:rFonts w:ascii="Times New Roman" w:hAnsi="Times New Roman" w:cs="Times New Roman"/>
          <w:sz w:val="24"/>
          <w:szCs w:val="24"/>
        </w:rPr>
        <w:t>ание курса национальной валюты</w:t>
      </w:r>
      <w:r w:rsidR="005D5066">
        <w:rPr>
          <w:rFonts w:ascii="Times New Roman" w:hAnsi="Times New Roman" w:cs="Times New Roman"/>
          <w:sz w:val="24"/>
          <w:szCs w:val="24"/>
        </w:rPr>
        <w:t xml:space="preserve">. </w:t>
      </w:r>
      <w:r w:rsidR="005D5066" w:rsidRPr="008B7272">
        <w:rPr>
          <w:rFonts w:ascii="Times New Roman" w:hAnsi="Times New Roman" w:cs="Times New Roman"/>
          <w:sz w:val="24"/>
          <w:szCs w:val="24"/>
        </w:rPr>
        <w:t xml:space="preserve">Проблемы российской нефтегазовой отрасли заключаются в высокой степени монополизации, несовершенной системой управления, ценообразования и прозрачностью. Сюда не допускаются случайные игроки, поэтому отсутствует конкуренция, а это чревато </w:t>
      </w:r>
      <w:r w:rsidR="005D5066">
        <w:rPr>
          <w:rFonts w:ascii="Times New Roman" w:hAnsi="Times New Roman" w:cs="Times New Roman"/>
          <w:sz w:val="24"/>
          <w:szCs w:val="24"/>
        </w:rPr>
        <w:t>монополией цен и условий работы</w:t>
      </w:r>
      <w:r w:rsidR="00297A0C">
        <w:rPr>
          <w:rFonts w:ascii="Times New Roman" w:hAnsi="Times New Roman" w:cs="Times New Roman"/>
          <w:sz w:val="24"/>
          <w:szCs w:val="24"/>
        </w:rPr>
        <w:t xml:space="preserve"> </w:t>
      </w:r>
      <w:r w:rsidR="00297A0C" w:rsidRPr="00297A0C">
        <w:rPr>
          <w:rFonts w:ascii="Times New Roman" w:hAnsi="Times New Roman" w:cs="Times New Roman"/>
          <w:sz w:val="24"/>
          <w:szCs w:val="24"/>
        </w:rPr>
        <w:t>[1-</w:t>
      </w:r>
      <w:r w:rsidR="00B11FDD">
        <w:rPr>
          <w:rFonts w:ascii="Times New Roman" w:hAnsi="Times New Roman" w:cs="Times New Roman"/>
          <w:sz w:val="24"/>
          <w:szCs w:val="24"/>
        </w:rPr>
        <w:t>5</w:t>
      </w:r>
      <w:r w:rsidR="00297A0C" w:rsidRPr="00297A0C">
        <w:rPr>
          <w:rFonts w:ascii="Times New Roman" w:hAnsi="Times New Roman" w:cs="Times New Roman"/>
          <w:sz w:val="24"/>
          <w:szCs w:val="24"/>
        </w:rPr>
        <w:t>]</w:t>
      </w:r>
      <w:r w:rsidR="008B7272">
        <w:rPr>
          <w:rFonts w:ascii="Times New Roman" w:hAnsi="Times New Roman" w:cs="Times New Roman"/>
          <w:sz w:val="24"/>
          <w:szCs w:val="24"/>
        </w:rPr>
        <w:t>.</w:t>
      </w:r>
    </w:p>
    <w:p w14:paraId="364A1A0F" w14:textId="53F81D3E" w:rsidR="008B7272" w:rsidRDefault="008B7272" w:rsidP="008B7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Примечательно, что</w:t>
      </w:r>
      <w:r w:rsidR="008D01B8">
        <w:rPr>
          <w:rFonts w:ascii="Times New Roman" w:hAnsi="Times New Roman" w:cs="Times New Roman"/>
          <w:sz w:val="24"/>
          <w:szCs w:val="24"/>
        </w:rPr>
        <w:t xml:space="preserve"> первые три места по объему продаж, среди всех российских компаний, занимают компании нефтегазовой отрасли, а их суммарная выручка за 2018 и 2019 год превышает 20 трлн. рублей</w:t>
      </w:r>
      <w:r w:rsidR="007559B3" w:rsidRPr="007559B3">
        <w:rPr>
          <w:rFonts w:ascii="Times New Roman" w:hAnsi="Times New Roman" w:cs="Times New Roman"/>
          <w:sz w:val="24"/>
          <w:szCs w:val="24"/>
        </w:rPr>
        <w:t xml:space="preserve"> (</w:t>
      </w:r>
      <w:r w:rsidR="007559B3">
        <w:rPr>
          <w:rFonts w:ascii="Times New Roman" w:hAnsi="Times New Roman" w:cs="Times New Roman"/>
          <w:sz w:val="24"/>
          <w:szCs w:val="24"/>
        </w:rPr>
        <w:t>табл. 1</w:t>
      </w:r>
      <w:r w:rsidR="007559B3" w:rsidRPr="007559B3">
        <w:rPr>
          <w:rFonts w:ascii="Times New Roman" w:hAnsi="Times New Roman" w:cs="Times New Roman"/>
          <w:sz w:val="24"/>
          <w:szCs w:val="24"/>
        </w:rPr>
        <w:t>)</w:t>
      </w:r>
      <w:r w:rsidR="008D01B8">
        <w:rPr>
          <w:rFonts w:ascii="Times New Roman" w:hAnsi="Times New Roman" w:cs="Times New Roman"/>
          <w:sz w:val="24"/>
          <w:szCs w:val="24"/>
        </w:rPr>
        <w:t>.</w:t>
      </w:r>
    </w:p>
    <w:p w14:paraId="07D494E2" w14:textId="77777777" w:rsidR="008B7272" w:rsidRPr="008B7272" w:rsidRDefault="008B7272" w:rsidP="008B7272">
      <w:pPr>
        <w:pStyle w:val="af0"/>
        <w:jc w:val="right"/>
        <w:rPr>
          <w:i/>
          <w:sz w:val="24"/>
          <w:szCs w:val="24"/>
        </w:rPr>
      </w:pPr>
      <w:r w:rsidRPr="008B7272">
        <w:rPr>
          <w:i/>
          <w:sz w:val="24"/>
          <w:szCs w:val="24"/>
        </w:rPr>
        <w:t>Таблица 1</w:t>
      </w:r>
    </w:p>
    <w:p w14:paraId="664EC2B6" w14:textId="01605475" w:rsidR="008B7272" w:rsidRDefault="008B7272" w:rsidP="008B7272">
      <w:pPr>
        <w:pStyle w:val="af0"/>
        <w:jc w:val="center"/>
      </w:pPr>
      <w:r>
        <w:rPr>
          <w:sz w:val="24"/>
          <w:szCs w:val="24"/>
        </w:rPr>
        <w:t xml:space="preserve">Топ-3 </w:t>
      </w:r>
      <w:r w:rsidRPr="009B6D7C">
        <w:rPr>
          <w:sz w:val="24"/>
          <w:szCs w:val="24"/>
        </w:rPr>
        <w:t>компаний России по объему продаж за 201</w:t>
      </w:r>
      <w:r>
        <w:rPr>
          <w:sz w:val="24"/>
          <w:szCs w:val="24"/>
        </w:rPr>
        <w:t>9</w:t>
      </w:r>
      <w:r w:rsidRPr="009B6D7C">
        <w:rPr>
          <w:sz w:val="24"/>
          <w:szCs w:val="24"/>
        </w:rPr>
        <w:t xml:space="preserve"> год</w:t>
      </w:r>
    </w:p>
    <w:tbl>
      <w:tblPr>
        <w:tblStyle w:val="af2"/>
        <w:tblW w:w="9639" w:type="dxa"/>
        <w:tblInd w:w="108" w:type="dxa"/>
        <w:tblLook w:val="04A0" w:firstRow="1" w:lastRow="0" w:firstColumn="1" w:lastColumn="0" w:noHBand="0" w:noVBand="1"/>
      </w:tblPr>
      <w:tblGrid>
        <w:gridCol w:w="759"/>
        <w:gridCol w:w="1935"/>
        <w:gridCol w:w="1276"/>
        <w:gridCol w:w="1594"/>
        <w:gridCol w:w="1524"/>
        <w:gridCol w:w="815"/>
        <w:gridCol w:w="1736"/>
      </w:tblGrid>
      <w:tr w:rsidR="00831B2D" w:rsidRPr="002F0DFD" w14:paraId="10DFE399" w14:textId="77777777" w:rsidTr="008B7272">
        <w:tc>
          <w:tcPr>
            <w:tcW w:w="759" w:type="dxa"/>
            <w:vAlign w:val="center"/>
          </w:tcPr>
          <w:p w14:paraId="7690AEEF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Место</w:t>
            </w:r>
          </w:p>
        </w:tc>
        <w:tc>
          <w:tcPr>
            <w:tcW w:w="1935" w:type="dxa"/>
            <w:vAlign w:val="center"/>
          </w:tcPr>
          <w:p w14:paraId="2793F977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Компания</w:t>
            </w:r>
          </w:p>
        </w:tc>
        <w:tc>
          <w:tcPr>
            <w:tcW w:w="1276" w:type="dxa"/>
            <w:vAlign w:val="center"/>
          </w:tcPr>
          <w:p w14:paraId="72D6209F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Место компании в</w:t>
            </w:r>
          </w:p>
          <w:p w14:paraId="1BAE5E2A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рейтинге</w:t>
            </w:r>
          </w:p>
          <w:p w14:paraId="0B5F220A" w14:textId="6A039A91" w:rsidR="008B7272" w:rsidRPr="002F0DFD" w:rsidRDefault="008B7272" w:rsidP="008D01B8">
            <w:pPr>
              <w:pStyle w:val="af0"/>
              <w:jc w:val="center"/>
            </w:pPr>
            <w:r w:rsidRPr="002F0DFD">
              <w:rPr>
                <w:lang w:bidi="en-US"/>
              </w:rPr>
              <w:t>RAEX-600</w:t>
            </w:r>
          </w:p>
        </w:tc>
        <w:tc>
          <w:tcPr>
            <w:tcW w:w="1594" w:type="dxa"/>
            <w:vAlign w:val="center"/>
          </w:tcPr>
          <w:p w14:paraId="5BA996A0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Объем реализации в 2019 году (млрд. рублей)</w:t>
            </w:r>
          </w:p>
        </w:tc>
        <w:tc>
          <w:tcPr>
            <w:tcW w:w="1524" w:type="dxa"/>
            <w:vAlign w:val="center"/>
          </w:tcPr>
          <w:p w14:paraId="14044C6C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Объем реализации в 2018 году (млрд. рублей)</w:t>
            </w:r>
          </w:p>
        </w:tc>
        <w:tc>
          <w:tcPr>
            <w:tcW w:w="815" w:type="dxa"/>
            <w:vAlign w:val="center"/>
          </w:tcPr>
          <w:p w14:paraId="03F48BFA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Темпы</w:t>
            </w:r>
          </w:p>
          <w:p w14:paraId="57AAA6E6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роста</w:t>
            </w:r>
          </w:p>
          <w:p w14:paraId="48D19E6B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(%)</w:t>
            </w:r>
          </w:p>
        </w:tc>
        <w:tc>
          <w:tcPr>
            <w:tcW w:w="1736" w:type="dxa"/>
            <w:vAlign w:val="center"/>
          </w:tcPr>
          <w:p w14:paraId="2CB7590C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Объем реализации в 2019 году (млн. долларов)</w:t>
            </w:r>
          </w:p>
        </w:tc>
      </w:tr>
      <w:tr w:rsidR="00831B2D" w:rsidRPr="002F0DFD" w14:paraId="0E470530" w14:textId="77777777" w:rsidTr="008B7272">
        <w:tc>
          <w:tcPr>
            <w:tcW w:w="759" w:type="dxa"/>
            <w:vAlign w:val="center"/>
          </w:tcPr>
          <w:p w14:paraId="782B2DEF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1</w:t>
            </w:r>
          </w:p>
        </w:tc>
        <w:tc>
          <w:tcPr>
            <w:tcW w:w="1935" w:type="dxa"/>
            <w:vAlign w:val="center"/>
          </w:tcPr>
          <w:p w14:paraId="2B8E235C" w14:textId="68739AE4" w:rsidR="008B7272" w:rsidRPr="002F0DFD" w:rsidRDefault="008B7272" w:rsidP="00831B2D">
            <w:pPr>
              <w:pStyle w:val="af0"/>
            </w:pPr>
            <w:r w:rsidRPr="002F0DFD">
              <w:t>«Роснефть»</w:t>
            </w:r>
          </w:p>
        </w:tc>
        <w:tc>
          <w:tcPr>
            <w:tcW w:w="1276" w:type="dxa"/>
            <w:vAlign w:val="center"/>
          </w:tcPr>
          <w:p w14:paraId="06EF4BBB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1</w:t>
            </w:r>
          </w:p>
        </w:tc>
        <w:tc>
          <w:tcPr>
            <w:tcW w:w="1594" w:type="dxa"/>
            <w:vAlign w:val="center"/>
          </w:tcPr>
          <w:p w14:paraId="2538E71A" w14:textId="252A2CCF" w:rsidR="008B7272" w:rsidRPr="002F0DFD" w:rsidRDefault="008B7272" w:rsidP="00D26C7C">
            <w:pPr>
              <w:jc w:val="center"/>
            </w:pPr>
            <w:r w:rsidRPr="002F0DFD">
              <w:t>7</w:t>
            </w:r>
            <w:r w:rsidR="008D01B8">
              <w:t xml:space="preserve"> </w:t>
            </w:r>
            <w:r w:rsidRPr="002F0DFD">
              <w:t>636,00</w:t>
            </w:r>
          </w:p>
        </w:tc>
        <w:tc>
          <w:tcPr>
            <w:tcW w:w="1524" w:type="dxa"/>
            <w:vAlign w:val="center"/>
          </w:tcPr>
          <w:p w14:paraId="1306A3B2" w14:textId="7BF837B0" w:rsidR="008B7272" w:rsidRPr="002F0DFD" w:rsidRDefault="008B7272" w:rsidP="00D26C7C">
            <w:pPr>
              <w:jc w:val="center"/>
            </w:pPr>
            <w:r w:rsidRPr="002F0DFD">
              <w:t>6</w:t>
            </w:r>
            <w:r w:rsidR="008D01B8">
              <w:t xml:space="preserve"> </w:t>
            </w:r>
            <w:r w:rsidRPr="002F0DFD">
              <w:t>930,00</w:t>
            </w:r>
          </w:p>
        </w:tc>
        <w:tc>
          <w:tcPr>
            <w:tcW w:w="815" w:type="dxa"/>
            <w:vAlign w:val="center"/>
          </w:tcPr>
          <w:p w14:paraId="00C28F94" w14:textId="3C0C5068" w:rsidR="008B7272" w:rsidRPr="002F0DFD" w:rsidRDefault="008B7272" w:rsidP="00D26C7C">
            <w:pPr>
              <w:pStyle w:val="af0"/>
              <w:jc w:val="center"/>
            </w:pPr>
            <w:r>
              <w:t>+</w:t>
            </w:r>
            <w:r w:rsidRPr="002F0DFD">
              <w:t>10,2</w:t>
            </w:r>
          </w:p>
        </w:tc>
        <w:tc>
          <w:tcPr>
            <w:tcW w:w="1736" w:type="dxa"/>
            <w:vAlign w:val="center"/>
          </w:tcPr>
          <w:p w14:paraId="430ABED0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118 167,7</w:t>
            </w:r>
          </w:p>
        </w:tc>
      </w:tr>
      <w:tr w:rsidR="00831B2D" w:rsidRPr="002F0DFD" w14:paraId="4066B038" w14:textId="77777777" w:rsidTr="008B7272">
        <w:tc>
          <w:tcPr>
            <w:tcW w:w="759" w:type="dxa"/>
            <w:vAlign w:val="center"/>
          </w:tcPr>
          <w:p w14:paraId="559EB649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2</w:t>
            </w:r>
          </w:p>
        </w:tc>
        <w:tc>
          <w:tcPr>
            <w:tcW w:w="1935" w:type="dxa"/>
            <w:vAlign w:val="center"/>
          </w:tcPr>
          <w:p w14:paraId="44C40308" w14:textId="77777777" w:rsidR="008B7272" w:rsidRPr="002F0DFD" w:rsidRDefault="008B7272" w:rsidP="00D26C7C">
            <w:pPr>
              <w:pStyle w:val="af0"/>
            </w:pPr>
            <w:r w:rsidRPr="002F0DFD">
              <w:t>«Газпром»</w:t>
            </w:r>
          </w:p>
        </w:tc>
        <w:tc>
          <w:tcPr>
            <w:tcW w:w="1276" w:type="dxa"/>
            <w:vAlign w:val="center"/>
          </w:tcPr>
          <w:p w14:paraId="2EB5350E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2</w:t>
            </w:r>
          </w:p>
        </w:tc>
        <w:tc>
          <w:tcPr>
            <w:tcW w:w="1594" w:type="dxa"/>
            <w:vAlign w:val="center"/>
          </w:tcPr>
          <w:p w14:paraId="78C12A2E" w14:textId="5E05CC6E" w:rsidR="008B7272" w:rsidRPr="002F0DFD" w:rsidRDefault="008B7272" w:rsidP="00D26C7C">
            <w:pPr>
              <w:jc w:val="center"/>
            </w:pPr>
            <w:r w:rsidRPr="002F0DFD">
              <w:t>7</w:t>
            </w:r>
            <w:r w:rsidR="008D01B8">
              <w:t xml:space="preserve"> </w:t>
            </w:r>
            <w:r w:rsidRPr="002F0DFD">
              <w:t>546,10</w:t>
            </w:r>
          </w:p>
        </w:tc>
        <w:tc>
          <w:tcPr>
            <w:tcW w:w="1524" w:type="dxa"/>
            <w:vAlign w:val="center"/>
          </w:tcPr>
          <w:p w14:paraId="257C2D95" w14:textId="7C7D4927" w:rsidR="008B7272" w:rsidRPr="002F0DFD" w:rsidRDefault="008B7272" w:rsidP="00D26C7C">
            <w:pPr>
              <w:jc w:val="center"/>
            </w:pPr>
            <w:r w:rsidRPr="002F0DFD">
              <w:t>8</w:t>
            </w:r>
            <w:r w:rsidR="008D01B8">
              <w:t xml:space="preserve"> </w:t>
            </w:r>
            <w:r w:rsidRPr="002F0DFD">
              <w:t>067,06</w:t>
            </w:r>
          </w:p>
        </w:tc>
        <w:tc>
          <w:tcPr>
            <w:tcW w:w="815" w:type="dxa"/>
            <w:vAlign w:val="center"/>
          </w:tcPr>
          <w:p w14:paraId="27ED852C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-6,5</w:t>
            </w:r>
          </w:p>
        </w:tc>
        <w:tc>
          <w:tcPr>
            <w:tcW w:w="1736" w:type="dxa"/>
            <w:vAlign w:val="center"/>
          </w:tcPr>
          <w:p w14:paraId="5E1AACDE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116 776,5</w:t>
            </w:r>
          </w:p>
        </w:tc>
      </w:tr>
      <w:tr w:rsidR="00831B2D" w:rsidRPr="002F0DFD" w14:paraId="729CB668" w14:textId="77777777" w:rsidTr="008B7272">
        <w:tc>
          <w:tcPr>
            <w:tcW w:w="759" w:type="dxa"/>
            <w:vAlign w:val="center"/>
          </w:tcPr>
          <w:p w14:paraId="3E831994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3</w:t>
            </w:r>
          </w:p>
        </w:tc>
        <w:tc>
          <w:tcPr>
            <w:tcW w:w="1935" w:type="dxa"/>
            <w:vAlign w:val="center"/>
          </w:tcPr>
          <w:p w14:paraId="46791650" w14:textId="77777777" w:rsidR="008B7272" w:rsidRPr="002F0DFD" w:rsidRDefault="008B7272" w:rsidP="00D26C7C">
            <w:pPr>
              <w:pStyle w:val="af0"/>
            </w:pPr>
            <w:r w:rsidRPr="002F0DFD">
              <w:t>«ЛУКОЙЛ»</w:t>
            </w:r>
          </w:p>
        </w:tc>
        <w:tc>
          <w:tcPr>
            <w:tcW w:w="1276" w:type="dxa"/>
            <w:vAlign w:val="center"/>
          </w:tcPr>
          <w:p w14:paraId="2E59C2D8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3</w:t>
            </w:r>
          </w:p>
        </w:tc>
        <w:tc>
          <w:tcPr>
            <w:tcW w:w="1594" w:type="dxa"/>
            <w:vAlign w:val="center"/>
          </w:tcPr>
          <w:p w14:paraId="4494B2C2" w14:textId="1F807087" w:rsidR="008B7272" w:rsidRPr="002F0DFD" w:rsidRDefault="008B7272" w:rsidP="00D26C7C">
            <w:pPr>
              <w:jc w:val="center"/>
            </w:pPr>
            <w:r w:rsidRPr="002F0DFD">
              <w:t>7</w:t>
            </w:r>
            <w:r w:rsidR="008D01B8">
              <w:t xml:space="preserve"> </w:t>
            </w:r>
            <w:r w:rsidRPr="002F0DFD">
              <w:t>415,48</w:t>
            </w:r>
          </w:p>
        </w:tc>
        <w:tc>
          <w:tcPr>
            <w:tcW w:w="1524" w:type="dxa"/>
            <w:vAlign w:val="center"/>
          </w:tcPr>
          <w:p w14:paraId="179A9199" w14:textId="6D6C64DC" w:rsidR="008B7272" w:rsidRPr="002F0DFD" w:rsidRDefault="008B7272" w:rsidP="00D26C7C">
            <w:pPr>
              <w:jc w:val="center"/>
            </w:pPr>
            <w:r w:rsidRPr="002F0DFD">
              <w:t>7</w:t>
            </w:r>
            <w:r w:rsidR="008D01B8">
              <w:t xml:space="preserve"> </w:t>
            </w:r>
            <w:r w:rsidRPr="002F0DFD">
              <w:t>479,06</w:t>
            </w:r>
          </w:p>
        </w:tc>
        <w:tc>
          <w:tcPr>
            <w:tcW w:w="815" w:type="dxa"/>
            <w:vAlign w:val="center"/>
          </w:tcPr>
          <w:p w14:paraId="1FD05B3F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-0,9</w:t>
            </w:r>
          </w:p>
        </w:tc>
        <w:tc>
          <w:tcPr>
            <w:tcW w:w="1736" w:type="dxa"/>
            <w:vAlign w:val="center"/>
          </w:tcPr>
          <w:p w14:paraId="1749505D" w14:textId="77777777" w:rsidR="008B7272" w:rsidRPr="002F0DFD" w:rsidRDefault="008B7272" w:rsidP="00D26C7C">
            <w:pPr>
              <w:pStyle w:val="af0"/>
              <w:jc w:val="center"/>
            </w:pPr>
            <w:r w:rsidRPr="002F0DFD">
              <w:t>114 755,2</w:t>
            </w:r>
          </w:p>
        </w:tc>
      </w:tr>
      <w:tr w:rsidR="008D01B8" w:rsidRPr="002F0DFD" w14:paraId="571EE4CC" w14:textId="77777777" w:rsidTr="008D01B8">
        <w:tc>
          <w:tcPr>
            <w:tcW w:w="3970" w:type="dxa"/>
            <w:gridSpan w:val="3"/>
            <w:vAlign w:val="center"/>
          </w:tcPr>
          <w:p w14:paraId="7451357A" w14:textId="05433E17" w:rsidR="008D01B8" w:rsidRPr="002F0DFD" w:rsidRDefault="008D01B8" w:rsidP="008D01B8">
            <w:pPr>
              <w:pStyle w:val="af0"/>
              <w:jc w:val="right"/>
            </w:pPr>
            <w:r>
              <w:t>Итого:</w:t>
            </w:r>
          </w:p>
        </w:tc>
        <w:tc>
          <w:tcPr>
            <w:tcW w:w="1594" w:type="dxa"/>
            <w:vAlign w:val="bottom"/>
          </w:tcPr>
          <w:p w14:paraId="6A7D8BB1" w14:textId="1D69B958" w:rsidR="008D01B8" w:rsidRPr="002F0DFD" w:rsidRDefault="008D01B8" w:rsidP="00D26C7C">
            <w:pPr>
              <w:jc w:val="center"/>
            </w:pPr>
            <w:r w:rsidRPr="008D01B8">
              <w:t>22</w:t>
            </w:r>
            <w:r>
              <w:t xml:space="preserve"> </w:t>
            </w:r>
            <w:r w:rsidRPr="008D01B8">
              <w:t>597,58</w:t>
            </w:r>
          </w:p>
        </w:tc>
        <w:tc>
          <w:tcPr>
            <w:tcW w:w="1524" w:type="dxa"/>
            <w:vAlign w:val="bottom"/>
          </w:tcPr>
          <w:p w14:paraId="6D650799" w14:textId="72664A53" w:rsidR="008D01B8" w:rsidRPr="002F0DFD" w:rsidRDefault="008D01B8" w:rsidP="00D26C7C">
            <w:pPr>
              <w:jc w:val="center"/>
            </w:pPr>
            <w:r w:rsidRPr="008D01B8">
              <w:t>22</w:t>
            </w:r>
            <w:r>
              <w:t xml:space="preserve"> </w:t>
            </w:r>
            <w:r w:rsidRPr="008D01B8">
              <w:t>476,12</w:t>
            </w:r>
          </w:p>
        </w:tc>
        <w:tc>
          <w:tcPr>
            <w:tcW w:w="815" w:type="dxa"/>
            <w:vAlign w:val="bottom"/>
          </w:tcPr>
          <w:p w14:paraId="57E173EA" w14:textId="040ED073" w:rsidR="008D01B8" w:rsidRPr="002F0DFD" w:rsidRDefault="008D01B8" w:rsidP="008D01B8">
            <w:pPr>
              <w:pStyle w:val="af0"/>
              <w:jc w:val="center"/>
            </w:pPr>
            <w:r>
              <w:t>+</w:t>
            </w:r>
            <w:r w:rsidRPr="008D01B8">
              <w:t>0,5</w:t>
            </w:r>
          </w:p>
        </w:tc>
        <w:tc>
          <w:tcPr>
            <w:tcW w:w="1736" w:type="dxa"/>
            <w:vAlign w:val="bottom"/>
          </w:tcPr>
          <w:p w14:paraId="7F28B118" w14:textId="02918F11" w:rsidR="008D01B8" w:rsidRPr="002F0DFD" w:rsidRDefault="008D01B8" w:rsidP="00D26C7C">
            <w:pPr>
              <w:pStyle w:val="af0"/>
              <w:jc w:val="center"/>
            </w:pPr>
            <w:r w:rsidRPr="008D01B8">
              <w:t>349</w:t>
            </w:r>
            <w:r>
              <w:t xml:space="preserve"> </w:t>
            </w:r>
            <w:r w:rsidRPr="008D01B8">
              <w:t>699,4</w:t>
            </w:r>
          </w:p>
        </w:tc>
      </w:tr>
      <w:tr w:rsidR="008B7272" w:rsidRPr="002F0DFD" w14:paraId="7202F9FD" w14:textId="77777777" w:rsidTr="00D47F62">
        <w:tc>
          <w:tcPr>
            <w:tcW w:w="9639" w:type="dxa"/>
            <w:gridSpan w:val="7"/>
            <w:vAlign w:val="center"/>
          </w:tcPr>
          <w:p w14:paraId="6C1EBB43" w14:textId="274DADC7" w:rsidR="008B7272" w:rsidRPr="008B7272" w:rsidRDefault="008B7272" w:rsidP="008B7272">
            <w:pPr>
              <w:pStyle w:val="af0"/>
            </w:pPr>
            <w:r w:rsidRPr="00990747">
              <w:t xml:space="preserve">Источник: составлено автором </w:t>
            </w:r>
            <w:r>
              <w:t>по данным р</w:t>
            </w:r>
            <w:r w:rsidRPr="008B7272">
              <w:t>оссийско</w:t>
            </w:r>
            <w:r>
              <w:t xml:space="preserve">го рейтингового агентства </w:t>
            </w:r>
            <w:r w:rsidRPr="008B7272">
              <w:t>raex-a.ru</w:t>
            </w:r>
            <w:r w:rsidR="008D01B8">
              <w:rPr>
                <w:rStyle w:val="af"/>
                <w:lang w:bidi="en-US"/>
              </w:rPr>
              <w:footnoteReference w:id="1"/>
            </w:r>
          </w:p>
        </w:tc>
      </w:tr>
    </w:tbl>
    <w:p w14:paraId="53D67B8D" w14:textId="77777777" w:rsidR="008B7272" w:rsidRDefault="008B7272" w:rsidP="008B7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90739DC" w14:textId="49EA182C" w:rsidR="008B7272" w:rsidRDefault="008B7272" w:rsidP="008B727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B7272">
        <w:rPr>
          <w:rFonts w:ascii="Times New Roman" w:hAnsi="Times New Roman" w:cs="Times New Roman"/>
          <w:sz w:val="24"/>
          <w:szCs w:val="24"/>
        </w:rPr>
        <w:t>Россия стабильно входит в тройку лидеров по добыче нефти и делит места с Соединенными Штатами</w:t>
      </w:r>
      <w:r w:rsidR="008A0448">
        <w:rPr>
          <w:rFonts w:ascii="Times New Roman" w:hAnsi="Times New Roman" w:cs="Times New Roman"/>
          <w:sz w:val="24"/>
          <w:szCs w:val="24"/>
        </w:rPr>
        <w:t xml:space="preserve"> Америки</w:t>
      </w:r>
      <w:r w:rsidRPr="008B7272">
        <w:rPr>
          <w:rFonts w:ascii="Times New Roman" w:hAnsi="Times New Roman" w:cs="Times New Roman"/>
          <w:sz w:val="24"/>
          <w:szCs w:val="24"/>
        </w:rPr>
        <w:t xml:space="preserve"> и Арабскими Эмиратами</w:t>
      </w:r>
      <w:r w:rsidR="008A0448">
        <w:rPr>
          <w:rFonts w:ascii="Times New Roman" w:hAnsi="Times New Roman" w:cs="Times New Roman"/>
          <w:sz w:val="24"/>
          <w:szCs w:val="24"/>
        </w:rPr>
        <w:t>. За 2019 год десять стран-лидеров по добычи сырой нефти суммарно добыли из недр около 3,2 млрд. тонн данного сырья</w:t>
      </w:r>
      <w:r w:rsidR="003771B9">
        <w:rPr>
          <w:rFonts w:ascii="Times New Roman" w:hAnsi="Times New Roman" w:cs="Times New Roman"/>
          <w:sz w:val="24"/>
          <w:szCs w:val="24"/>
        </w:rPr>
        <w:t xml:space="preserve"> (табл. 2)</w:t>
      </w:r>
      <w:r w:rsidRPr="008B727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796917F" w14:textId="79251B88" w:rsidR="003771B9" w:rsidRPr="008B7272" w:rsidRDefault="003771B9" w:rsidP="003771B9">
      <w:pPr>
        <w:pStyle w:val="af0"/>
        <w:jc w:val="right"/>
        <w:rPr>
          <w:i/>
          <w:sz w:val="24"/>
          <w:szCs w:val="24"/>
        </w:rPr>
      </w:pPr>
      <w:r w:rsidRPr="008B7272">
        <w:rPr>
          <w:i/>
          <w:sz w:val="24"/>
          <w:szCs w:val="24"/>
        </w:rPr>
        <w:t xml:space="preserve">Таблица </w:t>
      </w:r>
      <w:r>
        <w:rPr>
          <w:i/>
          <w:sz w:val="24"/>
          <w:szCs w:val="24"/>
        </w:rPr>
        <w:t>2</w:t>
      </w:r>
    </w:p>
    <w:p w14:paraId="45436545" w14:textId="69A8B473" w:rsidR="008B7272" w:rsidRPr="005246A2" w:rsidRDefault="005246A2" w:rsidP="003771B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Рейтинг 10</w:t>
      </w:r>
      <w:r w:rsidR="003771B9" w:rsidRPr="005246A2">
        <w:rPr>
          <w:rFonts w:ascii="Times New Roman" w:hAnsi="Times New Roman" w:cs="Times New Roman"/>
          <w:sz w:val="24"/>
        </w:rPr>
        <w:t xml:space="preserve"> стран с наибольшим объемом добытой сырой нефти за 2019 год</w:t>
      </w:r>
    </w:p>
    <w:tbl>
      <w:tblPr>
        <w:tblStyle w:val="af2"/>
        <w:tblW w:w="9639" w:type="dxa"/>
        <w:tblInd w:w="108" w:type="dxa"/>
        <w:tblLook w:val="04A0" w:firstRow="1" w:lastRow="0" w:firstColumn="1" w:lastColumn="0" w:noHBand="0" w:noVBand="1"/>
      </w:tblPr>
      <w:tblGrid>
        <w:gridCol w:w="1606"/>
        <w:gridCol w:w="4915"/>
        <w:gridCol w:w="3118"/>
      </w:tblGrid>
      <w:tr w:rsidR="003771B9" w:rsidRPr="003771B9" w14:paraId="66D839FB" w14:textId="77777777" w:rsidTr="009004EA">
        <w:trPr>
          <w:trHeight w:val="56"/>
        </w:trPr>
        <w:tc>
          <w:tcPr>
            <w:tcW w:w="1606" w:type="dxa"/>
            <w:vAlign w:val="center"/>
          </w:tcPr>
          <w:p w14:paraId="4CDB2CE2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Место в мире</w:t>
            </w:r>
          </w:p>
        </w:tc>
        <w:tc>
          <w:tcPr>
            <w:tcW w:w="4915" w:type="dxa"/>
            <w:vAlign w:val="center"/>
          </w:tcPr>
          <w:p w14:paraId="0F55AA6E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Страна</w:t>
            </w:r>
          </w:p>
        </w:tc>
        <w:tc>
          <w:tcPr>
            <w:tcW w:w="3118" w:type="dxa"/>
            <w:vAlign w:val="center"/>
          </w:tcPr>
          <w:p w14:paraId="6477E6A5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Добыча сырой нефти, в млн. тонн</w:t>
            </w:r>
          </w:p>
        </w:tc>
      </w:tr>
      <w:tr w:rsidR="003771B9" w:rsidRPr="003771B9" w14:paraId="464F172A" w14:textId="77777777" w:rsidTr="009004EA">
        <w:trPr>
          <w:trHeight w:val="181"/>
        </w:trPr>
        <w:tc>
          <w:tcPr>
            <w:tcW w:w="1606" w:type="dxa"/>
            <w:vAlign w:val="center"/>
          </w:tcPr>
          <w:p w14:paraId="10353D8F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1</w:t>
            </w:r>
          </w:p>
        </w:tc>
        <w:tc>
          <w:tcPr>
            <w:tcW w:w="4915" w:type="dxa"/>
            <w:vAlign w:val="center"/>
          </w:tcPr>
          <w:p w14:paraId="65875596" w14:textId="77777777" w:rsidR="003771B9" w:rsidRPr="003771B9" w:rsidRDefault="003771B9" w:rsidP="00D26C7C">
            <w:pPr>
              <w:pStyle w:val="af0"/>
            </w:pPr>
            <w:r w:rsidRPr="003771B9">
              <w:t>Соединенные Штаты Америки</w:t>
            </w:r>
          </w:p>
        </w:tc>
        <w:tc>
          <w:tcPr>
            <w:tcW w:w="3118" w:type="dxa"/>
            <w:vAlign w:val="center"/>
          </w:tcPr>
          <w:p w14:paraId="13EB5601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745</w:t>
            </w:r>
          </w:p>
        </w:tc>
      </w:tr>
      <w:tr w:rsidR="003771B9" w:rsidRPr="003771B9" w14:paraId="2C36B3E8" w14:textId="77777777" w:rsidTr="009004EA">
        <w:trPr>
          <w:trHeight w:val="181"/>
        </w:trPr>
        <w:tc>
          <w:tcPr>
            <w:tcW w:w="1606" w:type="dxa"/>
            <w:vAlign w:val="center"/>
          </w:tcPr>
          <w:p w14:paraId="633885F0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2</w:t>
            </w:r>
          </w:p>
        </w:tc>
        <w:tc>
          <w:tcPr>
            <w:tcW w:w="4915" w:type="dxa"/>
            <w:vAlign w:val="center"/>
          </w:tcPr>
          <w:p w14:paraId="0A7746AC" w14:textId="77777777" w:rsidR="003771B9" w:rsidRPr="003771B9" w:rsidRDefault="003771B9" w:rsidP="00D26C7C">
            <w:pPr>
              <w:pStyle w:val="af0"/>
            </w:pPr>
            <w:r w:rsidRPr="003771B9">
              <w:t>Российская Федерация</w:t>
            </w:r>
          </w:p>
        </w:tc>
        <w:tc>
          <w:tcPr>
            <w:tcW w:w="3118" w:type="dxa"/>
            <w:vAlign w:val="center"/>
          </w:tcPr>
          <w:p w14:paraId="1CDED8FA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560</w:t>
            </w:r>
          </w:p>
        </w:tc>
      </w:tr>
      <w:tr w:rsidR="003771B9" w:rsidRPr="003771B9" w14:paraId="59611675" w14:textId="77777777" w:rsidTr="009004EA">
        <w:trPr>
          <w:trHeight w:val="188"/>
        </w:trPr>
        <w:tc>
          <w:tcPr>
            <w:tcW w:w="1606" w:type="dxa"/>
            <w:vAlign w:val="center"/>
          </w:tcPr>
          <w:p w14:paraId="49A090E4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3</w:t>
            </w:r>
          </w:p>
        </w:tc>
        <w:tc>
          <w:tcPr>
            <w:tcW w:w="4915" w:type="dxa"/>
            <w:vAlign w:val="center"/>
          </w:tcPr>
          <w:p w14:paraId="2FE34ADA" w14:textId="77777777" w:rsidR="003771B9" w:rsidRPr="003771B9" w:rsidRDefault="003771B9" w:rsidP="00D26C7C">
            <w:pPr>
              <w:pStyle w:val="af0"/>
            </w:pPr>
            <w:r w:rsidRPr="003771B9">
              <w:t>Саудовская Аравия</w:t>
            </w:r>
          </w:p>
        </w:tc>
        <w:tc>
          <w:tcPr>
            <w:tcW w:w="3118" w:type="dxa"/>
            <w:vAlign w:val="center"/>
          </w:tcPr>
          <w:p w14:paraId="3DBB66BC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545</w:t>
            </w:r>
          </w:p>
        </w:tc>
      </w:tr>
      <w:tr w:rsidR="003771B9" w:rsidRPr="003771B9" w14:paraId="5309E8B6" w14:textId="77777777" w:rsidTr="009004EA">
        <w:trPr>
          <w:trHeight w:val="181"/>
        </w:trPr>
        <w:tc>
          <w:tcPr>
            <w:tcW w:w="1606" w:type="dxa"/>
            <w:vAlign w:val="center"/>
          </w:tcPr>
          <w:p w14:paraId="7CA77060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4</w:t>
            </w:r>
          </w:p>
        </w:tc>
        <w:tc>
          <w:tcPr>
            <w:tcW w:w="4915" w:type="dxa"/>
            <w:vAlign w:val="center"/>
          </w:tcPr>
          <w:p w14:paraId="3E8F05F7" w14:textId="77777777" w:rsidR="003771B9" w:rsidRPr="003771B9" w:rsidRDefault="003771B9" w:rsidP="00D26C7C">
            <w:pPr>
              <w:pStyle w:val="af0"/>
            </w:pPr>
            <w:r w:rsidRPr="003771B9">
              <w:t>Канада</w:t>
            </w:r>
          </w:p>
        </w:tc>
        <w:tc>
          <w:tcPr>
            <w:tcW w:w="3118" w:type="dxa"/>
            <w:vAlign w:val="center"/>
          </w:tcPr>
          <w:p w14:paraId="0FE4AE93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268</w:t>
            </w:r>
          </w:p>
        </w:tc>
      </w:tr>
      <w:tr w:rsidR="003771B9" w:rsidRPr="003771B9" w14:paraId="3D80CA2B" w14:textId="77777777" w:rsidTr="009004EA">
        <w:trPr>
          <w:trHeight w:val="181"/>
        </w:trPr>
        <w:tc>
          <w:tcPr>
            <w:tcW w:w="1606" w:type="dxa"/>
            <w:vAlign w:val="center"/>
          </w:tcPr>
          <w:p w14:paraId="3E316782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5</w:t>
            </w:r>
          </w:p>
        </w:tc>
        <w:tc>
          <w:tcPr>
            <w:tcW w:w="4915" w:type="dxa"/>
            <w:vAlign w:val="center"/>
          </w:tcPr>
          <w:p w14:paraId="085CB475" w14:textId="77777777" w:rsidR="003771B9" w:rsidRPr="003771B9" w:rsidRDefault="003771B9" w:rsidP="00D26C7C">
            <w:pPr>
              <w:pStyle w:val="af0"/>
            </w:pPr>
            <w:r w:rsidRPr="003771B9">
              <w:t>Ирак</w:t>
            </w:r>
          </w:p>
        </w:tc>
        <w:tc>
          <w:tcPr>
            <w:tcW w:w="3118" w:type="dxa"/>
            <w:vAlign w:val="center"/>
          </w:tcPr>
          <w:p w14:paraId="678391E4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232</w:t>
            </w:r>
          </w:p>
        </w:tc>
      </w:tr>
      <w:tr w:rsidR="003771B9" w:rsidRPr="003771B9" w14:paraId="283441F7" w14:textId="77777777" w:rsidTr="009004EA">
        <w:trPr>
          <w:trHeight w:val="188"/>
        </w:trPr>
        <w:tc>
          <w:tcPr>
            <w:tcW w:w="1606" w:type="dxa"/>
            <w:vAlign w:val="center"/>
          </w:tcPr>
          <w:p w14:paraId="10D8B482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6</w:t>
            </w:r>
          </w:p>
        </w:tc>
        <w:tc>
          <w:tcPr>
            <w:tcW w:w="4915" w:type="dxa"/>
            <w:vAlign w:val="center"/>
          </w:tcPr>
          <w:p w14:paraId="64918D61" w14:textId="77777777" w:rsidR="003771B9" w:rsidRPr="003771B9" w:rsidRDefault="003771B9" w:rsidP="00D26C7C">
            <w:pPr>
              <w:pStyle w:val="af0"/>
            </w:pPr>
            <w:r w:rsidRPr="003771B9">
              <w:t>Китай</w:t>
            </w:r>
          </w:p>
        </w:tc>
        <w:tc>
          <w:tcPr>
            <w:tcW w:w="3118" w:type="dxa"/>
            <w:vAlign w:val="center"/>
          </w:tcPr>
          <w:p w14:paraId="3EE9BE3F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195</w:t>
            </w:r>
          </w:p>
        </w:tc>
      </w:tr>
      <w:tr w:rsidR="003771B9" w:rsidRPr="003771B9" w14:paraId="49FF50DB" w14:textId="77777777" w:rsidTr="009004EA">
        <w:trPr>
          <w:trHeight w:val="181"/>
        </w:trPr>
        <w:tc>
          <w:tcPr>
            <w:tcW w:w="1606" w:type="dxa"/>
            <w:vAlign w:val="center"/>
          </w:tcPr>
          <w:p w14:paraId="77D37AB7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7</w:t>
            </w:r>
          </w:p>
        </w:tc>
        <w:tc>
          <w:tcPr>
            <w:tcW w:w="4915" w:type="dxa"/>
            <w:vAlign w:val="center"/>
          </w:tcPr>
          <w:p w14:paraId="0717C475" w14:textId="77777777" w:rsidR="003771B9" w:rsidRPr="003771B9" w:rsidRDefault="003771B9" w:rsidP="00D26C7C">
            <w:pPr>
              <w:pStyle w:val="af0"/>
            </w:pPr>
            <w:r w:rsidRPr="003771B9">
              <w:t>Объединенные Арабские Эмираты</w:t>
            </w:r>
          </w:p>
        </w:tc>
        <w:tc>
          <w:tcPr>
            <w:tcW w:w="3118" w:type="dxa"/>
            <w:vAlign w:val="center"/>
          </w:tcPr>
          <w:p w14:paraId="35D8674A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183</w:t>
            </w:r>
          </w:p>
        </w:tc>
      </w:tr>
      <w:tr w:rsidR="003771B9" w:rsidRPr="003771B9" w14:paraId="323BA33B" w14:textId="77777777" w:rsidTr="009004EA">
        <w:trPr>
          <w:trHeight w:val="181"/>
        </w:trPr>
        <w:tc>
          <w:tcPr>
            <w:tcW w:w="1606" w:type="dxa"/>
            <w:vAlign w:val="center"/>
          </w:tcPr>
          <w:p w14:paraId="62CDCCA1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8</w:t>
            </w:r>
          </w:p>
        </w:tc>
        <w:tc>
          <w:tcPr>
            <w:tcW w:w="4915" w:type="dxa"/>
            <w:vAlign w:val="center"/>
          </w:tcPr>
          <w:p w14:paraId="0C302BFC" w14:textId="77777777" w:rsidR="003771B9" w:rsidRPr="003771B9" w:rsidRDefault="003771B9" w:rsidP="00D26C7C">
            <w:pPr>
              <w:pStyle w:val="af0"/>
            </w:pPr>
            <w:r w:rsidRPr="003771B9">
              <w:t>Бразилия</w:t>
            </w:r>
          </w:p>
        </w:tc>
        <w:tc>
          <w:tcPr>
            <w:tcW w:w="3118" w:type="dxa"/>
            <w:vAlign w:val="center"/>
          </w:tcPr>
          <w:p w14:paraId="2F1420D0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146</w:t>
            </w:r>
          </w:p>
        </w:tc>
      </w:tr>
      <w:tr w:rsidR="003771B9" w:rsidRPr="003771B9" w14:paraId="6ABA6316" w14:textId="77777777" w:rsidTr="009004EA">
        <w:trPr>
          <w:trHeight w:val="188"/>
        </w:trPr>
        <w:tc>
          <w:tcPr>
            <w:tcW w:w="1606" w:type="dxa"/>
            <w:vAlign w:val="center"/>
          </w:tcPr>
          <w:p w14:paraId="34F1D5D7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lastRenderedPageBreak/>
              <w:t>9</w:t>
            </w:r>
          </w:p>
        </w:tc>
        <w:tc>
          <w:tcPr>
            <w:tcW w:w="4915" w:type="dxa"/>
            <w:vAlign w:val="center"/>
          </w:tcPr>
          <w:p w14:paraId="3CA576EB" w14:textId="77777777" w:rsidR="003771B9" w:rsidRPr="003771B9" w:rsidRDefault="003771B9" w:rsidP="00D26C7C">
            <w:pPr>
              <w:pStyle w:val="af0"/>
            </w:pPr>
            <w:r w:rsidRPr="003771B9">
              <w:t>Кувейт</w:t>
            </w:r>
          </w:p>
        </w:tc>
        <w:tc>
          <w:tcPr>
            <w:tcW w:w="3118" w:type="dxa"/>
            <w:vAlign w:val="center"/>
          </w:tcPr>
          <w:p w14:paraId="32CFD8BC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144</w:t>
            </w:r>
          </w:p>
        </w:tc>
      </w:tr>
      <w:tr w:rsidR="003771B9" w:rsidRPr="003771B9" w14:paraId="1065AA11" w14:textId="77777777" w:rsidTr="009004EA">
        <w:trPr>
          <w:trHeight w:val="188"/>
        </w:trPr>
        <w:tc>
          <w:tcPr>
            <w:tcW w:w="1606" w:type="dxa"/>
            <w:vAlign w:val="center"/>
          </w:tcPr>
          <w:p w14:paraId="0B782514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10</w:t>
            </w:r>
          </w:p>
        </w:tc>
        <w:tc>
          <w:tcPr>
            <w:tcW w:w="4915" w:type="dxa"/>
            <w:vAlign w:val="center"/>
          </w:tcPr>
          <w:p w14:paraId="1B331AD4" w14:textId="77777777" w:rsidR="003771B9" w:rsidRPr="003771B9" w:rsidRDefault="003771B9" w:rsidP="00D26C7C">
            <w:pPr>
              <w:pStyle w:val="af0"/>
            </w:pPr>
            <w:r w:rsidRPr="003771B9">
              <w:t>Иран</w:t>
            </w:r>
          </w:p>
        </w:tc>
        <w:tc>
          <w:tcPr>
            <w:tcW w:w="3118" w:type="dxa"/>
            <w:vAlign w:val="center"/>
          </w:tcPr>
          <w:p w14:paraId="1298F117" w14:textId="77777777" w:rsidR="003771B9" w:rsidRPr="003771B9" w:rsidRDefault="003771B9" w:rsidP="00D26C7C">
            <w:pPr>
              <w:pStyle w:val="af0"/>
              <w:jc w:val="center"/>
            </w:pPr>
            <w:r w:rsidRPr="003771B9">
              <w:t>137</w:t>
            </w:r>
          </w:p>
        </w:tc>
      </w:tr>
      <w:tr w:rsidR="009004EA" w:rsidRPr="003771B9" w14:paraId="0EA438E9" w14:textId="77777777" w:rsidTr="009004EA">
        <w:trPr>
          <w:trHeight w:val="188"/>
        </w:trPr>
        <w:tc>
          <w:tcPr>
            <w:tcW w:w="6521" w:type="dxa"/>
            <w:gridSpan w:val="2"/>
            <w:vAlign w:val="center"/>
          </w:tcPr>
          <w:p w14:paraId="593A43A3" w14:textId="4181CE2C" w:rsidR="009004EA" w:rsidRPr="003771B9" w:rsidRDefault="009004EA" w:rsidP="009004EA">
            <w:pPr>
              <w:pStyle w:val="af0"/>
              <w:jc w:val="right"/>
            </w:pPr>
            <w:r>
              <w:t>Итого:</w:t>
            </w:r>
          </w:p>
        </w:tc>
        <w:tc>
          <w:tcPr>
            <w:tcW w:w="3118" w:type="dxa"/>
            <w:vAlign w:val="center"/>
          </w:tcPr>
          <w:p w14:paraId="2B419956" w14:textId="512345CD" w:rsidR="009004EA" w:rsidRPr="003771B9" w:rsidRDefault="009004EA" w:rsidP="00D26C7C">
            <w:pPr>
              <w:pStyle w:val="af0"/>
              <w:jc w:val="center"/>
            </w:pPr>
            <w:r>
              <w:t>3155</w:t>
            </w:r>
          </w:p>
        </w:tc>
      </w:tr>
      <w:tr w:rsidR="009004EA" w:rsidRPr="003771B9" w14:paraId="25AC6DF8" w14:textId="77777777" w:rsidTr="009004EA">
        <w:trPr>
          <w:trHeight w:val="188"/>
        </w:trPr>
        <w:tc>
          <w:tcPr>
            <w:tcW w:w="6521" w:type="dxa"/>
            <w:gridSpan w:val="2"/>
            <w:vAlign w:val="center"/>
          </w:tcPr>
          <w:p w14:paraId="30D18DE2" w14:textId="6C03C303" w:rsidR="009004EA" w:rsidRPr="003771B9" w:rsidRDefault="009004EA" w:rsidP="009004EA">
            <w:pPr>
              <w:pStyle w:val="af0"/>
              <w:jc w:val="right"/>
            </w:pPr>
            <w:r>
              <w:t>Среднее:</w:t>
            </w:r>
          </w:p>
        </w:tc>
        <w:tc>
          <w:tcPr>
            <w:tcW w:w="3118" w:type="dxa"/>
            <w:vAlign w:val="center"/>
          </w:tcPr>
          <w:p w14:paraId="723CE865" w14:textId="5139AE66" w:rsidR="009004EA" w:rsidRPr="003771B9" w:rsidRDefault="009004EA" w:rsidP="00D26C7C">
            <w:pPr>
              <w:pStyle w:val="af0"/>
              <w:jc w:val="center"/>
            </w:pPr>
            <w:r>
              <w:t>315,5</w:t>
            </w:r>
          </w:p>
        </w:tc>
      </w:tr>
      <w:tr w:rsidR="005246A2" w:rsidRPr="003771B9" w14:paraId="35FA8048" w14:textId="77777777" w:rsidTr="009004EA">
        <w:trPr>
          <w:trHeight w:val="188"/>
        </w:trPr>
        <w:tc>
          <w:tcPr>
            <w:tcW w:w="9639" w:type="dxa"/>
            <w:gridSpan w:val="3"/>
            <w:vAlign w:val="center"/>
          </w:tcPr>
          <w:p w14:paraId="1701AA99" w14:textId="546D5EA5" w:rsidR="005246A2" w:rsidRPr="003771B9" w:rsidRDefault="005246A2" w:rsidP="005246A2">
            <w:pPr>
              <w:pStyle w:val="af0"/>
            </w:pPr>
            <w:r w:rsidRPr="00990747">
              <w:t xml:space="preserve">Источник: составлено автором </w:t>
            </w:r>
            <w:r>
              <w:t>по данным</w:t>
            </w:r>
          </w:p>
        </w:tc>
      </w:tr>
    </w:tbl>
    <w:p w14:paraId="4590D252" w14:textId="77777777" w:rsidR="008B7272" w:rsidRDefault="008B7272" w:rsidP="009A31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BDDC52A" w14:textId="5380FD77" w:rsidR="005246A2" w:rsidRPr="00F039F8" w:rsidRDefault="00710494" w:rsidP="005246A2">
      <w:pPr>
        <w:pStyle w:val="af0"/>
        <w:ind w:firstLine="708"/>
        <w:jc w:val="both"/>
        <w:rPr>
          <w:sz w:val="24"/>
        </w:rPr>
      </w:pPr>
      <w:r>
        <w:rPr>
          <w:sz w:val="24"/>
        </w:rPr>
        <w:t>В период с</w:t>
      </w:r>
      <w:r w:rsidR="005246A2" w:rsidRPr="00F039F8">
        <w:rPr>
          <w:sz w:val="24"/>
        </w:rPr>
        <w:t xml:space="preserve"> 2012 по 2020 год в России увеличилась добыча нефти с газов</w:t>
      </w:r>
      <w:r w:rsidR="007B0771">
        <w:rPr>
          <w:sz w:val="24"/>
        </w:rPr>
        <w:t>ым</w:t>
      </w:r>
      <w:r w:rsidR="005246A2" w:rsidRPr="00F039F8">
        <w:rPr>
          <w:sz w:val="24"/>
        </w:rPr>
        <w:t xml:space="preserve"> конденсат</w:t>
      </w:r>
      <w:r w:rsidR="007B0771">
        <w:rPr>
          <w:sz w:val="24"/>
        </w:rPr>
        <w:t>ом</w:t>
      </w:r>
      <w:r w:rsidR="005246A2" w:rsidRPr="00F039F8">
        <w:rPr>
          <w:sz w:val="24"/>
        </w:rPr>
        <w:t>, а средний темп рост</w:t>
      </w:r>
      <w:r w:rsidR="007B0771">
        <w:rPr>
          <w:sz w:val="24"/>
        </w:rPr>
        <w:t>а</w:t>
      </w:r>
      <w:r w:rsidR="005246A2" w:rsidRPr="00F039F8">
        <w:rPr>
          <w:sz w:val="24"/>
        </w:rPr>
        <w:t xml:space="preserve"> составлял 1,2%. </w:t>
      </w:r>
      <w:r w:rsidR="007B0771">
        <w:rPr>
          <w:sz w:val="24"/>
        </w:rPr>
        <w:t>В</w:t>
      </w:r>
      <w:r w:rsidR="005246A2" w:rsidRPr="00F039F8">
        <w:rPr>
          <w:sz w:val="24"/>
        </w:rPr>
        <w:t xml:space="preserve"> связи с </w:t>
      </w:r>
      <w:r>
        <w:rPr>
          <w:sz w:val="24"/>
        </w:rPr>
        <w:t>пандемией</w:t>
      </w:r>
      <w:r w:rsidR="005246A2" w:rsidRPr="00F039F8">
        <w:rPr>
          <w:sz w:val="24"/>
        </w:rPr>
        <w:t xml:space="preserve"> коронавируса добыча </w:t>
      </w:r>
      <w:r>
        <w:rPr>
          <w:sz w:val="24"/>
        </w:rPr>
        <w:t xml:space="preserve">нефти </w:t>
      </w:r>
      <w:r w:rsidR="005246A2" w:rsidRPr="00F039F8">
        <w:rPr>
          <w:sz w:val="24"/>
        </w:rPr>
        <w:t>в 2020 году сократилась на 8,5% к уровню 2019 года и составила 512,7 млн. тонн, что является наименьшим показателем за исследуемый период и сравнимо с уровнем 2012 года</w:t>
      </w:r>
      <w:r w:rsidR="00323392">
        <w:rPr>
          <w:sz w:val="24"/>
        </w:rPr>
        <w:t xml:space="preserve"> (</w:t>
      </w:r>
      <w:r w:rsidR="007B0771">
        <w:rPr>
          <w:sz w:val="24"/>
        </w:rPr>
        <w:t>рис. 1</w:t>
      </w:r>
      <w:r w:rsidR="00323392">
        <w:rPr>
          <w:sz w:val="24"/>
        </w:rPr>
        <w:t>).</w:t>
      </w:r>
    </w:p>
    <w:p w14:paraId="55E1A41D" w14:textId="77777777" w:rsidR="005246A2" w:rsidRPr="00990747" w:rsidRDefault="005246A2" w:rsidP="005246A2">
      <w:pPr>
        <w:pStyle w:val="af0"/>
        <w:spacing w:line="360" w:lineRule="auto"/>
        <w:jc w:val="center"/>
        <w:rPr>
          <w:sz w:val="28"/>
        </w:rPr>
      </w:pPr>
      <w:r w:rsidRPr="00990747">
        <w:rPr>
          <w:noProof/>
        </w:rPr>
        <w:drawing>
          <wp:inline distT="0" distB="0" distL="0" distR="0" wp14:anchorId="79910A3D" wp14:editId="74AE7B8A">
            <wp:extent cx="6120000" cy="2160000"/>
            <wp:effectExtent l="0" t="0" r="0" b="0"/>
            <wp:docPr id="8" name="Диаграмма 8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6D4EA1B7" w14:textId="77777777" w:rsidR="00323392" w:rsidRDefault="005246A2" w:rsidP="005246A2">
      <w:pPr>
        <w:pStyle w:val="af0"/>
        <w:jc w:val="center"/>
        <w:rPr>
          <w:sz w:val="24"/>
          <w:szCs w:val="24"/>
        </w:rPr>
      </w:pPr>
      <w:r w:rsidRPr="00990747">
        <w:rPr>
          <w:sz w:val="24"/>
          <w:szCs w:val="24"/>
        </w:rPr>
        <w:t xml:space="preserve">Рисунок </w:t>
      </w:r>
      <w:r>
        <w:rPr>
          <w:sz w:val="24"/>
          <w:szCs w:val="24"/>
        </w:rPr>
        <w:t>1.</w:t>
      </w:r>
      <w:r w:rsidRPr="00990747">
        <w:rPr>
          <w:sz w:val="24"/>
          <w:szCs w:val="24"/>
        </w:rPr>
        <w:t xml:space="preserve"> Добыча нефти с газовым конденсатом </w:t>
      </w:r>
      <w:r w:rsidR="00323392" w:rsidRPr="00990747">
        <w:rPr>
          <w:sz w:val="24"/>
          <w:szCs w:val="24"/>
        </w:rPr>
        <w:t xml:space="preserve">в России </w:t>
      </w:r>
      <w:r w:rsidR="00323392">
        <w:rPr>
          <w:sz w:val="24"/>
          <w:szCs w:val="24"/>
        </w:rPr>
        <w:t xml:space="preserve">в период </w:t>
      </w:r>
    </w:p>
    <w:p w14:paraId="5F20B5BE" w14:textId="738F5D53" w:rsidR="005246A2" w:rsidRPr="00990747" w:rsidRDefault="005246A2" w:rsidP="005246A2">
      <w:pPr>
        <w:pStyle w:val="af0"/>
        <w:jc w:val="center"/>
        <w:rPr>
          <w:sz w:val="24"/>
          <w:szCs w:val="24"/>
        </w:rPr>
      </w:pPr>
      <w:r w:rsidRPr="00990747">
        <w:rPr>
          <w:sz w:val="24"/>
          <w:szCs w:val="24"/>
        </w:rPr>
        <w:t>с 2012 по 2020 год, в млн. тонн</w:t>
      </w:r>
    </w:p>
    <w:p w14:paraId="04E9216E" w14:textId="77777777" w:rsidR="005246A2" w:rsidRPr="008D01B8" w:rsidRDefault="005246A2" w:rsidP="005246A2">
      <w:pPr>
        <w:pStyle w:val="af0"/>
        <w:jc w:val="both"/>
        <w:rPr>
          <w:szCs w:val="24"/>
        </w:rPr>
      </w:pPr>
      <w:r w:rsidRPr="008D01B8">
        <w:rPr>
          <w:szCs w:val="24"/>
        </w:rPr>
        <w:t>Источник: составлено автором по данным Минэнерго</w:t>
      </w:r>
      <w:r w:rsidRPr="008D01B8">
        <w:rPr>
          <w:rStyle w:val="af"/>
          <w:szCs w:val="24"/>
        </w:rPr>
        <w:footnoteReference w:id="2"/>
      </w:r>
    </w:p>
    <w:p w14:paraId="7EB41F8C" w14:textId="77777777" w:rsidR="005246A2" w:rsidRPr="00323392" w:rsidRDefault="005246A2" w:rsidP="005246A2">
      <w:pPr>
        <w:pStyle w:val="af0"/>
        <w:ind w:firstLine="708"/>
        <w:jc w:val="both"/>
        <w:rPr>
          <w:iCs/>
          <w:sz w:val="24"/>
          <w:szCs w:val="28"/>
        </w:rPr>
      </w:pPr>
    </w:p>
    <w:p w14:paraId="5F2B2C9A" w14:textId="69E0D7C5" w:rsidR="005246A2" w:rsidRDefault="005246A2" w:rsidP="00323392">
      <w:pPr>
        <w:pStyle w:val="af0"/>
        <w:ind w:firstLine="708"/>
        <w:jc w:val="both"/>
        <w:rPr>
          <w:i/>
          <w:iCs/>
          <w:sz w:val="24"/>
          <w:szCs w:val="28"/>
        </w:rPr>
      </w:pPr>
      <w:r w:rsidRPr="00323392">
        <w:rPr>
          <w:iCs/>
          <w:sz w:val="24"/>
          <w:szCs w:val="28"/>
        </w:rPr>
        <w:t xml:space="preserve">Основное сокращение добычи нефти пришлось на </w:t>
      </w:r>
      <w:r w:rsidR="00584AE6">
        <w:rPr>
          <w:iCs/>
          <w:sz w:val="24"/>
          <w:szCs w:val="28"/>
        </w:rPr>
        <w:t xml:space="preserve">период с апреля по </w:t>
      </w:r>
      <w:r w:rsidRPr="00323392">
        <w:rPr>
          <w:iCs/>
          <w:sz w:val="24"/>
          <w:szCs w:val="28"/>
        </w:rPr>
        <w:t>май 2020 года. Объем добычи сократился на 14,4% или на 6,67 млн. тонн в абсолютном выражении</w:t>
      </w:r>
      <w:r w:rsidR="00584AE6">
        <w:rPr>
          <w:iCs/>
          <w:sz w:val="24"/>
          <w:szCs w:val="28"/>
        </w:rPr>
        <w:t>. Начиная с июля объем добываемой нефти с газовым конденсатом начал расти, однако к концу года так и достиг уровня января (рис. 2).</w:t>
      </w:r>
    </w:p>
    <w:p w14:paraId="44EF7799" w14:textId="03D9B286" w:rsidR="00584AE6" w:rsidRDefault="00584AE6" w:rsidP="00584AE6">
      <w:pPr>
        <w:pStyle w:val="af0"/>
        <w:jc w:val="both"/>
        <w:rPr>
          <w:i/>
          <w:iCs/>
          <w:sz w:val="24"/>
          <w:szCs w:val="28"/>
        </w:rPr>
      </w:pPr>
      <w:r>
        <w:rPr>
          <w:noProof/>
        </w:rPr>
        <w:drawing>
          <wp:inline distT="0" distB="0" distL="0" distR="0" wp14:anchorId="51A25F7F" wp14:editId="2054C81F">
            <wp:extent cx="6120000" cy="21600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2FB411EB" w14:textId="77777777" w:rsidR="009004EA" w:rsidRDefault="005246A2" w:rsidP="009004EA">
      <w:pPr>
        <w:pStyle w:val="af0"/>
        <w:jc w:val="center"/>
        <w:rPr>
          <w:sz w:val="24"/>
          <w:szCs w:val="18"/>
        </w:rPr>
      </w:pPr>
      <w:r w:rsidRPr="00990747">
        <w:rPr>
          <w:sz w:val="24"/>
          <w:szCs w:val="18"/>
        </w:rPr>
        <w:t>Рисунок 2.</w:t>
      </w:r>
      <w:r w:rsidR="000E3413">
        <w:rPr>
          <w:sz w:val="24"/>
          <w:szCs w:val="18"/>
        </w:rPr>
        <w:t xml:space="preserve"> </w:t>
      </w:r>
      <w:r w:rsidRPr="00990747">
        <w:rPr>
          <w:sz w:val="24"/>
          <w:szCs w:val="18"/>
        </w:rPr>
        <w:t>Добыча нефти с газовым конденсатом в России</w:t>
      </w:r>
      <w:r w:rsidR="009004EA">
        <w:rPr>
          <w:sz w:val="24"/>
          <w:szCs w:val="18"/>
        </w:rPr>
        <w:t xml:space="preserve"> в период </w:t>
      </w:r>
    </w:p>
    <w:p w14:paraId="5EB4B018" w14:textId="2A203B97" w:rsidR="000E3413" w:rsidRDefault="009004EA" w:rsidP="009004EA">
      <w:pPr>
        <w:pStyle w:val="af0"/>
        <w:jc w:val="center"/>
        <w:rPr>
          <w:sz w:val="24"/>
          <w:szCs w:val="18"/>
        </w:rPr>
      </w:pPr>
      <w:r>
        <w:rPr>
          <w:sz w:val="24"/>
          <w:szCs w:val="18"/>
        </w:rPr>
        <w:t>с января по декабрь 2020 года</w:t>
      </w:r>
      <w:r w:rsidR="005246A2" w:rsidRPr="00990747">
        <w:rPr>
          <w:sz w:val="24"/>
          <w:szCs w:val="18"/>
        </w:rPr>
        <w:t xml:space="preserve">, в </w:t>
      </w:r>
      <w:r w:rsidR="005246A2">
        <w:rPr>
          <w:sz w:val="24"/>
          <w:szCs w:val="18"/>
        </w:rPr>
        <w:t>тыс</w:t>
      </w:r>
      <w:r w:rsidR="005246A2" w:rsidRPr="00990747">
        <w:rPr>
          <w:sz w:val="24"/>
          <w:szCs w:val="18"/>
        </w:rPr>
        <w:t>. тонн</w:t>
      </w:r>
    </w:p>
    <w:p w14:paraId="1688953A" w14:textId="77777777" w:rsidR="00710494" w:rsidRDefault="00710494" w:rsidP="005C3D1C">
      <w:pPr>
        <w:pStyle w:val="af0"/>
        <w:jc w:val="both"/>
        <w:rPr>
          <w:sz w:val="24"/>
        </w:rPr>
      </w:pPr>
    </w:p>
    <w:p w14:paraId="1A1389FD" w14:textId="7DF5BCA9" w:rsidR="00710494" w:rsidRDefault="00710494" w:rsidP="00710494">
      <w:pPr>
        <w:pStyle w:val="af0"/>
        <w:ind w:firstLine="708"/>
        <w:jc w:val="both"/>
        <w:rPr>
          <w:sz w:val="24"/>
        </w:rPr>
      </w:pPr>
      <w:r>
        <w:rPr>
          <w:sz w:val="24"/>
        </w:rPr>
        <w:t>Что касается первичной переработки нефти, то в 2020 году она сократилась на 15 млн. тон</w:t>
      </w:r>
      <w:r w:rsidR="005C3D1C">
        <w:rPr>
          <w:sz w:val="24"/>
        </w:rPr>
        <w:t xml:space="preserve"> или на 5,3%. Отметим, что благодаря плановой модернизации нефтеперерабатывающих заводов, глубина переработки нефти имела высокие показатели в период с 2014 по 2019 год, и основной причиной её сокращения стала сокращение добычи (рис. 3).</w:t>
      </w:r>
    </w:p>
    <w:p w14:paraId="613CF2AB" w14:textId="77777777" w:rsidR="005246A2" w:rsidRPr="00990747" w:rsidRDefault="005246A2" w:rsidP="005246A2">
      <w:pPr>
        <w:pStyle w:val="af0"/>
        <w:spacing w:line="360" w:lineRule="auto"/>
        <w:jc w:val="center"/>
        <w:rPr>
          <w:sz w:val="24"/>
          <w:szCs w:val="24"/>
        </w:rPr>
      </w:pPr>
      <w:r w:rsidRPr="00990747">
        <w:rPr>
          <w:noProof/>
        </w:rPr>
        <w:lastRenderedPageBreak/>
        <w:drawing>
          <wp:inline distT="0" distB="0" distL="0" distR="0" wp14:anchorId="2FD191ED" wp14:editId="664CE7CC">
            <wp:extent cx="6120000" cy="2160000"/>
            <wp:effectExtent l="0" t="0" r="0" b="0"/>
            <wp:docPr id="11" name="Диаграмма 1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a16="http://schemas.microsoft.com/office/drawing/2014/main" id="{00000000-0008-0000-0000-000006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1C950295" w14:textId="0D8ECB46" w:rsidR="00236A4B" w:rsidRDefault="005246A2" w:rsidP="005246A2">
      <w:pPr>
        <w:pStyle w:val="af0"/>
        <w:jc w:val="center"/>
        <w:rPr>
          <w:sz w:val="24"/>
          <w:szCs w:val="24"/>
        </w:rPr>
      </w:pPr>
      <w:r w:rsidRPr="00990747">
        <w:rPr>
          <w:sz w:val="24"/>
          <w:szCs w:val="24"/>
        </w:rPr>
        <w:t xml:space="preserve">Рисунок </w:t>
      </w:r>
      <w:r w:rsidR="008A0448">
        <w:rPr>
          <w:sz w:val="24"/>
          <w:szCs w:val="24"/>
        </w:rPr>
        <w:t>3</w:t>
      </w:r>
      <w:r w:rsidRPr="00990747">
        <w:rPr>
          <w:sz w:val="24"/>
          <w:szCs w:val="24"/>
        </w:rPr>
        <w:t>.</w:t>
      </w:r>
      <w:r w:rsidR="00236A4B">
        <w:rPr>
          <w:sz w:val="24"/>
          <w:szCs w:val="24"/>
        </w:rPr>
        <w:t xml:space="preserve"> </w:t>
      </w:r>
      <w:r w:rsidRPr="00990747">
        <w:rPr>
          <w:sz w:val="24"/>
          <w:szCs w:val="24"/>
        </w:rPr>
        <w:t xml:space="preserve">Первичная переработка нефти на НПЗ в России </w:t>
      </w:r>
    </w:p>
    <w:p w14:paraId="13C5449F" w14:textId="4F955A83" w:rsidR="005246A2" w:rsidRPr="00990747" w:rsidRDefault="005246A2" w:rsidP="005246A2">
      <w:pPr>
        <w:pStyle w:val="af0"/>
        <w:jc w:val="center"/>
        <w:rPr>
          <w:sz w:val="24"/>
          <w:szCs w:val="24"/>
        </w:rPr>
      </w:pPr>
      <w:r w:rsidRPr="00990747">
        <w:rPr>
          <w:sz w:val="24"/>
          <w:szCs w:val="24"/>
        </w:rPr>
        <w:t>с 2012 по 2020 год, в млн. тонн</w:t>
      </w:r>
    </w:p>
    <w:p w14:paraId="11E633E6" w14:textId="333B4375" w:rsidR="005246A2" w:rsidRPr="00236A4B" w:rsidRDefault="005246A2" w:rsidP="005246A2">
      <w:pPr>
        <w:pStyle w:val="af0"/>
        <w:jc w:val="both"/>
        <w:rPr>
          <w:szCs w:val="24"/>
        </w:rPr>
      </w:pPr>
      <w:r w:rsidRPr="00236A4B">
        <w:rPr>
          <w:szCs w:val="24"/>
        </w:rPr>
        <w:t>Источник: составлено автором по данным</w:t>
      </w:r>
      <w:r w:rsidR="008A0448">
        <w:rPr>
          <w:szCs w:val="24"/>
        </w:rPr>
        <w:t xml:space="preserve"> сайта </w:t>
      </w:r>
      <w:r w:rsidR="008A0448">
        <w:rPr>
          <w:szCs w:val="24"/>
          <w:lang w:val="en-US"/>
        </w:rPr>
        <w:t>neftegaz</w:t>
      </w:r>
      <w:r w:rsidR="008A0448" w:rsidRPr="008A0448">
        <w:rPr>
          <w:szCs w:val="24"/>
        </w:rPr>
        <w:t>.</w:t>
      </w:r>
      <w:r w:rsidR="008A0448">
        <w:rPr>
          <w:szCs w:val="24"/>
          <w:lang w:val="en-US"/>
        </w:rPr>
        <w:t>ru</w:t>
      </w:r>
      <w:r w:rsidR="008A0448">
        <w:rPr>
          <w:rStyle w:val="af"/>
          <w:szCs w:val="24"/>
        </w:rPr>
        <w:footnoteReference w:id="3"/>
      </w:r>
    </w:p>
    <w:p w14:paraId="4761B181" w14:textId="77777777" w:rsidR="005246A2" w:rsidRPr="00990747" w:rsidRDefault="005246A2" w:rsidP="00323392">
      <w:pPr>
        <w:pStyle w:val="af0"/>
        <w:jc w:val="center"/>
        <w:rPr>
          <w:sz w:val="24"/>
          <w:szCs w:val="24"/>
        </w:rPr>
      </w:pPr>
    </w:p>
    <w:p w14:paraId="13ADC457" w14:textId="1464CC71" w:rsidR="005246A2" w:rsidRPr="00990747" w:rsidRDefault="003F1A35" w:rsidP="005D5066">
      <w:pPr>
        <w:pStyle w:val="af0"/>
        <w:ind w:firstLine="709"/>
        <w:jc w:val="both"/>
        <w:rPr>
          <w:sz w:val="28"/>
          <w:szCs w:val="24"/>
        </w:rPr>
      </w:pPr>
      <w:r>
        <w:rPr>
          <w:sz w:val="24"/>
          <w:szCs w:val="24"/>
        </w:rPr>
        <w:t xml:space="preserve">Важным компонентом роста российской экономики безусловно являются цены на нефть. </w:t>
      </w:r>
      <w:r w:rsidR="005246A2" w:rsidRPr="00323392">
        <w:rPr>
          <w:sz w:val="24"/>
          <w:szCs w:val="24"/>
        </w:rPr>
        <w:t xml:space="preserve">Марка </w:t>
      </w:r>
      <w:r w:rsidR="00323392">
        <w:rPr>
          <w:sz w:val="24"/>
          <w:szCs w:val="24"/>
        </w:rPr>
        <w:t xml:space="preserve">нефти </w:t>
      </w:r>
      <w:r w:rsidR="005246A2" w:rsidRPr="00323392">
        <w:rPr>
          <w:sz w:val="24"/>
          <w:szCs w:val="24"/>
          <w:lang w:val="en-US"/>
        </w:rPr>
        <w:t>U</w:t>
      </w:r>
      <w:proofErr w:type="spellStart"/>
      <w:r w:rsidR="005246A2" w:rsidRPr="00323392">
        <w:rPr>
          <w:sz w:val="24"/>
          <w:szCs w:val="24"/>
        </w:rPr>
        <w:t>rals</w:t>
      </w:r>
      <w:proofErr w:type="spellEnd"/>
      <w:r w:rsidR="005246A2" w:rsidRPr="00323392">
        <w:rPr>
          <w:sz w:val="24"/>
          <w:szCs w:val="24"/>
        </w:rPr>
        <w:t xml:space="preserve"> представляет из себя российскую экспортную нефтяную смесь, которую добывают в Ханты-мансийском и Ямало-ненецком автономных округах, а также в республике Башкортостан, Татарстан и Самарской области. Её цена напрямую зависит от котировок эталонной марки </w:t>
      </w:r>
      <w:proofErr w:type="spellStart"/>
      <w:r w:rsidR="005246A2" w:rsidRPr="00323392">
        <w:rPr>
          <w:sz w:val="24"/>
          <w:szCs w:val="24"/>
        </w:rPr>
        <w:t>Brent</w:t>
      </w:r>
      <w:proofErr w:type="spellEnd"/>
      <w:r w:rsidR="005246A2" w:rsidRPr="00323392">
        <w:rPr>
          <w:sz w:val="24"/>
          <w:szCs w:val="24"/>
        </w:rPr>
        <w:t xml:space="preserve"> добываемой в Северном море. Ключевыми производителем </w:t>
      </w:r>
      <w:r w:rsidR="005246A2" w:rsidRPr="00323392">
        <w:rPr>
          <w:sz w:val="24"/>
          <w:szCs w:val="24"/>
          <w:lang w:val="en-US"/>
        </w:rPr>
        <w:t>Urals</w:t>
      </w:r>
      <w:r w:rsidR="005246A2" w:rsidRPr="00323392">
        <w:rPr>
          <w:sz w:val="24"/>
          <w:szCs w:val="24"/>
        </w:rPr>
        <w:t xml:space="preserve"> являются Газпром, Лукойл, Роснефть, Татнефть, Сургутнефтегаз и </w:t>
      </w:r>
      <w:proofErr w:type="spellStart"/>
      <w:r w:rsidR="005246A2" w:rsidRPr="00323392">
        <w:rPr>
          <w:sz w:val="24"/>
          <w:szCs w:val="24"/>
        </w:rPr>
        <w:t>Башнефть</w:t>
      </w:r>
      <w:proofErr w:type="spellEnd"/>
      <w:r w:rsidR="005D5066">
        <w:rPr>
          <w:sz w:val="24"/>
          <w:szCs w:val="24"/>
        </w:rPr>
        <w:t xml:space="preserve">. </w:t>
      </w:r>
      <w:r w:rsidR="005246A2" w:rsidRPr="00323392">
        <w:rPr>
          <w:sz w:val="24"/>
        </w:rPr>
        <w:t xml:space="preserve">Примечательно, что 20 апреля 2020 года котировки </w:t>
      </w:r>
      <w:proofErr w:type="spellStart"/>
      <w:r w:rsidR="005246A2" w:rsidRPr="00323392">
        <w:rPr>
          <w:sz w:val="24"/>
        </w:rPr>
        <w:t>Urals</w:t>
      </w:r>
      <w:proofErr w:type="spellEnd"/>
      <w:r w:rsidR="005246A2" w:rsidRPr="00323392">
        <w:rPr>
          <w:sz w:val="24"/>
        </w:rPr>
        <w:t xml:space="preserve"> в ходе торгов рухнули до отрицательных значений (</w:t>
      </w:r>
      <w:r>
        <w:rPr>
          <w:sz w:val="24"/>
        </w:rPr>
        <w:t>–</w:t>
      </w:r>
      <w:r w:rsidR="005246A2" w:rsidRPr="00323392">
        <w:rPr>
          <w:sz w:val="24"/>
        </w:rPr>
        <w:t>2 USD за баррель). Это – абсолютный минимум за всю историю</w:t>
      </w:r>
      <w:r>
        <w:rPr>
          <w:sz w:val="24"/>
        </w:rPr>
        <w:t>. Данная ситуация привела к тому</w:t>
      </w:r>
      <w:r w:rsidR="007234D0">
        <w:rPr>
          <w:sz w:val="24"/>
        </w:rPr>
        <w:t>, ч</w:t>
      </w:r>
      <w:r>
        <w:rPr>
          <w:sz w:val="24"/>
        </w:rPr>
        <w:t>то средний курс доллара США к рублю в 2020 году был максимальным за последние 9 лет</w:t>
      </w:r>
      <w:r w:rsidR="005D5066">
        <w:rPr>
          <w:sz w:val="24"/>
        </w:rPr>
        <w:t xml:space="preserve"> (рис. </w:t>
      </w:r>
      <w:r w:rsidR="008A0448">
        <w:rPr>
          <w:sz w:val="24"/>
        </w:rPr>
        <w:t>4</w:t>
      </w:r>
      <w:r w:rsidR="005D5066">
        <w:rPr>
          <w:sz w:val="24"/>
        </w:rPr>
        <w:t>).</w:t>
      </w:r>
    </w:p>
    <w:p w14:paraId="0C51FBB9" w14:textId="77777777" w:rsidR="005246A2" w:rsidRDefault="005246A2" w:rsidP="005246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747">
        <w:rPr>
          <w:noProof/>
          <w:lang w:eastAsia="ru-RU"/>
        </w:rPr>
        <w:drawing>
          <wp:inline distT="0" distB="0" distL="0" distR="0" wp14:anchorId="18097A53" wp14:editId="253426BE">
            <wp:extent cx="6120000" cy="2160000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5DB0D165" w14:textId="79D9319E" w:rsidR="009925F1" w:rsidRDefault="009925F1" w:rsidP="009925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8A044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Динамика средних значений цены на нефть и курса доллара </w:t>
      </w:r>
    </w:p>
    <w:p w14:paraId="4032B1F0" w14:textId="635DEC73" w:rsidR="005246A2" w:rsidRDefault="009925F1" w:rsidP="009925F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с 2012 по 2020 год</w:t>
      </w:r>
    </w:p>
    <w:p w14:paraId="73E113D5" w14:textId="1FA3AC05" w:rsidR="005246A2" w:rsidRPr="009925F1" w:rsidRDefault="009925F1" w:rsidP="005246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9925F1">
        <w:rPr>
          <w:rFonts w:ascii="Times New Roman" w:hAnsi="Times New Roman" w:cs="Times New Roman"/>
          <w:sz w:val="20"/>
          <w:szCs w:val="20"/>
        </w:rPr>
        <w:t>Источник: составлено автором по данным</w:t>
      </w:r>
      <w:r w:rsidR="00C92384">
        <w:rPr>
          <w:rFonts w:ascii="Times New Roman" w:hAnsi="Times New Roman" w:cs="Times New Roman"/>
          <w:sz w:val="20"/>
          <w:szCs w:val="20"/>
        </w:rPr>
        <w:t xml:space="preserve"> сайтов </w:t>
      </w:r>
      <w:r w:rsidR="00C92384" w:rsidRPr="00C92384">
        <w:rPr>
          <w:rFonts w:ascii="Times New Roman" w:hAnsi="Times New Roman" w:cs="Times New Roman"/>
          <w:sz w:val="20"/>
          <w:szCs w:val="20"/>
        </w:rPr>
        <w:t>Global Finance</w:t>
      </w:r>
      <w:r w:rsidR="00C92384">
        <w:rPr>
          <w:rFonts w:ascii="Times New Roman" w:hAnsi="Times New Roman" w:cs="Times New Roman"/>
          <w:sz w:val="20"/>
          <w:szCs w:val="20"/>
        </w:rPr>
        <w:t>.</w:t>
      </w:r>
      <w:r w:rsidR="005D5066">
        <w:rPr>
          <w:rFonts w:ascii="Times New Roman" w:hAnsi="Times New Roman" w:cs="Times New Roman"/>
          <w:sz w:val="20"/>
          <w:szCs w:val="20"/>
          <w:lang w:val="en-US"/>
        </w:rPr>
        <w:t>ru</w:t>
      </w:r>
      <w:r w:rsidR="005D5066">
        <w:rPr>
          <w:rStyle w:val="af"/>
          <w:rFonts w:ascii="Times New Roman" w:hAnsi="Times New Roman" w:cs="Times New Roman"/>
          <w:sz w:val="20"/>
          <w:szCs w:val="20"/>
          <w:lang w:val="en-US"/>
        </w:rPr>
        <w:footnoteReference w:id="4"/>
      </w:r>
      <w:r w:rsidR="00C92384">
        <w:rPr>
          <w:rFonts w:ascii="Times New Roman" w:hAnsi="Times New Roman" w:cs="Times New Roman"/>
          <w:sz w:val="20"/>
          <w:szCs w:val="20"/>
        </w:rPr>
        <w:t>,</w:t>
      </w:r>
      <w:r w:rsidR="00010C85">
        <w:rPr>
          <w:rFonts w:ascii="Times New Roman" w:hAnsi="Times New Roman" w:cs="Times New Roman"/>
          <w:sz w:val="20"/>
          <w:szCs w:val="20"/>
        </w:rPr>
        <w:t xml:space="preserve"> </w:t>
      </w:r>
      <w:r w:rsidR="00010C85" w:rsidRPr="00010C85">
        <w:rPr>
          <w:rFonts w:ascii="Times New Roman" w:hAnsi="Times New Roman" w:cs="Times New Roman"/>
          <w:sz w:val="20"/>
          <w:szCs w:val="20"/>
        </w:rPr>
        <w:t>ratestats.com</w:t>
      </w:r>
      <w:r w:rsidRPr="009925F1">
        <w:rPr>
          <w:rStyle w:val="af"/>
          <w:rFonts w:ascii="Times New Roman" w:hAnsi="Times New Roman" w:cs="Times New Roman"/>
          <w:sz w:val="20"/>
          <w:szCs w:val="20"/>
        </w:rPr>
        <w:footnoteReference w:id="5"/>
      </w:r>
    </w:p>
    <w:p w14:paraId="1CC2D5CE" w14:textId="77777777" w:rsidR="005246A2" w:rsidRDefault="005246A2" w:rsidP="005246A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03C9B0" w14:textId="70139F9D" w:rsidR="007234D0" w:rsidRDefault="007234D0" w:rsidP="005246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 известно, цена на нефть и курс доллара находятся в обратно пропорциональной зависимости, то есть, чем дороже нефть, тем ниже курс доллара. Для бюджета Российской Федерации цена нефти ниже 3000 рублей за баррель является очень неприятным моментом</w:t>
      </w:r>
      <w:r>
        <w:rPr>
          <w:rStyle w:val="af"/>
          <w:rFonts w:ascii="Times New Roman" w:hAnsi="Times New Roman" w:cs="Times New Roman"/>
          <w:sz w:val="24"/>
          <w:szCs w:val="24"/>
        </w:rPr>
        <w:footnoteReference w:id="6"/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В связи с этим, чтобы компенсировать потери от низких цен на нефть ЦБ РФ устанавливает </w:t>
      </w:r>
      <w:r w:rsidR="000654AA">
        <w:rPr>
          <w:rFonts w:ascii="Times New Roman" w:hAnsi="Times New Roman" w:cs="Times New Roman"/>
          <w:sz w:val="24"/>
          <w:szCs w:val="24"/>
        </w:rPr>
        <w:t xml:space="preserve">высокий </w:t>
      </w:r>
      <w:r>
        <w:rPr>
          <w:rFonts w:ascii="Times New Roman" w:hAnsi="Times New Roman" w:cs="Times New Roman"/>
          <w:sz w:val="24"/>
          <w:szCs w:val="24"/>
        </w:rPr>
        <w:t>курс</w:t>
      </w:r>
      <w:r w:rsidR="000654AA">
        <w:rPr>
          <w:rFonts w:ascii="Times New Roman" w:hAnsi="Times New Roman" w:cs="Times New Roman"/>
          <w:sz w:val="24"/>
          <w:szCs w:val="24"/>
        </w:rPr>
        <w:t xml:space="preserve"> доллара, чтобы получить больше доходов в рублях. Слишком высокий курс доллара активно стимулирует импортозамещение в стране, в виду удорожания импортной продукции.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9F5D3A" w14:textId="195E899F" w:rsidR="008D01B8" w:rsidRDefault="005246A2" w:rsidP="005246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падение спроса на нефть</w:t>
      </w:r>
      <w:r w:rsidR="00010C8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в результате пандемии </w:t>
      </w:r>
      <w:r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Pr="005246A2">
        <w:rPr>
          <w:rFonts w:ascii="Times New Roman" w:hAnsi="Times New Roman" w:cs="Times New Roman"/>
          <w:sz w:val="24"/>
          <w:szCs w:val="24"/>
        </w:rPr>
        <w:t>-19</w:t>
      </w:r>
      <w:r w:rsidR="00010C85">
        <w:rPr>
          <w:rFonts w:ascii="Times New Roman" w:hAnsi="Times New Roman" w:cs="Times New Roman"/>
          <w:sz w:val="24"/>
          <w:szCs w:val="24"/>
        </w:rPr>
        <w:t>,</w:t>
      </w:r>
      <w:r w:rsidRPr="005246A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естественным образом повлекло за собой снижение цены</w:t>
      </w:r>
      <w:r w:rsidR="004A4100">
        <w:rPr>
          <w:rFonts w:ascii="Times New Roman" w:hAnsi="Times New Roman" w:cs="Times New Roman"/>
          <w:sz w:val="24"/>
          <w:szCs w:val="24"/>
        </w:rPr>
        <w:t xml:space="preserve"> на данный вид топлива</w:t>
      </w:r>
      <w:r w:rsidR="00010C85">
        <w:rPr>
          <w:rFonts w:ascii="Times New Roman" w:hAnsi="Times New Roman" w:cs="Times New Roman"/>
          <w:sz w:val="24"/>
          <w:szCs w:val="24"/>
        </w:rPr>
        <w:t>. В</w:t>
      </w:r>
      <w:r w:rsidR="004A4100">
        <w:rPr>
          <w:rFonts w:ascii="Times New Roman" w:hAnsi="Times New Roman" w:cs="Times New Roman"/>
          <w:sz w:val="24"/>
          <w:szCs w:val="24"/>
        </w:rPr>
        <w:t xml:space="preserve"> </w:t>
      </w:r>
      <w:r w:rsidR="00010C85">
        <w:rPr>
          <w:rFonts w:ascii="Times New Roman" w:hAnsi="Times New Roman" w:cs="Times New Roman"/>
          <w:sz w:val="24"/>
          <w:szCs w:val="24"/>
        </w:rPr>
        <w:t>связи с этим</w:t>
      </w:r>
      <w:r w:rsidR="00C92384">
        <w:rPr>
          <w:rFonts w:ascii="Times New Roman" w:hAnsi="Times New Roman" w:cs="Times New Roman"/>
          <w:sz w:val="24"/>
          <w:szCs w:val="24"/>
        </w:rPr>
        <w:t>,</w:t>
      </w:r>
      <w:r w:rsidR="004A4100">
        <w:rPr>
          <w:rFonts w:ascii="Times New Roman" w:hAnsi="Times New Roman" w:cs="Times New Roman"/>
          <w:sz w:val="24"/>
          <w:szCs w:val="24"/>
        </w:rPr>
        <w:t xml:space="preserve"> средний курс доллара США к рублю </w:t>
      </w:r>
      <w:r w:rsidR="00C92384">
        <w:rPr>
          <w:rFonts w:ascii="Times New Roman" w:hAnsi="Times New Roman" w:cs="Times New Roman"/>
          <w:sz w:val="24"/>
          <w:szCs w:val="24"/>
        </w:rPr>
        <w:t xml:space="preserve">в 2020 году </w:t>
      </w:r>
      <w:r w:rsidR="004A4100">
        <w:rPr>
          <w:rFonts w:ascii="Times New Roman" w:hAnsi="Times New Roman" w:cs="Times New Roman"/>
          <w:sz w:val="24"/>
          <w:szCs w:val="24"/>
        </w:rPr>
        <w:t>состав</w:t>
      </w:r>
      <w:r w:rsidR="00C92384">
        <w:rPr>
          <w:rFonts w:ascii="Times New Roman" w:hAnsi="Times New Roman" w:cs="Times New Roman"/>
          <w:sz w:val="24"/>
          <w:szCs w:val="24"/>
        </w:rPr>
        <w:t>ил</w:t>
      </w:r>
      <w:r w:rsidR="004A4100">
        <w:rPr>
          <w:rFonts w:ascii="Times New Roman" w:hAnsi="Times New Roman" w:cs="Times New Roman"/>
          <w:sz w:val="24"/>
          <w:szCs w:val="24"/>
        </w:rPr>
        <w:t xml:space="preserve"> 72,3 рубля, что является максимальным за последние 9 лет.</w:t>
      </w:r>
    </w:p>
    <w:p w14:paraId="51E80353" w14:textId="77777777" w:rsidR="000654AA" w:rsidRDefault="000654AA" w:rsidP="007559B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B156F03" w14:textId="77777777" w:rsidR="007559B3" w:rsidRDefault="007559B3" w:rsidP="007559B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405094B1" w14:textId="0034D212" w:rsidR="007559B3" w:rsidRDefault="007559B3" w:rsidP="007559B3">
      <w:pPr>
        <w:pStyle w:val="af0"/>
        <w:ind w:firstLine="708"/>
        <w:jc w:val="both"/>
        <w:rPr>
          <w:sz w:val="24"/>
        </w:rPr>
      </w:pPr>
      <w:r>
        <w:rPr>
          <w:sz w:val="24"/>
        </w:rPr>
        <w:t>1.</w:t>
      </w:r>
      <w:r w:rsidR="00297A0C">
        <w:rPr>
          <w:sz w:val="24"/>
        </w:rPr>
        <w:t xml:space="preserve"> </w:t>
      </w:r>
      <w:r w:rsidR="00297A0C" w:rsidRPr="00297A0C">
        <w:rPr>
          <w:sz w:val="24"/>
        </w:rPr>
        <w:t>Степаненко И</w:t>
      </w:r>
      <w:r w:rsidR="00297A0C">
        <w:rPr>
          <w:sz w:val="24"/>
        </w:rPr>
        <w:t xml:space="preserve">.Б. </w:t>
      </w:r>
      <w:r w:rsidR="00297A0C" w:rsidRPr="00297A0C">
        <w:rPr>
          <w:sz w:val="24"/>
        </w:rPr>
        <w:t>Тенденции развития нефтегазовой отрасли, приоритетные направления развития // Московский экономический журнал. 2020. №1.</w:t>
      </w:r>
      <w:r w:rsidR="00297A0C">
        <w:rPr>
          <w:sz w:val="24"/>
        </w:rPr>
        <w:t xml:space="preserve"> С. 518-524.</w:t>
      </w:r>
    </w:p>
    <w:p w14:paraId="6E651287" w14:textId="0C7F2B17" w:rsidR="007559B3" w:rsidRPr="003771B9" w:rsidRDefault="007559B3" w:rsidP="007559B3">
      <w:pPr>
        <w:pStyle w:val="af0"/>
        <w:ind w:firstLine="708"/>
        <w:jc w:val="both"/>
        <w:rPr>
          <w:sz w:val="24"/>
        </w:rPr>
      </w:pPr>
      <w:r>
        <w:rPr>
          <w:sz w:val="24"/>
        </w:rPr>
        <w:t>2.</w:t>
      </w:r>
      <w:r w:rsidR="003771B9" w:rsidRPr="003771B9">
        <w:rPr>
          <w:sz w:val="24"/>
        </w:rPr>
        <w:t xml:space="preserve"> </w:t>
      </w:r>
      <w:proofErr w:type="spellStart"/>
      <w:r w:rsidR="003771B9" w:rsidRPr="003771B9">
        <w:rPr>
          <w:sz w:val="24"/>
        </w:rPr>
        <w:t>Гарнов</w:t>
      </w:r>
      <w:proofErr w:type="spellEnd"/>
      <w:r w:rsidR="003771B9" w:rsidRPr="003771B9">
        <w:rPr>
          <w:sz w:val="24"/>
        </w:rPr>
        <w:t xml:space="preserve"> А</w:t>
      </w:r>
      <w:r w:rsidR="003771B9">
        <w:rPr>
          <w:sz w:val="24"/>
        </w:rPr>
        <w:t>.П.</w:t>
      </w:r>
      <w:r w:rsidR="003771B9" w:rsidRPr="003771B9">
        <w:rPr>
          <w:sz w:val="24"/>
        </w:rPr>
        <w:t xml:space="preserve">, </w:t>
      </w:r>
      <w:proofErr w:type="spellStart"/>
      <w:r w:rsidR="003771B9" w:rsidRPr="003771B9">
        <w:rPr>
          <w:sz w:val="24"/>
        </w:rPr>
        <w:t>Гарнова</w:t>
      </w:r>
      <w:proofErr w:type="spellEnd"/>
      <w:r w:rsidR="003771B9" w:rsidRPr="003771B9">
        <w:rPr>
          <w:sz w:val="24"/>
        </w:rPr>
        <w:t xml:space="preserve"> В</w:t>
      </w:r>
      <w:r w:rsidR="003771B9">
        <w:rPr>
          <w:sz w:val="24"/>
        </w:rPr>
        <w:t>.Ю.</w:t>
      </w:r>
      <w:r w:rsidR="003771B9" w:rsidRPr="003771B9">
        <w:rPr>
          <w:sz w:val="24"/>
        </w:rPr>
        <w:t>, Тишкина Н</w:t>
      </w:r>
      <w:r w:rsidR="003771B9">
        <w:rPr>
          <w:sz w:val="24"/>
        </w:rPr>
        <w:t xml:space="preserve">.П. </w:t>
      </w:r>
      <w:r w:rsidR="003771B9" w:rsidRPr="003771B9">
        <w:rPr>
          <w:sz w:val="24"/>
        </w:rPr>
        <w:t xml:space="preserve">Тенденции развития нефтегазового комплекса // Вестник РЭА им. Г.В. Плеханова. 2019. №6 (108). </w:t>
      </w:r>
      <w:r w:rsidR="003771B9">
        <w:rPr>
          <w:sz w:val="24"/>
        </w:rPr>
        <w:t>С. 108-115.</w:t>
      </w:r>
    </w:p>
    <w:p w14:paraId="3684C924" w14:textId="21697F94" w:rsidR="007559B3" w:rsidRDefault="007559B3" w:rsidP="007559B3">
      <w:pPr>
        <w:pStyle w:val="af0"/>
        <w:ind w:firstLine="708"/>
        <w:jc w:val="both"/>
        <w:rPr>
          <w:sz w:val="24"/>
        </w:rPr>
      </w:pPr>
      <w:r>
        <w:rPr>
          <w:sz w:val="24"/>
        </w:rPr>
        <w:t>3.</w:t>
      </w:r>
      <w:r w:rsidR="003771B9">
        <w:rPr>
          <w:sz w:val="24"/>
        </w:rPr>
        <w:t xml:space="preserve"> Волков А.</w:t>
      </w:r>
      <w:r w:rsidR="003771B9" w:rsidRPr="003771B9">
        <w:rPr>
          <w:sz w:val="24"/>
        </w:rPr>
        <w:t xml:space="preserve">Т., </w:t>
      </w:r>
      <w:proofErr w:type="spellStart"/>
      <w:r w:rsidR="003771B9" w:rsidRPr="003771B9">
        <w:rPr>
          <w:sz w:val="24"/>
        </w:rPr>
        <w:t>Шепелев</w:t>
      </w:r>
      <w:proofErr w:type="spellEnd"/>
      <w:r w:rsidR="003771B9" w:rsidRPr="003771B9">
        <w:rPr>
          <w:sz w:val="24"/>
        </w:rPr>
        <w:t xml:space="preserve"> Р.Е. Современное состояние нефтегазовой отрасли - источника спроса инноваций // Вестник ГУУ. 2019. №6.</w:t>
      </w:r>
      <w:r w:rsidR="003771B9">
        <w:rPr>
          <w:sz w:val="24"/>
        </w:rPr>
        <w:t xml:space="preserve"> С. 68-76.</w:t>
      </w:r>
    </w:p>
    <w:p w14:paraId="1F254CE9" w14:textId="5384291D" w:rsidR="007559B3" w:rsidRDefault="007559B3" w:rsidP="007559B3">
      <w:pPr>
        <w:pStyle w:val="af0"/>
        <w:ind w:firstLine="708"/>
        <w:jc w:val="both"/>
        <w:rPr>
          <w:sz w:val="24"/>
        </w:rPr>
      </w:pPr>
      <w:r>
        <w:rPr>
          <w:sz w:val="24"/>
        </w:rPr>
        <w:t>4.</w:t>
      </w:r>
      <w:r w:rsidR="00513C40">
        <w:rPr>
          <w:sz w:val="24"/>
        </w:rPr>
        <w:t xml:space="preserve"> </w:t>
      </w:r>
      <w:r w:rsidR="00513C40" w:rsidRPr="00513C40">
        <w:rPr>
          <w:sz w:val="24"/>
        </w:rPr>
        <w:t>Верещагин В</w:t>
      </w:r>
      <w:r w:rsidR="00513C40">
        <w:rPr>
          <w:sz w:val="24"/>
        </w:rPr>
        <w:t>.В. О</w:t>
      </w:r>
      <w:r w:rsidR="00513C40" w:rsidRPr="00513C40">
        <w:rPr>
          <w:sz w:val="24"/>
        </w:rPr>
        <w:t>собенности функционирования рынка нефтяной и газовой промышленности // Московский экономический журнал. 2020. №1.</w:t>
      </w:r>
      <w:r w:rsidR="00513C40">
        <w:rPr>
          <w:sz w:val="24"/>
        </w:rPr>
        <w:t xml:space="preserve"> С. 511-517.</w:t>
      </w:r>
    </w:p>
    <w:p w14:paraId="678086F7" w14:textId="19C01584" w:rsidR="007559B3" w:rsidRPr="00297A0C" w:rsidRDefault="007559B3" w:rsidP="005246A2">
      <w:pPr>
        <w:pStyle w:val="af0"/>
        <w:ind w:firstLine="708"/>
        <w:jc w:val="both"/>
        <w:rPr>
          <w:b/>
          <w:bCs/>
          <w:sz w:val="24"/>
          <w:szCs w:val="24"/>
        </w:rPr>
      </w:pPr>
      <w:r>
        <w:rPr>
          <w:sz w:val="24"/>
        </w:rPr>
        <w:t>5.</w:t>
      </w:r>
      <w:r w:rsidR="00282667">
        <w:rPr>
          <w:sz w:val="24"/>
        </w:rPr>
        <w:t xml:space="preserve"> </w:t>
      </w:r>
      <w:r w:rsidR="00282667" w:rsidRPr="00282667">
        <w:rPr>
          <w:sz w:val="24"/>
        </w:rPr>
        <w:t>Березина Наталия Вячеславовна, Яковлева Августина Сергеевна Современные тенденции развития нефтяного сектора экономики России // Вестник ев</w:t>
      </w:r>
      <w:r w:rsidR="00282667">
        <w:rPr>
          <w:sz w:val="24"/>
        </w:rPr>
        <w:t>разийской науки. 2016. №3 (34). С. 10.</w:t>
      </w:r>
    </w:p>
    <w:p w14:paraId="68A28F4C" w14:textId="77777777" w:rsidR="005246A2" w:rsidRDefault="005246A2" w:rsidP="009A31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2B205FB" w14:textId="632209EA" w:rsidR="009A3140" w:rsidRPr="00990747" w:rsidRDefault="009A3140" w:rsidP="009A31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90747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  <w:bookmarkStart w:id="0" w:name="_GoBack"/>
      <w:bookmarkEnd w:id="0"/>
    </w:p>
    <w:p w14:paraId="7F252987" w14:textId="1BD830C0" w:rsidR="00185E01" w:rsidRPr="008D01B8" w:rsidRDefault="00B37802" w:rsidP="00185E01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eastAsia="Calibri" w:hAnsi="Times New Roman" w:cs="Courier New"/>
          <w:spacing w:val="-4"/>
          <w:sz w:val="24"/>
          <w:szCs w:val="24"/>
        </w:rPr>
      </w:pPr>
      <w:r w:rsidRPr="00990747">
        <w:rPr>
          <w:rFonts w:ascii="Times New Roman" w:eastAsia="Calibri" w:hAnsi="Times New Roman" w:cs="Courier New"/>
          <w:spacing w:val="-4"/>
          <w:sz w:val="24"/>
          <w:szCs w:val="24"/>
        </w:rPr>
        <w:t xml:space="preserve">Малышев Михаил Константинович </w:t>
      </w:r>
      <w:r w:rsidR="00185E01" w:rsidRPr="00990747">
        <w:rPr>
          <w:rFonts w:ascii="Times New Roman" w:eastAsia="Calibri" w:hAnsi="Times New Roman" w:cs="Courier New"/>
          <w:spacing w:val="-4"/>
          <w:sz w:val="24"/>
          <w:szCs w:val="24"/>
        </w:rPr>
        <w:t>(Р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</w:rPr>
        <w:t>оссия</w:t>
      </w:r>
      <w:r w:rsidR="00185E01" w:rsidRPr="00990747">
        <w:rPr>
          <w:rFonts w:ascii="Times New Roman" w:eastAsia="Calibri" w:hAnsi="Times New Roman" w:cs="Courier New"/>
          <w:spacing w:val="-4"/>
          <w:sz w:val="24"/>
          <w:szCs w:val="24"/>
        </w:rPr>
        <w:t xml:space="preserve">, г. Вологда) – 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</w:rPr>
        <w:t xml:space="preserve">инженер-исследователь, </w:t>
      </w:r>
      <w:r w:rsidR="00185E01" w:rsidRPr="00990747">
        <w:rPr>
          <w:rFonts w:ascii="Times New Roman" w:eastAsia="Calibri" w:hAnsi="Times New Roman" w:cs="Courier New"/>
          <w:spacing w:val="-4"/>
          <w:sz w:val="24"/>
          <w:szCs w:val="24"/>
        </w:rPr>
        <w:t>Федеральное государственное бюджетное учреждение науки «Вологодский научный центр Российской академии наук» (Россия, 160014, г. Вологда, ул. Горького</w:t>
      </w:r>
      <w:r w:rsidR="00185E01" w:rsidRPr="008D01B8">
        <w:rPr>
          <w:rFonts w:ascii="Times New Roman" w:eastAsia="Calibri" w:hAnsi="Times New Roman" w:cs="Courier New"/>
          <w:spacing w:val="-4"/>
          <w:sz w:val="24"/>
          <w:szCs w:val="24"/>
        </w:rPr>
        <w:t xml:space="preserve">, </w:t>
      </w:r>
      <w:r w:rsidR="00185E01" w:rsidRPr="00990747">
        <w:rPr>
          <w:rFonts w:ascii="Times New Roman" w:eastAsia="Calibri" w:hAnsi="Times New Roman" w:cs="Courier New"/>
          <w:spacing w:val="-4"/>
          <w:sz w:val="24"/>
          <w:szCs w:val="24"/>
        </w:rPr>
        <w:t>д</w:t>
      </w:r>
      <w:r w:rsidR="00185E01" w:rsidRPr="008D01B8">
        <w:rPr>
          <w:rFonts w:ascii="Times New Roman" w:eastAsia="Calibri" w:hAnsi="Times New Roman" w:cs="Courier New"/>
          <w:spacing w:val="-4"/>
          <w:sz w:val="24"/>
          <w:szCs w:val="24"/>
        </w:rPr>
        <w:t>. 56</w:t>
      </w:r>
      <w:r w:rsidR="00185E01" w:rsidRPr="00990747">
        <w:rPr>
          <w:rFonts w:ascii="Times New Roman" w:eastAsia="Calibri" w:hAnsi="Times New Roman" w:cs="Courier New"/>
          <w:spacing w:val="-4"/>
          <w:sz w:val="24"/>
          <w:szCs w:val="24"/>
        </w:rPr>
        <w:t>а</w:t>
      </w:r>
      <w:r w:rsidR="00185E01" w:rsidRPr="008D01B8">
        <w:rPr>
          <w:rFonts w:ascii="Times New Roman" w:eastAsia="Calibri" w:hAnsi="Times New Roman" w:cs="Courier New"/>
          <w:spacing w:val="-4"/>
          <w:sz w:val="24"/>
          <w:szCs w:val="24"/>
        </w:rPr>
        <w:t>,</w:t>
      </w:r>
      <w:r w:rsidRPr="008D01B8">
        <w:rPr>
          <w:rFonts w:ascii="Times New Roman" w:eastAsia="Calibri" w:hAnsi="Times New Roman" w:cs="Courier New"/>
          <w:spacing w:val="-4"/>
          <w:sz w:val="24"/>
          <w:szCs w:val="24"/>
        </w:rPr>
        <w:t xml:space="preserve"> </w:t>
      </w:r>
      <w:proofErr w:type="spellStart"/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mmk</w:t>
      </w:r>
      <w:proofErr w:type="spellEnd"/>
      <w:r w:rsidRPr="008D01B8">
        <w:rPr>
          <w:rFonts w:ascii="Times New Roman" w:eastAsia="Calibri" w:hAnsi="Times New Roman" w:cs="Courier New"/>
          <w:spacing w:val="-4"/>
          <w:sz w:val="24"/>
          <w:szCs w:val="24"/>
        </w:rPr>
        <w:t>1995@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mail</w:t>
      </w:r>
      <w:r w:rsidRPr="008D01B8">
        <w:rPr>
          <w:rFonts w:ascii="Times New Roman" w:eastAsia="Calibri" w:hAnsi="Times New Roman" w:cs="Courier New"/>
          <w:spacing w:val="-4"/>
          <w:sz w:val="24"/>
          <w:szCs w:val="24"/>
        </w:rPr>
        <w:t>.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ru</w:t>
      </w:r>
      <w:r w:rsidR="00185E01" w:rsidRPr="008D01B8">
        <w:rPr>
          <w:rFonts w:ascii="Times New Roman" w:eastAsia="Calibri" w:hAnsi="Times New Roman" w:cs="Courier New"/>
          <w:spacing w:val="-4"/>
          <w:sz w:val="24"/>
          <w:szCs w:val="24"/>
        </w:rPr>
        <w:t>)</w:t>
      </w:r>
    </w:p>
    <w:p w14:paraId="393CC0B5" w14:textId="6AB9BE50" w:rsidR="00994A61" w:rsidRPr="008D01B8" w:rsidRDefault="00994A61" w:rsidP="009A31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2C6E5BE" w14:textId="190C5A87" w:rsidR="00994A61" w:rsidRPr="007559B3" w:rsidRDefault="008D01B8" w:rsidP="00994A61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Malyshev</w:t>
      </w: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M</w:t>
      </w: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K</w:t>
      </w: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</w:p>
    <w:p w14:paraId="47AC6440" w14:textId="0CBEEFD0" w:rsidR="00F56F40" w:rsidRPr="00990747" w:rsidRDefault="007559B3" w:rsidP="00F56F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DEVELOPMENT OF THE RUSSIAN OIL AND GAS INDUSTRY FROM 2012 TO 2020 AND ITS IMPACT ON THE NATIONAL CURRENCY EXCHANGE RATE</w:t>
      </w:r>
    </w:p>
    <w:p w14:paraId="6E70FD6E" w14:textId="77777777" w:rsidR="00F56F40" w:rsidRPr="00990747" w:rsidRDefault="00F56F40" w:rsidP="00994A6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ADC447D" w14:textId="77777777" w:rsidR="007559B3" w:rsidRDefault="007559B3" w:rsidP="007559B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Abstract</w:t>
      </w: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14:paraId="783B5895" w14:textId="4F3C51B7" w:rsidR="007559B3" w:rsidRPr="007559B3" w:rsidRDefault="007559B3" w:rsidP="007559B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  <w:lang w:val="en-US"/>
        </w:rPr>
      </w:pPr>
      <w:r w:rsidRPr="007559B3">
        <w:rPr>
          <w:rFonts w:ascii="Times New Roman" w:hAnsi="Times New Roman" w:cs="Times New Roman"/>
          <w:bCs/>
          <w:i/>
          <w:sz w:val="24"/>
          <w:szCs w:val="24"/>
          <w:lang w:val="en-US"/>
        </w:rPr>
        <w:t xml:space="preserve">This study analyzes the main trends in the development of the Russian oil and gas industry over the past 9 years. The dependence of the national currency exchange rate on the price and demand for oil is determined. The impact of the pandemic on the industry indicators is considered. </w:t>
      </w:r>
    </w:p>
    <w:p w14:paraId="17C24956" w14:textId="77777777" w:rsidR="007559B3" w:rsidRPr="007559B3" w:rsidRDefault="007559B3" w:rsidP="007559B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</w:p>
    <w:p w14:paraId="154F3FD4" w14:textId="13842FCD" w:rsidR="007559B3" w:rsidRPr="007559B3" w:rsidRDefault="007559B3" w:rsidP="007559B3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  <w:lang w:val="en-US"/>
        </w:rPr>
      </w:pPr>
      <w:r w:rsidRPr="007559B3">
        <w:rPr>
          <w:rFonts w:ascii="Times New Roman" w:hAnsi="Times New Roman" w:cs="Times New Roman"/>
          <w:bCs/>
          <w:i/>
          <w:sz w:val="24"/>
          <w:szCs w:val="24"/>
          <w:lang w:val="en-US"/>
        </w:rPr>
        <w:t>Oil and gas industry, the ruble exchange rate, oil prices, the impact of the pandemic on oil demand.</w:t>
      </w:r>
    </w:p>
    <w:p w14:paraId="1C681A39" w14:textId="77777777" w:rsidR="007559B3" w:rsidRDefault="007559B3" w:rsidP="007559B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B08504D" w14:textId="60C2B9C6" w:rsidR="007559B3" w:rsidRDefault="007559B3" w:rsidP="007559B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7559B3">
        <w:rPr>
          <w:rFonts w:ascii="Times New Roman" w:hAnsi="Times New Roman" w:cs="Times New Roman"/>
          <w:b/>
          <w:bCs/>
          <w:sz w:val="24"/>
          <w:szCs w:val="24"/>
        </w:rPr>
        <w:t>Information</w:t>
      </w:r>
      <w:proofErr w:type="spellEnd"/>
      <w:r w:rsidRPr="007559B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559B3">
        <w:rPr>
          <w:rFonts w:ascii="Times New Roman" w:hAnsi="Times New Roman" w:cs="Times New Roman"/>
          <w:b/>
          <w:bCs/>
          <w:sz w:val="24"/>
          <w:szCs w:val="24"/>
        </w:rPr>
        <w:t>about</w:t>
      </w:r>
      <w:proofErr w:type="spellEnd"/>
      <w:r w:rsidRPr="007559B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559B3">
        <w:rPr>
          <w:rFonts w:ascii="Times New Roman" w:hAnsi="Times New Roman" w:cs="Times New Roman"/>
          <w:b/>
          <w:bCs/>
          <w:sz w:val="24"/>
          <w:szCs w:val="24"/>
        </w:rPr>
        <w:t>the</w:t>
      </w:r>
      <w:proofErr w:type="spellEnd"/>
      <w:r w:rsidRPr="007559B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559B3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</w:p>
    <w:p w14:paraId="13E484BE" w14:textId="28FD6713" w:rsidR="009A3140" w:rsidRPr="00990747" w:rsidRDefault="00B37802" w:rsidP="00B37802">
      <w:pPr>
        <w:spacing w:after="0" w:line="240" w:lineRule="auto"/>
        <w:ind w:firstLine="709"/>
        <w:jc w:val="both"/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</w:pP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Malyshev Mikhail </w:t>
      </w:r>
      <w:proofErr w:type="spellStart"/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Konstantinovich</w:t>
      </w:r>
      <w:proofErr w:type="spellEnd"/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 (Vologda, Russia) - Research Engineer, Federal State Budgetary Institution of Science </w:t>
      </w:r>
      <w:r w:rsidR="000D2B6C"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«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Vologda Scientific Center of the Russian Academy of Sciences</w:t>
      </w:r>
      <w:r w:rsidR="000D2B6C"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 xml:space="preserve">» </w:t>
      </w:r>
      <w:r w:rsidRPr="00990747">
        <w:rPr>
          <w:rFonts w:ascii="Times New Roman" w:eastAsia="Calibri" w:hAnsi="Times New Roman" w:cs="Courier New"/>
          <w:spacing w:val="-4"/>
          <w:sz w:val="24"/>
          <w:szCs w:val="24"/>
          <w:lang w:val="en-US"/>
        </w:rPr>
        <w:t>(Russia, 160014, Vologda, Gorky str., 56a, mmk1995@mail.ru)</w:t>
      </w:r>
    </w:p>
    <w:p w14:paraId="0028F40A" w14:textId="77777777" w:rsidR="00B37802" w:rsidRDefault="00B37802" w:rsidP="009A31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9DD281F" w14:textId="74351563" w:rsidR="00CC0777" w:rsidRDefault="007559B3" w:rsidP="009A314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559B3">
        <w:rPr>
          <w:rFonts w:ascii="Times New Roman" w:hAnsi="Times New Roman" w:cs="Times New Roman"/>
          <w:b/>
          <w:bCs/>
          <w:sz w:val="24"/>
          <w:szCs w:val="24"/>
          <w:lang w:val="en-US"/>
        </w:rPr>
        <w:t>Bibliographic list</w:t>
      </w:r>
    </w:p>
    <w:p w14:paraId="01AB0311" w14:textId="77777777" w:rsidR="00CC0777" w:rsidRPr="00CC0777" w:rsidRDefault="00CC0777" w:rsidP="00CC077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1.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Stepanenko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I. B. Trends in the development of the oil and gas industry, priority areas of development // Moscow Economic Journal. 2020. No. 1. pp. 518-524.</w:t>
      </w:r>
    </w:p>
    <w:p w14:paraId="18A1674A" w14:textId="77777777" w:rsidR="00CC0777" w:rsidRPr="00CC0777" w:rsidRDefault="00CC0777" w:rsidP="00CC077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2.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Garnov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 P.,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Garnova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V. Yu.,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Tishkina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N. P. Trends in the development of the oil and gas complex // Bulletin of the Plekhanov Russian Academy of Economics. 2019. No. 6 (108). pp. 108-115.</w:t>
      </w:r>
    </w:p>
    <w:p w14:paraId="030439A3" w14:textId="77777777" w:rsidR="00CC0777" w:rsidRPr="00CC0777" w:rsidRDefault="00CC0777" w:rsidP="00CC077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3.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Volkov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 T.,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Shepelev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R. E. The current state of the oil and gas industry-a source of demand for innovations.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Vestnik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GUU. 2019. No. 6. pp. 68-76.</w:t>
      </w:r>
    </w:p>
    <w:p w14:paraId="5423CBB9" w14:textId="77777777" w:rsidR="00CC0777" w:rsidRPr="00CC0777" w:rsidRDefault="00CC0777" w:rsidP="00CC077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lastRenderedPageBreak/>
        <w:t xml:space="preserve">4. Vereshchagin V. V. Features of the functioning of the oil and gas industry market // Moscow Economic Journal. </w:t>
      </w:r>
      <w:r w:rsidRPr="00CC0777">
        <w:rPr>
          <w:rFonts w:ascii="Times New Roman" w:hAnsi="Times New Roman" w:cs="Times New Roman"/>
          <w:bCs/>
          <w:sz w:val="24"/>
          <w:szCs w:val="24"/>
        </w:rPr>
        <w:t xml:space="preserve">2020.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</w:rPr>
        <w:t>No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</w:rPr>
        <w:t xml:space="preserve">. 1.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</w:rPr>
        <w:t>pp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</w:rPr>
        <w:t>. 511-517.</w:t>
      </w:r>
    </w:p>
    <w:p w14:paraId="5458F438" w14:textId="7C4B6A2C" w:rsidR="00CC0777" w:rsidRPr="00CC0777" w:rsidRDefault="00CC0777" w:rsidP="00CC0777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5. Berezina Natalia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Vyacheslavovna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Yakovleva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Augustina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>Sergeevna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Modern trends in the development of the oil sector of the Russian economy. </w:t>
      </w:r>
      <w:r w:rsidRPr="00CC0777">
        <w:rPr>
          <w:rFonts w:ascii="Times New Roman" w:hAnsi="Times New Roman" w:cs="Times New Roman"/>
          <w:bCs/>
          <w:sz w:val="24"/>
          <w:szCs w:val="24"/>
        </w:rPr>
        <w:t xml:space="preserve">2016. </w:t>
      </w:r>
      <w:proofErr w:type="spellStart"/>
      <w:r w:rsidRPr="00CC0777">
        <w:rPr>
          <w:rFonts w:ascii="Times New Roman" w:hAnsi="Times New Roman" w:cs="Times New Roman"/>
          <w:bCs/>
          <w:sz w:val="24"/>
          <w:szCs w:val="24"/>
        </w:rPr>
        <w:t>No</w:t>
      </w:r>
      <w:proofErr w:type="spellEnd"/>
      <w:r w:rsidRPr="00CC0777">
        <w:rPr>
          <w:rFonts w:ascii="Times New Roman" w:hAnsi="Times New Roman" w:cs="Times New Roman"/>
          <w:bCs/>
          <w:sz w:val="24"/>
          <w:szCs w:val="24"/>
        </w:rPr>
        <w:t>. 3 (34). p. 10.</w:t>
      </w:r>
    </w:p>
    <w:p w14:paraId="61B554D1" w14:textId="77777777" w:rsidR="00994A61" w:rsidRPr="007559B3" w:rsidRDefault="00994A61" w:rsidP="00994A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</w:p>
    <w:p w14:paraId="18311D1D" w14:textId="77777777" w:rsidR="009A27DD" w:rsidRPr="00990747" w:rsidRDefault="009A27DD" w:rsidP="005F10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F36A98B" w14:textId="77777777" w:rsidR="009A27DD" w:rsidRPr="00990747" w:rsidRDefault="009A27DD" w:rsidP="005F10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F130253" w14:textId="77777777" w:rsidR="009A27DD" w:rsidRPr="00990747" w:rsidRDefault="009A27DD" w:rsidP="005F10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74D1945" w14:textId="77777777" w:rsidR="009A27DD" w:rsidRDefault="009A27DD" w:rsidP="005F102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9A27DD" w:rsidSect="009A3140">
      <w:foot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D71A90" w14:textId="77777777" w:rsidR="00357E41" w:rsidRDefault="00357E41" w:rsidP="003E7E13">
      <w:pPr>
        <w:spacing w:after="0" w:line="240" w:lineRule="auto"/>
      </w:pPr>
      <w:r>
        <w:separator/>
      </w:r>
    </w:p>
  </w:endnote>
  <w:endnote w:type="continuationSeparator" w:id="0">
    <w:p w14:paraId="52072BFB" w14:textId="77777777" w:rsidR="00357E41" w:rsidRDefault="00357E41" w:rsidP="003E7E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5954125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14:paraId="06E76667" w14:textId="000B74DD" w:rsidR="005246A2" w:rsidRPr="005246A2" w:rsidRDefault="005246A2">
        <w:pPr>
          <w:pStyle w:val="af5"/>
          <w:jc w:val="right"/>
          <w:rPr>
            <w:rFonts w:ascii="Times New Roman" w:hAnsi="Times New Roman" w:cs="Times New Roman"/>
            <w:sz w:val="20"/>
          </w:rPr>
        </w:pPr>
        <w:r w:rsidRPr="005246A2">
          <w:rPr>
            <w:rFonts w:ascii="Times New Roman" w:hAnsi="Times New Roman" w:cs="Times New Roman"/>
            <w:sz w:val="20"/>
          </w:rPr>
          <w:fldChar w:fldCharType="begin"/>
        </w:r>
        <w:r w:rsidRPr="005246A2">
          <w:rPr>
            <w:rFonts w:ascii="Times New Roman" w:hAnsi="Times New Roman" w:cs="Times New Roman"/>
            <w:sz w:val="20"/>
          </w:rPr>
          <w:instrText>PAGE   \* MERGEFORMAT</w:instrText>
        </w:r>
        <w:r w:rsidRPr="005246A2">
          <w:rPr>
            <w:rFonts w:ascii="Times New Roman" w:hAnsi="Times New Roman" w:cs="Times New Roman"/>
            <w:sz w:val="20"/>
          </w:rPr>
          <w:fldChar w:fldCharType="separate"/>
        </w:r>
        <w:r w:rsidR="00C00328">
          <w:rPr>
            <w:rFonts w:ascii="Times New Roman" w:hAnsi="Times New Roman" w:cs="Times New Roman"/>
            <w:noProof/>
            <w:sz w:val="20"/>
          </w:rPr>
          <w:t>2</w:t>
        </w:r>
        <w:r w:rsidRPr="005246A2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6362E16" w14:textId="77777777" w:rsidR="005246A2" w:rsidRDefault="005246A2">
    <w:pPr>
      <w:pStyle w:val="af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78EF46" w14:textId="77777777" w:rsidR="00357E41" w:rsidRDefault="00357E41" w:rsidP="003E7E13">
      <w:pPr>
        <w:spacing w:after="0" w:line="240" w:lineRule="auto"/>
      </w:pPr>
      <w:r>
        <w:separator/>
      </w:r>
    </w:p>
  </w:footnote>
  <w:footnote w:type="continuationSeparator" w:id="0">
    <w:p w14:paraId="554FFCD8" w14:textId="77777777" w:rsidR="00357E41" w:rsidRDefault="00357E41" w:rsidP="003E7E13">
      <w:pPr>
        <w:spacing w:after="0" w:line="240" w:lineRule="auto"/>
      </w:pPr>
      <w:r>
        <w:continuationSeparator/>
      </w:r>
    </w:p>
  </w:footnote>
  <w:footnote w:id="1">
    <w:p w14:paraId="6A1083DB" w14:textId="77777777" w:rsidR="008D01B8" w:rsidRPr="008D01B8" w:rsidRDefault="008D01B8" w:rsidP="008D01B8">
      <w:pPr>
        <w:pStyle w:val="ad"/>
        <w:jc w:val="both"/>
        <w:rPr>
          <w:rFonts w:ascii="Times New Roman" w:hAnsi="Times New Roman" w:cs="Times New Roman"/>
          <w:lang w:val="en-US"/>
        </w:rPr>
      </w:pPr>
      <w:r w:rsidRPr="008D01B8">
        <w:rPr>
          <w:rStyle w:val="af"/>
          <w:rFonts w:ascii="Times New Roman" w:hAnsi="Times New Roman" w:cs="Times New Roman"/>
        </w:rPr>
        <w:footnoteRef/>
      </w:r>
      <w:r w:rsidRPr="008D01B8">
        <w:rPr>
          <w:rFonts w:ascii="Times New Roman" w:hAnsi="Times New Roman" w:cs="Times New Roman"/>
        </w:rPr>
        <w:t xml:space="preserve"> RAEX-600 — Рейтинг крупнейших компаний России по объему реализации продукции. </w:t>
      </w:r>
      <w:r w:rsidRPr="008D01B8">
        <w:rPr>
          <w:rFonts w:ascii="Times New Roman" w:hAnsi="Times New Roman" w:cs="Times New Roman"/>
          <w:lang w:val="en-US"/>
        </w:rPr>
        <w:t>URL: https://raex-rr.com/country/RAEX-600/raex-600_rating_of_biggest_companies</w:t>
      </w:r>
    </w:p>
  </w:footnote>
  <w:footnote w:id="2">
    <w:p w14:paraId="1559F7E0" w14:textId="77777777" w:rsidR="005246A2" w:rsidRPr="008D01B8" w:rsidRDefault="005246A2" w:rsidP="005246A2">
      <w:pPr>
        <w:pStyle w:val="ad"/>
        <w:jc w:val="both"/>
        <w:rPr>
          <w:rFonts w:ascii="Times New Roman" w:hAnsi="Times New Roman" w:cs="Times New Roman"/>
          <w:lang w:val="en-US"/>
        </w:rPr>
      </w:pPr>
      <w:r w:rsidRPr="008D01B8">
        <w:rPr>
          <w:rStyle w:val="af"/>
          <w:rFonts w:ascii="Times New Roman" w:hAnsi="Times New Roman" w:cs="Times New Roman"/>
        </w:rPr>
        <w:footnoteRef/>
      </w:r>
      <w:r w:rsidRPr="008D01B8">
        <w:rPr>
          <w:rFonts w:ascii="Times New Roman" w:hAnsi="Times New Roman" w:cs="Times New Roman"/>
        </w:rPr>
        <w:t xml:space="preserve"> Статистика Министерства энергетики Российской Федерации. </w:t>
      </w:r>
      <w:r w:rsidRPr="008D01B8">
        <w:rPr>
          <w:rFonts w:ascii="Times New Roman" w:hAnsi="Times New Roman" w:cs="Times New Roman"/>
          <w:lang w:val="en-US"/>
        </w:rPr>
        <w:t>URL: https://minenergo.gov.ru/activity/statistic</w:t>
      </w:r>
    </w:p>
  </w:footnote>
  <w:footnote w:id="3">
    <w:p w14:paraId="798A6B01" w14:textId="5F5BC8ED" w:rsidR="008A0448" w:rsidRPr="008A0448" w:rsidRDefault="008A0448" w:rsidP="007234D0">
      <w:pPr>
        <w:pStyle w:val="ad"/>
        <w:jc w:val="both"/>
        <w:rPr>
          <w:rFonts w:ascii="Times New Roman" w:hAnsi="Times New Roman" w:cs="Times New Roman"/>
          <w:lang w:val="en-US"/>
        </w:rPr>
      </w:pPr>
      <w:r w:rsidRPr="008A0448">
        <w:rPr>
          <w:rStyle w:val="af"/>
          <w:rFonts w:ascii="Times New Roman" w:hAnsi="Times New Roman" w:cs="Times New Roman"/>
        </w:rPr>
        <w:footnoteRef/>
      </w:r>
      <w:r w:rsidRPr="008A0448">
        <w:rPr>
          <w:rFonts w:ascii="Times New Roman" w:hAnsi="Times New Roman" w:cs="Times New Roman"/>
        </w:rPr>
        <w:t xml:space="preserve"> Глубина переработки нефти в России, Европе и США. </w:t>
      </w:r>
      <w:r w:rsidRPr="008A0448">
        <w:rPr>
          <w:rFonts w:ascii="Times New Roman" w:hAnsi="Times New Roman" w:cs="Times New Roman"/>
          <w:lang w:val="en-US"/>
        </w:rPr>
        <w:t>URL: https://neftegaz.ru/analisis/petroleum/328610-glubina-pererabotki-nefti-v-rossii-evrope-i-ssha/</w:t>
      </w:r>
    </w:p>
  </w:footnote>
  <w:footnote w:id="4">
    <w:p w14:paraId="4D25B6CF" w14:textId="3C08F46A" w:rsidR="005D5066" w:rsidRPr="005D5066" w:rsidRDefault="005D5066" w:rsidP="007234D0">
      <w:pPr>
        <w:pStyle w:val="ad"/>
        <w:jc w:val="both"/>
        <w:rPr>
          <w:rFonts w:ascii="Times New Roman" w:hAnsi="Times New Roman" w:cs="Times New Roman"/>
          <w:lang w:val="en-US"/>
        </w:rPr>
      </w:pPr>
      <w:r w:rsidRPr="005D5066">
        <w:rPr>
          <w:rStyle w:val="af"/>
          <w:rFonts w:ascii="Times New Roman" w:hAnsi="Times New Roman" w:cs="Times New Roman"/>
        </w:rPr>
        <w:footnoteRef/>
      </w:r>
      <w:r w:rsidRPr="005D5066">
        <w:rPr>
          <w:rFonts w:ascii="Times New Roman" w:hAnsi="Times New Roman" w:cs="Times New Roman"/>
        </w:rPr>
        <w:t xml:space="preserve"> Динамика цены нефти марки </w:t>
      </w:r>
      <w:r w:rsidRPr="005D5066">
        <w:rPr>
          <w:rFonts w:ascii="Times New Roman" w:hAnsi="Times New Roman" w:cs="Times New Roman"/>
          <w:lang w:val="en-US"/>
        </w:rPr>
        <w:t>Urals</w:t>
      </w:r>
      <w:r w:rsidRPr="005D5066">
        <w:rPr>
          <w:rFonts w:ascii="Times New Roman" w:hAnsi="Times New Roman" w:cs="Times New Roman"/>
        </w:rPr>
        <w:t xml:space="preserve">. </w:t>
      </w:r>
      <w:r w:rsidRPr="005D5066">
        <w:rPr>
          <w:rFonts w:ascii="Times New Roman" w:hAnsi="Times New Roman" w:cs="Times New Roman"/>
          <w:lang w:val="en-US"/>
        </w:rPr>
        <w:t>URL: http://global-finances.ru/tsena-nefti-marki-urals-po-godam/</w:t>
      </w:r>
    </w:p>
  </w:footnote>
  <w:footnote w:id="5">
    <w:p w14:paraId="40767E1F" w14:textId="377B25DC" w:rsidR="009925F1" w:rsidRPr="005D5066" w:rsidRDefault="009925F1" w:rsidP="007234D0">
      <w:pPr>
        <w:pStyle w:val="ad"/>
        <w:jc w:val="both"/>
        <w:rPr>
          <w:rFonts w:ascii="Times New Roman" w:hAnsi="Times New Roman" w:cs="Times New Roman"/>
        </w:rPr>
      </w:pPr>
      <w:r w:rsidRPr="005D5066">
        <w:rPr>
          <w:rStyle w:val="af"/>
          <w:rFonts w:ascii="Times New Roman" w:hAnsi="Times New Roman" w:cs="Times New Roman"/>
        </w:rPr>
        <w:footnoteRef/>
      </w:r>
      <w:r w:rsidRPr="005D5066">
        <w:rPr>
          <w:rFonts w:ascii="Times New Roman" w:hAnsi="Times New Roman" w:cs="Times New Roman"/>
        </w:rPr>
        <w:t xml:space="preserve"> Среднегодовой курс доллара США к рублю по данным Центрального банка. </w:t>
      </w:r>
      <w:r w:rsidRPr="005D5066">
        <w:rPr>
          <w:rFonts w:ascii="Times New Roman" w:hAnsi="Times New Roman" w:cs="Times New Roman"/>
          <w:lang w:val="en-US"/>
        </w:rPr>
        <w:t>URL</w:t>
      </w:r>
      <w:r w:rsidRPr="005D5066">
        <w:rPr>
          <w:rFonts w:ascii="Times New Roman" w:hAnsi="Times New Roman" w:cs="Times New Roman"/>
        </w:rPr>
        <w:t>: https://ratestats.com/</w:t>
      </w:r>
    </w:p>
  </w:footnote>
  <w:footnote w:id="6">
    <w:p w14:paraId="1B4D177E" w14:textId="4A6DF90A" w:rsidR="007234D0" w:rsidRPr="007234D0" w:rsidRDefault="007234D0" w:rsidP="007234D0">
      <w:pPr>
        <w:pStyle w:val="ad"/>
        <w:jc w:val="both"/>
        <w:rPr>
          <w:rFonts w:ascii="Times New Roman" w:hAnsi="Times New Roman" w:cs="Times New Roman"/>
          <w:lang w:val="en-US"/>
        </w:rPr>
      </w:pPr>
      <w:r w:rsidRPr="007234D0">
        <w:rPr>
          <w:rStyle w:val="af"/>
          <w:rFonts w:ascii="Times New Roman" w:hAnsi="Times New Roman" w:cs="Times New Roman"/>
        </w:rPr>
        <w:footnoteRef/>
      </w:r>
      <w:r w:rsidRPr="007234D0">
        <w:rPr>
          <w:rFonts w:ascii="Times New Roman" w:hAnsi="Times New Roman" w:cs="Times New Roman"/>
        </w:rPr>
        <w:t xml:space="preserve"> Стоимость барреля нефти все еще ниже 3000 руб.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URL</w:t>
      </w:r>
      <w:r w:rsidRPr="007234D0">
        <w:rPr>
          <w:rFonts w:ascii="Times New Roman" w:hAnsi="Times New Roman" w:cs="Times New Roman"/>
          <w:lang w:val="en-US"/>
        </w:rPr>
        <w:t>: https://ru.investing.com/analysis/</w:t>
      </w:r>
      <w:r w:rsidRPr="007234D0">
        <w:rPr>
          <w:rFonts w:ascii="Times New Roman" w:hAnsi="Times New Roman" w:cs="Times New Roman"/>
        </w:rPr>
        <w:t>Стоимость</w:t>
      </w:r>
      <w:r w:rsidRPr="007234D0">
        <w:rPr>
          <w:rFonts w:ascii="Times New Roman" w:hAnsi="Times New Roman" w:cs="Times New Roman"/>
          <w:lang w:val="en-US"/>
        </w:rPr>
        <w:t>-</w:t>
      </w:r>
      <w:r w:rsidRPr="007234D0">
        <w:rPr>
          <w:rFonts w:ascii="Times New Roman" w:hAnsi="Times New Roman" w:cs="Times New Roman"/>
        </w:rPr>
        <w:t>барреля</w:t>
      </w:r>
      <w:r w:rsidRPr="007234D0">
        <w:rPr>
          <w:rFonts w:ascii="Times New Roman" w:hAnsi="Times New Roman" w:cs="Times New Roman"/>
          <w:lang w:val="en-US"/>
        </w:rPr>
        <w:t>-</w:t>
      </w:r>
      <w:r w:rsidRPr="007234D0">
        <w:rPr>
          <w:rFonts w:ascii="Times New Roman" w:hAnsi="Times New Roman" w:cs="Times New Roman"/>
        </w:rPr>
        <w:t>нефти</w:t>
      </w:r>
      <w:r w:rsidRPr="007234D0">
        <w:rPr>
          <w:rFonts w:ascii="Times New Roman" w:hAnsi="Times New Roman" w:cs="Times New Roman"/>
          <w:lang w:val="en-US"/>
        </w:rPr>
        <w:t>-</w:t>
      </w:r>
      <w:r w:rsidRPr="007234D0">
        <w:rPr>
          <w:rFonts w:ascii="Times New Roman" w:hAnsi="Times New Roman" w:cs="Times New Roman"/>
        </w:rPr>
        <w:t>все</w:t>
      </w:r>
      <w:r w:rsidRPr="007234D0">
        <w:rPr>
          <w:rFonts w:ascii="Times New Roman" w:hAnsi="Times New Roman" w:cs="Times New Roman"/>
          <w:lang w:val="en-US"/>
        </w:rPr>
        <w:t>-</w:t>
      </w:r>
      <w:r w:rsidRPr="007234D0">
        <w:rPr>
          <w:rFonts w:ascii="Times New Roman" w:hAnsi="Times New Roman" w:cs="Times New Roman"/>
        </w:rPr>
        <w:t>еще</w:t>
      </w:r>
      <w:r w:rsidRPr="007234D0">
        <w:rPr>
          <w:rFonts w:ascii="Times New Roman" w:hAnsi="Times New Roman" w:cs="Times New Roman"/>
          <w:lang w:val="en-US"/>
        </w:rPr>
        <w:t>-</w:t>
      </w:r>
      <w:r w:rsidRPr="007234D0">
        <w:rPr>
          <w:rFonts w:ascii="Times New Roman" w:hAnsi="Times New Roman" w:cs="Times New Roman"/>
        </w:rPr>
        <w:t>ниже</w:t>
      </w:r>
      <w:r w:rsidRPr="007234D0">
        <w:rPr>
          <w:rFonts w:ascii="Times New Roman" w:hAnsi="Times New Roman" w:cs="Times New Roman"/>
          <w:lang w:val="en-US"/>
        </w:rPr>
        <w:t>-3000-</w:t>
      </w:r>
      <w:proofErr w:type="spellStart"/>
      <w:r w:rsidRPr="007234D0">
        <w:rPr>
          <w:rFonts w:ascii="Times New Roman" w:hAnsi="Times New Roman" w:cs="Times New Roman"/>
        </w:rPr>
        <w:t>руб</w:t>
      </w:r>
      <w:proofErr w:type="spellEnd"/>
      <w:r w:rsidRPr="007234D0">
        <w:rPr>
          <w:rFonts w:ascii="Times New Roman" w:hAnsi="Times New Roman" w:cs="Times New Roman"/>
          <w:lang w:val="en-US"/>
        </w:rPr>
        <w:t>.-200192002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0468E"/>
    <w:multiLevelType w:val="hybridMultilevel"/>
    <w:tmpl w:val="057804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39273A"/>
    <w:multiLevelType w:val="hybridMultilevel"/>
    <w:tmpl w:val="1658B130"/>
    <w:lvl w:ilvl="0" w:tplc="C1962E00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2E2B51FB"/>
    <w:multiLevelType w:val="hybridMultilevel"/>
    <w:tmpl w:val="AED80346"/>
    <w:lvl w:ilvl="0" w:tplc="E02220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0AC7B8B"/>
    <w:multiLevelType w:val="hybridMultilevel"/>
    <w:tmpl w:val="CD5CD606"/>
    <w:lvl w:ilvl="0" w:tplc="A21EC40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5B342CD"/>
    <w:multiLevelType w:val="hybridMultilevel"/>
    <w:tmpl w:val="976C8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786BF6"/>
    <w:multiLevelType w:val="hybridMultilevel"/>
    <w:tmpl w:val="FE605A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1E72C9"/>
    <w:multiLevelType w:val="hybridMultilevel"/>
    <w:tmpl w:val="FAFE71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8E7CCD"/>
    <w:multiLevelType w:val="hybridMultilevel"/>
    <w:tmpl w:val="99FCC256"/>
    <w:lvl w:ilvl="0" w:tplc="6A5012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6"/>
  </w:num>
  <w:num w:numId="5">
    <w:abstractNumId w:val="2"/>
  </w:num>
  <w:num w:numId="6">
    <w:abstractNumId w:val="5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140"/>
    <w:rsid w:val="00010C85"/>
    <w:rsid w:val="000654AA"/>
    <w:rsid w:val="00081733"/>
    <w:rsid w:val="00082025"/>
    <w:rsid w:val="000D2B6C"/>
    <w:rsid w:val="000E3413"/>
    <w:rsid w:val="00185E01"/>
    <w:rsid w:val="001C3405"/>
    <w:rsid w:val="001C4D69"/>
    <w:rsid w:val="00236A4B"/>
    <w:rsid w:val="00282667"/>
    <w:rsid w:val="00297A0C"/>
    <w:rsid w:val="002D7AB4"/>
    <w:rsid w:val="00310C20"/>
    <w:rsid w:val="00316631"/>
    <w:rsid w:val="00323392"/>
    <w:rsid w:val="00355C41"/>
    <w:rsid w:val="00357E41"/>
    <w:rsid w:val="00366318"/>
    <w:rsid w:val="003771B9"/>
    <w:rsid w:val="003E7E13"/>
    <w:rsid w:val="003F1A35"/>
    <w:rsid w:val="00430256"/>
    <w:rsid w:val="004A4100"/>
    <w:rsid w:val="004B0382"/>
    <w:rsid w:val="004B6ADF"/>
    <w:rsid w:val="00513C40"/>
    <w:rsid w:val="005246A2"/>
    <w:rsid w:val="00536746"/>
    <w:rsid w:val="00584AE6"/>
    <w:rsid w:val="005C3D1C"/>
    <w:rsid w:val="005D5066"/>
    <w:rsid w:val="005F1028"/>
    <w:rsid w:val="005F64FA"/>
    <w:rsid w:val="00654574"/>
    <w:rsid w:val="00710494"/>
    <w:rsid w:val="007234D0"/>
    <w:rsid w:val="007559B3"/>
    <w:rsid w:val="007B0771"/>
    <w:rsid w:val="00831B2D"/>
    <w:rsid w:val="0085373F"/>
    <w:rsid w:val="008A0448"/>
    <w:rsid w:val="008B7272"/>
    <w:rsid w:val="008D01B8"/>
    <w:rsid w:val="009004EA"/>
    <w:rsid w:val="0091263A"/>
    <w:rsid w:val="009254A9"/>
    <w:rsid w:val="00931211"/>
    <w:rsid w:val="00990747"/>
    <w:rsid w:val="009925F1"/>
    <w:rsid w:val="00994A61"/>
    <w:rsid w:val="009A27DD"/>
    <w:rsid w:val="009A3140"/>
    <w:rsid w:val="009A7BCE"/>
    <w:rsid w:val="009E056C"/>
    <w:rsid w:val="00A31EE6"/>
    <w:rsid w:val="00B11FDD"/>
    <w:rsid w:val="00B37802"/>
    <w:rsid w:val="00B56A3C"/>
    <w:rsid w:val="00B97C72"/>
    <w:rsid w:val="00BD1E84"/>
    <w:rsid w:val="00C00328"/>
    <w:rsid w:val="00C170F6"/>
    <w:rsid w:val="00C86519"/>
    <w:rsid w:val="00C91F51"/>
    <w:rsid w:val="00C92384"/>
    <w:rsid w:val="00CC0777"/>
    <w:rsid w:val="00E41E6B"/>
    <w:rsid w:val="00E8016F"/>
    <w:rsid w:val="00F039F8"/>
    <w:rsid w:val="00F04FBF"/>
    <w:rsid w:val="00F27362"/>
    <w:rsid w:val="00F56F40"/>
    <w:rsid w:val="00FD4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984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08202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082025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082025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082025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082025"/>
    <w:rPr>
      <w:b/>
      <w:bCs/>
      <w:sz w:val="20"/>
      <w:szCs w:val="20"/>
    </w:rPr>
  </w:style>
  <w:style w:type="paragraph" w:styleId="a8">
    <w:name w:val="Revision"/>
    <w:hidden/>
    <w:uiPriority w:val="99"/>
    <w:semiHidden/>
    <w:rsid w:val="00082025"/>
    <w:pPr>
      <w:spacing w:after="0" w:line="240" w:lineRule="auto"/>
    </w:pPr>
  </w:style>
  <w:style w:type="paragraph" w:styleId="a9">
    <w:name w:val="Balloon Text"/>
    <w:basedOn w:val="a"/>
    <w:link w:val="aa"/>
    <w:uiPriority w:val="99"/>
    <w:semiHidden/>
    <w:unhideWhenUsed/>
    <w:rsid w:val="000820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82025"/>
    <w:rPr>
      <w:rFonts w:ascii="Segoe UI" w:hAnsi="Segoe UI" w:cs="Segoe UI"/>
      <w:sz w:val="18"/>
      <w:szCs w:val="18"/>
    </w:rPr>
  </w:style>
  <w:style w:type="character" w:styleId="ab">
    <w:name w:val="Hyperlink"/>
    <w:rsid w:val="00185E0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C170F6"/>
    <w:pPr>
      <w:ind w:left="720"/>
      <w:contextualSpacing/>
    </w:pPr>
  </w:style>
  <w:style w:type="paragraph" w:styleId="ad">
    <w:name w:val="footnote text"/>
    <w:basedOn w:val="a"/>
    <w:link w:val="ae"/>
    <w:uiPriority w:val="99"/>
    <w:semiHidden/>
    <w:unhideWhenUsed/>
    <w:rsid w:val="003E7E13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3E7E13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3E7E13"/>
    <w:rPr>
      <w:vertAlign w:val="superscript"/>
    </w:rPr>
  </w:style>
  <w:style w:type="paragraph" w:styleId="af0">
    <w:name w:val="No Spacing"/>
    <w:link w:val="af1"/>
    <w:uiPriority w:val="1"/>
    <w:qFormat/>
    <w:rsid w:val="009A27D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1">
    <w:name w:val="Без интервала Знак"/>
    <w:link w:val="af0"/>
    <w:uiPriority w:val="1"/>
    <w:locked/>
    <w:rsid w:val="009A27DD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2">
    <w:name w:val="Table Grid"/>
    <w:basedOn w:val="a1"/>
    <w:uiPriority w:val="59"/>
    <w:rsid w:val="008B72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header"/>
    <w:basedOn w:val="a"/>
    <w:link w:val="af4"/>
    <w:uiPriority w:val="99"/>
    <w:unhideWhenUsed/>
    <w:rsid w:val="005246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5246A2"/>
  </w:style>
  <w:style w:type="paragraph" w:styleId="af5">
    <w:name w:val="footer"/>
    <w:basedOn w:val="a"/>
    <w:link w:val="af6"/>
    <w:uiPriority w:val="99"/>
    <w:unhideWhenUsed/>
    <w:rsid w:val="005246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5246A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082025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082025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082025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082025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082025"/>
    <w:rPr>
      <w:b/>
      <w:bCs/>
      <w:sz w:val="20"/>
      <w:szCs w:val="20"/>
    </w:rPr>
  </w:style>
  <w:style w:type="paragraph" w:styleId="a8">
    <w:name w:val="Revision"/>
    <w:hidden/>
    <w:uiPriority w:val="99"/>
    <w:semiHidden/>
    <w:rsid w:val="00082025"/>
    <w:pPr>
      <w:spacing w:after="0" w:line="240" w:lineRule="auto"/>
    </w:pPr>
  </w:style>
  <w:style w:type="paragraph" w:styleId="a9">
    <w:name w:val="Balloon Text"/>
    <w:basedOn w:val="a"/>
    <w:link w:val="aa"/>
    <w:uiPriority w:val="99"/>
    <w:semiHidden/>
    <w:unhideWhenUsed/>
    <w:rsid w:val="000820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082025"/>
    <w:rPr>
      <w:rFonts w:ascii="Segoe UI" w:hAnsi="Segoe UI" w:cs="Segoe UI"/>
      <w:sz w:val="18"/>
      <w:szCs w:val="18"/>
    </w:rPr>
  </w:style>
  <w:style w:type="character" w:styleId="ab">
    <w:name w:val="Hyperlink"/>
    <w:rsid w:val="00185E0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C170F6"/>
    <w:pPr>
      <w:ind w:left="720"/>
      <w:contextualSpacing/>
    </w:pPr>
  </w:style>
  <w:style w:type="paragraph" w:styleId="ad">
    <w:name w:val="footnote text"/>
    <w:basedOn w:val="a"/>
    <w:link w:val="ae"/>
    <w:uiPriority w:val="99"/>
    <w:semiHidden/>
    <w:unhideWhenUsed/>
    <w:rsid w:val="003E7E13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3E7E13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3E7E13"/>
    <w:rPr>
      <w:vertAlign w:val="superscript"/>
    </w:rPr>
  </w:style>
  <w:style w:type="paragraph" w:styleId="af0">
    <w:name w:val="No Spacing"/>
    <w:link w:val="af1"/>
    <w:uiPriority w:val="1"/>
    <w:qFormat/>
    <w:rsid w:val="009A27D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1">
    <w:name w:val="Без интервала Знак"/>
    <w:link w:val="af0"/>
    <w:uiPriority w:val="1"/>
    <w:locked/>
    <w:rsid w:val="009A27DD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f2">
    <w:name w:val="Table Grid"/>
    <w:basedOn w:val="a1"/>
    <w:uiPriority w:val="59"/>
    <w:rsid w:val="008B72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header"/>
    <w:basedOn w:val="a"/>
    <w:link w:val="af4"/>
    <w:uiPriority w:val="99"/>
    <w:unhideWhenUsed/>
    <w:rsid w:val="005246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5246A2"/>
  </w:style>
  <w:style w:type="paragraph" w:styleId="af5">
    <w:name w:val="footer"/>
    <w:basedOn w:val="a"/>
    <w:link w:val="af6"/>
    <w:uiPriority w:val="99"/>
    <w:unhideWhenUsed/>
    <w:rsid w:val="005246A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5246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74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0;%20&#1076;&#1086;&#1082;&#1091;&#1084;&#1077;&#1085;&#1090;&#1099;\&#1042;&#1086;&#1083;&#1053;&#1062;\&#1054;&#1058;&#1044;&#1045;&#1051;\&#1048;&#1040;&#1047;\&#1053;&#1077;&#1092;&#1090;&#1077;&#1075;&#1072;&#1079;&#1086;&#1074;&#1072;&#1103;%20&#1086;&#1090;&#1088;&#1072;&#1089;&#1083;&#1100;\&#1050;&#1085;&#1080;&#1075;&#1072;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0;%20&#1076;&#1086;&#1082;&#1091;&#1084;&#1077;&#1085;&#1090;&#1099;\&#1042;&#1086;&#1083;&#1053;&#1062;\&#1054;&#1058;&#1044;&#1045;&#1051;\&#1048;&#1040;&#1047;\&#1053;&#1077;&#1092;&#1090;&#1077;&#1075;&#1072;&#1079;&#1086;&#1074;&#1072;&#1103;%20&#1086;&#1090;&#1088;&#1072;&#1089;&#1083;&#1100;\&#1050;&#1085;&#1080;&#1075;&#1072;1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Лист1!$D$95:$D$103</c:f>
              <c:numCache>
                <c:formatCode>General</c:formatCod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</c:numCache>
            </c:numRef>
          </c:cat>
          <c:val>
            <c:numRef>
              <c:f>Лист1!$E$95:$E$103</c:f>
              <c:numCache>
                <c:formatCode>General</c:formatCode>
                <c:ptCount val="9"/>
                <c:pt idx="0">
                  <c:v>513.9</c:v>
                </c:pt>
                <c:pt idx="1">
                  <c:v>523.20000000000005</c:v>
                </c:pt>
                <c:pt idx="2">
                  <c:v>526.70000000000005</c:v>
                </c:pt>
                <c:pt idx="3">
                  <c:v>533.5</c:v>
                </c:pt>
                <c:pt idx="4">
                  <c:v>547.29999999999995</c:v>
                </c:pt>
                <c:pt idx="5">
                  <c:v>546.70000000000005</c:v>
                </c:pt>
                <c:pt idx="6">
                  <c:v>555.79999999999995</c:v>
                </c:pt>
                <c:pt idx="7">
                  <c:v>560.29999999999995</c:v>
                </c:pt>
                <c:pt idx="8">
                  <c:v>512.70000000000005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4A0-43E6-B80C-A2E97C309347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93723264"/>
        <c:axId val="36062720"/>
      </c:barChart>
      <c:catAx>
        <c:axId val="9372326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36062720"/>
        <c:crosses val="autoZero"/>
        <c:auto val="1"/>
        <c:lblAlgn val="ctr"/>
        <c:lblOffset val="100"/>
        <c:noMultiLvlLbl val="0"/>
      </c:catAx>
      <c:valAx>
        <c:axId val="360627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37232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8.516027254976774E-2"/>
          <c:y val="0.10151979061897433"/>
          <c:w val="0.90228165493045853"/>
          <c:h val="0.65206414041218808"/>
        </c:manualLayout>
      </c:layout>
      <c:lineChart>
        <c:grouping val="standard"/>
        <c:varyColors val="0"/>
        <c:ser>
          <c:idx val="0"/>
          <c:order val="0"/>
          <c:tx>
            <c:strRef>
              <c:f>Лист1!$H$55</c:f>
              <c:strCache>
                <c:ptCount val="1"/>
                <c:pt idx="0">
                  <c:v>Добыча нефти с газовым конденсатом в 2020 году в России, в тыс. тонн</c:v>
                </c:pt>
              </c:strCache>
            </c:strRef>
          </c:tx>
          <c:marker>
            <c:symbol val="none"/>
          </c:marker>
          <c:dLbls>
            <c:dLbl>
              <c:idx val="1"/>
              <c:layout>
                <c:manualLayout>
                  <c:x val="-5.1339288630926169E-2"/>
                  <c:y val="5.164518734695885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3"/>
              <c:layout>
                <c:manualLayout>
                  <c:x val="-7.4129495792076575E-2"/>
                  <c:y val="8.629057307035256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8.2460325692355563E-2"/>
                  <c:y val="5.166330645161290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5.1339288630926169E-2"/>
                  <c:y val="7.244037963377750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6"/>
              <c:layout>
                <c:manualLayout>
                  <c:x val="-6.5835286472683316E-2"/>
                  <c:y val="-7.572438044949304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8"/>
              <c:layout>
                <c:manualLayout>
                  <c:x val="-5.1320420163745328E-2"/>
                  <c:y val="8.629057307035260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0"/>
              <c:layout>
                <c:manualLayout>
                  <c:x val="-4.7190659246608903E-2"/>
                  <c:y val="7.950773374438988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Лист1!$G$56:$G$67</c:f>
              <c:numCache>
                <c:formatCode>mmm\-yy</c:formatCode>
                <c:ptCount val="12"/>
                <c:pt idx="0">
                  <c:v>43831</c:v>
                </c:pt>
                <c:pt idx="1">
                  <c:v>43862</c:v>
                </c:pt>
                <c:pt idx="2">
                  <c:v>43891</c:v>
                </c:pt>
                <c:pt idx="3">
                  <c:v>43922</c:v>
                </c:pt>
                <c:pt idx="4">
                  <c:v>43952</c:v>
                </c:pt>
                <c:pt idx="5">
                  <c:v>43983</c:v>
                </c:pt>
                <c:pt idx="6">
                  <c:v>44013</c:v>
                </c:pt>
                <c:pt idx="7">
                  <c:v>44044</c:v>
                </c:pt>
                <c:pt idx="8">
                  <c:v>44075</c:v>
                </c:pt>
                <c:pt idx="9">
                  <c:v>44105</c:v>
                </c:pt>
                <c:pt idx="10">
                  <c:v>44136</c:v>
                </c:pt>
                <c:pt idx="11">
                  <c:v>44166</c:v>
                </c:pt>
              </c:numCache>
            </c:numRef>
          </c:cat>
          <c:val>
            <c:numRef>
              <c:f>Лист1!$H$56:$H$67</c:f>
              <c:numCache>
                <c:formatCode>General</c:formatCode>
                <c:ptCount val="12"/>
                <c:pt idx="0">
                  <c:v>47874.7</c:v>
                </c:pt>
                <c:pt idx="1">
                  <c:v>44711.1</c:v>
                </c:pt>
                <c:pt idx="2">
                  <c:v>47779.9</c:v>
                </c:pt>
                <c:pt idx="3">
                  <c:v>46406.400000000001</c:v>
                </c:pt>
                <c:pt idx="4">
                  <c:v>39739.699999999997</c:v>
                </c:pt>
                <c:pt idx="5">
                  <c:v>38182.5</c:v>
                </c:pt>
                <c:pt idx="6">
                  <c:v>39677.1</c:v>
                </c:pt>
                <c:pt idx="7" formatCode="0.0">
                  <c:v>41748</c:v>
                </c:pt>
                <c:pt idx="8">
                  <c:v>40788.199999999997</c:v>
                </c:pt>
                <c:pt idx="9">
                  <c:v>42280.7</c:v>
                </c:pt>
                <c:pt idx="10">
                  <c:v>41033.199999999997</c:v>
                </c:pt>
                <c:pt idx="11">
                  <c:v>42456.800000000003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6098048"/>
        <c:axId val="36099584"/>
      </c:lineChart>
      <c:dateAx>
        <c:axId val="36098048"/>
        <c:scaling>
          <c:orientation val="minMax"/>
        </c:scaling>
        <c:delete val="0"/>
        <c:axPos val="b"/>
        <c:numFmt formatCode="mmm\-yy" sourceLinked="1"/>
        <c:majorTickMark val="out"/>
        <c:minorTickMark val="none"/>
        <c:tickLblPos val="nextTo"/>
        <c:crossAx val="36099584"/>
        <c:crosses val="autoZero"/>
        <c:auto val="1"/>
        <c:lblOffset val="100"/>
        <c:baseTimeUnit val="months"/>
      </c:dateAx>
      <c:valAx>
        <c:axId val="36099584"/>
        <c:scaling>
          <c:orientation val="minMax"/>
          <c:min val="35000"/>
        </c:scaling>
        <c:delete val="0"/>
        <c:axPos val="l"/>
        <c:numFmt formatCode="General" sourceLinked="1"/>
        <c:majorTickMark val="out"/>
        <c:minorTickMark val="none"/>
        <c:tickLblPos val="nextTo"/>
        <c:crossAx val="3609804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2.2222222222222223E-2"/>
          <c:y val="0.90846277738010017"/>
          <c:w val="0.7431624381135562"/>
          <c:h val="6.565020281555714E-2"/>
        </c:manualLayout>
      </c:layout>
      <c:overlay val="0"/>
      <c:txPr>
        <a:bodyPr/>
        <a:lstStyle/>
        <a:p>
          <a:pPr>
            <a:defRPr>
              <a:ln>
                <a:noFill/>
              </a:ln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000">
          <a:ln>
            <a:noFill/>
          </a:ln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Лист1!$D$133:$D$141</c:f>
              <c:numCache>
                <c:formatCode>General</c:formatCod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</c:numCache>
            </c:numRef>
          </c:cat>
          <c:val>
            <c:numRef>
              <c:f>Лист1!$E$133:$E$141</c:f>
              <c:numCache>
                <c:formatCode>0.0</c:formatCode>
                <c:ptCount val="9"/>
                <c:pt idx="0">
                  <c:v>261.81010000000003</c:v>
                </c:pt>
                <c:pt idx="1">
                  <c:v>272.49200000000002</c:v>
                </c:pt>
                <c:pt idx="2">
                  <c:v>288.48540000000003</c:v>
                </c:pt>
                <c:pt idx="3">
                  <c:v>281.85470000000004</c:v>
                </c:pt>
                <c:pt idx="4">
                  <c:v>279.68448700000005</c:v>
                </c:pt>
                <c:pt idx="5">
                  <c:v>279.5453</c:v>
                </c:pt>
                <c:pt idx="6">
                  <c:v>286.12459999999999</c:v>
                </c:pt>
                <c:pt idx="7">
                  <c:v>285.04579999999999</c:v>
                </c:pt>
                <c:pt idx="8">
                  <c:v>270.00509999999997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54D-4AD1-A3CE-849EC6472DDC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93459584"/>
        <c:axId val="93659136"/>
      </c:barChart>
      <c:catAx>
        <c:axId val="934595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3659136"/>
        <c:crosses val="autoZero"/>
        <c:auto val="1"/>
        <c:lblAlgn val="ctr"/>
        <c:lblOffset val="100"/>
        <c:noMultiLvlLbl val="0"/>
      </c:catAx>
      <c:valAx>
        <c:axId val="936591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9345958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8.6349665078801388E-2"/>
          <c:y val="5.1400554097404488E-2"/>
          <c:w val="0.89415633328050226"/>
          <c:h val="0.63902667684934034"/>
        </c:manualLayout>
      </c:layout>
      <c:lineChart>
        <c:grouping val="standard"/>
        <c:varyColors val="0"/>
        <c:ser>
          <c:idx val="0"/>
          <c:order val="0"/>
          <c:tx>
            <c:strRef>
              <c:f>Лист1!$G$6</c:f>
              <c:strCache>
                <c:ptCount val="1"/>
                <c:pt idx="0">
                  <c:v>Средняя цена на нефть марки Urals, в долл. США</c:v>
                </c:pt>
              </c:strCache>
            </c:strRef>
          </c:tx>
          <c:marker>
            <c:symbol val="none"/>
          </c:marker>
          <c:dLbls>
            <c:dLbl>
              <c:idx val="3"/>
              <c:layout>
                <c:manualLayout>
                  <c:x val="-3.8443246170159963E-2"/>
                  <c:y val="4.387253656988355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-3.4622806819634651E-2"/>
                  <c:y val="5.209030617015377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5"/>
              <c:layout>
                <c:manualLayout>
                  <c:x val="-2.3161488768058722E-2"/>
                  <c:y val="4.387253656988355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3.6533026494897307E-2"/>
                  <c:y val="6.0308075770423991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Лист1!$F$7:$F$15</c:f>
              <c:numCache>
                <c:formatCode>General</c:formatCod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</c:numCache>
            </c:numRef>
          </c:cat>
          <c:val>
            <c:numRef>
              <c:f>Лист1!$G$7:$G$15</c:f>
              <c:numCache>
                <c:formatCode>0.0</c:formatCode>
                <c:ptCount val="9"/>
                <c:pt idx="0">
                  <c:v>110.5</c:v>
                </c:pt>
                <c:pt idx="1">
                  <c:v>107.9</c:v>
                </c:pt>
                <c:pt idx="2">
                  <c:v>97.6</c:v>
                </c:pt>
                <c:pt idx="3">
                  <c:v>51.2</c:v>
                </c:pt>
                <c:pt idx="4">
                  <c:v>41.9</c:v>
                </c:pt>
                <c:pt idx="5">
                  <c:v>53</c:v>
                </c:pt>
                <c:pt idx="6">
                  <c:v>70</c:v>
                </c:pt>
                <c:pt idx="7">
                  <c:v>63.6</c:v>
                </c:pt>
                <c:pt idx="8">
                  <c:v>41.7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Лист1!$H$6</c:f>
              <c:strCache>
                <c:ptCount val="1"/>
                <c:pt idx="0">
                  <c:v>Средней курс доллара по данным Центрального Банка России, в руб.</c:v>
                </c:pt>
              </c:strCache>
            </c:strRef>
          </c:tx>
          <c:marker>
            <c:symbol val="none"/>
          </c:marker>
          <c:dLbls>
            <c:dLbl>
              <c:idx val="6"/>
              <c:layout>
                <c:manualLayout>
                  <c:x val="-2.8892147793846686E-2"/>
                  <c:y val="4.798142137001866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7"/>
              <c:layout>
                <c:manualLayout>
                  <c:x val="-3.4622806819634651E-2"/>
                  <c:y val="-7.117623783389946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Лист1!$F$7:$F$15</c:f>
              <c:numCache>
                <c:formatCode>General</c:formatCode>
                <c:ptCount val="9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</c:numCache>
            </c:numRef>
          </c:cat>
          <c:val>
            <c:numRef>
              <c:f>Лист1!$H$7:$H$15</c:f>
              <c:numCache>
                <c:formatCode>0.0</c:formatCode>
                <c:ptCount val="9"/>
                <c:pt idx="0">
                  <c:v>31.07</c:v>
                </c:pt>
                <c:pt idx="1">
                  <c:v>31.91</c:v>
                </c:pt>
                <c:pt idx="2">
                  <c:v>38.6</c:v>
                </c:pt>
                <c:pt idx="3">
                  <c:v>61.32</c:v>
                </c:pt>
                <c:pt idx="4">
                  <c:v>66.83</c:v>
                </c:pt>
                <c:pt idx="5">
                  <c:v>58.3</c:v>
                </c:pt>
                <c:pt idx="6">
                  <c:v>62.93</c:v>
                </c:pt>
                <c:pt idx="7">
                  <c:v>64.62</c:v>
                </c:pt>
                <c:pt idx="8">
                  <c:v>72.319999999999993</c:v>
                </c:pt>
              </c:numCache>
            </c:numRef>
          </c:val>
          <c:smooth val="0"/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93676288"/>
        <c:axId val="93677824"/>
      </c:lineChart>
      <c:catAx>
        <c:axId val="9367628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93677824"/>
        <c:crosses val="autoZero"/>
        <c:auto val="1"/>
        <c:lblAlgn val="ctr"/>
        <c:lblOffset val="100"/>
        <c:noMultiLvlLbl val="0"/>
      </c:catAx>
      <c:valAx>
        <c:axId val="93677824"/>
        <c:scaling>
          <c:orientation val="minMax"/>
        </c:scaling>
        <c:delete val="0"/>
        <c:axPos val="l"/>
        <c:numFmt formatCode="0.0" sourceLinked="1"/>
        <c:majorTickMark val="out"/>
        <c:minorTickMark val="none"/>
        <c:tickLblPos val="nextTo"/>
        <c:crossAx val="9367628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1.9527777777777776E-2"/>
          <c:y val="0.82190698818897634"/>
          <c:w val="0.81720837772416866"/>
          <c:h val="0.16085046028762881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0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1D0EE-EC49-4A85-812C-38D83F679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5</Pages>
  <Words>1243</Words>
  <Characters>7086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Кремин</dc:creator>
  <cp:keywords/>
  <dc:description/>
  <cp:lastModifiedBy>Михаил Конста. Малышев</cp:lastModifiedBy>
  <cp:revision>33</cp:revision>
  <dcterms:created xsi:type="dcterms:W3CDTF">2021-03-28T14:18:00Z</dcterms:created>
  <dcterms:modified xsi:type="dcterms:W3CDTF">2021-03-31T13:20:00Z</dcterms:modified>
</cp:coreProperties>
</file>