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72" w:rsidRPr="00ED4572" w:rsidRDefault="00ED4572" w:rsidP="00ED457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4572">
        <w:rPr>
          <w:rFonts w:ascii="Times New Roman" w:hAnsi="Times New Roman" w:cs="Times New Roman"/>
          <w:b/>
          <w:sz w:val="24"/>
          <w:szCs w:val="24"/>
        </w:rPr>
        <w:t>УДК</w:t>
      </w:r>
      <w:r w:rsidR="00DA0E3E" w:rsidRPr="00DA0E3E">
        <w:t xml:space="preserve"> </w:t>
      </w:r>
      <w:r w:rsidR="00DA0E3E" w:rsidRPr="00DA0E3E">
        <w:rPr>
          <w:rFonts w:ascii="Times New Roman" w:hAnsi="Times New Roman" w:cs="Times New Roman"/>
          <w:b/>
          <w:sz w:val="24"/>
          <w:szCs w:val="24"/>
        </w:rPr>
        <w:t>338.001.36</w:t>
      </w:r>
      <w:r w:rsidR="00DA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72">
        <w:rPr>
          <w:rFonts w:ascii="Times New Roman" w:hAnsi="Times New Roman" w:cs="Times New Roman"/>
          <w:b/>
          <w:sz w:val="24"/>
          <w:szCs w:val="24"/>
        </w:rPr>
        <w:t>/</w:t>
      </w:r>
      <w:r w:rsidR="00DA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72">
        <w:rPr>
          <w:rFonts w:ascii="Times New Roman" w:hAnsi="Times New Roman" w:cs="Times New Roman"/>
          <w:b/>
          <w:sz w:val="24"/>
          <w:szCs w:val="24"/>
        </w:rPr>
        <w:t>ББК</w:t>
      </w:r>
      <w:r w:rsidR="00DA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3E" w:rsidRPr="00DA0E3E">
        <w:rPr>
          <w:rFonts w:ascii="Times New Roman" w:hAnsi="Times New Roman" w:cs="Times New Roman"/>
          <w:b/>
          <w:sz w:val="24"/>
          <w:szCs w:val="24"/>
        </w:rPr>
        <w:t>65.053</w:t>
      </w:r>
    </w:p>
    <w:p w:rsidR="00ED4572" w:rsidRDefault="00ED4572" w:rsidP="002A43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572">
        <w:rPr>
          <w:rFonts w:ascii="Times New Roman" w:hAnsi="Times New Roman" w:cs="Times New Roman"/>
          <w:b/>
          <w:sz w:val="24"/>
          <w:szCs w:val="24"/>
        </w:rPr>
        <w:t>Коваленко А.И.</w:t>
      </w:r>
    </w:p>
    <w:p w:rsidR="00FC78A1" w:rsidRDefault="00FC78A1" w:rsidP="002A43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Туралина А.Г.</w:t>
      </w:r>
    </w:p>
    <w:p w:rsidR="00ED4572" w:rsidRDefault="00E71262" w:rsidP="001A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</w:t>
      </w:r>
      <w:r w:rsidR="00BB700A">
        <w:rPr>
          <w:rFonts w:ascii="Times New Roman" w:hAnsi="Times New Roman" w:cs="Times New Roman"/>
          <w:b/>
          <w:sz w:val="24"/>
          <w:szCs w:val="24"/>
        </w:rPr>
        <w:t>Л</w:t>
      </w:r>
      <w:r w:rsidR="001A77AB">
        <w:rPr>
          <w:rFonts w:ascii="Times New Roman" w:hAnsi="Times New Roman" w:cs="Times New Roman"/>
          <w:b/>
          <w:sz w:val="24"/>
          <w:szCs w:val="24"/>
        </w:rPr>
        <w:t>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КОНКУРЕНТОСПОСОБНОСТИ </w:t>
      </w:r>
      <w:r w:rsidR="001A77AB">
        <w:rPr>
          <w:rFonts w:ascii="Times New Roman" w:hAnsi="Times New Roman" w:cs="Times New Roman"/>
          <w:b/>
          <w:sz w:val="24"/>
          <w:szCs w:val="24"/>
        </w:rPr>
        <w:t>ЭКОНОМИКИ РОССИЙСКОЙ ФЕДЕРАЦИИ</w:t>
      </w:r>
    </w:p>
    <w:p w:rsidR="00ED4572" w:rsidRDefault="00ED4572" w:rsidP="00ED4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572" w:rsidRPr="00FC78A1" w:rsidRDefault="00ED4572" w:rsidP="008562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8A1" w:rsidRPr="00FC78A1">
        <w:rPr>
          <w:rFonts w:ascii="Times New Roman" w:hAnsi="Times New Roman" w:cs="Times New Roman"/>
          <w:i/>
          <w:sz w:val="24"/>
          <w:szCs w:val="24"/>
        </w:rPr>
        <w:t xml:space="preserve">В статье исследованы направления повышения </w:t>
      </w:r>
      <w:r w:rsidR="001C6644">
        <w:rPr>
          <w:rFonts w:ascii="Times New Roman" w:hAnsi="Times New Roman" w:cs="Times New Roman"/>
          <w:i/>
          <w:sz w:val="24"/>
          <w:szCs w:val="24"/>
        </w:rPr>
        <w:t xml:space="preserve">конкурентоспособности </w:t>
      </w:r>
      <w:r w:rsidR="00FC78A1" w:rsidRPr="00FC78A1">
        <w:rPr>
          <w:rFonts w:ascii="Times New Roman" w:hAnsi="Times New Roman" w:cs="Times New Roman"/>
          <w:i/>
          <w:sz w:val="24"/>
          <w:szCs w:val="24"/>
        </w:rPr>
        <w:t xml:space="preserve">России в разрезе товарных позиций, проведена их оценка и анализ в современных условиях. Выявлены основные векторы развития российской экономики в направлении </w:t>
      </w:r>
      <w:r w:rsidR="001C6644">
        <w:rPr>
          <w:rFonts w:ascii="Times New Roman" w:hAnsi="Times New Roman" w:cs="Times New Roman"/>
          <w:i/>
          <w:sz w:val="24"/>
          <w:szCs w:val="24"/>
        </w:rPr>
        <w:t>наращивания конкурентных преимуществ</w:t>
      </w:r>
      <w:r w:rsidR="00FC78A1" w:rsidRPr="00FC78A1">
        <w:rPr>
          <w:rFonts w:ascii="Times New Roman" w:hAnsi="Times New Roman" w:cs="Times New Roman"/>
          <w:i/>
          <w:sz w:val="24"/>
          <w:szCs w:val="24"/>
        </w:rPr>
        <w:t>, предложены мероприятия по их достижению.</w:t>
      </w:r>
    </w:p>
    <w:p w:rsidR="00ED4572" w:rsidRDefault="00FA56EF" w:rsidP="00E712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слова. </w:t>
      </w:r>
      <w:r w:rsidR="00E71262">
        <w:rPr>
          <w:rFonts w:ascii="Times New Roman" w:hAnsi="Times New Roman" w:cs="Times New Roman"/>
          <w:i/>
          <w:sz w:val="24"/>
          <w:szCs w:val="24"/>
        </w:rPr>
        <w:t xml:space="preserve">конкурентоспособность, сырьевая экономика, инновации, </w:t>
      </w:r>
      <w:r w:rsidR="004A0224">
        <w:rPr>
          <w:rFonts w:ascii="Times New Roman" w:hAnsi="Times New Roman" w:cs="Times New Roman"/>
          <w:i/>
          <w:sz w:val="24"/>
          <w:szCs w:val="24"/>
        </w:rPr>
        <w:t xml:space="preserve">переходная стадия, </w:t>
      </w:r>
      <w:r w:rsidR="00E71262">
        <w:rPr>
          <w:rFonts w:ascii="Times New Roman" w:hAnsi="Times New Roman" w:cs="Times New Roman"/>
          <w:i/>
          <w:sz w:val="24"/>
          <w:szCs w:val="24"/>
        </w:rPr>
        <w:t>диверсификация экспорта.</w:t>
      </w:r>
    </w:p>
    <w:p w:rsidR="00ED4572" w:rsidRDefault="00ED4572" w:rsidP="00ED45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78A1" w:rsidRDefault="00ED4572" w:rsidP="002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C3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F80685" w:rsidRPr="00285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8A1" w:rsidRPr="00FC78A1">
        <w:rPr>
          <w:rFonts w:ascii="Times New Roman" w:hAnsi="Times New Roman" w:cs="Times New Roman"/>
          <w:sz w:val="24"/>
          <w:szCs w:val="24"/>
        </w:rPr>
        <w:t>В современных условиях развития мирового хозяйства, характеризующегося углублением финансово-экономических связей, открытостью национальных экономик, их взаимопроникновением и взаимным дополнением, интеграция Росси</w:t>
      </w:r>
      <w:r w:rsidR="00283547">
        <w:rPr>
          <w:rFonts w:ascii="Times New Roman" w:hAnsi="Times New Roman" w:cs="Times New Roman"/>
          <w:sz w:val="24"/>
          <w:szCs w:val="24"/>
        </w:rPr>
        <w:t>и</w:t>
      </w:r>
      <w:r w:rsidR="00283547" w:rsidRPr="0028354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C78A1" w:rsidRPr="00FC78A1">
        <w:rPr>
          <w:rFonts w:ascii="Times New Roman" w:hAnsi="Times New Roman" w:cs="Times New Roman"/>
          <w:sz w:val="24"/>
          <w:szCs w:val="24"/>
        </w:rPr>
        <w:t>в систе</w:t>
      </w:r>
      <w:r w:rsidR="00FC78A1" w:rsidRPr="00283547">
        <w:rPr>
          <w:rFonts w:ascii="Times New Roman" w:hAnsi="Times New Roman" w:cs="Times New Roman"/>
          <w:spacing w:val="-20"/>
          <w:sz w:val="24"/>
          <w:szCs w:val="24"/>
        </w:rPr>
        <w:t xml:space="preserve">му </w:t>
      </w:r>
      <w:r w:rsidR="00FC78A1" w:rsidRPr="00FC78A1">
        <w:rPr>
          <w:rFonts w:ascii="Times New Roman" w:hAnsi="Times New Roman" w:cs="Times New Roman"/>
          <w:sz w:val="24"/>
          <w:szCs w:val="24"/>
        </w:rPr>
        <w:t xml:space="preserve">международных экономических отношений является важной составляющей устойчивого </w:t>
      </w:r>
      <w:r w:rsidR="00283547">
        <w:rPr>
          <w:rFonts w:ascii="Times New Roman" w:hAnsi="Times New Roman" w:cs="Times New Roman"/>
          <w:sz w:val="24"/>
          <w:szCs w:val="24"/>
        </w:rPr>
        <w:t>роста</w:t>
      </w:r>
      <w:r w:rsidR="00FC78A1" w:rsidRPr="00FC78A1">
        <w:rPr>
          <w:rFonts w:ascii="Times New Roman" w:hAnsi="Times New Roman" w:cs="Times New Roman"/>
          <w:sz w:val="24"/>
          <w:szCs w:val="24"/>
        </w:rPr>
        <w:t>. Р</w:t>
      </w:r>
      <w:r w:rsidR="00283547">
        <w:rPr>
          <w:rFonts w:ascii="Times New Roman" w:hAnsi="Times New Roman" w:cs="Times New Roman"/>
          <w:sz w:val="24"/>
          <w:szCs w:val="24"/>
        </w:rPr>
        <w:t>азвитие</w:t>
      </w:r>
      <w:r w:rsidR="00FC78A1" w:rsidRPr="00FC78A1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283547">
        <w:rPr>
          <w:rFonts w:ascii="Times New Roman" w:hAnsi="Times New Roman" w:cs="Times New Roman"/>
          <w:sz w:val="24"/>
          <w:szCs w:val="24"/>
        </w:rPr>
        <w:t>страны</w:t>
      </w:r>
      <w:r w:rsidR="009E3BF2">
        <w:rPr>
          <w:rFonts w:ascii="Times New Roman" w:hAnsi="Times New Roman" w:cs="Times New Roman"/>
          <w:sz w:val="24"/>
          <w:szCs w:val="24"/>
        </w:rPr>
        <w:t>, ее интегрированность</w:t>
      </w:r>
      <w:r w:rsidR="00FC78A1" w:rsidRPr="00FC78A1">
        <w:rPr>
          <w:rFonts w:ascii="Times New Roman" w:hAnsi="Times New Roman" w:cs="Times New Roman"/>
          <w:sz w:val="24"/>
          <w:szCs w:val="24"/>
        </w:rPr>
        <w:t xml:space="preserve"> зависит от эффективности инновационной деятельности, инвестиционной привлекательности и конкурентоспособности субъектов хозяйствования. Необходимость выявления существующих и возможных конкурентных преимуществ, их анализ, оценка и применение обусловили актуальность </w:t>
      </w:r>
      <w:r w:rsidR="00690AF5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FC78A1" w:rsidRPr="00FC78A1">
        <w:rPr>
          <w:rFonts w:ascii="Times New Roman" w:hAnsi="Times New Roman" w:cs="Times New Roman"/>
          <w:sz w:val="24"/>
          <w:szCs w:val="24"/>
        </w:rPr>
        <w:t>темы исследования.</w:t>
      </w:r>
    </w:p>
    <w:p w:rsidR="00FC78A1" w:rsidRPr="00FC78A1" w:rsidRDefault="00ED4572" w:rsidP="00FC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C3">
        <w:rPr>
          <w:rFonts w:ascii="Times New Roman" w:hAnsi="Times New Roman" w:cs="Times New Roman"/>
          <w:b/>
          <w:sz w:val="24"/>
          <w:szCs w:val="24"/>
        </w:rPr>
        <w:t>Анализ последних исследований и публикаций.</w:t>
      </w:r>
      <w:r w:rsidR="0028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8A1" w:rsidRPr="00FC78A1">
        <w:rPr>
          <w:rFonts w:ascii="Times New Roman" w:hAnsi="Times New Roman" w:cs="Times New Roman"/>
          <w:sz w:val="24"/>
          <w:szCs w:val="24"/>
        </w:rPr>
        <w:t>Вопросы тео</w:t>
      </w:r>
      <w:r w:rsidR="00FA56EF">
        <w:rPr>
          <w:rFonts w:ascii="Times New Roman" w:hAnsi="Times New Roman" w:cs="Times New Roman"/>
          <w:sz w:val="24"/>
          <w:szCs w:val="24"/>
        </w:rPr>
        <w:t xml:space="preserve">ретического осмысления сущности понятия «конкурентоспособность» </w:t>
      </w:r>
      <w:r w:rsidR="00FC78A1" w:rsidRPr="00FC78A1">
        <w:rPr>
          <w:rFonts w:ascii="Times New Roman" w:hAnsi="Times New Roman" w:cs="Times New Roman"/>
          <w:sz w:val="24"/>
          <w:szCs w:val="24"/>
        </w:rPr>
        <w:t xml:space="preserve">всесторонне изучались зарубежными авторами, среди которых необходимо выделить труды Э. </w:t>
      </w:r>
      <w:proofErr w:type="spellStart"/>
      <w:r w:rsidR="00FC78A1" w:rsidRPr="00FC78A1">
        <w:rPr>
          <w:rFonts w:ascii="Times New Roman" w:hAnsi="Times New Roman" w:cs="Times New Roman"/>
          <w:sz w:val="24"/>
          <w:szCs w:val="24"/>
        </w:rPr>
        <w:t>Чемберлина</w:t>
      </w:r>
      <w:proofErr w:type="spellEnd"/>
      <w:r w:rsidR="00FC78A1" w:rsidRPr="00FC78A1">
        <w:rPr>
          <w:rFonts w:ascii="Times New Roman" w:hAnsi="Times New Roman" w:cs="Times New Roman"/>
          <w:sz w:val="24"/>
          <w:szCs w:val="24"/>
        </w:rPr>
        <w:t xml:space="preserve">, </w:t>
      </w:r>
      <w:r w:rsidR="00285526" w:rsidRPr="002855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78A1" w:rsidRPr="00FC78A1">
        <w:rPr>
          <w:rFonts w:ascii="Times New Roman" w:hAnsi="Times New Roman" w:cs="Times New Roman"/>
          <w:sz w:val="24"/>
          <w:szCs w:val="24"/>
        </w:rPr>
        <w:t>Дж. Робинсо</w:t>
      </w:r>
      <w:r w:rsidR="00FA56EF">
        <w:rPr>
          <w:rFonts w:ascii="Times New Roman" w:hAnsi="Times New Roman" w:cs="Times New Roman"/>
          <w:sz w:val="24"/>
          <w:szCs w:val="24"/>
        </w:rPr>
        <w:t xml:space="preserve">на, Й. </w:t>
      </w:r>
      <w:proofErr w:type="spellStart"/>
      <w:r w:rsidR="00FA56EF">
        <w:rPr>
          <w:rFonts w:ascii="Times New Roman" w:hAnsi="Times New Roman" w:cs="Times New Roman"/>
          <w:sz w:val="24"/>
          <w:szCs w:val="24"/>
        </w:rPr>
        <w:t>Шумпетера</w:t>
      </w:r>
      <w:proofErr w:type="spellEnd"/>
      <w:r w:rsidR="00FA56EF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="00FA56EF">
        <w:rPr>
          <w:rFonts w:ascii="Times New Roman" w:hAnsi="Times New Roman" w:cs="Times New Roman"/>
          <w:sz w:val="24"/>
          <w:szCs w:val="24"/>
        </w:rPr>
        <w:t>Гэлбрейта</w:t>
      </w:r>
      <w:proofErr w:type="spellEnd"/>
      <w:r w:rsidR="00FA56EF">
        <w:rPr>
          <w:rFonts w:ascii="Times New Roman" w:hAnsi="Times New Roman" w:cs="Times New Roman"/>
          <w:sz w:val="24"/>
          <w:szCs w:val="24"/>
        </w:rPr>
        <w:t>.</w:t>
      </w:r>
      <w:r w:rsidR="00FC78A1" w:rsidRPr="00FC78A1">
        <w:rPr>
          <w:rFonts w:ascii="Times New Roman" w:hAnsi="Times New Roman" w:cs="Times New Roman"/>
          <w:sz w:val="24"/>
          <w:szCs w:val="24"/>
        </w:rPr>
        <w:t xml:space="preserve"> </w:t>
      </w:r>
      <w:r w:rsidR="00FA56EF">
        <w:rPr>
          <w:rFonts w:ascii="Times New Roman" w:hAnsi="Times New Roman" w:cs="Times New Roman"/>
          <w:sz w:val="24"/>
          <w:szCs w:val="24"/>
        </w:rPr>
        <w:t xml:space="preserve">Среди российских авторов можно отметить работы С.Б. </w:t>
      </w:r>
      <w:proofErr w:type="spellStart"/>
      <w:r w:rsidR="00FA56EF">
        <w:rPr>
          <w:rFonts w:ascii="Times New Roman" w:hAnsi="Times New Roman" w:cs="Times New Roman"/>
          <w:sz w:val="24"/>
          <w:szCs w:val="24"/>
        </w:rPr>
        <w:t>Авдашева</w:t>
      </w:r>
      <w:proofErr w:type="spellEnd"/>
      <w:r w:rsidR="00FC78A1" w:rsidRPr="00FC78A1">
        <w:rPr>
          <w:rFonts w:ascii="Times New Roman" w:hAnsi="Times New Roman" w:cs="Times New Roman"/>
          <w:sz w:val="24"/>
          <w:szCs w:val="24"/>
        </w:rPr>
        <w:t xml:space="preserve">, </w:t>
      </w:r>
      <w:r w:rsidR="00FA56EF">
        <w:rPr>
          <w:rFonts w:ascii="Times New Roman" w:hAnsi="Times New Roman" w:cs="Times New Roman"/>
          <w:sz w:val="24"/>
          <w:szCs w:val="24"/>
        </w:rPr>
        <w:t xml:space="preserve">Г.Л. </w:t>
      </w:r>
      <w:proofErr w:type="spellStart"/>
      <w:r w:rsidR="00FA56EF">
        <w:rPr>
          <w:rFonts w:ascii="Times New Roman" w:hAnsi="Times New Roman" w:cs="Times New Roman"/>
          <w:sz w:val="24"/>
          <w:szCs w:val="24"/>
        </w:rPr>
        <w:t>Азоева</w:t>
      </w:r>
      <w:proofErr w:type="spellEnd"/>
      <w:r w:rsidR="00FC78A1" w:rsidRPr="00FC78A1">
        <w:rPr>
          <w:rFonts w:ascii="Times New Roman" w:hAnsi="Times New Roman" w:cs="Times New Roman"/>
          <w:sz w:val="24"/>
          <w:szCs w:val="24"/>
        </w:rPr>
        <w:t xml:space="preserve">, </w:t>
      </w:r>
      <w:r w:rsidR="00FA56EF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FA56EF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="00FC78A1" w:rsidRPr="00FC78A1">
        <w:rPr>
          <w:rFonts w:ascii="Times New Roman" w:hAnsi="Times New Roman" w:cs="Times New Roman"/>
          <w:sz w:val="24"/>
          <w:szCs w:val="24"/>
        </w:rPr>
        <w:t xml:space="preserve">, </w:t>
      </w:r>
      <w:r w:rsidR="00FA56EF">
        <w:rPr>
          <w:rFonts w:ascii="Times New Roman" w:hAnsi="Times New Roman" w:cs="Times New Roman"/>
          <w:sz w:val="24"/>
          <w:szCs w:val="24"/>
        </w:rPr>
        <w:t>В.М. Жуковской</w:t>
      </w:r>
      <w:r w:rsidR="00FC78A1" w:rsidRPr="00FC78A1">
        <w:rPr>
          <w:rFonts w:ascii="Times New Roman" w:hAnsi="Times New Roman" w:cs="Times New Roman"/>
          <w:sz w:val="24"/>
          <w:szCs w:val="24"/>
        </w:rPr>
        <w:t xml:space="preserve">, </w:t>
      </w:r>
      <w:r w:rsidR="00FA56EF">
        <w:rPr>
          <w:rFonts w:ascii="Times New Roman" w:hAnsi="Times New Roman" w:cs="Times New Roman"/>
          <w:sz w:val="24"/>
          <w:szCs w:val="24"/>
        </w:rPr>
        <w:t>П.С. Завьялова.</w:t>
      </w:r>
      <w:r w:rsidR="00FC78A1" w:rsidRPr="00FC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72" w:rsidRPr="00286342" w:rsidRDefault="00FC78A1" w:rsidP="00FC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8A1">
        <w:rPr>
          <w:rFonts w:ascii="Times New Roman" w:hAnsi="Times New Roman" w:cs="Times New Roman"/>
          <w:sz w:val="24"/>
          <w:szCs w:val="24"/>
        </w:rPr>
        <w:t xml:space="preserve">Практической разработкой моделей, выявлением факторов и направлений по модернизации существующих механизмов реализации конкурентных преимуществ занимались такие ученые как – Р. </w:t>
      </w:r>
      <w:proofErr w:type="spellStart"/>
      <w:r w:rsidRPr="00FC78A1">
        <w:rPr>
          <w:rFonts w:ascii="Times New Roman" w:hAnsi="Times New Roman" w:cs="Times New Roman"/>
          <w:sz w:val="24"/>
          <w:szCs w:val="24"/>
        </w:rPr>
        <w:t>Фармер</w:t>
      </w:r>
      <w:proofErr w:type="spellEnd"/>
      <w:r w:rsidRPr="00FC78A1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FC78A1">
        <w:rPr>
          <w:rFonts w:ascii="Times New Roman" w:hAnsi="Times New Roman" w:cs="Times New Roman"/>
          <w:sz w:val="24"/>
          <w:szCs w:val="24"/>
        </w:rPr>
        <w:t>Ричмен</w:t>
      </w:r>
      <w:proofErr w:type="spellEnd"/>
      <w:r w:rsidRPr="00FC78A1">
        <w:rPr>
          <w:rFonts w:ascii="Times New Roman" w:hAnsi="Times New Roman" w:cs="Times New Roman"/>
          <w:sz w:val="24"/>
          <w:szCs w:val="24"/>
        </w:rPr>
        <w:t xml:space="preserve">, М. Портер, Дж. </w:t>
      </w:r>
      <w:proofErr w:type="spellStart"/>
      <w:r w:rsidRPr="00FC78A1">
        <w:rPr>
          <w:rFonts w:ascii="Times New Roman" w:hAnsi="Times New Roman" w:cs="Times New Roman"/>
          <w:sz w:val="24"/>
          <w:szCs w:val="24"/>
        </w:rPr>
        <w:t>Даннинг</w:t>
      </w:r>
      <w:proofErr w:type="spellEnd"/>
      <w:r w:rsidRPr="00FC78A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FC78A1">
        <w:rPr>
          <w:rFonts w:ascii="Times New Roman" w:hAnsi="Times New Roman" w:cs="Times New Roman"/>
          <w:sz w:val="24"/>
          <w:szCs w:val="24"/>
        </w:rPr>
        <w:t>Ругман</w:t>
      </w:r>
      <w:proofErr w:type="spellEnd"/>
      <w:r w:rsidRPr="00FC78A1">
        <w:rPr>
          <w:rFonts w:ascii="Times New Roman" w:hAnsi="Times New Roman" w:cs="Times New Roman"/>
          <w:sz w:val="24"/>
          <w:szCs w:val="24"/>
        </w:rPr>
        <w:t xml:space="preserve">, </w:t>
      </w:r>
      <w:r w:rsidR="00FA56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78A1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FC78A1">
        <w:rPr>
          <w:rFonts w:ascii="Times New Roman" w:hAnsi="Times New Roman" w:cs="Times New Roman"/>
          <w:sz w:val="24"/>
          <w:szCs w:val="24"/>
        </w:rPr>
        <w:t>Д’Круз</w:t>
      </w:r>
      <w:proofErr w:type="spellEnd"/>
      <w:r w:rsidRPr="00FC78A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FC78A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FC78A1">
        <w:rPr>
          <w:rFonts w:ascii="Times New Roman" w:hAnsi="Times New Roman" w:cs="Times New Roman"/>
          <w:sz w:val="24"/>
          <w:szCs w:val="24"/>
        </w:rPr>
        <w:t xml:space="preserve">, Х. Мун, А. </w:t>
      </w:r>
      <w:proofErr w:type="spellStart"/>
      <w:r w:rsidRPr="00FC78A1">
        <w:rPr>
          <w:rFonts w:ascii="Times New Roman" w:hAnsi="Times New Roman" w:cs="Times New Roman"/>
          <w:sz w:val="24"/>
          <w:szCs w:val="24"/>
        </w:rPr>
        <w:t>Вербеке</w:t>
      </w:r>
      <w:proofErr w:type="spellEnd"/>
      <w:r w:rsidRPr="00FC78A1">
        <w:rPr>
          <w:rFonts w:ascii="Times New Roman" w:hAnsi="Times New Roman" w:cs="Times New Roman"/>
          <w:sz w:val="24"/>
          <w:szCs w:val="24"/>
        </w:rPr>
        <w:t>.</w:t>
      </w:r>
    </w:p>
    <w:p w:rsidR="00ED4572" w:rsidRPr="00E71262" w:rsidRDefault="00ED4572" w:rsidP="00E7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C3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="00E71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262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022D5C">
        <w:rPr>
          <w:rFonts w:ascii="Times New Roman" w:hAnsi="Times New Roman" w:cs="Times New Roman"/>
          <w:sz w:val="24"/>
          <w:szCs w:val="24"/>
        </w:rPr>
        <w:t>в выявлении перспективных направлений повышения конкурентоспособности экономики Российской Федерации.</w:t>
      </w:r>
    </w:p>
    <w:p w:rsidR="00D74FCE" w:rsidRPr="00285526" w:rsidRDefault="00ED4572" w:rsidP="0021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C3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Pr="00923B70">
        <w:rPr>
          <w:rFonts w:ascii="Times New Roman" w:hAnsi="Times New Roman" w:cs="Times New Roman"/>
          <w:b/>
          <w:sz w:val="24"/>
          <w:szCs w:val="24"/>
        </w:rPr>
        <w:t>.</w:t>
      </w:r>
      <w:r w:rsidR="00216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BF9" w:rsidRPr="00401BF9">
        <w:rPr>
          <w:rFonts w:ascii="Times New Roman" w:hAnsi="Times New Roman"/>
          <w:color w:val="000000" w:themeColor="text1"/>
          <w:sz w:val="24"/>
          <w:szCs w:val="24"/>
        </w:rPr>
        <w:t xml:space="preserve">В экономической литературе </w:t>
      </w:r>
      <w:r w:rsidR="003C7007">
        <w:rPr>
          <w:rFonts w:ascii="Times New Roman" w:hAnsi="Times New Roman"/>
          <w:color w:val="000000" w:themeColor="text1"/>
          <w:sz w:val="24"/>
          <w:szCs w:val="24"/>
        </w:rPr>
        <w:t>однозначного подхода к оценке</w:t>
      </w:r>
      <w:r w:rsidR="00401BF9" w:rsidRPr="00401BF9">
        <w:rPr>
          <w:rFonts w:ascii="Times New Roman" w:hAnsi="Times New Roman"/>
          <w:color w:val="000000" w:themeColor="text1"/>
          <w:sz w:val="24"/>
          <w:szCs w:val="24"/>
        </w:rPr>
        <w:t xml:space="preserve"> национальной конкурентоспособности не существует. Анализ научных и практических </w:t>
      </w:r>
      <w:r w:rsidR="004067E8">
        <w:rPr>
          <w:rFonts w:ascii="Times New Roman" w:hAnsi="Times New Roman"/>
          <w:color w:val="000000" w:themeColor="text1"/>
          <w:sz w:val="24"/>
          <w:szCs w:val="24"/>
        </w:rPr>
        <w:t>исследований</w:t>
      </w:r>
      <w:r w:rsidR="00401BF9" w:rsidRPr="00401BF9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</w:t>
      </w:r>
      <w:r w:rsidR="00401BF9">
        <w:rPr>
          <w:rFonts w:ascii="Times New Roman" w:hAnsi="Times New Roman"/>
          <w:color w:val="000000" w:themeColor="text1"/>
          <w:sz w:val="24"/>
          <w:szCs w:val="24"/>
        </w:rPr>
        <w:t>она</w:t>
      </w:r>
      <w:r w:rsidR="00401BF9" w:rsidRPr="00401BF9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оценена с </w:t>
      </w:r>
      <w:r w:rsidR="00401BF9">
        <w:rPr>
          <w:rFonts w:ascii="Times New Roman" w:hAnsi="Times New Roman"/>
          <w:color w:val="000000" w:themeColor="text1"/>
          <w:sz w:val="24"/>
          <w:szCs w:val="24"/>
        </w:rPr>
        <w:t>помощью</w:t>
      </w:r>
      <w:r w:rsidR="00401BF9" w:rsidRPr="00401BF9">
        <w:rPr>
          <w:rFonts w:ascii="Times New Roman" w:hAnsi="Times New Roman"/>
          <w:color w:val="000000" w:themeColor="text1"/>
          <w:sz w:val="24"/>
          <w:szCs w:val="24"/>
        </w:rPr>
        <w:t xml:space="preserve"> составных индексов</w:t>
      </w:r>
      <w:r w:rsidR="00401BF9">
        <w:rPr>
          <w:rFonts w:ascii="Times New Roman" w:hAnsi="Times New Roman"/>
          <w:color w:val="000000" w:themeColor="text1"/>
          <w:sz w:val="24"/>
          <w:szCs w:val="24"/>
        </w:rPr>
        <w:t xml:space="preserve"> (например, </w:t>
      </w:r>
      <w:r w:rsidR="00216022">
        <w:rPr>
          <w:rFonts w:ascii="Times New Roman" w:hAnsi="Times New Roman"/>
          <w:color w:val="000000" w:themeColor="text1"/>
          <w:sz w:val="24"/>
          <w:szCs w:val="24"/>
        </w:rPr>
        <w:t xml:space="preserve">Индекс глобальной конкурентоспособности </w:t>
      </w:r>
      <w:r w:rsidR="00401BF9">
        <w:rPr>
          <w:rFonts w:ascii="Times New Roman" w:hAnsi="Times New Roman"/>
          <w:color w:val="000000" w:themeColor="text1"/>
          <w:sz w:val="24"/>
          <w:szCs w:val="24"/>
        </w:rPr>
        <w:t>Всемирн</w:t>
      </w:r>
      <w:r w:rsidR="00216022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401BF9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</w:t>
      </w:r>
      <w:r w:rsidR="00216022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401BF9">
        <w:rPr>
          <w:rFonts w:ascii="Times New Roman" w:hAnsi="Times New Roman"/>
          <w:color w:val="000000" w:themeColor="text1"/>
          <w:sz w:val="24"/>
          <w:szCs w:val="24"/>
        </w:rPr>
        <w:t xml:space="preserve"> форум</w:t>
      </w:r>
      <w:r w:rsidR="0021602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1BF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16022">
        <w:rPr>
          <w:rFonts w:ascii="Times New Roman" w:hAnsi="Times New Roman"/>
          <w:color w:val="000000" w:themeColor="text1"/>
          <w:sz w:val="24"/>
          <w:szCs w:val="24"/>
        </w:rPr>
        <w:t xml:space="preserve"> или отдельных показателей. В рамках исследования, был выбран специальный критерий оценивания – </w:t>
      </w:r>
      <w:r w:rsidR="00D74FCE"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Индекс </w:t>
      </w:r>
      <w:r w:rsidR="00216022">
        <w:rPr>
          <w:rFonts w:ascii="Times New Roman" w:hAnsi="Times New Roman"/>
          <w:color w:val="000000" w:themeColor="text1"/>
          <w:sz w:val="24"/>
          <w:szCs w:val="24"/>
        </w:rPr>
        <w:t>сравнительных преимуществ (RCA),</w:t>
      </w:r>
      <w:r w:rsidR="00D74FCE"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6022">
        <w:rPr>
          <w:rFonts w:ascii="Times New Roman" w:hAnsi="Times New Roman"/>
          <w:color w:val="000000" w:themeColor="text1"/>
          <w:sz w:val="24"/>
          <w:szCs w:val="24"/>
        </w:rPr>
        <w:t>который</w:t>
      </w:r>
      <w:r w:rsidR="00D74FCE"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 основан на представлении о специализации страны по определенным группам товаров как о конкурентном преимуществе. При расчете индекса сравнивается доля </w:t>
      </w:r>
      <w:r w:rsidR="00D74FCE">
        <w:rPr>
          <w:rFonts w:ascii="Times New Roman" w:hAnsi="Times New Roman"/>
          <w:color w:val="000000" w:themeColor="text1"/>
          <w:sz w:val="24"/>
          <w:szCs w:val="24"/>
        </w:rPr>
        <w:t>отдель</w:t>
      </w:r>
      <w:r w:rsidR="00D74FCE"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ных товаров в экспорте страны с долей импорта данной продукции мировой экономикой. </w:t>
      </w:r>
    </w:p>
    <w:p w:rsidR="00D74FCE" w:rsidRPr="00D74FCE" w:rsidRDefault="00216022" w:rsidP="00D74F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022">
        <w:rPr>
          <w:rFonts w:ascii="Times New Roman" w:hAnsi="Times New Roman"/>
          <w:color w:val="000000" w:themeColor="text1"/>
          <w:sz w:val="24"/>
          <w:szCs w:val="24"/>
        </w:rPr>
        <w:t>Ин</w:t>
      </w:r>
      <w:r w:rsidR="00A5633B">
        <w:rPr>
          <w:rFonts w:ascii="Times New Roman" w:hAnsi="Times New Roman"/>
          <w:color w:val="000000" w:themeColor="text1"/>
          <w:sz w:val="24"/>
          <w:szCs w:val="24"/>
        </w:rPr>
        <w:t xml:space="preserve">декс сравнительных преимуществ </w:t>
      </w:r>
      <w:r w:rsidRPr="00216022">
        <w:rPr>
          <w:rFonts w:ascii="Times New Roman" w:hAnsi="Times New Roman"/>
          <w:color w:val="000000" w:themeColor="text1"/>
          <w:sz w:val="24"/>
          <w:szCs w:val="24"/>
        </w:rPr>
        <w:t>демонстрирует уровень экспортного потенциала страны. Для конкретного продукта (товарной группы)</w:t>
      </w:r>
      <w:r w:rsidR="004067E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160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16022">
        <w:rPr>
          <w:rFonts w:ascii="Times New Roman" w:hAnsi="Times New Roman"/>
          <w:color w:val="000000" w:themeColor="text1"/>
          <w:sz w:val="24"/>
          <w:szCs w:val="24"/>
        </w:rPr>
        <w:t xml:space="preserve">ндекс выявленных сравнительных преимуществ показывает, расширяет ли страна производство товаров, на которых основан коммерческий потенциал, в отличие от случаев, когда количество конкурентоспособных товаров является постоянным. Также при взаимном расчете </w:t>
      </w:r>
      <w:r>
        <w:rPr>
          <w:rFonts w:ascii="Times New Roman" w:hAnsi="Times New Roman"/>
          <w:color w:val="000000" w:themeColor="text1"/>
          <w:sz w:val="24"/>
          <w:szCs w:val="24"/>
        </w:rPr>
        <w:t>он</w:t>
      </w:r>
      <w:r w:rsidRPr="00216022">
        <w:rPr>
          <w:rFonts w:ascii="Times New Roman" w:hAnsi="Times New Roman"/>
          <w:color w:val="000000" w:themeColor="text1"/>
          <w:sz w:val="24"/>
          <w:szCs w:val="24"/>
        </w:rPr>
        <w:t xml:space="preserve"> может использоваться как индикатор </w:t>
      </w:r>
      <w:r>
        <w:rPr>
          <w:rFonts w:ascii="Times New Roman" w:hAnsi="Times New Roman"/>
          <w:color w:val="000000" w:themeColor="text1"/>
          <w:sz w:val="24"/>
          <w:szCs w:val="24"/>
        </w:rPr>
        <w:t>перспективн</w:t>
      </w:r>
      <w:r w:rsidRPr="00216022">
        <w:rPr>
          <w:rFonts w:ascii="Times New Roman" w:hAnsi="Times New Roman"/>
          <w:color w:val="000000" w:themeColor="text1"/>
          <w:sz w:val="24"/>
          <w:szCs w:val="24"/>
        </w:rPr>
        <w:t xml:space="preserve">ых торговых партнеров страны. Страны с аналогичной структурой экспорта не склонны развивать торговлю между собой, за исключением случаев, когда </w:t>
      </w:r>
      <w:r>
        <w:rPr>
          <w:rFonts w:ascii="Times New Roman" w:hAnsi="Times New Roman"/>
          <w:color w:val="000000" w:themeColor="text1"/>
          <w:sz w:val="24"/>
          <w:szCs w:val="24"/>
        </w:rPr>
        <w:t>таковая</w:t>
      </w:r>
      <w:r w:rsidRPr="00216022">
        <w:rPr>
          <w:rFonts w:ascii="Times New Roman" w:hAnsi="Times New Roman"/>
          <w:color w:val="000000" w:themeColor="text1"/>
          <w:sz w:val="24"/>
          <w:szCs w:val="24"/>
        </w:rPr>
        <w:t xml:space="preserve"> воз</w:t>
      </w:r>
      <w:r>
        <w:rPr>
          <w:rFonts w:ascii="Times New Roman" w:hAnsi="Times New Roman"/>
          <w:color w:val="000000" w:themeColor="text1"/>
          <w:sz w:val="24"/>
          <w:szCs w:val="24"/>
        </w:rPr>
        <w:t>можна внутри отдельных секторов</w:t>
      </w:r>
      <w:r w:rsidR="00D74FCE"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74FCE" w:rsidRPr="00285526" w:rsidRDefault="00D74FCE" w:rsidP="00D74F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FCE">
        <w:rPr>
          <w:rFonts w:ascii="Times New Roman" w:hAnsi="Times New Roman"/>
          <w:color w:val="000000" w:themeColor="text1"/>
          <w:sz w:val="24"/>
          <w:szCs w:val="24"/>
        </w:rPr>
        <w:t>Расчет</w:t>
      </w:r>
      <w:r w:rsidRPr="002855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602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74FCE">
        <w:rPr>
          <w:rFonts w:ascii="Times New Roman" w:hAnsi="Times New Roman"/>
          <w:color w:val="000000" w:themeColor="text1"/>
          <w:sz w:val="24"/>
          <w:szCs w:val="24"/>
        </w:rPr>
        <w:t>ндекса сравнительных преимущ</w:t>
      </w:r>
      <w:r w:rsidR="00EF7116">
        <w:rPr>
          <w:rFonts w:ascii="Times New Roman" w:hAnsi="Times New Roman"/>
          <w:color w:val="000000" w:themeColor="text1"/>
          <w:sz w:val="24"/>
          <w:szCs w:val="24"/>
        </w:rPr>
        <w:t>еств осуществляется по формуле</w:t>
      </w:r>
      <w:r w:rsidRPr="00D74FC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855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74FCE" w:rsidRPr="00D74FCE" w:rsidRDefault="00D74FCE" w:rsidP="00D74F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-1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7883"/>
        <w:gridCol w:w="985"/>
      </w:tblGrid>
      <w:tr w:rsidR="00D74FCE" w:rsidRPr="00A50F7E" w:rsidTr="00A5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Borders>
              <w:bottom w:val="none" w:sz="0" w:space="0" w:color="auto"/>
            </w:tcBorders>
            <w:vAlign w:val="center"/>
          </w:tcPr>
          <w:p w:rsidR="00D74FCE" w:rsidRPr="00285526" w:rsidRDefault="00D74FCE" w:rsidP="00A50F7E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tcBorders>
              <w:bottom w:val="none" w:sz="0" w:space="0" w:color="auto"/>
            </w:tcBorders>
            <w:hideMark/>
          </w:tcPr>
          <w:p w:rsidR="00D74FCE" w:rsidRPr="00F55D9F" w:rsidRDefault="00F55D9F" w:rsidP="00A50F7E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RCA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 w:val="0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w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w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</m:den>
                </m:f>
              </m:oMath>
            </m:oMathPara>
            <w:bookmarkEnd w:id="0"/>
          </w:p>
        </w:tc>
        <w:tc>
          <w:tcPr>
            <w:tcW w:w="1667" w:type="pct"/>
            <w:tcBorders>
              <w:bottom w:val="none" w:sz="0" w:space="0" w:color="auto"/>
            </w:tcBorders>
            <w:vAlign w:val="center"/>
            <w:hideMark/>
          </w:tcPr>
          <w:p w:rsidR="00D74FCE" w:rsidRPr="00A50F7E" w:rsidRDefault="00D74FCE" w:rsidP="00A50F7E">
            <w:pPr>
              <w:pStyle w:val="a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0F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(1)</w:t>
            </w:r>
          </w:p>
        </w:tc>
      </w:tr>
    </w:tbl>
    <w:p w:rsidR="00D74FCE" w:rsidRPr="00D74FCE" w:rsidRDefault="00D74FCE" w:rsidP="00D74F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74FCE" w:rsidRPr="00D74FCE" w:rsidRDefault="00D74FCE" w:rsidP="00D74F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FCE">
        <w:rPr>
          <w:rFonts w:ascii="Times New Roman" w:hAnsi="Times New Roman"/>
          <w:color w:val="000000" w:themeColor="text1"/>
          <w:sz w:val="24"/>
          <w:szCs w:val="24"/>
        </w:rPr>
        <w:t>где</w:t>
      </w:r>
      <w:r w:rsidRPr="00D74FC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D74FCE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D74FCE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k</w:t>
      </w:r>
      <w:r w:rsidRPr="00D74FC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r w:rsidRPr="002855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– экспорт продукции </w:t>
      </w:r>
      <w:r w:rsidRPr="00D74FCE">
        <w:rPr>
          <w:rFonts w:ascii="Times New Roman" w:hAnsi="Times New Roman"/>
          <w:color w:val="000000" w:themeColor="text1"/>
          <w:sz w:val="24"/>
          <w:szCs w:val="24"/>
          <w:lang w:val="en-US"/>
        </w:rPr>
        <w:t>k</w:t>
      </w:r>
      <w:r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 страны і;</w:t>
      </w:r>
    </w:p>
    <w:p w:rsidR="00D74FCE" w:rsidRPr="00D74FCE" w:rsidRDefault="00D74FCE" w:rsidP="00D74F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FC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D74FCE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k</w:t>
      </w:r>
      <w:r w:rsidRPr="00D74FC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w</w:t>
      </w:r>
      <w:r w:rsidRPr="002855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– мировой импорт продукции </w:t>
      </w:r>
      <w:r w:rsidRPr="00D74FCE">
        <w:rPr>
          <w:rFonts w:ascii="Times New Roman" w:hAnsi="Times New Roman"/>
          <w:color w:val="000000" w:themeColor="text1"/>
          <w:sz w:val="24"/>
          <w:szCs w:val="24"/>
          <w:lang w:val="en-US"/>
        </w:rPr>
        <w:t>k</w:t>
      </w:r>
      <w:r w:rsidRPr="00D74FC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74FCE" w:rsidRPr="00D74FCE" w:rsidRDefault="00D74FCE" w:rsidP="00D74F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FCE">
        <w:rPr>
          <w:rFonts w:ascii="Times New Roman" w:hAnsi="Times New Roman"/>
          <w:color w:val="000000" w:themeColor="text1"/>
          <w:sz w:val="24"/>
          <w:szCs w:val="24"/>
        </w:rPr>
        <w:t>X</w:t>
      </w:r>
      <w:proofErr w:type="spellStart"/>
      <w:r w:rsidRPr="00D74FC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r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 - общий экспорт страны і;</w:t>
      </w:r>
    </w:p>
    <w:p w:rsidR="00D74FCE" w:rsidRPr="00D74FCE" w:rsidRDefault="00D74FCE" w:rsidP="00D74F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FC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D74FC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w</w:t>
      </w:r>
      <w:r w:rsidRPr="00D74FCE">
        <w:rPr>
          <w:rFonts w:ascii="Times New Roman" w:hAnsi="Times New Roman"/>
          <w:color w:val="000000" w:themeColor="text1"/>
          <w:sz w:val="24"/>
          <w:szCs w:val="24"/>
        </w:rPr>
        <w:t xml:space="preserve"> - совокупный мировой импорт.</w:t>
      </w:r>
    </w:p>
    <w:p w:rsidR="00216022" w:rsidRDefault="004067E8" w:rsidP="00A50F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Если</w:t>
      </w:r>
      <w:r w:rsidR="00216022" w:rsidRPr="00216022">
        <w:rPr>
          <w:rFonts w:ascii="Times New Roman" w:hAnsi="Times New Roman"/>
          <w:color w:val="000000" w:themeColor="text1"/>
          <w:sz w:val="24"/>
          <w:szCs w:val="24"/>
        </w:rPr>
        <w:t xml:space="preserve"> значение RCA превышает единицу, то страна ориентирована на экспорт данного товара (товарной группы) и имеет сравнительное преимущество в его производстве. В обратном случае государство не обладает выявленным преимуществом в производстве конкретного товара (товарной группы).</w:t>
      </w:r>
    </w:p>
    <w:p w:rsidR="00E95705" w:rsidRDefault="00216022" w:rsidP="00216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Проведем расчет данного индекса для экономики Российской Федерации</w:t>
      </w:r>
      <w:r w:rsidR="00A50F7E" w:rsidRPr="00A50F7E">
        <w:rPr>
          <w:rFonts w:ascii="Times New Roman" w:hAnsi="Times New Roman"/>
          <w:sz w:val="24"/>
          <w:szCs w:val="24"/>
        </w:rPr>
        <w:t xml:space="preserve"> (</w:t>
      </w:r>
      <w:r w:rsidR="00A50F7E" w:rsidRPr="00E513D5">
        <w:rPr>
          <w:rFonts w:ascii="Times New Roman" w:hAnsi="Times New Roman"/>
          <w:sz w:val="24"/>
          <w:szCs w:val="24"/>
        </w:rPr>
        <w:t>табл.1</w:t>
      </w:r>
      <w:r w:rsidR="00A50F7E" w:rsidRPr="00A50F7E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216022">
        <w:rPr>
          <w:rFonts w:ascii="Times New Roman" w:hAnsi="Times New Roman"/>
          <w:sz w:val="24"/>
          <w:szCs w:val="24"/>
        </w:rPr>
        <w:t>2010-2019 г</w:t>
      </w:r>
      <w:r>
        <w:rPr>
          <w:rFonts w:ascii="Times New Roman" w:hAnsi="Times New Roman"/>
          <w:sz w:val="24"/>
          <w:szCs w:val="24"/>
        </w:rPr>
        <w:t>г.</w:t>
      </w:r>
      <w:r w:rsidRPr="00216022">
        <w:rPr>
          <w:rFonts w:ascii="Times New Roman" w:hAnsi="Times New Roman"/>
          <w:sz w:val="24"/>
          <w:szCs w:val="24"/>
        </w:rPr>
        <w:t xml:space="preserve"> Россия обрела конкурентные преимущества по сырьевым товарам </w:t>
      </w:r>
      <w:r w:rsidR="004067E8">
        <w:rPr>
          <w:rFonts w:ascii="Times New Roman" w:hAnsi="Times New Roman"/>
          <w:sz w:val="24"/>
          <w:szCs w:val="24"/>
        </w:rPr>
        <w:t xml:space="preserve">и пищевой продукции. </w:t>
      </w:r>
      <w:r>
        <w:rPr>
          <w:rFonts w:ascii="Times New Roman" w:hAnsi="Times New Roman"/>
          <w:sz w:val="24"/>
          <w:szCs w:val="24"/>
        </w:rPr>
        <w:t>При</w:t>
      </w:r>
      <w:r w:rsidR="00406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 w:rsidRPr="00216022">
        <w:rPr>
          <w:rFonts w:ascii="Times New Roman" w:hAnsi="Times New Roman"/>
          <w:sz w:val="24"/>
          <w:szCs w:val="24"/>
        </w:rPr>
        <w:t xml:space="preserve">, данные товарные группы имеют низкое качество обработки. Ключевой </w:t>
      </w:r>
      <w:r>
        <w:rPr>
          <w:rFonts w:ascii="Times New Roman" w:hAnsi="Times New Roman"/>
          <w:sz w:val="24"/>
          <w:szCs w:val="24"/>
        </w:rPr>
        <w:t>из них</w:t>
      </w:r>
      <w:r w:rsidRPr="00216022">
        <w:rPr>
          <w:rFonts w:ascii="Times New Roman" w:hAnsi="Times New Roman"/>
          <w:sz w:val="24"/>
          <w:szCs w:val="24"/>
        </w:rPr>
        <w:t xml:space="preserve"> являются «товары, нигде не указанные» (или «не известные товары). </w:t>
      </w:r>
    </w:p>
    <w:p w:rsidR="00216022" w:rsidRPr="00216022" w:rsidRDefault="00216022" w:rsidP="00216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022">
        <w:rPr>
          <w:rFonts w:ascii="Times New Roman" w:hAnsi="Times New Roman"/>
          <w:sz w:val="24"/>
          <w:szCs w:val="24"/>
        </w:rPr>
        <w:t>Рассмотрим динамику данной товарной группы для нахождения вошедш</w:t>
      </w:r>
      <w:r>
        <w:rPr>
          <w:rFonts w:ascii="Times New Roman" w:hAnsi="Times New Roman"/>
          <w:sz w:val="24"/>
          <w:szCs w:val="24"/>
        </w:rPr>
        <w:t>ей</w:t>
      </w:r>
      <w:r w:rsidRPr="00216022">
        <w:rPr>
          <w:rFonts w:ascii="Times New Roman" w:hAnsi="Times New Roman"/>
          <w:sz w:val="24"/>
          <w:szCs w:val="24"/>
        </w:rPr>
        <w:t xml:space="preserve"> в нее </w:t>
      </w:r>
      <w:r>
        <w:rPr>
          <w:rFonts w:ascii="Times New Roman" w:hAnsi="Times New Roman"/>
          <w:sz w:val="24"/>
          <w:szCs w:val="24"/>
        </w:rPr>
        <w:t>продукции</w:t>
      </w:r>
      <w:r w:rsidRPr="00216022">
        <w:rPr>
          <w:rFonts w:ascii="Times New Roman" w:hAnsi="Times New Roman"/>
          <w:sz w:val="24"/>
          <w:szCs w:val="24"/>
        </w:rPr>
        <w:t xml:space="preserve">. Если в 2010-2011 годах значения RCA по «товары, нигде не указанные» составляли 4,35-4,91, то в 2012-2013 годы индекс по ним равнялся нулю. Анализируя внешнеторговые потоки России, обнаружено, что </w:t>
      </w:r>
      <w:r w:rsidR="00163089" w:rsidRPr="00163089">
        <w:rPr>
          <w:rFonts w:ascii="Times New Roman" w:hAnsi="Times New Roman"/>
          <w:sz w:val="24"/>
          <w:szCs w:val="24"/>
        </w:rPr>
        <w:t xml:space="preserve">в </w:t>
      </w:r>
      <w:r w:rsidR="00627CEB">
        <w:rPr>
          <w:rFonts w:ascii="Times New Roman" w:hAnsi="Times New Roman"/>
          <w:sz w:val="24"/>
          <w:szCs w:val="24"/>
        </w:rPr>
        <w:t>указанный период</w:t>
      </w:r>
      <w:r w:rsidRPr="00216022">
        <w:rPr>
          <w:rFonts w:ascii="Times New Roman" w:hAnsi="Times New Roman"/>
          <w:sz w:val="24"/>
          <w:szCs w:val="24"/>
        </w:rPr>
        <w:t xml:space="preserve"> увеличился экспорт оружия и боеприпасов (значения RCA возросли с 11,1 в 2011 году до 12,22-14,5 в 2012-2013 годах). Однако в 2014 году вывоз данной товарной группы сократился в 4 раза (индекс сравнительных преимуществ составлял 0,76), а «не известные товары» возобновили рост (1,04). В последующие годы экспорт оружия и боеприпасов стабильно равен нулю, в то время как товарная группа «товары, нигде не указанные» лишь возрастает. </w:t>
      </w:r>
    </w:p>
    <w:p w:rsidR="00A50F7E" w:rsidRDefault="00A50F7E" w:rsidP="00A50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F7E" w:rsidRPr="00A50F7E" w:rsidRDefault="00A50F7E" w:rsidP="00A5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Pr="00A50F7E">
        <w:rPr>
          <w:rFonts w:ascii="Times New Roman" w:hAnsi="Times New Roman" w:cs="Times New Roman"/>
          <w:sz w:val="24"/>
          <w:szCs w:val="24"/>
        </w:rPr>
        <w:t>Индекс сравнительных преимуществ России за 2010-2019 гг., %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E31BF" w:rsidRPr="00027AF4" w:rsidTr="005E31BF">
        <w:trPr>
          <w:trHeight w:val="92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2019</w:t>
            </w:r>
          </w:p>
        </w:tc>
      </w:tr>
      <w:tr w:rsidR="00A50F7E" w:rsidRPr="00027AF4" w:rsidTr="00A50F7E">
        <w:trPr>
          <w:trHeight w:val="124"/>
        </w:trPr>
        <w:tc>
          <w:tcPr>
            <w:tcW w:w="9747" w:type="dxa"/>
            <w:gridSpan w:val="12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Товары, по которым имеет конкурентное преимущество</w:t>
            </w:r>
          </w:p>
        </w:tc>
      </w:tr>
      <w:tr w:rsidR="005E31BF" w:rsidRPr="00027AF4" w:rsidTr="005E31BF">
        <w:trPr>
          <w:trHeight w:val="375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'99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A50F7E" w:rsidP="00E724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Товары, нигде не указанные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6,55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7,52</w:t>
            </w:r>
          </w:p>
        </w:tc>
      </w:tr>
      <w:tr w:rsidR="005E31BF" w:rsidRPr="00027AF4" w:rsidTr="005E31BF">
        <w:trPr>
          <w:trHeight w:val="92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'31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Удобрения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5E31BF" w:rsidRPr="00027AF4" w:rsidTr="00E72401">
        <w:trPr>
          <w:trHeight w:val="90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'75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E72401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Никель, </w:t>
            </w:r>
            <w:r w:rsidR="00A50F7E"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изделия из него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4,62</w:t>
            </w:r>
          </w:p>
        </w:tc>
      </w:tr>
      <w:tr w:rsidR="005E31BF" w:rsidRPr="00027AF4" w:rsidTr="00E72401">
        <w:trPr>
          <w:trHeight w:val="477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'27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</w:t>
            </w:r>
            <w:r w:rsidRPr="00027AF4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</w:rPr>
              <w:t>ерально</w:t>
            </w: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топливо, нефтепродукты и битумные вещества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4,21</w:t>
            </w:r>
          </w:p>
        </w:tc>
      </w:tr>
      <w:tr w:rsidR="005E31BF" w:rsidRPr="00027AF4" w:rsidTr="00E72401">
        <w:trPr>
          <w:trHeight w:val="90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'10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Хлопья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</w:t>
            </w:r>
          </w:p>
        </w:tc>
      </w:tr>
      <w:tr w:rsidR="005E31BF" w:rsidRPr="00027AF4" w:rsidTr="00E72401">
        <w:trPr>
          <w:trHeight w:val="90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'44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Древесина и изделия из нее (уголь)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2,73</w:t>
            </w:r>
          </w:p>
        </w:tc>
      </w:tr>
      <w:tr w:rsidR="005E31BF" w:rsidRPr="00027AF4" w:rsidTr="00E72401">
        <w:trPr>
          <w:trHeight w:val="129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'81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Недрагоценные металлы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</w:t>
            </w:r>
          </w:p>
        </w:tc>
      </w:tr>
      <w:tr w:rsidR="005E31BF" w:rsidRPr="00027AF4" w:rsidTr="00E72401">
        <w:trPr>
          <w:trHeight w:val="90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'72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Железо и сталь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2,11</w:t>
            </w:r>
          </w:p>
        </w:tc>
      </w:tr>
      <w:tr w:rsidR="005E31BF" w:rsidRPr="00027AF4" w:rsidTr="00E72401">
        <w:trPr>
          <w:trHeight w:val="90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'74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E72401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Медь,</w:t>
            </w:r>
            <w:r w:rsidR="00A50F7E"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изделия из нее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1,54</w:t>
            </w:r>
          </w:p>
        </w:tc>
      </w:tr>
      <w:tr w:rsidR="005E31BF" w:rsidRPr="00027AF4" w:rsidTr="00E72401">
        <w:trPr>
          <w:trHeight w:val="90"/>
        </w:trPr>
        <w:tc>
          <w:tcPr>
            <w:tcW w:w="534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'76</w:t>
            </w:r>
          </w:p>
        </w:tc>
        <w:tc>
          <w:tcPr>
            <w:tcW w:w="2126" w:type="dxa"/>
            <w:vAlign w:val="center"/>
            <w:hideMark/>
          </w:tcPr>
          <w:p w:rsidR="00A50F7E" w:rsidRPr="00027AF4" w:rsidRDefault="00E72401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Алюминий и</w:t>
            </w:r>
            <w:r w:rsidR="00A50F7E"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изделия из него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709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708" w:type="dxa"/>
            <w:vAlign w:val="center"/>
            <w:hideMark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1,49</w:t>
            </w:r>
          </w:p>
        </w:tc>
      </w:tr>
      <w:tr w:rsidR="005E31BF" w:rsidRPr="00027AF4" w:rsidTr="00E72401">
        <w:trPr>
          <w:trHeight w:val="418"/>
        </w:trPr>
        <w:tc>
          <w:tcPr>
            <w:tcW w:w="534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'28</w:t>
            </w:r>
          </w:p>
        </w:tc>
        <w:tc>
          <w:tcPr>
            <w:tcW w:w="2126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Неорганические химикаты; соединения драгоценных металлов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708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708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708" w:type="dxa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</w:t>
            </w:r>
          </w:p>
        </w:tc>
      </w:tr>
      <w:tr w:rsidR="00A50F7E" w:rsidRPr="00027AF4" w:rsidTr="00A50F7E">
        <w:trPr>
          <w:trHeight w:val="90"/>
        </w:trPr>
        <w:tc>
          <w:tcPr>
            <w:tcW w:w="9747" w:type="dxa"/>
            <w:gridSpan w:val="12"/>
            <w:vAlign w:val="center"/>
          </w:tcPr>
          <w:p w:rsidR="00A50F7E" w:rsidRPr="00027AF4" w:rsidRDefault="00A50F7E" w:rsidP="00A50F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Товары, по которым приобретает конкурентные преимущества</w:t>
            </w:r>
          </w:p>
        </w:tc>
      </w:tr>
      <w:tr w:rsidR="005E31BF" w:rsidRPr="00027AF4" w:rsidTr="00E72401">
        <w:trPr>
          <w:trHeight w:val="90"/>
        </w:trPr>
        <w:tc>
          <w:tcPr>
            <w:tcW w:w="534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'03</w:t>
            </w:r>
          </w:p>
        </w:tc>
        <w:tc>
          <w:tcPr>
            <w:tcW w:w="2126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Рыба и ракообразные, моллюски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708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8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709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708" w:type="dxa"/>
            <w:vAlign w:val="center"/>
          </w:tcPr>
          <w:p w:rsidR="00A50F7E" w:rsidRPr="00027AF4" w:rsidRDefault="00A50F7E" w:rsidP="00DF0E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1,69</w:t>
            </w:r>
          </w:p>
        </w:tc>
      </w:tr>
      <w:tr w:rsidR="00283547" w:rsidRPr="00027AF4" w:rsidTr="00E72401">
        <w:trPr>
          <w:trHeight w:val="90"/>
        </w:trPr>
        <w:tc>
          <w:tcPr>
            <w:tcW w:w="534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'15</w:t>
            </w:r>
          </w:p>
        </w:tc>
        <w:tc>
          <w:tcPr>
            <w:tcW w:w="2126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Жиры, масла и продук</w:t>
            </w:r>
            <w:r w:rsidRPr="00027AF4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</w:rPr>
              <w:t>ты их</w:t>
            </w: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расщепления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708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08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708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1,67</w:t>
            </w:r>
          </w:p>
        </w:tc>
      </w:tr>
      <w:tr w:rsidR="00283547" w:rsidRPr="00027AF4" w:rsidTr="00E72401">
        <w:trPr>
          <w:trHeight w:val="90"/>
        </w:trPr>
        <w:tc>
          <w:tcPr>
            <w:tcW w:w="534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'86</w:t>
            </w:r>
          </w:p>
        </w:tc>
        <w:tc>
          <w:tcPr>
            <w:tcW w:w="2126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Железнодорожные, трамвайные локомотивы, подвижной состав, их части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708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708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709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708" w:type="dxa"/>
            <w:vAlign w:val="center"/>
          </w:tcPr>
          <w:p w:rsidR="00283547" w:rsidRPr="00027AF4" w:rsidRDefault="00283547" w:rsidP="00555C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E72401" w:rsidRPr="00027AF4" w:rsidTr="00C514C8">
        <w:trPr>
          <w:trHeight w:val="228"/>
        </w:trPr>
        <w:tc>
          <w:tcPr>
            <w:tcW w:w="534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'36</w:t>
            </w:r>
          </w:p>
        </w:tc>
        <w:tc>
          <w:tcPr>
            <w:tcW w:w="2126" w:type="dxa"/>
            <w:vAlign w:val="center"/>
          </w:tcPr>
          <w:p w:rsidR="00E72401" w:rsidRPr="00027AF4" w:rsidRDefault="00283547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Взры</w:t>
            </w:r>
            <w:r w:rsidRPr="00027AF4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</w:rPr>
              <w:t xml:space="preserve">вчатые </w:t>
            </w:r>
            <w:r w:rsidR="00E72401"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вещества; пиротехнические изделия; спички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</w:t>
            </w:r>
          </w:p>
        </w:tc>
      </w:tr>
      <w:tr w:rsidR="00E72401" w:rsidRPr="00027AF4" w:rsidTr="00C514C8">
        <w:trPr>
          <w:trHeight w:val="239"/>
        </w:trPr>
        <w:tc>
          <w:tcPr>
            <w:tcW w:w="534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'71</w:t>
            </w:r>
          </w:p>
        </w:tc>
        <w:tc>
          <w:tcPr>
            <w:tcW w:w="2126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Жемчуг, драгоценные или полудрагоценные камни, металлы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</w:t>
            </w:r>
          </w:p>
        </w:tc>
      </w:tr>
      <w:tr w:rsidR="00E72401" w:rsidRPr="00027AF4" w:rsidTr="00C514C8">
        <w:trPr>
          <w:trHeight w:val="305"/>
        </w:trPr>
        <w:tc>
          <w:tcPr>
            <w:tcW w:w="534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'47</w:t>
            </w:r>
          </w:p>
        </w:tc>
        <w:tc>
          <w:tcPr>
            <w:tcW w:w="2126" w:type="dxa"/>
            <w:vAlign w:val="center"/>
          </w:tcPr>
          <w:p w:rsidR="00E72401" w:rsidRPr="00027AF4" w:rsidRDefault="00283547" w:rsidP="004427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Целлюлоза, </w:t>
            </w:r>
            <w:r w:rsidR="00E72401"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восстановленная бумага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E72401" w:rsidRPr="00027AF4" w:rsidTr="00C514C8">
        <w:trPr>
          <w:trHeight w:val="375"/>
        </w:trPr>
        <w:tc>
          <w:tcPr>
            <w:tcW w:w="534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'78</w:t>
            </w:r>
          </w:p>
        </w:tc>
        <w:tc>
          <w:tcPr>
            <w:tcW w:w="2126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Свинец, изделия из него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09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08" w:type="dxa"/>
            <w:vAlign w:val="center"/>
          </w:tcPr>
          <w:p w:rsidR="00E72401" w:rsidRPr="00027AF4" w:rsidRDefault="00E72401" w:rsidP="00C51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0,95</w:t>
            </w:r>
          </w:p>
        </w:tc>
      </w:tr>
    </w:tbl>
    <w:p w:rsidR="00A50F7E" w:rsidRDefault="00A50F7E" w:rsidP="00A5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A50F7E">
        <w:rPr>
          <w:rFonts w:ascii="Times New Roman" w:hAnsi="Times New Roman" w:cs="Times New Roman"/>
          <w:sz w:val="24"/>
          <w:szCs w:val="24"/>
        </w:rPr>
        <w:t>составлено автором на основе данных ITC [</w:t>
      </w:r>
      <w:r w:rsidR="00EF7116">
        <w:rPr>
          <w:rFonts w:ascii="Times New Roman" w:hAnsi="Times New Roman" w:cs="Times New Roman"/>
          <w:sz w:val="24"/>
          <w:szCs w:val="24"/>
        </w:rPr>
        <w:t>1,2</w:t>
      </w:r>
      <w:r w:rsidRPr="00A50F7E">
        <w:rPr>
          <w:rFonts w:ascii="Times New Roman" w:hAnsi="Times New Roman" w:cs="Times New Roman"/>
          <w:sz w:val="24"/>
          <w:szCs w:val="24"/>
        </w:rPr>
        <w:t>].</w:t>
      </w:r>
    </w:p>
    <w:p w:rsidR="00A50F7E" w:rsidRPr="00A50F7E" w:rsidRDefault="00A50F7E" w:rsidP="00A50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022" w:rsidRDefault="002313B7" w:rsidP="00216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6022" w:rsidRPr="00216022">
        <w:rPr>
          <w:rFonts w:ascii="Times New Roman" w:hAnsi="Times New Roman"/>
          <w:sz w:val="24"/>
          <w:szCs w:val="24"/>
        </w:rPr>
        <w:t>риобретающими конкурентные преимущества товарными группами в России являются: продукты природного происхождения (рыба и ракообразные; жиры, масла и продукты их расщепления; жемчуг; целлюлоза; свинец), машиностроительная (железнодорожные и трамвайные локомотивы, подвижной состав и их части) и химическая продукция (взрывчатые вещества).</w:t>
      </w:r>
    </w:p>
    <w:p w:rsidR="00787B64" w:rsidRPr="005E31BF" w:rsidRDefault="004067E8" w:rsidP="006D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с</w:t>
      </w:r>
      <w:r w:rsidR="00787B64" w:rsidRPr="00787B64">
        <w:rPr>
          <w:rFonts w:ascii="Times New Roman" w:hAnsi="Times New Roman"/>
          <w:sz w:val="24"/>
          <w:szCs w:val="24"/>
        </w:rPr>
        <w:t>пециализация экспорта на сырьевом секторе в виде природных ресурсов, низкое качество обрабатывающего сектора, и, как следствие, значительная зависимость от импорта продукции с высокой добавленной стоимостью ограничивает дальнейший рост. Переходная стадия, в которой увязла экономика России, подтверждает необходимость пересмотра существующих векторов: с эксплуатации и перепроизводства (причем, относительно простой продукции) на усложнение, оптимизацию, инновационное и устойчивое развитие.</w:t>
      </w:r>
      <w:r w:rsidR="006D1ECD">
        <w:rPr>
          <w:rFonts w:ascii="Times New Roman" w:hAnsi="Times New Roman"/>
          <w:sz w:val="24"/>
          <w:szCs w:val="24"/>
        </w:rPr>
        <w:t xml:space="preserve"> </w:t>
      </w:r>
      <w:r w:rsidR="00EF7116" w:rsidRPr="00EF7116">
        <w:rPr>
          <w:rFonts w:ascii="Times New Roman" w:hAnsi="Times New Roman"/>
          <w:sz w:val="24"/>
          <w:szCs w:val="24"/>
        </w:rPr>
        <w:t>Структурный переход от инвестиционной ступени к инновационной стадии развития описывался в ряде программ, прин</w:t>
      </w:r>
      <w:r>
        <w:rPr>
          <w:rFonts w:ascii="Times New Roman" w:hAnsi="Times New Roman"/>
          <w:sz w:val="24"/>
          <w:szCs w:val="24"/>
        </w:rPr>
        <w:t>ятых на национальном уровне</w:t>
      </w:r>
      <w:r w:rsidR="00027AF4">
        <w:rPr>
          <w:rFonts w:ascii="Times New Roman" w:hAnsi="Times New Roman"/>
          <w:sz w:val="24"/>
          <w:szCs w:val="24"/>
        </w:rPr>
        <w:t xml:space="preserve"> </w:t>
      </w:r>
      <w:r w:rsidR="00027AF4">
        <w:rPr>
          <w:rFonts w:ascii="Times New Roman" w:hAnsi="Times New Roman"/>
          <w:sz w:val="24"/>
          <w:szCs w:val="24"/>
          <w:lang w:val="en-US"/>
        </w:rPr>
        <w:t>[3,4]</w:t>
      </w:r>
      <w:r w:rsidR="002313B7">
        <w:rPr>
          <w:rFonts w:ascii="Times New Roman" w:hAnsi="Times New Roman"/>
          <w:sz w:val="24"/>
          <w:szCs w:val="24"/>
        </w:rPr>
        <w:t>. Их</w:t>
      </w:r>
      <w:r w:rsidR="00787B64" w:rsidRPr="00787B64">
        <w:rPr>
          <w:rFonts w:ascii="Times New Roman" w:hAnsi="Times New Roman"/>
          <w:sz w:val="24"/>
          <w:szCs w:val="24"/>
        </w:rPr>
        <w:t xml:space="preserve"> </w:t>
      </w:r>
      <w:r w:rsidR="002313B7">
        <w:rPr>
          <w:rFonts w:ascii="Times New Roman" w:hAnsi="Times New Roman"/>
          <w:sz w:val="24"/>
          <w:szCs w:val="24"/>
        </w:rPr>
        <w:t xml:space="preserve">внедрение и </w:t>
      </w:r>
      <w:r w:rsidR="00787B64">
        <w:rPr>
          <w:rFonts w:ascii="Times New Roman" w:hAnsi="Times New Roman"/>
          <w:sz w:val="24"/>
          <w:szCs w:val="24"/>
        </w:rPr>
        <w:t xml:space="preserve">применение является </w:t>
      </w:r>
      <w:r w:rsidR="002313B7">
        <w:rPr>
          <w:rFonts w:ascii="Times New Roman" w:hAnsi="Times New Roman"/>
          <w:sz w:val="24"/>
          <w:szCs w:val="24"/>
        </w:rPr>
        <w:t>первостепенной задачей</w:t>
      </w:r>
      <w:r w:rsidR="00787B64" w:rsidRPr="00787B64">
        <w:rPr>
          <w:rFonts w:ascii="Times New Roman" w:hAnsi="Times New Roman"/>
          <w:sz w:val="24"/>
          <w:szCs w:val="24"/>
        </w:rPr>
        <w:t xml:space="preserve"> для </w:t>
      </w:r>
      <w:r w:rsidR="005E31BF">
        <w:rPr>
          <w:rFonts w:ascii="Times New Roman" w:hAnsi="Times New Roman"/>
          <w:sz w:val="24"/>
          <w:szCs w:val="24"/>
        </w:rPr>
        <w:t>повышения конкурентоспособности России</w:t>
      </w:r>
      <w:r w:rsidR="00787B64" w:rsidRPr="00787B64">
        <w:rPr>
          <w:rFonts w:ascii="Times New Roman" w:hAnsi="Times New Roman"/>
          <w:sz w:val="24"/>
          <w:szCs w:val="24"/>
        </w:rPr>
        <w:t>.</w:t>
      </w:r>
      <w:r w:rsidR="005E31BF">
        <w:rPr>
          <w:rFonts w:ascii="Times New Roman" w:hAnsi="Times New Roman"/>
          <w:sz w:val="24"/>
          <w:szCs w:val="24"/>
        </w:rPr>
        <w:t xml:space="preserve"> Среди </w:t>
      </w:r>
      <w:r w:rsidR="00E95705">
        <w:rPr>
          <w:rFonts w:ascii="Times New Roman" w:hAnsi="Times New Roman"/>
          <w:sz w:val="24"/>
          <w:szCs w:val="24"/>
        </w:rPr>
        <w:t>направлений</w:t>
      </w:r>
      <w:r w:rsidR="005E31BF">
        <w:rPr>
          <w:rFonts w:ascii="Times New Roman" w:hAnsi="Times New Roman"/>
          <w:sz w:val="24"/>
          <w:szCs w:val="24"/>
        </w:rPr>
        <w:t xml:space="preserve"> выделены следующие:</w:t>
      </w:r>
    </w:p>
    <w:p w:rsidR="00787B64" w:rsidRPr="00787B64" w:rsidRDefault="005E31BF" w:rsidP="005E3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B64" w:rsidRPr="00787B64">
        <w:rPr>
          <w:rFonts w:ascii="Times New Roman" w:hAnsi="Times New Roman"/>
          <w:sz w:val="24"/>
          <w:szCs w:val="24"/>
        </w:rPr>
        <w:t>развитие трудовых ресурсов, человеческого капитала, которое осуществляется путем совершенствования фу</w:t>
      </w:r>
      <w:r w:rsidR="00787B64" w:rsidRPr="006D1ECD">
        <w:rPr>
          <w:rFonts w:ascii="Times New Roman" w:hAnsi="Times New Roman"/>
          <w:spacing w:val="-20"/>
          <w:sz w:val="24"/>
          <w:szCs w:val="24"/>
        </w:rPr>
        <w:t>нкц</w:t>
      </w:r>
      <w:r w:rsidR="006D1ECD" w:rsidRPr="006D1ECD">
        <w:rPr>
          <w:rFonts w:ascii="Times New Roman" w:hAnsi="Times New Roman"/>
          <w:spacing w:val="-20"/>
          <w:sz w:val="24"/>
          <w:szCs w:val="24"/>
        </w:rPr>
        <w:t>иониров</w:t>
      </w:r>
      <w:r w:rsidR="006D1ECD">
        <w:rPr>
          <w:rFonts w:ascii="Times New Roman" w:hAnsi="Times New Roman"/>
          <w:sz w:val="24"/>
          <w:szCs w:val="24"/>
        </w:rPr>
        <w:t>ания системы образования.</w:t>
      </w:r>
      <w:r w:rsidR="00787B64" w:rsidRPr="006D1ECD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6D1ECD">
        <w:rPr>
          <w:rFonts w:ascii="Times New Roman" w:hAnsi="Times New Roman"/>
          <w:sz w:val="24"/>
          <w:szCs w:val="24"/>
        </w:rPr>
        <w:t>За счет</w:t>
      </w:r>
      <w:r w:rsidR="00787B64" w:rsidRPr="00787B64">
        <w:rPr>
          <w:rFonts w:ascii="Times New Roman" w:hAnsi="Times New Roman"/>
          <w:sz w:val="24"/>
          <w:szCs w:val="24"/>
        </w:rPr>
        <w:t xml:space="preserve"> проведени</w:t>
      </w:r>
      <w:r w:rsidR="006D1ECD">
        <w:rPr>
          <w:rFonts w:ascii="Times New Roman" w:hAnsi="Times New Roman"/>
          <w:sz w:val="24"/>
          <w:szCs w:val="24"/>
        </w:rPr>
        <w:t>я</w:t>
      </w:r>
      <w:r w:rsidR="00787B64" w:rsidRPr="00787B64">
        <w:rPr>
          <w:rFonts w:ascii="Times New Roman" w:hAnsi="Times New Roman"/>
          <w:sz w:val="24"/>
          <w:szCs w:val="24"/>
        </w:rPr>
        <w:t xml:space="preserve"> государством оптимальной образовательной программы гражданами достигается осознанность важности получения знаний </w:t>
      </w:r>
      <w:r w:rsidR="00A5633B">
        <w:rPr>
          <w:rFonts w:ascii="Times New Roman" w:hAnsi="Times New Roman"/>
          <w:sz w:val="24"/>
          <w:szCs w:val="24"/>
        </w:rPr>
        <w:t>на каждом уровне данной системы</w:t>
      </w:r>
      <w:r>
        <w:rPr>
          <w:rFonts w:ascii="Times New Roman" w:hAnsi="Times New Roman"/>
          <w:sz w:val="24"/>
          <w:szCs w:val="24"/>
        </w:rPr>
        <w:t>;</w:t>
      </w:r>
    </w:p>
    <w:p w:rsidR="00787B64" w:rsidRPr="00787B64" w:rsidRDefault="005E31BF" w:rsidP="00787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B64" w:rsidRPr="00787B64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="00787B64" w:rsidRPr="00787B64">
        <w:rPr>
          <w:rFonts w:ascii="Times New Roman" w:hAnsi="Times New Roman"/>
          <w:sz w:val="24"/>
          <w:szCs w:val="24"/>
        </w:rPr>
        <w:t xml:space="preserve"> высоко конкурентной институциональной среды, что даст новый импульс для привлечения инвестиций и роста предпринимательской активности граждан. Данное направление предполагается реализовать за счет проведения следующих мероприятий: модернизация фискальной политики государства; демонополизация рынка; поддержка МСП; снижение предпринимательских рисков в результате обеспечения стабильной экономической политики, а также обеспечение развития финансовой системы; обеспечение прозрачности ВЭД и высокого к</w:t>
      </w:r>
      <w:r>
        <w:rPr>
          <w:rFonts w:ascii="Times New Roman" w:hAnsi="Times New Roman"/>
          <w:sz w:val="24"/>
          <w:szCs w:val="24"/>
        </w:rPr>
        <w:t>ачества административной работы;</w:t>
      </w:r>
    </w:p>
    <w:p w:rsidR="00787B64" w:rsidRPr="00787B64" w:rsidRDefault="005E31BF" w:rsidP="00787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B64" w:rsidRPr="00787B64">
        <w:rPr>
          <w:rFonts w:ascii="Times New Roman" w:hAnsi="Times New Roman"/>
          <w:sz w:val="24"/>
          <w:szCs w:val="24"/>
        </w:rPr>
        <w:t xml:space="preserve">стремление к снижению рисков за счет диверсификации </w:t>
      </w:r>
      <w:r>
        <w:rPr>
          <w:rFonts w:ascii="Times New Roman" w:hAnsi="Times New Roman"/>
          <w:sz w:val="24"/>
          <w:szCs w:val="24"/>
        </w:rPr>
        <w:t xml:space="preserve">экономики и экспорта, </w:t>
      </w:r>
      <w:r w:rsidR="00787B64" w:rsidRPr="00787B64">
        <w:rPr>
          <w:rFonts w:ascii="Times New Roman" w:hAnsi="Times New Roman"/>
          <w:sz w:val="24"/>
          <w:szCs w:val="24"/>
        </w:rPr>
        <w:t xml:space="preserve">используя результаты инновационной деятельности. Ключевыми задачами являются формирование научно-технологической системы и ее интегрирование с высшим образованием; обеспечение данной системы инфраструктурой и институтами защиты интеллектуальной собственности; улучшение возможностей привлечения долгосрочных инвестиций, а также поддержка отраслей путем </w:t>
      </w:r>
      <w:r>
        <w:rPr>
          <w:rFonts w:ascii="Times New Roman" w:hAnsi="Times New Roman"/>
          <w:sz w:val="24"/>
          <w:szCs w:val="24"/>
        </w:rPr>
        <w:t>заключения совместных договоров;</w:t>
      </w:r>
    </w:p>
    <w:p w:rsidR="00787B64" w:rsidRPr="00787B64" w:rsidRDefault="005E31BF" w:rsidP="00787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B64" w:rsidRPr="00787B64">
        <w:rPr>
          <w:rFonts w:ascii="Times New Roman" w:hAnsi="Times New Roman"/>
          <w:sz w:val="24"/>
          <w:szCs w:val="24"/>
        </w:rPr>
        <w:t>сохранени</w:t>
      </w:r>
      <w:r>
        <w:rPr>
          <w:rFonts w:ascii="Times New Roman" w:hAnsi="Times New Roman"/>
          <w:sz w:val="24"/>
          <w:szCs w:val="24"/>
        </w:rPr>
        <w:t>е</w:t>
      </w:r>
      <w:r w:rsidR="00787B64" w:rsidRPr="00787B64">
        <w:rPr>
          <w:rFonts w:ascii="Times New Roman" w:hAnsi="Times New Roman"/>
          <w:sz w:val="24"/>
          <w:szCs w:val="24"/>
        </w:rPr>
        <w:t xml:space="preserve"> и качественно</w:t>
      </w:r>
      <w:r>
        <w:rPr>
          <w:rFonts w:ascii="Times New Roman" w:hAnsi="Times New Roman"/>
          <w:sz w:val="24"/>
          <w:szCs w:val="24"/>
        </w:rPr>
        <w:t>е</w:t>
      </w:r>
      <w:r w:rsidR="00787B64" w:rsidRPr="00787B64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е</w:t>
      </w:r>
      <w:r w:rsidR="00787B64" w:rsidRPr="00787B64">
        <w:rPr>
          <w:rFonts w:ascii="Times New Roman" w:hAnsi="Times New Roman"/>
          <w:sz w:val="24"/>
          <w:szCs w:val="24"/>
        </w:rPr>
        <w:t xml:space="preserve"> имеющихся сравнительных конкурентных преимуществ в основных для России секторах (например, энергетика, аграрный сектор, переработка природных ресурсов). Для реализации данной цели необходимы переход от простых технологий и техники к качественно сложным и маржинальным; завоевание лидерства по добыче и обработке ВИЭ и переход на использование экологически чистых технологий; осуществление всех во</w:t>
      </w:r>
      <w:r w:rsidR="00A5633B">
        <w:rPr>
          <w:rFonts w:ascii="Times New Roman" w:hAnsi="Times New Roman"/>
          <w:sz w:val="24"/>
          <w:szCs w:val="24"/>
        </w:rPr>
        <w:t>зможных транзитных возможностей</w:t>
      </w:r>
      <w:r>
        <w:rPr>
          <w:rFonts w:ascii="Times New Roman" w:hAnsi="Times New Roman"/>
          <w:sz w:val="24"/>
          <w:szCs w:val="24"/>
        </w:rPr>
        <w:t>;</w:t>
      </w:r>
    </w:p>
    <w:p w:rsidR="00787B64" w:rsidRPr="00787B64" w:rsidRDefault="005E31BF" w:rsidP="00787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B64" w:rsidRPr="00787B64">
        <w:rPr>
          <w:rFonts w:ascii="Times New Roman" w:hAnsi="Times New Roman"/>
          <w:sz w:val="24"/>
          <w:szCs w:val="24"/>
        </w:rPr>
        <w:t xml:space="preserve">улучшение позиций российской экономики на мировой арене и углубление ее роли в МРТ. </w:t>
      </w:r>
      <w:r w:rsidR="00BB700A" w:rsidRPr="00787B64">
        <w:rPr>
          <w:rFonts w:ascii="Times New Roman" w:hAnsi="Times New Roman"/>
          <w:sz w:val="24"/>
          <w:szCs w:val="24"/>
        </w:rPr>
        <w:t>П</w:t>
      </w:r>
      <w:r w:rsidR="00787B64" w:rsidRPr="00787B64">
        <w:rPr>
          <w:rFonts w:ascii="Times New Roman" w:hAnsi="Times New Roman"/>
          <w:sz w:val="24"/>
          <w:szCs w:val="24"/>
        </w:rPr>
        <w:t xml:space="preserve">редполагается использование преимуществ глобализации для привлечения иностранных инвестиций (в виде трудовых ресурсов, капиталов и технологий) и сравнительных преимуществ, которые были приобретены и качественно усовершенствованы </w:t>
      </w:r>
      <w:r w:rsidR="00787B64" w:rsidRPr="00787B64">
        <w:rPr>
          <w:rFonts w:ascii="Times New Roman" w:hAnsi="Times New Roman"/>
          <w:sz w:val="24"/>
          <w:szCs w:val="24"/>
        </w:rPr>
        <w:lastRenderedPageBreak/>
        <w:t>в ходе реформ; формирование евразийской экономической интеграционной группировки и постепенное приобретение статуса мирового финансового центра.</w:t>
      </w:r>
    </w:p>
    <w:p w:rsidR="00A05FAA" w:rsidRPr="005E31BF" w:rsidRDefault="005E31BF" w:rsidP="005E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BF">
        <w:rPr>
          <w:rFonts w:ascii="Times New Roman" w:hAnsi="Times New Roman" w:cs="Times New Roman"/>
          <w:sz w:val="24"/>
          <w:szCs w:val="24"/>
        </w:rPr>
        <w:t>Таким образом, в современных условиях ключевой целью</w:t>
      </w:r>
      <w:r w:rsidR="003F288A">
        <w:rPr>
          <w:rFonts w:ascii="Times New Roman" w:hAnsi="Times New Roman" w:cs="Times New Roman"/>
          <w:sz w:val="24"/>
          <w:szCs w:val="24"/>
        </w:rPr>
        <w:t xml:space="preserve"> для</w:t>
      </w:r>
      <w:r w:rsidRPr="005E31BF">
        <w:rPr>
          <w:rFonts w:ascii="Times New Roman" w:hAnsi="Times New Roman" w:cs="Times New Roman"/>
          <w:sz w:val="24"/>
          <w:szCs w:val="24"/>
        </w:rPr>
        <w:t xml:space="preserve"> России остается переход к инновационной стадии развития экономики</w:t>
      </w:r>
      <w:r w:rsidR="003F288A">
        <w:rPr>
          <w:rFonts w:ascii="Times New Roman" w:hAnsi="Times New Roman" w:cs="Times New Roman"/>
          <w:sz w:val="24"/>
          <w:szCs w:val="24"/>
        </w:rPr>
        <w:t xml:space="preserve">. На данный момент </w:t>
      </w:r>
      <w:r w:rsidR="00E95705">
        <w:rPr>
          <w:rFonts w:ascii="Times New Roman" w:hAnsi="Times New Roman" w:cs="Times New Roman"/>
          <w:sz w:val="24"/>
          <w:szCs w:val="24"/>
        </w:rPr>
        <w:t>выявлен</w:t>
      </w:r>
      <w:r w:rsidRPr="005E31BF">
        <w:rPr>
          <w:rFonts w:ascii="Times New Roman" w:hAnsi="Times New Roman" w:cs="Times New Roman"/>
          <w:sz w:val="24"/>
          <w:szCs w:val="24"/>
        </w:rPr>
        <w:t xml:space="preserve"> спектр </w:t>
      </w:r>
      <w:r w:rsidR="00AC0E0F">
        <w:rPr>
          <w:rFonts w:ascii="Times New Roman" w:hAnsi="Times New Roman" w:cs="Times New Roman"/>
          <w:sz w:val="24"/>
          <w:szCs w:val="24"/>
        </w:rPr>
        <w:t>целей</w:t>
      </w:r>
      <w:r w:rsidRPr="005E31BF">
        <w:rPr>
          <w:rFonts w:ascii="Times New Roman" w:hAnsi="Times New Roman" w:cs="Times New Roman"/>
          <w:sz w:val="24"/>
          <w:szCs w:val="24"/>
        </w:rPr>
        <w:t xml:space="preserve">, достижение которых </w:t>
      </w:r>
      <w:r w:rsidR="003F288A">
        <w:rPr>
          <w:rFonts w:ascii="Times New Roman" w:hAnsi="Times New Roman" w:cs="Times New Roman"/>
          <w:sz w:val="24"/>
          <w:szCs w:val="24"/>
        </w:rPr>
        <w:t>призвано способствовать</w:t>
      </w:r>
      <w:r w:rsidRPr="005E31BF">
        <w:rPr>
          <w:rFonts w:ascii="Times New Roman" w:hAnsi="Times New Roman" w:cs="Times New Roman"/>
          <w:sz w:val="24"/>
          <w:szCs w:val="24"/>
        </w:rPr>
        <w:t xml:space="preserve"> </w:t>
      </w:r>
      <w:r w:rsidR="00E95705">
        <w:rPr>
          <w:rFonts w:ascii="Times New Roman" w:hAnsi="Times New Roman" w:cs="Times New Roman"/>
          <w:sz w:val="24"/>
          <w:szCs w:val="24"/>
        </w:rPr>
        <w:t>повышению конкурентоспособности</w:t>
      </w:r>
      <w:r w:rsidRPr="005E31BF">
        <w:rPr>
          <w:rFonts w:ascii="Times New Roman" w:hAnsi="Times New Roman" w:cs="Times New Roman"/>
          <w:sz w:val="24"/>
          <w:szCs w:val="24"/>
        </w:rPr>
        <w:t xml:space="preserve"> </w:t>
      </w:r>
      <w:r w:rsidR="003F288A">
        <w:rPr>
          <w:rFonts w:ascii="Times New Roman" w:hAnsi="Times New Roman" w:cs="Times New Roman"/>
          <w:sz w:val="24"/>
          <w:szCs w:val="24"/>
        </w:rPr>
        <w:t>национальной экономики</w:t>
      </w:r>
      <w:r w:rsidR="00E95705">
        <w:rPr>
          <w:rFonts w:ascii="Times New Roman" w:hAnsi="Times New Roman" w:cs="Times New Roman"/>
          <w:sz w:val="24"/>
          <w:szCs w:val="24"/>
        </w:rPr>
        <w:t>, и как следствие – росту благосостояния населения</w:t>
      </w:r>
      <w:r w:rsidR="003F288A">
        <w:rPr>
          <w:rFonts w:ascii="Times New Roman" w:hAnsi="Times New Roman" w:cs="Times New Roman"/>
          <w:sz w:val="24"/>
          <w:szCs w:val="24"/>
        </w:rPr>
        <w:t>. Основными среди направлений</w:t>
      </w:r>
      <w:r w:rsidRPr="005E31BF">
        <w:rPr>
          <w:rFonts w:ascii="Times New Roman" w:hAnsi="Times New Roman" w:cs="Times New Roman"/>
          <w:sz w:val="24"/>
          <w:szCs w:val="24"/>
        </w:rPr>
        <w:t xml:space="preserve"> стратегического развития являются инвестиции в чел</w:t>
      </w:r>
      <w:r w:rsidR="00AC0E0F">
        <w:rPr>
          <w:rFonts w:ascii="Times New Roman" w:hAnsi="Times New Roman" w:cs="Times New Roman"/>
          <w:sz w:val="24"/>
          <w:szCs w:val="24"/>
        </w:rPr>
        <w:t>овеческий капитал, поддержка не</w:t>
      </w:r>
      <w:r w:rsidR="00AC0E0F" w:rsidRPr="005E31BF">
        <w:rPr>
          <w:rFonts w:ascii="Times New Roman" w:hAnsi="Times New Roman" w:cs="Times New Roman"/>
          <w:sz w:val="24"/>
          <w:szCs w:val="24"/>
        </w:rPr>
        <w:t xml:space="preserve"> сырьевого</w:t>
      </w:r>
      <w:r w:rsidRPr="005E31BF">
        <w:rPr>
          <w:rFonts w:ascii="Times New Roman" w:hAnsi="Times New Roman" w:cs="Times New Roman"/>
          <w:sz w:val="24"/>
          <w:szCs w:val="24"/>
        </w:rPr>
        <w:t xml:space="preserve"> экспорта, модернизация инфраструктуры, улучшение предпринимательской среды и эффективности функционирования системы образования, </w:t>
      </w:r>
      <w:r w:rsidR="003F288A">
        <w:rPr>
          <w:rFonts w:ascii="Times New Roman" w:hAnsi="Times New Roman" w:cs="Times New Roman"/>
          <w:sz w:val="24"/>
          <w:szCs w:val="24"/>
        </w:rPr>
        <w:t>развитие сферы</w:t>
      </w:r>
      <w:r w:rsidRPr="005E31BF">
        <w:rPr>
          <w:rFonts w:ascii="Times New Roman" w:hAnsi="Times New Roman" w:cs="Times New Roman"/>
          <w:sz w:val="24"/>
          <w:szCs w:val="24"/>
        </w:rPr>
        <w:t xml:space="preserve"> науки и инноваций</w:t>
      </w:r>
      <w:r w:rsidR="00283547">
        <w:rPr>
          <w:rFonts w:ascii="Times New Roman" w:hAnsi="Times New Roman" w:cs="Times New Roman"/>
          <w:sz w:val="24"/>
          <w:szCs w:val="24"/>
        </w:rPr>
        <w:t>, внедрение цифровых технологий</w:t>
      </w:r>
      <w:r w:rsidRPr="005E31BF">
        <w:rPr>
          <w:rFonts w:ascii="Times New Roman" w:hAnsi="Times New Roman" w:cs="Times New Roman"/>
          <w:sz w:val="24"/>
          <w:szCs w:val="24"/>
        </w:rPr>
        <w:t xml:space="preserve">. </w:t>
      </w:r>
      <w:r w:rsidR="003F288A">
        <w:rPr>
          <w:rFonts w:ascii="Times New Roman" w:hAnsi="Times New Roman" w:cs="Times New Roman"/>
          <w:sz w:val="24"/>
          <w:szCs w:val="24"/>
        </w:rPr>
        <w:t>Особенно</w:t>
      </w:r>
      <w:r w:rsidRPr="005E31BF">
        <w:rPr>
          <w:rFonts w:ascii="Times New Roman" w:hAnsi="Times New Roman" w:cs="Times New Roman"/>
          <w:sz w:val="24"/>
          <w:szCs w:val="24"/>
        </w:rPr>
        <w:t xml:space="preserve"> актуальным </w:t>
      </w:r>
      <w:r w:rsidR="00AC0E0F">
        <w:rPr>
          <w:rFonts w:ascii="Times New Roman" w:hAnsi="Times New Roman" w:cs="Times New Roman"/>
          <w:sz w:val="24"/>
          <w:szCs w:val="24"/>
        </w:rPr>
        <w:t>является</w:t>
      </w:r>
      <w:r w:rsidRPr="005E31BF">
        <w:rPr>
          <w:rFonts w:ascii="Times New Roman" w:hAnsi="Times New Roman" w:cs="Times New Roman"/>
          <w:sz w:val="24"/>
          <w:szCs w:val="24"/>
        </w:rPr>
        <w:t xml:space="preserve"> </w:t>
      </w:r>
      <w:r w:rsidR="00AC0E0F">
        <w:rPr>
          <w:rFonts w:ascii="Times New Roman" w:hAnsi="Times New Roman" w:cs="Times New Roman"/>
          <w:sz w:val="24"/>
          <w:szCs w:val="24"/>
        </w:rPr>
        <w:t>вопрос активного содействия</w:t>
      </w:r>
      <w:r w:rsidRPr="005E31BF">
        <w:rPr>
          <w:rFonts w:ascii="Times New Roman" w:hAnsi="Times New Roman" w:cs="Times New Roman"/>
          <w:sz w:val="24"/>
          <w:szCs w:val="24"/>
        </w:rPr>
        <w:t xml:space="preserve"> их </w:t>
      </w:r>
      <w:r w:rsidR="00AC0E0F">
        <w:rPr>
          <w:rFonts w:ascii="Times New Roman" w:hAnsi="Times New Roman" w:cs="Times New Roman"/>
          <w:sz w:val="24"/>
          <w:szCs w:val="24"/>
        </w:rPr>
        <w:t>непосредственному осуществлению на государственном уровне.</w:t>
      </w:r>
    </w:p>
    <w:p w:rsidR="00ED4572" w:rsidRDefault="00ED4572" w:rsidP="00ED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72" w:rsidRPr="00285526" w:rsidRDefault="00ED4572" w:rsidP="00027A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685">
        <w:rPr>
          <w:rFonts w:ascii="Times New Roman" w:hAnsi="Times New Roman" w:cs="Times New Roman"/>
          <w:b/>
          <w:sz w:val="24"/>
          <w:szCs w:val="24"/>
        </w:rPr>
        <w:t>Список</w:t>
      </w:r>
      <w:r w:rsidRPr="00285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0685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216022" w:rsidRPr="00285526" w:rsidRDefault="00EF7116" w:rsidP="00027A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55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4572" w:rsidRPr="002855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 List of imported products for the selected product. Product: TOTAL </w:t>
      </w:r>
      <w:proofErr w:type="gramStart"/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 products [</w:t>
      </w:r>
      <w:r w:rsidR="00216022" w:rsidRPr="00216022">
        <w:rPr>
          <w:rFonts w:ascii="Times New Roman" w:hAnsi="Times New Roman" w:cs="Times New Roman"/>
          <w:sz w:val="24"/>
          <w:szCs w:val="24"/>
        </w:rPr>
        <w:t>Электронный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22" w:rsidRPr="00216022">
        <w:rPr>
          <w:rFonts w:ascii="Times New Roman" w:hAnsi="Times New Roman" w:cs="Times New Roman"/>
          <w:sz w:val="24"/>
          <w:szCs w:val="24"/>
        </w:rPr>
        <w:t>ресурс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] / ITC. </w:t>
      </w:r>
      <w:r w:rsidR="002313B7">
        <w:rPr>
          <w:rFonts w:ascii="Times New Roman" w:hAnsi="Times New Roman" w:cs="Times New Roman"/>
          <w:sz w:val="24"/>
          <w:szCs w:val="24"/>
          <w:lang w:val="en-US"/>
        </w:rPr>
        <w:t>– URL:</w:t>
      </w:r>
      <w:r w:rsidR="002313B7" w:rsidRPr="001B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1B483C" w:rsidRPr="001B483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https://www.trademap.org</w:t>
        </w:r>
      </w:hyperlink>
      <w:r w:rsidR="00027AF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1B483C">
        <w:rPr>
          <w:rFonts w:ascii="Times New Roman" w:hAnsi="Times New Roman" w:cs="Times New Roman"/>
          <w:sz w:val="24"/>
          <w:szCs w:val="24"/>
        </w:rPr>
        <w:t xml:space="preserve"> 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16022" w:rsidRPr="00216022">
        <w:rPr>
          <w:rFonts w:ascii="Times New Roman" w:hAnsi="Times New Roman" w:cs="Times New Roman"/>
          <w:sz w:val="24"/>
          <w:szCs w:val="24"/>
        </w:rPr>
        <w:t>Дата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22" w:rsidRPr="00216022">
        <w:rPr>
          <w:rFonts w:ascii="Times New Roman" w:hAnsi="Times New Roman" w:cs="Times New Roman"/>
          <w:sz w:val="24"/>
          <w:szCs w:val="24"/>
        </w:rPr>
        <w:t>обращения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E31BF" w:rsidRPr="00285526">
        <w:rPr>
          <w:rFonts w:ascii="Times New Roman" w:hAnsi="Times New Roman" w:cs="Times New Roman"/>
          <w:sz w:val="24"/>
          <w:szCs w:val="24"/>
          <w:lang w:val="en-US"/>
        </w:rPr>
        <w:t>27.04.2021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D4572" w:rsidRPr="002313B7" w:rsidRDefault="00EF7116" w:rsidP="0002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5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>. List of products exported by Russian Federation [</w:t>
      </w:r>
      <w:r w:rsidR="00216022" w:rsidRPr="00216022">
        <w:rPr>
          <w:rFonts w:ascii="Times New Roman" w:hAnsi="Times New Roman" w:cs="Times New Roman"/>
          <w:sz w:val="24"/>
          <w:szCs w:val="24"/>
        </w:rPr>
        <w:t>Электронный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22" w:rsidRPr="00216022">
        <w:rPr>
          <w:rFonts w:ascii="Times New Roman" w:hAnsi="Times New Roman" w:cs="Times New Roman"/>
          <w:sz w:val="24"/>
          <w:szCs w:val="24"/>
        </w:rPr>
        <w:t>ресурс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] / </w:t>
      </w:r>
      <w:r w:rsidR="006D1ECD" w:rsidRPr="00285526">
        <w:rPr>
          <w:rFonts w:ascii="Times New Roman" w:hAnsi="Times New Roman" w:cs="Times New Roman"/>
          <w:sz w:val="24"/>
          <w:szCs w:val="24"/>
          <w:lang w:val="en-US"/>
        </w:rPr>
        <w:t>ITC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216022" w:rsidRPr="00285526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URL: </w:t>
      </w:r>
      <w:r w:rsidR="002313B7">
        <w:rPr>
          <w:rFonts w:ascii="Times New Roman" w:hAnsi="Times New Roman" w:cs="Times New Roman"/>
          <w:sz w:val="24"/>
          <w:szCs w:val="24"/>
          <w:lang w:val="en-US"/>
        </w:rPr>
        <w:t>https://www.trademap.org</w:t>
      </w:r>
      <w:r w:rsidR="00027A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6022"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22" w:rsidRPr="002313B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16022" w:rsidRPr="00216022">
        <w:rPr>
          <w:rFonts w:ascii="Times New Roman" w:hAnsi="Times New Roman" w:cs="Times New Roman"/>
          <w:sz w:val="24"/>
          <w:szCs w:val="24"/>
        </w:rPr>
        <w:t>Д</w:t>
      </w:r>
      <w:r w:rsidR="00216022" w:rsidRPr="00216022">
        <w:rPr>
          <w:rFonts w:ascii="Times New Roman" w:hAnsi="Times New Roman" w:cs="Times New Roman"/>
          <w:spacing w:val="-20"/>
          <w:sz w:val="24"/>
          <w:szCs w:val="24"/>
        </w:rPr>
        <w:t>ата</w:t>
      </w:r>
      <w:r w:rsidR="00216022" w:rsidRPr="002313B7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="00216022" w:rsidRPr="00216022">
        <w:rPr>
          <w:rFonts w:ascii="Times New Roman" w:hAnsi="Times New Roman" w:cs="Times New Roman"/>
          <w:sz w:val="24"/>
          <w:szCs w:val="24"/>
        </w:rPr>
        <w:t>обращения</w:t>
      </w:r>
      <w:r w:rsidR="00216022" w:rsidRPr="002313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E31BF" w:rsidRPr="002313B7">
        <w:rPr>
          <w:rFonts w:ascii="Times New Roman" w:hAnsi="Times New Roman" w:cs="Times New Roman"/>
          <w:sz w:val="24"/>
          <w:szCs w:val="24"/>
          <w:lang w:val="en-US"/>
        </w:rPr>
        <w:t>27.04.2021</w:t>
      </w:r>
      <w:r w:rsidR="00216022" w:rsidRPr="002313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F7116" w:rsidRDefault="002313B7" w:rsidP="0002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7116">
        <w:rPr>
          <w:rFonts w:ascii="Times New Roman" w:hAnsi="Times New Roman" w:cs="Times New Roman"/>
          <w:sz w:val="24"/>
          <w:szCs w:val="24"/>
        </w:rPr>
        <w:t>. «</w:t>
      </w:r>
      <w:r w:rsidR="00EF7116" w:rsidRPr="00EF7116">
        <w:rPr>
          <w:rFonts w:ascii="Times New Roman" w:hAnsi="Times New Roman" w:cs="Times New Roman"/>
          <w:sz w:val="24"/>
          <w:szCs w:val="24"/>
        </w:rPr>
        <w:t>Прогноз долгосрочного социально-экономического развития Российской Федерации на период до 20</w:t>
      </w:r>
      <w:r w:rsidR="00EF7116">
        <w:rPr>
          <w:rFonts w:ascii="Times New Roman" w:hAnsi="Times New Roman" w:cs="Times New Roman"/>
          <w:sz w:val="24"/>
          <w:szCs w:val="24"/>
        </w:rPr>
        <w:t>30 года»</w:t>
      </w:r>
      <w:r w:rsidR="00EF7116" w:rsidRPr="00EF7116">
        <w:rPr>
          <w:rFonts w:ascii="Times New Roman" w:hAnsi="Times New Roman" w:cs="Times New Roman"/>
          <w:sz w:val="24"/>
          <w:szCs w:val="24"/>
        </w:rPr>
        <w:t xml:space="preserve"> (разработан Минэкономразвития России) </w:t>
      </w:r>
      <w:r w:rsidR="00EF7116" w:rsidRPr="005E31BF">
        <w:rPr>
          <w:rFonts w:ascii="Times New Roman" w:hAnsi="Times New Roman" w:cs="Times New Roman"/>
          <w:sz w:val="24"/>
          <w:szCs w:val="24"/>
        </w:rPr>
        <w:t xml:space="preserve">[Электронный ресурс] / </w:t>
      </w:r>
      <w:proofErr w:type="spellStart"/>
      <w:r w:rsidR="00EF711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EF7116" w:rsidRPr="005E31BF">
        <w:rPr>
          <w:rFonts w:ascii="Times New Roman" w:hAnsi="Times New Roman" w:cs="Times New Roman"/>
          <w:sz w:val="24"/>
          <w:szCs w:val="24"/>
        </w:rPr>
        <w:t xml:space="preserve">. – URL: </w:t>
      </w:r>
      <w:r w:rsidR="00EF7116" w:rsidRPr="00EF7116">
        <w:rPr>
          <w:rFonts w:ascii="Times New Roman" w:hAnsi="Times New Roman" w:cs="Times New Roman"/>
          <w:sz w:val="24"/>
          <w:szCs w:val="24"/>
        </w:rPr>
        <w:t>http://www.consultant.ru/document/cons_doc_LAW_144190/</w:t>
      </w:r>
      <w:r w:rsidR="00EF7116" w:rsidRPr="005E31BF">
        <w:rPr>
          <w:rFonts w:ascii="Times New Roman" w:hAnsi="Times New Roman" w:cs="Times New Roman"/>
          <w:sz w:val="24"/>
          <w:szCs w:val="24"/>
        </w:rPr>
        <w:t>. (Дата обращения: 27.04.2021).</w:t>
      </w:r>
    </w:p>
    <w:p w:rsidR="00EF7116" w:rsidRDefault="002313B7" w:rsidP="0002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7116">
        <w:rPr>
          <w:rFonts w:ascii="Times New Roman" w:hAnsi="Times New Roman" w:cs="Times New Roman"/>
          <w:sz w:val="24"/>
          <w:szCs w:val="24"/>
        </w:rPr>
        <w:t xml:space="preserve">. </w:t>
      </w:r>
      <w:r w:rsidR="00705C59" w:rsidRPr="00705C59">
        <w:rPr>
          <w:rFonts w:ascii="Times New Roman" w:hAnsi="Times New Roman" w:cs="Times New Roman"/>
          <w:sz w:val="24"/>
          <w:szCs w:val="24"/>
        </w:rPr>
        <w:t>Президент подписал Указ «О национальных целях развития Российской Федерации на период до 2030 года»</w:t>
      </w:r>
      <w:r w:rsidR="00705C59">
        <w:rPr>
          <w:rFonts w:ascii="Times New Roman" w:hAnsi="Times New Roman" w:cs="Times New Roman"/>
          <w:sz w:val="24"/>
          <w:szCs w:val="24"/>
        </w:rPr>
        <w:t xml:space="preserve"> </w:t>
      </w:r>
      <w:r w:rsidR="00705C59" w:rsidRPr="005E31BF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5E31B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="00705C59">
        <w:rPr>
          <w:rFonts w:ascii="Times New Roman" w:hAnsi="Times New Roman" w:cs="Times New Roman"/>
          <w:sz w:val="24"/>
          <w:szCs w:val="24"/>
        </w:rPr>
        <w:t xml:space="preserve"> «</w:t>
      </w:r>
      <w:r w:rsidR="00705C59" w:rsidRPr="00705C59">
        <w:rPr>
          <w:rFonts w:ascii="Times New Roman" w:hAnsi="Times New Roman" w:cs="Times New Roman"/>
          <w:sz w:val="24"/>
          <w:szCs w:val="24"/>
        </w:rPr>
        <w:t>Центр правового</w:t>
      </w:r>
      <w:r w:rsidR="00705C59">
        <w:rPr>
          <w:rFonts w:ascii="Times New Roman" w:hAnsi="Times New Roman" w:cs="Times New Roman"/>
          <w:sz w:val="24"/>
          <w:szCs w:val="24"/>
        </w:rPr>
        <w:t xml:space="preserve"> обеспечения природопользования»</w:t>
      </w:r>
      <w:r w:rsidR="00705C59" w:rsidRPr="005E31BF">
        <w:rPr>
          <w:rFonts w:ascii="Times New Roman" w:hAnsi="Times New Roman" w:cs="Times New Roman"/>
          <w:sz w:val="24"/>
          <w:szCs w:val="24"/>
        </w:rPr>
        <w:t xml:space="preserve">. – URL: </w:t>
      </w:r>
      <w:r w:rsidR="00705C59" w:rsidRPr="00705C59">
        <w:rPr>
          <w:rFonts w:ascii="Times New Roman" w:hAnsi="Times New Roman" w:cs="Times New Roman"/>
          <w:sz w:val="24"/>
          <w:szCs w:val="24"/>
        </w:rPr>
        <w:t>https://www.ecours.ru/content/prezident-podpisal-ukaz-o-nacionalnyh-celyah-razvitiya-rossiyskoy-federacii-na-period-do</w:t>
      </w:r>
      <w:r w:rsidR="00705C59" w:rsidRPr="005E31BF">
        <w:rPr>
          <w:rFonts w:ascii="Times New Roman" w:hAnsi="Times New Roman" w:cs="Times New Roman"/>
          <w:sz w:val="24"/>
          <w:szCs w:val="24"/>
        </w:rPr>
        <w:t>. (Дата обращения: 27.04.2021).</w:t>
      </w:r>
    </w:p>
    <w:p w:rsidR="00ED4572" w:rsidRDefault="00ED4572" w:rsidP="00027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572" w:rsidRPr="00F80685" w:rsidRDefault="00ED4572" w:rsidP="00F80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85">
        <w:rPr>
          <w:rFonts w:ascii="Times New Roman" w:hAnsi="Times New Roman" w:cs="Times New Roman"/>
          <w:b/>
          <w:sz w:val="24"/>
          <w:szCs w:val="24"/>
        </w:rPr>
        <w:t>Информация об автор</w:t>
      </w:r>
      <w:r w:rsidR="00FC78A1">
        <w:rPr>
          <w:rFonts w:ascii="Times New Roman" w:hAnsi="Times New Roman" w:cs="Times New Roman"/>
          <w:b/>
          <w:sz w:val="24"/>
          <w:szCs w:val="24"/>
        </w:rPr>
        <w:t>ах</w:t>
      </w:r>
    </w:p>
    <w:p w:rsidR="00ED4572" w:rsidRDefault="00ED4572" w:rsidP="0040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Анастасия Ивановна (</w:t>
      </w:r>
      <w:r w:rsidR="00401BF9">
        <w:rPr>
          <w:rFonts w:ascii="Times New Roman" w:hAnsi="Times New Roman" w:cs="Times New Roman"/>
          <w:sz w:val="24"/>
          <w:szCs w:val="24"/>
        </w:rPr>
        <w:t>ДНР</w:t>
      </w:r>
      <w:r>
        <w:rPr>
          <w:rFonts w:ascii="Times New Roman" w:hAnsi="Times New Roman" w:cs="Times New Roman"/>
          <w:sz w:val="24"/>
          <w:szCs w:val="24"/>
        </w:rPr>
        <w:t xml:space="preserve">, Донецк) – студентка, </w:t>
      </w:r>
      <w:r w:rsidRPr="00ED4572">
        <w:rPr>
          <w:rFonts w:ascii="Times New Roman" w:hAnsi="Times New Roman" w:cs="Times New Roman"/>
          <w:sz w:val="24"/>
          <w:szCs w:val="24"/>
        </w:rPr>
        <w:t>ГОУ ВПО «Дон</w:t>
      </w:r>
      <w:r>
        <w:rPr>
          <w:rFonts w:ascii="Times New Roman" w:hAnsi="Times New Roman" w:cs="Times New Roman"/>
          <w:sz w:val="24"/>
          <w:szCs w:val="24"/>
        </w:rPr>
        <w:t xml:space="preserve">ецкий национальный университет», </w:t>
      </w:r>
      <w:r w:rsidRPr="00ED4572">
        <w:rPr>
          <w:rFonts w:ascii="Times New Roman" w:hAnsi="Times New Roman" w:cs="Times New Roman"/>
          <w:sz w:val="24"/>
          <w:szCs w:val="24"/>
        </w:rPr>
        <w:t>pozitivka257@yandex.ru</w:t>
      </w:r>
    </w:p>
    <w:p w:rsidR="00FC78A1" w:rsidRDefault="00FC78A1" w:rsidP="0040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Туралина Анна</w:t>
      </w:r>
      <w:r w:rsidR="002313B7">
        <w:rPr>
          <w:rFonts w:ascii="Times New Roman" w:hAnsi="Times New Roman" w:cs="Times New Roman"/>
          <w:sz w:val="24"/>
          <w:szCs w:val="24"/>
        </w:rPr>
        <w:t xml:space="preserve"> Геннадьевна (ДНР, Донецк) – к.э.</w:t>
      </w:r>
      <w:r>
        <w:rPr>
          <w:rFonts w:ascii="Times New Roman" w:hAnsi="Times New Roman" w:cs="Times New Roman"/>
          <w:sz w:val="24"/>
          <w:szCs w:val="24"/>
        </w:rPr>
        <w:t xml:space="preserve">н., </w:t>
      </w:r>
      <w:r w:rsidR="00705C59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r w:rsidRPr="00ED4572">
        <w:rPr>
          <w:rFonts w:ascii="Times New Roman" w:hAnsi="Times New Roman" w:cs="Times New Roman"/>
          <w:sz w:val="24"/>
          <w:szCs w:val="24"/>
        </w:rPr>
        <w:t>ГОУ ВПО «Дон</w:t>
      </w:r>
      <w:r>
        <w:rPr>
          <w:rFonts w:ascii="Times New Roman" w:hAnsi="Times New Roman" w:cs="Times New Roman"/>
          <w:sz w:val="24"/>
          <w:szCs w:val="24"/>
        </w:rPr>
        <w:t xml:space="preserve">ецкий национальный университет», </w:t>
      </w:r>
      <w:r w:rsidR="00705C59" w:rsidRPr="00705C59">
        <w:rPr>
          <w:rFonts w:ascii="Times New Roman" w:hAnsi="Times New Roman" w:cs="Times New Roman"/>
          <w:sz w:val="24"/>
          <w:szCs w:val="24"/>
        </w:rPr>
        <w:t>a.turalina@donnu.ru</w:t>
      </w:r>
    </w:p>
    <w:p w:rsidR="00ED4572" w:rsidRDefault="00ED4572" w:rsidP="00ED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72" w:rsidRPr="00F80685" w:rsidRDefault="00ED4572" w:rsidP="00027AF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80685">
        <w:rPr>
          <w:rFonts w:ascii="Times New Roman" w:hAnsi="Times New Roman" w:cs="Times New Roman"/>
          <w:b/>
          <w:sz w:val="24"/>
          <w:szCs w:val="24"/>
          <w:lang w:val="en-US"/>
        </w:rPr>
        <w:t>Kovalenko</w:t>
      </w:r>
      <w:proofErr w:type="spellEnd"/>
      <w:r w:rsidRPr="00F80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A.I.</w:t>
      </w:r>
    </w:p>
    <w:p w:rsidR="00BB700A" w:rsidRPr="002313B7" w:rsidRDefault="00B14364" w:rsidP="00027A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DIRECTIONS FOR </w:t>
      </w:r>
      <w:r w:rsidRPr="00BB700A">
        <w:rPr>
          <w:rFonts w:ascii="Times New Roman" w:hAnsi="Times New Roman" w:cs="Times New Roman"/>
          <w:b/>
          <w:sz w:val="24"/>
          <w:szCs w:val="24"/>
          <w:lang w:val="en-US"/>
        </w:rPr>
        <w:t>IMPROV</w:t>
      </w:r>
      <w:r w:rsidRPr="00B14364">
        <w:rPr>
          <w:rFonts w:ascii="Times New Roman" w:hAnsi="Times New Roman" w:cs="Times New Roman"/>
          <w:b/>
          <w:sz w:val="24"/>
          <w:szCs w:val="24"/>
          <w:lang w:val="en-US"/>
        </w:rPr>
        <w:t>ING THE COMPETITIVENESS OF THE ECONOMY OF THE RUSSIAN FEDERATION</w:t>
      </w:r>
    </w:p>
    <w:p w:rsidR="00F80685" w:rsidRPr="00705C59" w:rsidRDefault="00BB700A" w:rsidP="00027A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B70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Abstract. </w:t>
      </w:r>
      <w:r w:rsidR="00B14364" w:rsidRPr="00B14364">
        <w:rPr>
          <w:rFonts w:ascii="Times New Roman" w:hAnsi="Times New Roman" w:cs="Times New Roman"/>
          <w:i/>
          <w:sz w:val="24"/>
          <w:szCs w:val="24"/>
          <w:lang w:val="en-US"/>
        </w:rPr>
        <w:t>The article examines the directions of improving the competitiveness of Russia in the context of commodity items</w:t>
      </w:r>
      <w:r w:rsidRPr="00705C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their assessment and analysis in modern conditions were carried out. </w:t>
      </w:r>
      <w:r w:rsidR="00B14364" w:rsidRPr="00B14364">
        <w:rPr>
          <w:rFonts w:ascii="Times New Roman" w:hAnsi="Times New Roman" w:cs="Times New Roman"/>
          <w:i/>
          <w:sz w:val="24"/>
          <w:szCs w:val="24"/>
          <w:lang w:val="en-US"/>
        </w:rPr>
        <w:t>The main vectors of development of the Russian economy in the direction of increasing competitive advantages were identified</w:t>
      </w:r>
      <w:r w:rsidR="00705C59">
        <w:rPr>
          <w:rFonts w:ascii="Times New Roman" w:hAnsi="Times New Roman" w:cs="Times New Roman"/>
          <w:i/>
          <w:sz w:val="24"/>
          <w:szCs w:val="24"/>
          <w:lang w:val="en-US"/>
        </w:rPr>
        <w:t>, m</w:t>
      </w:r>
      <w:r w:rsidR="00705C59" w:rsidRPr="00705C59">
        <w:rPr>
          <w:rFonts w:ascii="Times New Roman" w:hAnsi="Times New Roman" w:cs="Times New Roman"/>
          <w:i/>
          <w:sz w:val="24"/>
          <w:szCs w:val="24"/>
          <w:lang w:val="en-US"/>
        </w:rPr>
        <w:t>easures to achieve them are proposed.</w:t>
      </w:r>
    </w:p>
    <w:p w:rsidR="00F80685" w:rsidRDefault="00F80685" w:rsidP="00027AF4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Key</w:t>
      </w:r>
      <w:r w:rsidR="00BB700A" w:rsidRPr="00285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0685">
        <w:rPr>
          <w:rFonts w:ascii="Times New Roman" w:hAnsi="Times New Roman" w:cs="Times New Roman"/>
          <w:b/>
          <w:sz w:val="24"/>
          <w:szCs w:val="24"/>
          <w:lang w:val="en-US"/>
        </w:rPr>
        <w:t>words.</w:t>
      </w:r>
      <w:r w:rsidR="00BB700A">
        <w:rPr>
          <w:lang w:val="en-US"/>
        </w:rPr>
        <w:t xml:space="preserve"> </w:t>
      </w:r>
      <w:r w:rsidR="00BB700A" w:rsidRPr="00BB700A">
        <w:rPr>
          <w:rFonts w:ascii="Times New Roman" w:hAnsi="Times New Roman" w:cs="Times New Roman"/>
          <w:i/>
          <w:sz w:val="24"/>
          <w:szCs w:val="24"/>
          <w:lang w:val="en-US"/>
        </w:rPr>
        <w:t>competitiveness, raw materials economy, innovations, transition stage, export diversification.</w:t>
      </w:r>
    </w:p>
    <w:p w:rsidR="002313B7" w:rsidRPr="00BB700A" w:rsidRDefault="002313B7" w:rsidP="00027A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80685" w:rsidRDefault="00F80685" w:rsidP="00027A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68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E72401" w:rsidRPr="00285526" w:rsidRDefault="00705C59" w:rsidP="0002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2401" w:rsidRPr="00E72401">
        <w:rPr>
          <w:rFonts w:ascii="Times New Roman" w:hAnsi="Times New Roman" w:cs="Times New Roman"/>
          <w:sz w:val="24"/>
          <w:szCs w:val="24"/>
          <w:lang w:val="en-US"/>
        </w:rPr>
        <w:t>. List of imported products for the selected produc</w:t>
      </w:r>
      <w:r w:rsidR="00E72401">
        <w:rPr>
          <w:rFonts w:ascii="Times New Roman" w:hAnsi="Times New Roman" w:cs="Times New Roman"/>
          <w:sz w:val="24"/>
          <w:szCs w:val="24"/>
          <w:lang w:val="en-US"/>
        </w:rPr>
        <w:t xml:space="preserve">t. Product: TOTAL </w:t>
      </w:r>
      <w:proofErr w:type="gramStart"/>
      <w:r w:rsidR="00E72401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="00E72401">
        <w:rPr>
          <w:rFonts w:ascii="Times New Roman" w:hAnsi="Times New Roman" w:cs="Times New Roman"/>
          <w:sz w:val="24"/>
          <w:szCs w:val="24"/>
          <w:lang w:val="en-US"/>
        </w:rPr>
        <w:t xml:space="preserve"> products (</w:t>
      </w:r>
      <w:r w:rsidR="00E72401" w:rsidRPr="00E72401">
        <w:rPr>
          <w:rFonts w:ascii="Times New Roman" w:hAnsi="Times New Roman" w:cs="Times New Roman"/>
          <w:sz w:val="24"/>
          <w:szCs w:val="24"/>
          <w:lang w:val="en-US"/>
        </w:rPr>
        <w:t>International Trade Centre</w:t>
      </w:r>
      <w:r w:rsidR="00E72401">
        <w:rPr>
          <w:rFonts w:ascii="Times New Roman" w:hAnsi="Times New Roman" w:cs="Times New Roman"/>
          <w:sz w:val="24"/>
          <w:szCs w:val="24"/>
          <w:lang w:val="en-US"/>
        </w:rPr>
        <w:t>) Available at</w:t>
      </w:r>
      <w:r w:rsidR="00E72401" w:rsidRPr="00E724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13B7" w:rsidRPr="00027AF4">
        <w:rPr>
          <w:rFonts w:ascii="Times New Roman" w:hAnsi="Times New Roman" w:cs="Times New Roman"/>
          <w:sz w:val="24"/>
          <w:szCs w:val="24"/>
          <w:lang w:val="en-US"/>
        </w:rPr>
        <w:t>https://www.</w:t>
      </w:r>
      <w:r w:rsidR="002313B7" w:rsidRPr="00027AF4">
        <w:rPr>
          <w:rFonts w:ascii="Times New Roman" w:hAnsi="Times New Roman" w:cs="Times New Roman"/>
          <w:spacing w:val="-20"/>
          <w:sz w:val="24"/>
          <w:szCs w:val="24"/>
          <w:lang w:val="en-US"/>
        </w:rPr>
        <w:t>trademap.org</w:t>
      </w:r>
      <w:r w:rsidR="00027A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240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72401" w:rsidRPr="00E72401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E72401">
        <w:rPr>
          <w:rFonts w:ascii="Times New Roman" w:hAnsi="Times New Roman" w:cs="Times New Roman"/>
          <w:sz w:val="24"/>
          <w:szCs w:val="24"/>
          <w:lang w:val="en-US"/>
        </w:rPr>
        <w:t xml:space="preserve"> 27.04.2021]</w:t>
      </w:r>
    </w:p>
    <w:p w:rsidR="00E72401" w:rsidRPr="00E72401" w:rsidRDefault="00705C59" w:rsidP="0002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2401" w:rsidRPr="00E72401">
        <w:rPr>
          <w:rFonts w:ascii="Times New Roman" w:hAnsi="Times New Roman" w:cs="Times New Roman"/>
          <w:sz w:val="24"/>
          <w:szCs w:val="24"/>
          <w:lang w:val="en-US"/>
        </w:rPr>
        <w:t xml:space="preserve">. List of products exported by Russian Federation </w:t>
      </w:r>
      <w:r w:rsidR="00E724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2401" w:rsidRPr="00E72401">
        <w:rPr>
          <w:rFonts w:ascii="Times New Roman" w:hAnsi="Times New Roman" w:cs="Times New Roman"/>
          <w:sz w:val="24"/>
          <w:szCs w:val="24"/>
          <w:lang w:val="en-US"/>
        </w:rPr>
        <w:t>International Trade Centre</w:t>
      </w:r>
      <w:r w:rsidR="00E72401">
        <w:rPr>
          <w:rFonts w:ascii="Times New Roman" w:hAnsi="Times New Roman" w:cs="Times New Roman"/>
          <w:sz w:val="24"/>
          <w:szCs w:val="24"/>
          <w:lang w:val="en-US"/>
        </w:rPr>
        <w:t>) Available at</w:t>
      </w:r>
      <w:r w:rsidR="00E72401" w:rsidRPr="00E724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13B7">
        <w:rPr>
          <w:rFonts w:ascii="Times New Roman" w:hAnsi="Times New Roman" w:cs="Times New Roman"/>
          <w:sz w:val="24"/>
          <w:szCs w:val="24"/>
          <w:lang w:val="en-US"/>
        </w:rPr>
        <w:t>https://www.trademap.org</w:t>
      </w:r>
      <w:r w:rsidR="00027A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240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E72401" w:rsidRPr="00E72401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E72401">
        <w:rPr>
          <w:rFonts w:ascii="Times New Roman" w:hAnsi="Times New Roman" w:cs="Times New Roman"/>
          <w:sz w:val="24"/>
          <w:szCs w:val="24"/>
          <w:lang w:val="en-US"/>
        </w:rPr>
        <w:t xml:space="preserve"> 27.04.2021]</w:t>
      </w:r>
    </w:p>
    <w:p w:rsidR="00705C59" w:rsidRPr="00705C59" w:rsidRDefault="002313B7" w:rsidP="0002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05C59" w:rsidRPr="00285526">
        <w:rPr>
          <w:rFonts w:ascii="Times New Roman" w:hAnsi="Times New Roman" w:cs="Times New Roman"/>
          <w:sz w:val="24"/>
          <w:szCs w:val="24"/>
          <w:lang w:val="en-US"/>
        </w:rPr>
        <w:t>. "Forecast of long-term socio-economic development of the Russian Federation for the period up to 2030" (developed by the Ministry of Economic Development of Russia) (</w:t>
      </w:r>
      <w:proofErr w:type="spellStart"/>
      <w:r w:rsidR="00705C59">
        <w:rPr>
          <w:rFonts w:ascii="Times New Roman" w:hAnsi="Times New Roman" w:cs="Times New Roman"/>
          <w:sz w:val="24"/>
          <w:szCs w:val="24"/>
          <w:lang w:val="en-US"/>
        </w:rPr>
        <w:t>ConsultantPlus</w:t>
      </w:r>
      <w:proofErr w:type="spellEnd"/>
      <w:r w:rsidR="00705C59" w:rsidRPr="0028552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05C59">
        <w:rPr>
          <w:rFonts w:ascii="Times New Roman" w:hAnsi="Times New Roman" w:cs="Times New Roman"/>
          <w:sz w:val="24"/>
          <w:szCs w:val="24"/>
          <w:lang w:val="en-US"/>
        </w:rPr>
        <w:t xml:space="preserve"> Available at</w:t>
      </w:r>
      <w:r w:rsidR="00705C59" w:rsidRPr="00E724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0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C59" w:rsidRPr="00285526">
        <w:rPr>
          <w:rFonts w:ascii="Times New Roman" w:hAnsi="Times New Roman" w:cs="Times New Roman"/>
          <w:sz w:val="24"/>
          <w:szCs w:val="24"/>
          <w:lang w:val="en-US"/>
        </w:rPr>
        <w:t>http://www.consultant.ru/document/cons_doc_LAW_144190/</w:t>
      </w:r>
      <w:r w:rsidR="00705C59">
        <w:rPr>
          <w:rFonts w:ascii="Times New Roman" w:hAnsi="Times New Roman" w:cs="Times New Roman"/>
          <w:sz w:val="24"/>
          <w:szCs w:val="24"/>
          <w:lang w:val="en-US"/>
        </w:rPr>
        <w:t>. [</w:t>
      </w:r>
      <w:r w:rsidR="00705C59" w:rsidRPr="00E72401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705C59">
        <w:rPr>
          <w:rFonts w:ascii="Times New Roman" w:hAnsi="Times New Roman" w:cs="Times New Roman"/>
          <w:sz w:val="24"/>
          <w:szCs w:val="24"/>
          <w:lang w:val="en-US"/>
        </w:rPr>
        <w:t xml:space="preserve"> 27.04.2021]</w:t>
      </w:r>
    </w:p>
    <w:p w:rsidR="00F80685" w:rsidRDefault="002313B7" w:rsidP="0002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05C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5C59" w:rsidRPr="00285526">
        <w:rPr>
          <w:lang w:val="en-US"/>
        </w:rPr>
        <w:t xml:space="preserve"> </w:t>
      </w:r>
      <w:r w:rsidR="00705C59" w:rsidRPr="00705C59">
        <w:rPr>
          <w:rFonts w:ascii="Times New Roman" w:hAnsi="Times New Roman" w:cs="Times New Roman"/>
          <w:sz w:val="24"/>
          <w:szCs w:val="24"/>
          <w:lang w:val="en-US"/>
        </w:rPr>
        <w:t xml:space="preserve">The President signed the </w:t>
      </w:r>
      <w:r w:rsidR="00A5633B">
        <w:rPr>
          <w:rFonts w:ascii="Times New Roman" w:hAnsi="Times New Roman" w:cs="Times New Roman"/>
          <w:sz w:val="24"/>
          <w:szCs w:val="24"/>
          <w:lang w:val="en-US"/>
        </w:rPr>
        <w:t>Decree</w:t>
      </w:r>
      <w:r w:rsidR="00705C59" w:rsidRPr="00705C59">
        <w:rPr>
          <w:rFonts w:ascii="Times New Roman" w:hAnsi="Times New Roman" w:cs="Times New Roman"/>
          <w:sz w:val="24"/>
          <w:szCs w:val="24"/>
          <w:lang w:val="en-US"/>
        </w:rPr>
        <w:t xml:space="preserve"> "On national development goals of the Russian Federation for the period up to 2030"</w:t>
      </w:r>
      <w:r w:rsidR="00A563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5633B" w:rsidRPr="00A5633B">
        <w:rPr>
          <w:rFonts w:ascii="Times New Roman" w:hAnsi="Times New Roman" w:cs="Times New Roman"/>
          <w:sz w:val="24"/>
          <w:szCs w:val="24"/>
          <w:lang w:val="en-US"/>
        </w:rPr>
        <w:t>LLC "Center for Legal Support of Natural Resources"</w:t>
      </w:r>
      <w:r w:rsidR="00A5633B">
        <w:rPr>
          <w:rFonts w:ascii="Times New Roman" w:hAnsi="Times New Roman" w:cs="Times New Roman"/>
          <w:sz w:val="24"/>
          <w:szCs w:val="24"/>
          <w:lang w:val="en-US"/>
        </w:rPr>
        <w:t>) Available at</w:t>
      </w:r>
      <w:r w:rsidR="00A5633B" w:rsidRPr="00E724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56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33B" w:rsidRPr="00285526">
        <w:rPr>
          <w:rFonts w:ascii="Times New Roman" w:hAnsi="Times New Roman" w:cs="Times New Roman"/>
          <w:sz w:val="24"/>
          <w:szCs w:val="24"/>
          <w:lang w:val="en-US"/>
        </w:rPr>
        <w:t>https://www.ecours.ru/content/prezident-podpisal-ukaz-o-nacionalnyh-celyah-razvitiya-rossiyskoy-federacii-na-period-do</w:t>
      </w:r>
      <w:r w:rsidR="00A5633B">
        <w:rPr>
          <w:rFonts w:ascii="Times New Roman" w:hAnsi="Times New Roman" w:cs="Times New Roman"/>
          <w:sz w:val="24"/>
          <w:szCs w:val="24"/>
          <w:lang w:val="en-US"/>
        </w:rPr>
        <w:t>. [</w:t>
      </w:r>
      <w:r w:rsidR="00A5633B" w:rsidRPr="00E72401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A5633B">
        <w:rPr>
          <w:rFonts w:ascii="Times New Roman" w:hAnsi="Times New Roman" w:cs="Times New Roman"/>
          <w:sz w:val="24"/>
          <w:szCs w:val="24"/>
          <w:lang w:val="en-US"/>
        </w:rPr>
        <w:t xml:space="preserve"> 27.04.2021]</w:t>
      </w:r>
    </w:p>
    <w:p w:rsidR="00705C59" w:rsidRDefault="00705C59" w:rsidP="00A56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0685" w:rsidRPr="00FC78A1" w:rsidRDefault="00F80685" w:rsidP="00F80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526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</w:t>
      </w:r>
      <w:r w:rsidR="00FC78A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F80685" w:rsidRPr="00285526" w:rsidRDefault="00F80685" w:rsidP="0040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526">
        <w:rPr>
          <w:rFonts w:ascii="Times New Roman" w:hAnsi="Times New Roman" w:cs="Times New Roman"/>
          <w:sz w:val="24"/>
          <w:szCs w:val="24"/>
          <w:lang w:val="en-US"/>
        </w:rPr>
        <w:t>Kovalenko</w:t>
      </w:r>
      <w:proofErr w:type="spellEnd"/>
      <w:r w:rsidRPr="00285526">
        <w:rPr>
          <w:rFonts w:ascii="Times New Roman" w:hAnsi="Times New Roman" w:cs="Times New Roman"/>
          <w:sz w:val="24"/>
          <w:szCs w:val="24"/>
          <w:lang w:val="en-US"/>
        </w:rPr>
        <w:t xml:space="preserve"> Anastasia Ivanovna (</w:t>
      </w:r>
      <w:r>
        <w:rPr>
          <w:rFonts w:ascii="Times New Roman" w:hAnsi="Times New Roman" w:cs="Times New Roman"/>
          <w:sz w:val="24"/>
          <w:szCs w:val="24"/>
          <w:lang w:val="en-US"/>
        </w:rPr>
        <w:t>DPR</w:t>
      </w:r>
      <w:r w:rsidRPr="00285526">
        <w:rPr>
          <w:rFonts w:ascii="Times New Roman" w:hAnsi="Times New Roman" w:cs="Times New Roman"/>
          <w:sz w:val="24"/>
          <w:szCs w:val="24"/>
          <w:lang w:val="en-US"/>
        </w:rPr>
        <w:t>, Donetsk) - student, GOU VPO «Donetsk National University», pozitivka257@yandex.ru</w:t>
      </w:r>
    </w:p>
    <w:p w:rsidR="00705C59" w:rsidRPr="00F80685" w:rsidRDefault="00705C59" w:rsidP="0040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5C59">
        <w:rPr>
          <w:rFonts w:ascii="Times New Roman" w:hAnsi="Times New Roman" w:cs="Times New Roman"/>
          <w:sz w:val="24"/>
          <w:szCs w:val="24"/>
          <w:lang w:val="en-US"/>
        </w:rPr>
        <w:t>Turalina</w:t>
      </w:r>
      <w:proofErr w:type="spellEnd"/>
      <w:r w:rsidRPr="00705C59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proofErr w:type="spellStart"/>
      <w:r w:rsidRPr="00705C59">
        <w:rPr>
          <w:rFonts w:ascii="Times New Roman" w:hAnsi="Times New Roman" w:cs="Times New Roman"/>
          <w:sz w:val="24"/>
          <w:szCs w:val="24"/>
          <w:lang w:val="en-US"/>
        </w:rPr>
        <w:t>Gennadyevna</w:t>
      </w:r>
      <w:proofErr w:type="spellEnd"/>
      <w:r w:rsidRPr="00705C59">
        <w:rPr>
          <w:rFonts w:ascii="Times New Roman" w:hAnsi="Times New Roman" w:cs="Times New Roman"/>
          <w:sz w:val="24"/>
          <w:szCs w:val="24"/>
          <w:lang w:val="en-US"/>
        </w:rPr>
        <w:t xml:space="preserve"> (D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05C59">
        <w:rPr>
          <w:rFonts w:ascii="Times New Roman" w:hAnsi="Times New Roman" w:cs="Times New Roman"/>
          <w:sz w:val="24"/>
          <w:szCs w:val="24"/>
          <w:lang w:val="en-US"/>
        </w:rPr>
        <w:t xml:space="preserve">, Donetsk) - Ph.D. in Economics, Senior Lecturer, </w:t>
      </w:r>
      <w:r w:rsidRPr="00285526">
        <w:rPr>
          <w:rFonts w:ascii="Times New Roman" w:hAnsi="Times New Roman" w:cs="Times New Roman"/>
          <w:sz w:val="24"/>
          <w:szCs w:val="24"/>
          <w:lang w:val="en-US"/>
        </w:rPr>
        <w:t>GOU VPO «Donetsk National University»</w:t>
      </w:r>
      <w:r w:rsidRPr="00705C59">
        <w:rPr>
          <w:rFonts w:ascii="Times New Roman" w:hAnsi="Times New Roman" w:cs="Times New Roman"/>
          <w:sz w:val="24"/>
          <w:szCs w:val="24"/>
          <w:lang w:val="en-US"/>
        </w:rPr>
        <w:t>, a.turalina@donnu.ru</w:t>
      </w:r>
    </w:p>
    <w:sectPr w:rsidR="00705C59" w:rsidRPr="00F80685" w:rsidSect="00F80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5B4"/>
    <w:multiLevelType w:val="hybridMultilevel"/>
    <w:tmpl w:val="6AC8E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7C62A3"/>
    <w:multiLevelType w:val="hybridMultilevel"/>
    <w:tmpl w:val="B06C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2D54"/>
    <w:multiLevelType w:val="hybridMultilevel"/>
    <w:tmpl w:val="CE762D0A"/>
    <w:lvl w:ilvl="0" w:tplc="38B85A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4C54E3"/>
    <w:multiLevelType w:val="hybridMultilevel"/>
    <w:tmpl w:val="86725160"/>
    <w:lvl w:ilvl="0" w:tplc="2F44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402FC"/>
    <w:multiLevelType w:val="multilevel"/>
    <w:tmpl w:val="46D2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7"/>
    <w:rsid w:val="00022D5C"/>
    <w:rsid w:val="00027AF4"/>
    <w:rsid w:val="000E6BC7"/>
    <w:rsid w:val="00163089"/>
    <w:rsid w:val="0019559D"/>
    <w:rsid w:val="001A77AB"/>
    <w:rsid w:val="001B483C"/>
    <w:rsid w:val="001C6644"/>
    <w:rsid w:val="001D3649"/>
    <w:rsid w:val="001F466E"/>
    <w:rsid w:val="00216022"/>
    <w:rsid w:val="002313B7"/>
    <w:rsid w:val="00261D5C"/>
    <w:rsid w:val="00283547"/>
    <w:rsid w:val="00285526"/>
    <w:rsid w:val="00286342"/>
    <w:rsid w:val="00297401"/>
    <w:rsid w:val="00297715"/>
    <w:rsid w:val="002A43C3"/>
    <w:rsid w:val="002B095A"/>
    <w:rsid w:val="002B4546"/>
    <w:rsid w:val="002D3D6B"/>
    <w:rsid w:val="00354A1C"/>
    <w:rsid w:val="003920BC"/>
    <w:rsid w:val="003C7007"/>
    <w:rsid w:val="003F288A"/>
    <w:rsid w:val="00401BF9"/>
    <w:rsid w:val="004067E8"/>
    <w:rsid w:val="004427BD"/>
    <w:rsid w:val="004A0224"/>
    <w:rsid w:val="004A536B"/>
    <w:rsid w:val="00513809"/>
    <w:rsid w:val="00550005"/>
    <w:rsid w:val="005E31BF"/>
    <w:rsid w:val="006264C3"/>
    <w:rsid w:val="00627CEB"/>
    <w:rsid w:val="00651F83"/>
    <w:rsid w:val="00690AF5"/>
    <w:rsid w:val="006D1ECD"/>
    <w:rsid w:val="00705C59"/>
    <w:rsid w:val="00744A41"/>
    <w:rsid w:val="00787B64"/>
    <w:rsid w:val="00827BCC"/>
    <w:rsid w:val="008562FB"/>
    <w:rsid w:val="00863E6E"/>
    <w:rsid w:val="0089731B"/>
    <w:rsid w:val="00900BEE"/>
    <w:rsid w:val="00915654"/>
    <w:rsid w:val="00923B70"/>
    <w:rsid w:val="00975750"/>
    <w:rsid w:val="009E3BF2"/>
    <w:rsid w:val="00A025BB"/>
    <w:rsid w:val="00A05FAA"/>
    <w:rsid w:val="00A50F7E"/>
    <w:rsid w:val="00A5633B"/>
    <w:rsid w:val="00AC0E0F"/>
    <w:rsid w:val="00B14364"/>
    <w:rsid w:val="00B84242"/>
    <w:rsid w:val="00BB700A"/>
    <w:rsid w:val="00C226FE"/>
    <w:rsid w:val="00C33C65"/>
    <w:rsid w:val="00C60B41"/>
    <w:rsid w:val="00C775FA"/>
    <w:rsid w:val="00D14925"/>
    <w:rsid w:val="00D36F24"/>
    <w:rsid w:val="00D74FCE"/>
    <w:rsid w:val="00DA0E3E"/>
    <w:rsid w:val="00E513D5"/>
    <w:rsid w:val="00E71262"/>
    <w:rsid w:val="00E72401"/>
    <w:rsid w:val="00E95705"/>
    <w:rsid w:val="00ED4572"/>
    <w:rsid w:val="00EF28BC"/>
    <w:rsid w:val="00EF7116"/>
    <w:rsid w:val="00F0061D"/>
    <w:rsid w:val="00F55D9F"/>
    <w:rsid w:val="00F62F17"/>
    <w:rsid w:val="00F80685"/>
    <w:rsid w:val="00FA56EF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C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92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2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B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559D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D74FCE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D74FC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C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92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2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B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559D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D74FCE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D74FC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dema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23</cp:revision>
  <dcterms:created xsi:type="dcterms:W3CDTF">2021-05-05T11:18:00Z</dcterms:created>
  <dcterms:modified xsi:type="dcterms:W3CDTF">2021-05-06T06:25:00Z</dcterms:modified>
</cp:coreProperties>
</file>