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D46" w:rsidRPr="00A26D6E" w:rsidRDefault="00190D46" w:rsidP="00D47791">
      <w:pPr>
        <w:spacing w:after="0" w:line="240" w:lineRule="auto"/>
        <w:rPr>
          <w:rFonts w:ascii="Times New Roman" w:hAnsi="Times New Roman" w:cs="Times New Roman"/>
          <w:b/>
          <w:bCs/>
          <w:sz w:val="24"/>
          <w:szCs w:val="24"/>
        </w:rPr>
      </w:pPr>
      <w:r w:rsidRPr="00A26D6E">
        <w:rPr>
          <w:rStyle w:val="rvts52"/>
          <w:rFonts w:ascii="Times New Roman" w:hAnsi="Times New Roman" w:cs="Times New Roman"/>
          <w:b/>
          <w:bCs/>
          <w:sz w:val="24"/>
          <w:szCs w:val="24"/>
        </w:rPr>
        <w:t>УДК – 338 / ББК – 65.050</w:t>
      </w:r>
    </w:p>
    <w:p w:rsidR="00A34DC5" w:rsidRPr="00A26D6E" w:rsidRDefault="00A34DC5" w:rsidP="00D47791">
      <w:pPr>
        <w:spacing w:after="0" w:line="240" w:lineRule="auto"/>
        <w:jc w:val="right"/>
        <w:rPr>
          <w:rFonts w:ascii="Times New Roman" w:hAnsi="Times New Roman" w:cs="Times New Roman"/>
          <w:b/>
          <w:bCs/>
          <w:sz w:val="24"/>
          <w:szCs w:val="24"/>
        </w:rPr>
      </w:pPr>
      <w:r w:rsidRPr="00A26D6E">
        <w:rPr>
          <w:rFonts w:ascii="Times New Roman" w:hAnsi="Times New Roman" w:cs="Times New Roman"/>
          <w:b/>
          <w:bCs/>
          <w:sz w:val="24"/>
          <w:szCs w:val="24"/>
        </w:rPr>
        <w:t>Захарян Армине Григорьевна</w:t>
      </w:r>
    </w:p>
    <w:p w:rsidR="00A34DC5" w:rsidRPr="00A26D6E" w:rsidRDefault="00A34DC5" w:rsidP="00D47791">
      <w:pPr>
        <w:spacing w:after="0" w:line="240" w:lineRule="auto"/>
        <w:jc w:val="right"/>
        <w:rPr>
          <w:rFonts w:ascii="Times New Roman" w:hAnsi="Times New Roman" w:cs="Times New Roman"/>
          <w:sz w:val="24"/>
          <w:szCs w:val="24"/>
        </w:rPr>
      </w:pPr>
      <w:r w:rsidRPr="00A26D6E">
        <w:rPr>
          <w:rFonts w:ascii="Times New Roman" w:hAnsi="Times New Roman" w:cs="Times New Roman"/>
          <w:sz w:val="24"/>
          <w:szCs w:val="24"/>
        </w:rPr>
        <w:t xml:space="preserve">     кандидат экономических наук, </w:t>
      </w:r>
    </w:p>
    <w:p w:rsidR="00A34DC5" w:rsidRPr="00A26D6E" w:rsidRDefault="00A34DC5" w:rsidP="00D47791">
      <w:pPr>
        <w:spacing w:after="0" w:line="240" w:lineRule="auto"/>
        <w:jc w:val="right"/>
        <w:rPr>
          <w:rFonts w:ascii="Times New Roman" w:hAnsi="Times New Roman" w:cs="Times New Roman"/>
          <w:sz w:val="24"/>
          <w:szCs w:val="24"/>
        </w:rPr>
      </w:pPr>
      <w:r w:rsidRPr="00A26D6E">
        <w:rPr>
          <w:rFonts w:ascii="Times New Roman" w:hAnsi="Times New Roman" w:cs="Times New Roman"/>
          <w:sz w:val="24"/>
          <w:szCs w:val="24"/>
        </w:rPr>
        <w:t xml:space="preserve">     научный сотрудник института экономики им. М.Котаняна</w:t>
      </w:r>
    </w:p>
    <w:p w:rsidR="00A34DC5" w:rsidRPr="00A26D6E" w:rsidRDefault="00A34DC5" w:rsidP="00D47791">
      <w:pPr>
        <w:pStyle w:val="NormalWeb"/>
        <w:shd w:val="clear" w:color="auto" w:fill="FFFFFF"/>
        <w:tabs>
          <w:tab w:val="left" w:pos="851"/>
        </w:tabs>
        <w:spacing w:before="0" w:beforeAutospacing="0" w:after="0" w:afterAutospacing="0"/>
        <w:jc w:val="right"/>
        <w:rPr>
          <w:b/>
        </w:rPr>
      </w:pPr>
      <w:r w:rsidRPr="00A26D6E">
        <w:t xml:space="preserve">     Национальной академии наук Республики Армения</w:t>
      </w:r>
    </w:p>
    <w:p w:rsidR="00A34DC5" w:rsidRPr="00A26D6E" w:rsidRDefault="00A34DC5" w:rsidP="00D47791">
      <w:pPr>
        <w:pStyle w:val="NormalWeb"/>
        <w:shd w:val="clear" w:color="auto" w:fill="FFFFFF"/>
        <w:tabs>
          <w:tab w:val="left" w:pos="851"/>
        </w:tabs>
        <w:spacing w:before="0" w:beforeAutospacing="0" w:after="0" w:afterAutospacing="0"/>
        <w:jc w:val="center"/>
        <w:rPr>
          <w:b/>
        </w:rPr>
      </w:pPr>
    </w:p>
    <w:p w:rsidR="00A34DC5" w:rsidRPr="00A26D6E" w:rsidRDefault="008B516E" w:rsidP="00D47791">
      <w:pPr>
        <w:pStyle w:val="NormalWeb"/>
        <w:shd w:val="clear" w:color="auto" w:fill="FFFFFF"/>
        <w:tabs>
          <w:tab w:val="left" w:pos="851"/>
        </w:tabs>
        <w:spacing w:before="0" w:beforeAutospacing="0" w:after="0" w:afterAutospacing="0"/>
        <w:jc w:val="center"/>
        <w:rPr>
          <w:b/>
        </w:rPr>
      </w:pPr>
      <w:r w:rsidRPr="00A26D6E">
        <w:rPr>
          <w:b/>
        </w:rPr>
        <w:t>СОЗДАНИЕ ИННОВАЦИОННЫХ ИНФРАСТРУКТУР КАК ФАКТОР РАЗВИТИЯ ЭКОНОМИКИ РЕСПУБЛИКИ АРМЕНИЯ</w:t>
      </w:r>
    </w:p>
    <w:p w:rsidR="00A34DC5" w:rsidRPr="00A26D6E"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A26D6E" w:rsidRDefault="00D47791" w:rsidP="00D47791">
      <w:pPr>
        <w:tabs>
          <w:tab w:val="left" w:pos="1020"/>
        </w:tabs>
        <w:spacing w:after="0" w:line="240" w:lineRule="auto"/>
        <w:ind w:firstLine="709"/>
        <w:jc w:val="center"/>
        <w:rPr>
          <w:rFonts w:ascii="Times New Roman" w:hAnsi="Times New Roman" w:cs="Times New Roman"/>
          <w:sz w:val="24"/>
          <w:szCs w:val="24"/>
        </w:rPr>
      </w:pPr>
      <w:r w:rsidRPr="00A26D6E">
        <w:rPr>
          <w:rStyle w:val="rvts52"/>
          <w:rFonts w:ascii="Times New Roman" w:hAnsi="Times New Roman" w:cs="Times New Roman"/>
          <w:b/>
          <w:bCs/>
          <w:sz w:val="24"/>
          <w:szCs w:val="24"/>
        </w:rPr>
        <w:t>Аннотация</w:t>
      </w:r>
    </w:p>
    <w:p w:rsidR="00177ACE" w:rsidRPr="00A26D6E" w:rsidRDefault="00177ACE" w:rsidP="00177ACE">
      <w:pPr>
        <w:tabs>
          <w:tab w:val="left" w:pos="851"/>
          <w:tab w:val="left" w:pos="1020"/>
        </w:tabs>
        <w:spacing w:after="0" w:line="240" w:lineRule="auto"/>
        <w:ind w:firstLine="567"/>
        <w:jc w:val="both"/>
        <w:rPr>
          <w:rFonts w:ascii="Times New Roman" w:hAnsi="Times New Roman" w:cs="Times New Roman"/>
          <w:sz w:val="24"/>
          <w:szCs w:val="24"/>
        </w:rPr>
      </w:pPr>
      <w:r w:rsidRPr="00A26D6E">
        <w:rPr>
          <w:rFonts w:ascii="Times New Roman" w:hAnsi="Times New Roman" w:cs="Times New Roman"/>
          <w:sz w:val="24"/>
          <w:szCs w:val="24"/>
        </w:rPr>
        <w:t>Статья посвящена изучению методов и механизмов создания инновационных инфраструктур в Республике Армения, а также факторов, обуславливающих эффективное применение данных методов и механизмов. В статье представлены определенные механизмы развития экономики Республики Армения посредством повышения эффективности инновационной деятельности.</w:t>
      </w:r>
    </w:p>
    <w:p w:rsidR="00D47791" w:rsidRPr="00A26D6E" w:rsidRDefault="00177ACE" w:rsidP="00177ACE">
      <w:pPr>
        <w:tabs>
          <w:tab w:val="left" w:pos="851"/>
        </w:tabs>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A26D6E">
        <w:rPr>
          <w:rFonts w:ascii="Times New Roman" w:hAnsi="Times New Roman" w:cs="Times New Roman"/>
          <w:b/>
          <w:sz w:val="24"/>
          <w:szCs w:val="24"/>
        </w:rPr>
        <w:t>Ключевые слова:</w:t>
      </w:r>
      <w:r w:rsidRPr="00A26D6E">
        <w:rPr>
          <w:rFonts w:ascii="Times New Roman" w:hAnsi="Times New Roman" w:cs="Times New Roman"/>
          <w:b/>
          <w:i/>
          <w:sz w:val="24"/>
          <w:szCs w:val="24"/>
        </w:rPr>
        <w:t xml:space="preserve"> </w:t>
      </w:r>
      <w:r w:rsidRPr="00A26D6E">
        <w:rPr>
          <w:rFonts w:ascii="Times New Roman" w:hAnsi="Times New Roman" w:cs="Times New Roman"/>
          <w:sz w:val="24"/>
          <w:szCs w:val="24"/>
        </w:rPr>
        <w:t>экономика, инновационная деятельность, финансирование, управление, развитие, эффективность.</w:t>
      </w:r>
    </w:p>
    <w:p w:rsidR="00D47791" w:rsidRPr="00A26D6E" w:rsidRDefault="00D47791" w:rsidP="00C96D3C">
      <w:pPr>
        <w:tabs>
          <w:tab w:val="left" w:pos="851"/>
        </w:tabs>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CB3272" w:rsidRPr="00A26D6E" w:rsidRDefault="00CB3272" w:rsidP="00CB3272">
      <w:pPr>
        <w:pStyle w:val="NormalWeb"/>
        <w:shd w:val="clear" w:color="auto" w:fill="FFFFFF"/>
        <w:spacing w:before="0" w:beforeAutospacing="0" w:after="0" w:afterAutospacing="0"/>
        <w:ind w:firstLine="709"/>
        <w:jc w:val="both"/>
      </w:pPr>
      <w:r w:rsidRPr="00A26D6E">
        <w:t>В современных экономических условиях стимулирование инновационного развития экономики приобретает особое значение, поскольку способствует созданию новых рабочих мест, повышению благосостояния населения, внедрению новшеств, увеличению объемов экспорта и росту платежеспособного спроса. Стимулирование деятельности высокотехнологичных компаний в Армении неразрывно связано с созданием инновационных инфраструктур, повышением эффективности налогового и таможенного администрирования, осуществлением льготного кредитования, оказанием государственной поддержки в реализации эффективных проектов технологического развития и т.д.</w:t>
      </w:r>
    </w:p>
    <w:p w:rsidR="00CB3272" w:rsidRPr="00A26D6E" w:rsidRDefault="00CB3272" w:rsidP="00CB3272">
      <w:pPr>
        <w:spacing w:after="0" w:line="240" w:lineRule="auto"/>
        <w:ind w:firstLine="709"/>
        <w:jc w:val="both"/>
        <w:rPr>
          <w:rFonts w:ascii="Times New Roman" w:hAnsi="Times New Roman" w:cs="Times New Roman"/>
          <w:sz w:val="24"/>
          <w:szCs w:val="24"/>
        </w:rPr>
      </w:pPr>
      <w:r w:rsidRPr="00A26D6E">
        <w:rPr>
          <w:rFonts w:ascii="Times New Roman" w:hAnsi="Times New Roman" w:cs="Times New Roman"/>
          <w:sz w:val="24"/>
          <w:szCs w:val="24"/>
        </w:rPr>
        <w:t>Основными нормативно-правовыми документами, регулирующими  инновационную деятельность в Республике Армения, являются Конституция Республики Армения, Гражданский кодекс Республики Армения, закон Республики Армения «</w:t>
      </w:r>
      <w:r w:rsidRPr="00A26D6E">
        <w:rPr>
          <w:rStyle w:val="Strong"/>
          <w:rFonts w:ascii="Times New Roman" w:hAnsi="Times New Roman" w:cs="Times New Roman"/>
          <w:b w:val="0"/>
          <w:sz w:val="24"/>
          <w:szCs w:val="24"/>
          <w:shd w:val="clear" w:color="auto" w:fill="FFFFFF"/>
        </w:rPr>
        <w:t>О государственном содействии инновационной деятельности</w:t>
      </w:r>
      <w:r w:rsidRPr="00A26D6E">
        <w:rPr>
          <w:rFonts w:ascii="Times New Roman" w:hAnsi="Times New Roman" w:cs="Times New Roman"/>
          <w:sz w:val="24"/>
          <w:szCs w:val="24"/>
        </w:rPr>
        <w:t>», иные законы и правовые акты Республики Армения, междунар</w:t>
      </w:r>
      <w:r w:rsidRPr="00A26D6E">
        <w:rPr>
          <w:rFonts w:ascii="Times New Roman" w:hAnsi="Times New Roman" w:cs="Times New Roman"/>
          <w:sz w:val="24"/>
          <w:szCs w:val="24"/>
          <w:shd w:val="clear" w:color="auto" w:fill="FFFFFF"/>
        </w:rPr>
        <w:t>одныe договора Республики Армения относительно инновационной деятельности</w:t>
      </w:r>
      <w:r w:rsidRPr="00A26D6E">
        <w:rPr>
          <w:rFonts w:ascii="Times New Roman" w:hAnsi="Times New Roman" w:cs="Times New Roman"/>
          <w:sz w:val="24"/>
          <w:szCs w:val="24"/>
        </w:rPr>
        <w:t>.</w:t>
      </w:r>
    </w:p>
    <w:p w:rsidR="00CB3272" w:rsidRPr="00A26D6E" w:rsidRDefault="00CB3272" w:rsidP="00593EFD">
      <w:pPr>
        <w:shd w:val="clear" w:color="auto" w:fill="FFFFFF"/>
        <w:tabs>
          <w:tab w:val="left" w:pos="993"/>
        </w:tabs>
        <w:spacing w:after="0" w:line="240" w:lineRule="auto"/>
        <w:ind w:firstLine="709"/>
        <w:jc w:val="both"/>
        <w:rPr>
          <w:rFonts w:ascii="Times New Roman" w:hAnsi="Times New Roman" w:cs="Times New Roman"/>
          <w:sz w:val="24"/>
          <w:szCs w:val="24"/>
          <w:shd w:val="clear" w:color="auto" w:fill="FFFFFF"/>
        </w:rPr>
      </w:pPr>
      <w:r w:rsidRPr="00A26D6E">
        <w:rPr>
          <w:rFonts w:ascii="Times New Roman" w:eastAsia="Times New Roman" w:hAnsi="Times New Roman" w:cs="Times New Roman"/>
          <w:sz w:val="24"/>
          <w:szCs w:val="24"/>
        </w:rPr>
        <w:t xml:space="preserve"> Государственная инновационная политика разрабатывается и осуществляется Правительством Республики Армения. Государственное содействие инновационной деятельности осуществляется в соответствии с Годовой программой содействия инновационной деятельности. Финансирование реализации данной программы отражается в государственном бюджете отдельной строкой. </w:t>
      </w:r>
      <w:r w:rsidRPr="00A26D6E">
        <w:rPr>
          <w:rFonts w:ascii="Times New Roman" w:hAnsi="Times New Roman" w:cs="Times New Roman"/>
          <w:sz w:val="24"/>
          <w:szCs w:val="24"/>
          <w:shd w:val="clear" w:color="auto" w:fill="FFFFFF"/>
        </w:rPr>
        <w:t>В Армении годовая программа содействия инновационной деятельности применяется уже около 1</w:t>
      </w:r>
      <w:r w:rsidR="00593EFD" w:rsidRPr="00A26D6E">
        <w:rPr>
          <w:rFonts w:ascii="Times New Roman" w:hAnsi="Times New Roman" w:cs="Times New Roman"/>
          <w:sz w:val="24"/>
          <w:szCs w:val="24"/>
          <w:shd w:val="clear" w:color="auto" w:fill="FFFFFF"/>
        </w:rPr>
        <w:t>5</w:t>
      </w:r>
      <w:r w:rsidRPr="00A26D6E">
        <w:rPr>
          <w:rFonts w:ascii="Times New Roman" w:hAnsi="Times New Roman" w:cs="Times New Roman"/>
          <w:sz w:val="24"/>
          <w:szCs w:val="24"/>
          <w:shd w:val="clear" w:color="auto" w:fill="FFFFFF"/>
        </w:rPr>
        <w:t xml:space="preserve"> лет. За эти годы удалось обеспечить значительный рост в сфере информационных технологий. Был зафиксирован ощутимый рост количества компаний сферы ИТ (Рис. 1.), продукция которых пользуется большим спросом как на внутреннем, так и на внешнем рынках.</w:t>
      </w:r>
    </w:p>
    <w:p w:rsidR="00CB3272" w:rsidRPr="00A26D6E" w:rsidRDefault="00CB3272" w:rsidP="00CB3272">
      <w:pPr>
        <w:shd w:val="clear" w:color="auto" w:fill="FFFFFF"/>
        <w:spacing w:after="0" w:line="240" w:lineRule="auto"/>
        <w:ind w:firstLine="709"/>
        <w:jc w:val="both"/>
        <w:rPr>
          <w:rFonts w:ascii="Times New Roman" w:eastAsia="Times New Roman" w:hAnsi="Times New Roman" w:cs="Times New Roman"/>
          <w:sz w:val="24"/>
          <w:szCs w:val="24"/>
        </w:rPr>
      </w:pPr>
    </w:p>
    <w:p w:rsidR="00CB3272" w:rsidRPr="00A26D6E" w:rsidRDefault="00CB3272" w:rsidP="00CB3272">
      <w:pPr>
        <w:spacing w:after="0" w:line="240" w:lineRule="auto"/>
        <w:jc w:val="center"/>
        <w:rPr>
          <w:rFonts w:ascii="Times New Roman" w:hAnsi="Times New Roman" w:cs="Times New Roman"/>
          <w:b/>
          <w:i/>
          <w:sz w:val="24"/>
          <w:szCs w:val="24"/>
          <w:shd w:val="clear" w:color="auto" w:fill="FFFFFF"/>
        </w:rPr>
      </w:pPr>
      <w:r w:rsidRPr="00A26D6E">
        <w:rPr>
          <w:rFonts w:ascii="Times New Roman" w:hAnsi="Times New Roman" w:cs="Times New Roman"/>
          <w:b/>
          <w:i/>
          <w:sz w:val="24"/>
          <w:szCs w:val="24"/>
          <w:shd w:val="clear" w:color="auto" w:fill="FFFFFF"/>
        </w:rPr>
        <w:t>Рис. 1. Количество компаний сферы ИТ в Республике Армения (2010-2019)</w:t>
      </w:r>
    </w:p>
    <w:p w:rsidR="00CB3272" w:rsidRPr="00A26D6E" w:rsidRDefault="00CB3272" w:rsidP="00CB3272">
      <w:pPr>
        <w:spacing w:after="0" w:line="240" w:lineRule="auto"/>
        <w:jc w:val="center"/>
        <w:rPr>
          <w:rFonts w:ascii="Times New Roman" w:hAnsi="Times New Roman" w:cs="Times New Roman"/>
          <w:sz w:val="24"/>
          <w:szCs w:val="24"/>
          <w:shd w:val="clear" w:color="auto" w:fill="FFFFFF"/>
        </w:rPr>
      </w:pPr>
    </w:p>
    <w:p w:rsidR="00CB3272" w:rsidRPr="00A26D6E" w:rsidRDefault="00CB3272" w:rsidP="00CB3272">
      <w:pPr>
        <w:spacing w:after="0" w:line="240" w:lineRule="auto"/>
        <w:jc w:val="center"/>
        <w:rPr>
          <w:rFonts w:ascii="Times New Roman" w:hAnsi="Times New Roman" w:cs="Times New Roman"/>
          <w:sz w:val="24"/>
          <w:szCs w:val="24"/>
          <w:shd w:val="clear" w:color="auto" w:fill="FFFFFF"/>
        </w:rPr>
      </w:pPr>
      <w:r w:rsidRPr="00A26D6E">
        <w:rPr>
          <w:rFonts w:ascii="Times New Roman" w:hAnsi="Times New Roman" w:cs="Times New Roman"/>
          <w:noProof/>
          <w:sz w:val="24"/>
          <w:szCs w:val="24"/>
          <w:shd w:val="clear" w:color="auto" w:fill="FFFFFF"/>
          <w:lang w:val="en-US" w:eastAsia="en-US"/>
        </w:rPr>
        <w:lastRenderedPageBreak/>
        <w:drawing>
          <wp:inline distT="0" distB="0" distL="0" distR="0" wp14:anchorId="75A360B4" wp14:editId="17C1BE06">
            <wp:extent cx="5940829" cy="2083723"/>
            <wp:effectExtent l="0" t="0" r="22225" b="12065"/>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B3272" w:rsidRPr="00A26D6E" w:rsidRDefault="00CB3272" w:rsidP="00CB3272">
      <w:pPr>
        <w:shd w:val="clear" w:color="auto" w:fill="FFFFFF"/>
        <w:spacing w:after="0" w:line="240" w:lineRule="auto"/>
        <w:ind w:firstLine="709"/>
        <w:jc w:val="both"/>
        <w:rPr>
          <w:rFonts w:ascii="Times New Roman" w:hAnsi="Times New Roman" w:cs="Times New Roman"/>
          <w:b/>
          <w:i/>
          <w:sz w:val="24"/>
          <w:szCs w:val="24"/>
        </w:rPr>
      </w:pPr>
      <w:r w:rsidRPr="00A26D6E">
        <w:rPr>
          <w:rFonts w:ascii="Times New Roman" w:hAnsi="Times New Roman" w:cs="Times New Roman"/>
          <w:b/>
          <w:i/>
          <w:sz w:val="24"/>
          <w:szCs w:val="24"/>
        </w:rPr>
        <w:t>Источник:</w:t>
      </w:r>
      <w:r w:rsidRPr="00A26D6E">
        <w:rPr>
          <w:rFonts w:ascii="Times New Roman" w:hAnsi="Times New Roman" w:cs="Times New Roman"/>
          <w:sz w:val="24"/>
          <w:szCs w:val="24"/>
        </w:rPr>
        <w:t xml:space="preserve"> Данные официального сайта Министерства экономики Республики Армения, </w:t>
      </w:r>
      <w:r w:rsidRPr="00A26D6E">
        <w:rPr>
          <w:sz w:val="24"/>
          <w:szCs w:val="24"/>
        </w:rPr>
        <w:fldChar w:fldCharType="begin"/>
      </w:r>
      <w:r w:rsidRPr="00A26D6E">
        <w:rPr>
          <w:sz w:val="24"/>
          <w:szCs w:val="24"/>
        </w:rPr>
        <w:instrText xml:space="preserve"> HYPERLINK "http://www.armstat.am/am/?nid=443" </w:instrText>
      </w:r>
      <w:r w:rsidRPr="00A26D6E">
        <w:rPr>
          <w:sz w:val="24"/>
          <w:szCs w:val="24"/>
        </w:rPr>
        <w:fldChar w:fldCharType="separate"/>
      </w:r>
      <w:r w:rsidRPr="00A26D6E">
        <w:rPr>
          <w:sz w:val="24"/>
          <w:szCs w:val="24"/>
        </w:rPr>
        <w:t xml:space="preserve"> </w:t>
      </w:r>
      <w:r w:rsidRPr="00A26D6E">
        <w:rPr>
          <w:rFonts w:ascii="Times New Roman" w:hAnsi="Times New Roman" w:cs="Times New Roman"/>
          <w:sz w:val="24"/>
          <w:szCs w:val="24"/>
        </w:rPr>
        <w:t xml:space="preserve">https://www.mineconomy.am/ </w:t>
      </w:r>
      <w:r w:rsidRPr="00A26D6E">
        <w:rPr>
          <w:rFonts w:ascii="Times New Roman" w:hAnsi="Times New Roman" w:cs="Times New Roman"/>
          <w:sz w:val="24"/>
          <w:szCs w:val="24"/>
        </w:rPr>
        <w:fldChar w:fldCharType="end"/>
      </w:r>
    </w:p>
    <w:p w:rsidR="00CB3272" w:rsidRPr="00A26D6E" w:rsidRDefault="00CB3272" w:rsidP="00CB3272">
      <w:pPr>
        <w:spacing w:after="0" w:line="240" w:lineRule="auto"/>
        <w:ind w:firstLine="709"/>
        <w:jc w:val="both"/>
        <w:rPr>
          <w:rFonts w:ascii="Times New Roman" w:hAnsi="Times New Roman" w:cs="Times New Roman"/>
          <w:sz w:val="24"/>
          <w:szCs w:val="24"/>
        </w:rPr>
      </w:pPr>
      <w:r w:rsidRPr="00A26D6E">
        <w:rPr>
          <w:rFonts w:ascii="Times New Roman" w:hAnsi="Times New Roman" w:cs="Times New Roman"/>
          <w:sz w:val="24"/>
          <w:szCs w:val="24"/>
          <w:shd w:val="clear" w:color="auto" w:fill="FFFFFF"/>
        </w:rPr>
        <w:t xml:space="preserve">       </w:t>
      </w:r>
    </w:p>
    <w:p w:rsidR="00CB3272" w:rsidRPr="00A26D6E" w:rsidRDefault="00CB3272" w:rsidP="00CB3272">
      <w:pPr>
        <w:shd w:val="clear" w:color="auto" w:fill="FFFFFF"/>
        <w:spacing w:after="0" w:line="240" w:lineRule="auto"/>
        <w:ind w:firstLine="709"/>
        <w:jc w:val="both"/>
        <w:rPr>
          <w:rFonts w:ascii="Times New Roman" w:hAnsi="Times New Roman" w:cs="Times New Roman"/>
          <w:sz w:val="24"/>
          <w:szCs w:val="24"/>
          <w:shd w:val="clear" w:color="auto" w:fill="FFFFFF"/>
        </w:rPr>
      </w:pPr>
      <w:r w:rsidRPr="00A26D6E">
        <w:rPr>
          <w:rFonts w:ascii="Times New Roman" w:hAnsi="Times New Roman" w:cs="Times New Roman"/>
          <w:sz w:val="24"/>
          <w:szCs w:val="24"/>
        </w:rPr>
        <w:t>Следует также отметить, что армянские компании сферы ИТ широко представлены в сфере управления, то есть в процессе цифровизации и обеспечения кибербезопасности. Согласно официальным данным ИТ-сектор Армении по итогам 2019 года вышел на 15,2%-ый рост, обеспечив годовой объем выручки в 700.5 млн долларов. По данным Национальной статистической службы Республики Армения, 80,1% от общего объема выручки ИТ-сектора приходится на предоставленные услуги - с годовым ростом на 6,5%; 18,8% от общей выручки ИТ-сектора приходится на торговлю - с годовым ростом на 57%, а остальные 1,1% - пришлись на производство с годовым ростом на 22,5%. Будем надеяться, что в будущем упомянутые положительные тенденции сохранятся, тем самым обеспечив устойчивое развитие высокотехнологичных компаний Армении.</w:t>
      </w:r>
    </w:p>
    <w:p w:rsidR="00CB3272" w:rsidRPr="00A26D6E" w:rsidRDefault="00CB3272" w:rsidP="00CB3272">
      <w:pPr>
        <w:shd w:val="clear" w:color="auto" w:fill="FFFFFF"/>
        <w:spacing w:after="0" w:line="240" w:lineRule="auto"/>
        <w:ind w:firstLine="709"/>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lang w:val="de-DE"/>
        </w:rPr>
        <w:t xml:space="preserve">Ниже представим также данные о годовом приросте </w:t>
      </w:r>
      <w:r w:rsidRPr="00A26D6E">
        <w:rPr>
          <w:rFonts w:ascii="Times New Roman" w:eastAsia="Times New Roman" w:hAnsi="Times New Roman" w:cs="Times New Roman"/>
          <w:sz w:val="24"/>
          <w:szCs w:val="24"/>
        </w:rPr>
        <w:t>ИТ-сектора в Республике Армения (Рис. 2.).</w:t>
      </w:r>
    </w:p>
    <w:p w:rsidR="00CB3272" w:rsidRPr="00A26D6E" w:rsidRDefault="00CB3272" w:rsidP="00CB3272">
      <w:pPr>
        <w:shd w:val="clear" w:color="auto" w:fill="FFFFFF"/>
        <w:spacing w:after="0" w:line="240" w:lineRule="auto"/>
        <w:jc w:val="center"/>
        <w:rPr>
          <w:rFonts w:ascii="Times New Roman" w:hAnsi="Times New Roman" w:cs="Times New Roman"/>
          <w:b/>
          <w:i/>
          <w:sz w:val="24"/>
          <w:szCs w:val="24"/>
          <w:shd w:val="clear" w:color="auto" w:fill="FFFFFF"/>
        </w:rPr>
      </w:pPr>
      <w:r w:rsidRPr="00A26D6E">
        <w:rPr>
          <w:rFonts w:ascii="Times New Roman" w:hAnsi="Times New Roman" w:cs="Times New Roman"/>
          <w:b/>
          <w:i/>
          <w:sz w:val="24"/>
          <w:szCs w:val="24"/>
          <w:shd w:val="clear" w:color="auto" w:fill="FFFFFF"/>
        </w:rPr>
        <w:t xml:space="preserve">Рис. 2. </w:t>
      </w:r>
      <w:r w:rsidRPr="00A26D6E">
        <w:rPr>
          <w:rFonts w:ascii="Times New Roman" w:eastAsia="Times New Roman" w:hAnsi="Times New Roman" w:cs="Times New Roman"/>
          <w:b/>
          <w:i/>
          <w:sz w:val="24"/>
          <w:szCs w:val="24"/>
          <w:lang w:val="de-DE"/>
        </w:rPr>
        <w:t xml:space="preserve">Годовой прирост  </w:t>
      </w:r>
      <w:r w:rsidRPr="00A26D6E">
        <w:rPr>
          <w:rFonts w:ascii="Times New Roman" w:eastAsia="Times New Roman" w:hAnsi="Times New Roman" w:cs="Times New Roman"/>
          <w:b/>
          <w:i/>
          <w:sz w:val="24"/>
          <w:szCs w:val="24"/>
        </w:rPr>
        <w:t>ИТ-сектора</w:t>
      </w:r>
      <w:r w:rsidRPr="00A26D6E">
        <w:rPr>
          <w:rFonts w:ascii="Times New Roman" w:hAnsi="Times New Roman" w:cs="Times New Roman"/>
          <w:b/>
          <w:i/>
          <w:sz w:val="24"/>
          <w:szCs w:val="24"/>
          <w:shd w:val="clear" w:color="auto" w:fill="FFFFFF"/>
        </w:rPr>
        <w:t xml:space="preserve"> в Республике Армения (2010-2019)</w:t>
      </w:r>
    </w:p>
    <w:p w:rsidR="00CB3272" w:rsidRPr="00A26D6E" w:rsidRDefault="00CB3272" w:rsidP="00CB3272">
      <w:pPr>
        <w:shd w:val="clear" w:color="auto" w:fill="FFFFFF"/>
        <w:spacing w:after="0" w:line="240" w:lineRule="auto"/>
        <w:jc w:val="center"/>
        <w:rPr>
          <w:rFonts w:ascii="Times New Roman" w:hAnsi="Times New Roman" w:cs="Times New Roman"/>
          <w:b/>
          <w:i/>
          <w:sz w:val="24"/>
          <w:szCs w:val="24"/>
        </w:rPr>
      </w:pPr>
    </w:p>
    <w:p w:rsidR="00CB3272" w:rsidRPr="00A26D6E" w:rsidRDefault="00CB3272" w:rsidP="00CB3272">
      <w:pPr>
        <w:shd w:val="clear" w:color="auto" w:fill="FFFFFF"/>
        <w:spacing w:after="0" w:line="240" w:lineRule="auto"/>
        <w:jc w:val="center"/>
        <w:rPr>
          <w:rFonts w:ascii="Times New Roman" w:eastAsia="Times New Roman" w:hAnsi="Times New Roman" w:cs="Times New Roman"/>
          <w:sz w:val="24"/>
          <w:szCs w:val="24"/>
        </w:rPr>
      </w:pPr>
      <w:r w:rsidRPr="00A26D6E">
        <w:rPr>
          <w:rFonts w:ascii="Times New Roman" w:eastAsia="Times New Roman" w:hAnsi="Times New Roman" w:cs="Times New Roman"/>
          <w:noProof/>
          <w:sz w:val="24"/>
          <w:szCs w:val="24"/>
          <w:lang w:val="en-US" w:eastAsia="en-US"/>
        </w:rPr>
        <w:drawing>
          <wp:inline distT="0" distB="0" distL="0" distR="0" wp14:anchorId="7EA39D8E" wp14:editId="65E04552">
            <wp:extent cx="5929745" cy="2305396"/>
            <wp:effectExtent l="0" t="0" r="13970" b="19050"/>
            <wp:docPr id="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B3272" w:rsidRPr="00A26D6E" w:rsidRDefault="00CB3272" w:rsidP="00CB3272">
      <w:pPr>
        <w:shd w:val="clear" w:color="auto" w:fill="FFFFFF"/>
        <w:spacing w:after="0" w:line="240" w:lineRule="auto"/>
        <w:ind w:firstLine="709"/>
        <w:jc w:val="both"/>
        <w:rPr>
          <w:rFonts w:ascii="Times New Roman" w:eastAsia="Times New Roman" w:hAnsi="Times New Roman" w:cs="Times New Roman"/>
          <w:sz w:val="24"/>
          <w:szCs w:val="24"/>
        </w:rPr>
      </w:pPr>
      <w:r w:rsidRPr="00A26D6E">
        <w:rPr>
          <w:rFonts w:ascii="Times New Roman" w:hAnsi="Times New Roman" w:cs="Times New Roman"/>
          <w:b/>
          <w:i/>
          <w:sz w:val="24"/>
          <w:szCs w:val="24"/>
        </w:rPr>
        <w:t>Источник:</w:t>
      </w:r>
      <w:r w:rsidRPr="00A26D6E">
        <w:rPr>
          <w:rFonts w:ascii="Times New Roman" w:hAnsi="Times New Roman" w:cs="Times New Roman"/>
          <w:sz w:val="24"/>
          <w:szCs w:val="24"/>
        </w:rPr>
        <w:t xml:space="preserve"> Данные официального сайта Министерства экономики Республики Армения, https://www.mineconomy.am/</w:t>
      </w:r>
    </w:p>
    <w:p w:rsidR="00CB3272" w:rsidRPr="00A26D6E" w:rsidRDefault="00CB3272" w:rsidP="00CB3272">
      <w:pPr>
        <w:autoSpaceDE w:val="0"/>
        <w:autoSpaceDN w:val="0"/>
        <w:adjustRightInd w:val="0"/>
        <w:spacing w:after="0" w:line="240" w:lineRule="auto"/>
        <w:ind w:firstLine="709"/>
        <w:jc w:val="both"/>
        <w:rPr>
          <w:rFonts w:ascii="Times New Roman" w:hAnsi="Times New Roman" w:cs="Times New Roman"/>
          <w:sz w:val="24"/>
          <w:szCs w:val="24"/>
        </w:rPr>
      </w:pPr>
    </w:p>
    <w:p w:rsidR="00CB3272" w:rsidRPr="00A26D6E" w:rsidRDefault="00CB3272" w:rsidP="00CB3272">
      <w:pPr>
        <w:autoSpaceDE w:val="0"/>
        <w:autoSpaceDN w:val="0"/>
        <w:adjustRightInd w:val="0"/>
        <w:spacing w:after="0" w:line="240" w:lineRule="auto"/>
        <w:ind w:firstLine="709"/>
        <w:jc w:val="both"/>
        <w:rPr>
          <w:rFonts w:ascii="Times New Roman" w:hAnsi="Times New Roman" w:cs="Times New Roman"/>
          <w:bCs/>
          <w:sz w:val="24"/>
          <w:szCs w:val="24"/>
        </w:rPr>
      </w:pPr>
      <w:r w:rsidRPr="00A26D6E">
        <w:rPr>
          <w:rFonts w:ascii="Times New Roman" w:hAnsi="Times New Roman" w:cs="Times New Roman"/>
          <w:sz w:val="24"/>
          <w:szCs w:val="24"/>
        </w:rPr>
        <w:t xml:space="preserve">Для более детального анализа роли сферы высоких технологий в обеспечении стабильного развития экономики представим также </w:t>
      </w:r>
      <w:r w:rsidRPr="00A26D6E">
        <w:rPr>
          <w:rFonts w:ascii="Times New Roman" w:hAnsi="Times New Roman" w:cs="Times New Roman"/>
          <w:bCs/>
          <w:sz w:val="24"/>
          <w:szCs w:val="24"/>
        </w:rPr>
        <w:t xml:space="preserve">долю </w:t>
      </w:r>
      <w:r w:rsidRPr="00A26D6E">
        <w:rPr>
          <w:rFonts w:ascii="Times New Roman" w:eastAsia="Times New Roman" w:hAnsi="Times New Roman" w:cs="Times New Roman"/>
          <w:sz w:val="24"/>
          <w:szCs w:val="24"/>
        </w:rPr>
        <w:t>ИКТ-сектора</w:t>
      </w:r>
      <w:r w:rsidRPr="00A26D6E">
        <w:rPr>
          <w:rFonts w:ascii="Times New Roman" w:hAnsi="Times New Roman" w:cs="Times New Roman"/>
          <w:bCs/>
          <w:sz w:val="24"/>
          <w:szCs w:val="24"/>
        </w:rPr>
        <w:t xml:space="preserve"> в ВВП</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Республики</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 xml:space="preserve">Армения (Табл. 1.). </w:t>
      </w:r>
    </w:p>
    <w:p w:rsidR="00CB3272" w:rsidRPr="00A26D6E" w:rsidRDefault="00CB3272" w:rsidP="00CB3272">
      <w:pPr>
        <w:autoSpaceDE w:val="0"/>
        <w:autoSpaceDN w:val="0"/>
        <w:adjustRightInd w:val="0"/>
        <w:spacing w:after="0" w:line="240" w:lineRule="auto"/>
        <w:jc w:val="center"/>
        <w:rPr>
          <w:rFonts w:ascii="Times New Roman" w:hAnsi="Times New Roman" w:cs="Times New Roman"/>
          <w:b/>
          <w:bCs/>
          <w:i/>
          <w:sz w:val="24"/>
          <w:szCs w:val="24"/>
        </w:rPr>
      </w:pPr>
    </w:p>
    <w:p w:rsidR="00CB3272" w:rsidRPr="00A26D6E" w:rsidRDefault="00CB3272" w:rsidP="00CB3272">
      <w:pPr>
        <w:autoSpaceDE w:val="0"/>
        <w:autoSpaceDN w:val="0"/>
        <w:adjustRightInd w:val="0"/>
        <w:spacing w:after="0" w:line="240" w:lineRule="auto"/>
        <w:jc w:val="center"/>
        <w:rPr>
          <w:rFonts w:ascii="Times New Roman" w:hAnsi="Times New Roman" w:cs="Times New Roman"/>
          <w:b/>
          <w:bCs/>
          <w:i/>
          <w:sz w:val="24"/>
          <w:szCs w:val="24"/>
        </w:rPr>
      </w:pPr>
      <w:r w:rsidRPr="00A26D6E">
        <w:rPr>
          <w:rFonts w:ascii="Times New Roman" w:hAnsi="Times New Roman" w:cs="Times New Roman"/>
          <w:b/>
          <w:bCs/>
          <w:i/>
          <w:sz w:val="24"/>
          <w:szCs w:val="24"/>
        </w:rPr>
        <w:t>Таблица 1</w:t>
      </w:r>
      <w:r w:rsidRPr="00A26D6E">
        <w:rPr>
          <w:rFonts w:ascii="Times New Roman" w:hAnsi="Times New Roman" w:cs="Times New Roman"/>
          <w:b/>
          <w:bCs/>
          <w:i/>
          <w:sz w:val="24"/>
          <w:szCs w:val="24"/>
          <w:lang w:val="el-GR"/>
        </w:rPr>
        <w:t xml:space="preserve">.  </w:t>
      </w:r>
      <w:r w:rsidRPr="00A26D6E">
        <w:rPr>
          <w:rFonts w:ascii="Times New Roman" w:hAnsi="Times New Roman" w:cs="Times New Roman"/>
          <w:b/>
          <w:bCs/>
          <w:i/>
          <w:sz w:val="24"/>
          <w:szCs w:val="24"/>
        </w:rPr>
        <w:t xml:space="preserve">Доля </w:t>
      </w:r>
      <w:r w:rsidRPr="00A26D6E">
        <w:rPr>
          <w:rFonts w:ascii="Times New Roman" w:eastAsia="Times New Roman" w:hAnsi="Times New Roman" w:cs="Times New Roman"/>
          <w:b/>
          <w:i/>
          <w:sz w:val="24"/>
          <w:szCs w:val="24"/>
        </w:rPr>
        <w:t>ИКТ-сектора</w:t>
      </w:r>
      <w:r w:rsidRPr="00A26D6E">
        <w:rPr>
          <w:rFonts w:ascii="Times New Roman" w:hAnsi="Times New Roman" w:cs="Times New Roman"/>
          <w:b/>
          <w:bCs/>
          <w:i/>
          <w:sz w:val="24"/>
          <w:szCs w:val="24"/>
        </w:rPr>
        <w:t xml:space="preserve"> в ВВП</w:t>
      </w:r>
      <w:r w:rsidRPr="00A26D6E">
        <w:rPr>
          <w:rFonts w:ascii="Times New Roman" w:hAnsi="Times New Roman" w:cs="Times New Roman"/>
          <w:b/>
          <w:bCs/>
          <w:i/>
          <w:sz w:val="24"/>
          <w:szCs w:val="24"/>
          <w:lang w:val="el-GR"/>
        </w:rPr>
        <w:t xml:space="preserve"> </w:t>
      </w:r>
      <w:r w:rsidRPr="00A26D6E">
        <w:rPr>
          <w:rFonts w:ascii="Times New Roman" w:hAnsi="Times New Roman" w:cs="Times New Roman"/>
          <w:b/>
          <w:bCs/>
          <w:i/>
          <w:sz w:val="24"/>
          <w:szCs w:val="24"/>
        </w:rPr>
        <w:t>Республики</w:t>
      </w:r>
      <w:r w:rsidRPr="00A26D6E">
        <w:rPr>
          <w:rFonts w:ascii="Times New Roman" w:hAnsi="Times New Roman" w:cs="Times New Roman"/>
          <w:b/>
          <w:bCs/>
          <w:i/>
          <w:sz w:val="24"/>
          <w:szCs w:val="24"/>
          <w:lang w:val="el-GR"/>
        </w:rPr>
        <w:t xml:space="preserve"> </w:t>
      </w:r>
      <w:r w:rsidRPr="00A26D6E">
        <w:rPr>
          <w:rFonts w:ascii="Times New Roman" w:hAnsi="Times New Roman" w:cs="Times New Roman"/>
          <w:b/>
          <w:bCs/>
          <w:i/>
          <w:sz w:val="24"/>
          <w:szCs w:val="24"/>
        </w:rPr>
        <w:t>Армения за</w:t>
      </w:r>
      <w:r w:rsidRPr="00A26D6E">
        <w:rPr>
          <w:rFonts w:ascii="Times New Roman" w:hAnsi="Times New Roman" w:cs="Times New Roman"/>
          <w:b/>
          <w:bCs/>
          <w:i/>
          <w:sz w:val="24"/>
          <w:szCs w:val="24"/>
          <w:lang w:val="el-GR"/>
        </w:rPr>
        <w:t xml:space="preserve"> 2010-2019</w:t>
      </w:r>
      <w:r w:rsidRPr="00A26D6E">
        <w:rPr>
          <w:rFonts w:ascii="Times New Roman" w:hAnsi="Times New Roman" w:cs="Times New Roman"/>
          <w:b/>
          <w:bCs/>
          <w:i/>
          <w:sz w:val="24"/>
          <w:szCs w:val="24"/>
        </w:rPr>
        <w:t>гг</w:t>
      </w:r>
      <w:r w:rsidRPr="00A26D6E">
        <w:rPr>
          <w:rFonts w:ascii="Times New Roman" w:hAnsi="Times New Roman" w:cs="Times New Roman"/>
          <w:b/>
          <w:bCs/>
          <w:i/>
          <w:sz w:val="24"/>
          <w:szCs w:val="24"/>
          <w:lang w:val="el-GR"/>
        </w:rPr>
        <w:t>., %</w:t>
      </w:r>
    </w:p>
    <w:p w:rsidR="00CB3272" w:rsidRPr="00A26D6E" w:rsidRDefault="00CB3272" w:rsidP="00CB3272">
      <w:pPr>
        <w:autoSpaceDE w:val="0"/>
        <w:autoSpaceDN w:val="0"/>
        <w:adjustRightInd w:val="0"/>
        <w:spacing w:after="0" w:line="240" w:lineRule="auto"/>
        <w:jc w:val="center"/>
        <w:rPr>
          <w:rFonts w:ascii="Times New Roman" w:hAnsi="Times New Roman" w:cs="Times New Roman"/>
          <w:i/>
          <w:sz w:val="24"/>
          <w:szCs w:val="24"/>
        </w:rPr>
      </w:pPr>
    </w:p>
    <w:tbl>
      <w:tblPr>
        <w:tblStyle w:val="TableGrid"/>
        <w:tblW w:w="9322" w:type="dxa"/>
        <w:jc w:val="center"/>
        <w:tblLayout w:type="fixed"/>
        <w:tblLook w:val="04A0" w:firstRow="1" w:lastRow="0" w:firstColumn="1" w:lastColumn="0" w:noHBand="0" w:noVBand="1"/>
      </w:tblPr>
      <w:tblGrid>
        <w:gridCol w:w="2235"/>
        <w:gridCol w:w="708"/>
        <w:gridCol w:w="709"/>
        <w:gridCol w:w="709"/>
        <w:gridCol w:w="709"/>
        <w:gridCol w:w="708"/>
        <w:gridCol w:w="709"/>
        <w:gridCol w:w="709"/>
        <w:gridCol w:w="709"/>
        <w:gridCol w:w="708"/>
        <w:gridCol w:w="709"/>
      </w:tblGrid>
      <w:tr w:rsidR="00A26D6E" w:rsidRPr="00A26D6E" w:rsidTr="0033489E">
        <w:trPr>
          <w:jc w:val="center"/>
        </w:trPr>
        <w:tc>
          <w:tcPr>
            <w:tcW w:w="2235" w:type="dxa"/>
            <w:tcBorders>
              <w:top w:val="double" w:sz="4" w:space="0" w:color="auto"/>
              <w:left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proofErr w:type="spellStart"/>
            <w:r w:rsidRPr="00A26D6E">
              <w:rPr>
                <w:rFonts w:ascii="Times New Roman" w:hAnsi="Times New Roman" w:cs="Times New Roman"/>
                <w:b/>
                <w:sz w:val="24"/>
                <w:szCs w:val="24"/>
              </w:rPr>
              <w:t>Название</w:t>
            </w:r>
            <w:proofErr w:type="spellEnd"/>
          </w:p>
        </w:tc>
        <w:tc>
          <w:tcPr>
            <w:tcW w:w="708"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2010</w:t>
            </w:r>
          </w:p>
        </w:tc>
        <w:tc>
          <w:tcPr>
            <w:tcW w:w="709"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2011</w:t>
            </w:r>
          </w:p>
        </w:tc>
        <w:tc>
          <w:tcPr>
            <w:tcW w:w="709"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2012</w:t>
            </w:r>
          </w:p>
        </w:tc>
        <w:tc>
          <w:tcPr>
            <w:tcW w:w="709"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2013</w:t>
            </w:r>
          </w:p>
        </w:tc>
        <w:tc>
          <w:tcPr>
            <w:tcW w:w="708"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2014</w:t>
            </w:r>
          </w:p>
        </w:tc>
        <w:tc>
          <w:tcPr>
            <w:tcW w:w="709"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2015</w:t>
            </w:r>
          </w:p>
        </w:tc>
        <w:tc>
          <w:tcPr>
            <w:tcW w:w="709"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2016</w:t>
            </w:r>
          </w:p>
        </w:tc>
        <w:tc>
          <w:tcPr>
            <w:tcW w:w="709"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2017</w:t>
            </w:r>
          </w:p>
        </w:tc>
        <w:tc>
          <w:tcPr>
            <w:tcW w:w="708" w:type="dxa"/>
            <w:tcBorders>
              <w:top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2018</w:t>
            </w:r>
          </w:p>
        </w:tc>
        <w:tc>
          <w:tcPr>
            <w:tcW w:w="709" w:type="dxa"/>
            <w:tcBorders>
              <w:top w:val="double" w:sz="4" w:space="0" w:color="auto"/>
              <w:right w:val="double" w:sz="4" w:space="0" w:color="auto"/>
            </w:tcBorders>
            <w:shd w:val="clear" w:color="auto" w:fill="F2F2F2" w:themeFill="background1" w:themeFillShade="F2"/>
          </w:tcPr>
          <w:p w:rsidR="00CB3272" w:rsidRPr="00A26D6E" w:rsidRDefault="00CB3272" w:rsidP="0033489E">
            <w:pPr>
              <w:spacing w:line="360" w:lineRule="auto"/>
              <w:jc w:val="center"/>
              <w:rPr>
                <w:rFonts w:ascii="Times New Roman" w:hAnsi="Times New Roman" w:cs="Times New Roman"/>
                <w:b/>
                <w:sz w:val="24"/>
                <w:szCs w:val="24"/>
              </w:rPr>
            </w:pPr>
            <w:r w:rsidRPr="00A26D6E">
              <w:rPr>
                <w:rFonts w:ascii="Times New Roman" w:hAnsi="Times New Roman" w:cs="Times New Roman"/>
                <w:b/>
                <w:sz w:val="24"/>
                <w:szCs w:val="24"/>
              </w:rPr>
              <w:t>2019</w:t>
            </w:r>
          </w:p>
        </w:tc>
      </w:tr>
      <w:tr w:rsidR="00240C55" w:rsidRPr="00A26D6E" w:rsidTr="0033489E">
        <w:trPr>
          <w:trHeight w:val="850"/>
          <w:jc w:val="center"/>
        </w:trPr>
        <w:tc>
          <w:tcPr>
            <w:tcW w:w="2235" w:type="dxa"/>
            <w:tcBorders>
              <w:left w:val="double" w:sz="4" w:space="0" w:color="auto"/>
              <w:bottom w:val="double" w:sz="4" w:space="0" w:color="auto"/>
            </w:tcBorders>
          </w:tcPr>
          <w:p w:rsidR="00CB3272" w:rsidRPr="00A26D6E" w:rsidRDefault="00CB3272" w:rsidP="0033489E">
            <w:pPr>
              <w:spacing w:line="360" w:lineRule="auto"/>
              <w:jc w:val="both"/>
              <w:rPr>
                <w:rFonts w:ascii="Times New Roman" w:hAnsi="Times New Roman" w:cs="Times New Roman"/>
                <w:sz w:val="24"/>
                <w:szCs w:val="24"/>
                <w:lang w:val="ru-RU"/>
              </w:rPr>
            </w:pPr>
            <w:r w:rsidRPr="00A26D6E">
              <w:rPr>
                <w:rFonts w:ascii="Times New Roman" w:hAnsi="Times New Roman" w:cs="Times New Roman"/>
                <w:bCs/>
                <w:sz w:val="24"/>
                <w:szCs w:val="24"/>
                <w:lang w:val="ru-RU"/>
              </w:rPr>
              <w:lastRenderedPageBreak/>
              <w:t xml:space="preserve">Доля </w:t>
            </w:r>
            <w:r w:rsidRPr="00A26D6E">
              <w:rPr>
                <w:rFonts w:ascii="Times New Roman" w:eastAsia="Times New Roman" w:hAnsi="Times New Roman" w:cs="Times New Roman"/>
                <w:sz w:val="24"/>
                <w:szCs w:val="24"/>
                <w:lang w:val="ru-RU"/>
              </w:rPr>
              <w:t>ИКТ-сектора</w:t>
            </w:r>
            <w:r w:rsidRPr="00A26D6E">
              <w:rPr>
                <w:rFonts w:ascii="Times New Roman" w:hAnsi="Times New Roman" w:cs="Times New Roman"/>
                <w:bCs/>
                <w:sz w:val="24"/>
                <w:szCs w:val="24"/>
                <w:lang w:val="ru-RU"/>
              </w:rPr>
              <w:t xml:space="preserve"> в ВВП</w:t>
            </w:r>
          </w:p>
        </w:tc>
        <w:tc>
          <w:tcPr>
            <w:tcW w:w="708"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1.8</w:t>
            </w:r>
          </w:p>
        </w:tc>
        <w:tc>
          <w:tcPr>
            <w:tcW w:w="709"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2</w:t>
            </w:r>
          </w:p>
        </w:tc>
        <w:tc>
          <w:tcPr>
            <w:tcW w:w="709"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3.3</w:t>
            </w:r>
          </w:p>
        </w:tc>
        <w:tc>
          <w:tcPr>
            <w:tcW w:w="709"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3.6</w:t>
            </w:r>
          </w:p>
        </w:tc>
        <w:tc>
          <w:tcPr>
            <w:tcW w:w="708"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4.3</w:t>
            </w:r>
          </w:p>
        </w:tc>
        <w:tc>
          <w:tcPr>
            <w:tcW w:w="709"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5</w:t>
            </w:r>
          </w:p>
        </w:tc>
        <w:tc>
          <w:tcPr>
            <w:tcW w:w="709"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5.5</w:t>
            </w:r>
          </w:p>
        </w:tc>
        <w:tc>
          <w:tcPr>
            <w:tcW w:w="709"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sz w:val="24"/>
                <w:szCs w:val="24"/>
              </w:rPr>
              <w:t>6</w:t>
            </w:r>
          </w:p>
        </w:tc>
        <w:tc>
          <w:tcPr>
            <w:tcW w:w="708" w:type="dxa"/>
            <w:tcBorders>
              <w:bottom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7.4</w:t>
            </w:r>
          </w:p>
        </w:tc>
        <w:tc>
          <w:tcPr>
            <w:tcW w:w="709" w:type="dxa"/>
            <w:tcBorders>
              <w:bottom w:val="double" w:sz="4" w:space="0" w:color="auto"/>
              <w:right w:val="double" w:sz="4" w:space="0" w:color="auto"/>
            </w:tcBorders>
          </w:tcPr>
          <w:p w:rsidR="00CB3272" w:rsidRPr="00A26D6E" w:rsidRDefault="00CB3272" w:rsidP="0033489E">
            <w:pPr>
              <w:spacing w:line="360" w:lineRule="auto"/>
              <w:jc w:val="center"/>
              <w:rPr>
                <w:rFonts w:ascii="Times New Roman" w:hAnsi="Times New Roman" w:cs="Times New Roman"/>
                <w:sz w:val="24"/>
                <w:szCs w:val="24"/>
              </w:rPr>
            </w:pPr>
            <w:r w:rsidRPr="00A26D6E">
              <w:rPr>
                <w:rFonts w:ascii="Times New Roman" w:hAnsi="Times New Roman" w:cs="Times New Roman"/>
                <w:bCs/>
                <w:sz w:val="24"/>
                <w:szCs w:val="24"/>
              </w:rPr>
              <w:t>8.7</w:t>
            </w:r>
          </w:p>
        </w:tc>
      </w:tr>
    </w:tbl>
    <w:p w:rsidR="00CB3272" w:rsidRPr="00A26D6E" w:rsidRDefault="00CB3272" w:rsidP="00CB3272">
      <w:pPr>
        <w:autoSpaceDE w:val="0"/>
        <w:autoSpaceDN w:val="0"/>
        <w:adjustRightInd w:val="0"/>
        <w:spacing w:after="0" w:line="240" w:lineRule="auto"/>
        <w:ind w:firstLine="709"/>
        <w:jc w:val="both"/>
        <w:rPr>
          <w:rFonts w:ascii="Times New Roman" w:hAnsi="Times New Roman" w:cs="Times New Roman"/>
          <w:b/>
          <w:i/>
          <w:sz w:val="24"/>
          <w:szCs w:val="24"/>
        </w:rPr>
      </w:pPr>
    </w:p>
    <w:p w:rsidR="00CB3272" w:rsidRPr="00A26D6E" w:rsidRDefault="00CB3272" w:rsidP="00CB3272">
      <w:pPr>
        <w:autoSpaceDE w:val="0"/>
        <w:autoSpaceDN w:val="0"/>
        <w:adjustRightInd w:val="0"/>
        <w:spacing w:after="0" w:line="240" w:lineRule="auto"/>
        <w:ind w:firstLine="709"/>
        <w:jc w:val="both"/>
        <w:rPr>
          <w:rFonts w:ascii="Times New Roman" w:hAnsi="Times New Roman" w:cs="Times New Roman"/>
          <w:sz w:val="24"/>
          <w:szCs w:val="24"/>
        </w:rPr>
      </w:pPr>
      <w:r w:rsidRPr="00A26D6E">
        <w:rPr>
          <w:rFonts w:ascii="Times New Roman" w:hAnsi="Times New Roman" w:cs="Times New Roman"/>
          <w:b/>
          <w:i/>
          <w:sz w:val="24"/>
          <w:szCs w:val="24"/>
        </w:rPr>
        <w:t>Источник:</w:t>
      </w:r>
      <w:r w:rsidRPr="00A26D6E">
        <w:rPr>
          <w:rFonts w:ascii="Times New Roman" w:eastAsia="Times New Roman" w:hAnsi="Times New Roman" w:cs="Times New Roman"/>
          <w:bCs/>
          <w:iCs/>
          <w:sz w:val="24"/>
          <w:szCs w:val="24"/>
        </w:rPr>
        <w:t xml:space="preserve"> Сектор ИКТ в Армении, 2010-2018г г. (данные за 2019г. - предварительные), Исследование сектора информационных и коммуникационных технологий в Армении, Фонд инкубатора предприятий,  http://www.eif.am/eng/researches/report-on-the-state-of-the-industry/</w:t>
      </w:r>
    </w:p>
    <w:p w:rsidR="00CB3272" w:rsidRPr="00A26D6E" w:rsidRDefault="00CB3272" w:rsidP="00CB3272">
      <w:pPr>
        <w:autoSpaceDE w:val="0"/>
        <w:autoSpaceDN w:val="0"/>
        <w:adjustRightInd w:val="0"/>
        <w:spacing w:after="0" w:line="240" w:lineRule="auto"/>
        <w:ind w:firstLine="709"/>
        <w:jc w:val="both"/>
        <w:rPr>
          <w:rFonts w:ascii="Times New Roman" w:hAnsi="Times New Roman" w:cs="Times New Roman"/>
          <w:sz w:val="24"/>
          <w:szCs w:val="24"/>
        </w:rPr>
      </w:pP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hAnsi="Times New Roman" w:cs="Times New Roman"/>
          <w:sz w:val="24"/>
          <w:szCs w:val="24"/>
        </w:rPr>
        <w:t xml:space="preserve">Как видим, показатель </w:t>
      </w:r>
      <w:r w:rsidRPr="00A26D6E">
        <w:rPr>
          <w:rFonts w:ascii="Times New Roman" w:hAnsi="Times New Roman" w:cs="Times New Roman"/>
          <w:bCs/>
          <w:sz w:val="24"/>
          <w:szCs w:val="24"/>
        </w:rPr>
        <w:t xml:space="preserve">доли </w:t>
      </w:r>
      <w:r w:rsidRPr="00A26D6E">
        <w:rPr>
          <w:rFonts w:ascii="Times New Roman" w:eastAsia="Times New Roman" w:hAnsi="Times New Roman" w:cs="Times New Roman"/>
          <w:sz w:val="24"/>
          <w:szCs w:val="24"/>
        </w:rPr>
        <w:t>ИКТ-сектора</w:t>
      </w:r>
      <w:r w:rsidRPr="00A26D6E">
        <w:rPr>
          <w:rFonts w:ascii="Times New Roman" w:hAnsi="Times New Roman" w:cs="Times New Roman"/>
          <w:bCs/>
          <w:sz w:val="24"/>
          <w:szCs w:val="24"/>
        </w:rPr>
        <w:t xml:space="preserve"> в ВВП</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Республики</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Армения</w:t>
      </w:r>
      <w:r w:rsidRPr="00A26D6E">
        <w:rPr>
          <w:rFonts w:ascii="Times New Roman" w:hAnsi="Times New Roman" w:cs="Times New Roman"/>
          <w:sz w:val="24"/>
          <w:szCs w:val="24"/>
        </w:rPr>
        <w:t xml:space="preserve"> в 2010-2019гг. демонстрировал стабильный и почти равномерный рост на 6,9 процентных пункта, в то время, когда </w:t>
      </w:r>
      <w:r w:rsidRPr="00A26D6E">
        <w:rPr>
          <w:rFonts w:ascii="Times New Roman" w:hAnsi="Times New Roman" w:cs="Times New Roman"/>
          <w:bCs/>
          <w:sz w:val="24"/>
          <w:szCs w:val="24"/>
        </w:rPr>
        <w:t>показатель</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экономического</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роста</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в</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Республике</w:t>
      </w:r>
      <w:r w:rsidRPr="00A26D6E">
        <w:rPr>
          <w:rFonts w:ascii="Times New Roman" w:hAnsi="Times New Roman" w:cs="Times New Roman"/>
          <w:bCs/>
          <w:sz w:val="24"/>
          <w:szCs w:val="24"/>
          <w:lang w:val="el-GR"/>
        </w:rPr>
        <w:t xml:space="preserve"> </w:t>
      </w:r>
      <w:r w:rsidRPr="00A26D6E">
        <w:rPr>
          <w:rFonts w:ascii="Times New Roman" w:hAnsi="Times New Roman" w:cs="Times New Roman"/>
          <w:bCs/>
          <w:sz w:val="24"/>
          <w:szCs w:val="24"/>
        </w:rPr>
        <w:t xml:space="preserve">Армения в рассматриваемый период подвергался ощутимым колебаниям. Это свидетельствует о наличии достаточно большого потенциала развития в сфере высоких технологий Республики Армения. Эффективное использование данного потенциала, безусловно, будет способствовать дальнейшему развитию как сферы высоких технологий, так и всей экономики страны.        </w:t>
      </w:r>
      <w:r w:rsidRPr="00A26D6E">
        <w:rPr>
          <w:rFonts w:ascii="Times New Roman" w:hAnsi="Times New Roman" w:cs="Times New Roman"/>
          <w:sz w:val="24"/>
          <w:szCs w:val="24"/>
        </w:rPr>
        <w:t xml:space="preserve">     </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Как известно, инновационная инфраструктура является основным элементом и механизмом функционирования инновационной экономики, она может обеспечить высокий уровень экономического развития, а может и обусловить тяжелейшее отставание в темпах экономического роста. Для того чтобы формировалась инновационная экономика, необходимо наличие в экономической системе специализированных организаций и институтов (правил взаимодействия и организации экономических процессов), которые осуществляли бы поддержку и стимулирование инновационной деятельности.</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К задачам инновационной инфраструктуры относятся [3]:</w:t>
      </w:r>
    </w:p>
    <w:p w:rsidR="00CB3272" w:rsidRPr="00A26D6E" w:rsidRDefault="00CB3272" w:rsidP="00CB3272">
      <w:pPr>
        <w:numPr>
          <w:ilvl w:val="0"/>
          <w:numId w:val="13"/>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Развитие конкуренции с целью формирования спроса и предложения инноваций и их избыточности.</w:t>
      </w:r>
    </w:p>
    <w:p w:rsidR="00CB3272" w:rsidRPr="00A26D6E" w:rsidRDefault="00CB3272" w:rsidP="00CB3272">
      <w:pPr>
        <w:numPr>
          <w:ilvl w:val="0"/>
          <w:numId w:val="13"/>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Создание эффективных наукоемких производств, секторов и отраслей.</w:t>
      </w:r>
    </w:p>
    <w:p w:rsidR="00CB3272" w:rsidRPr="00A26D6E" w:rsidRDefault="00CB3272" w:rsidP="00CB3272">
      <w:pPr>
        <w:numPr>
          <w:ilvl w:val="0"/>
          <w:numId w:val="13"/>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Формирование процессов диффузии технологий к их потребителям.</w:t>
      </w:r>
    </w:p>
    <w:p w:rsidR="00CB3272" w:rsidRPr="00A26D6E" w:rsidRDefault="00CB3272" w:rsidP="00CB3272">
      <w:pPr>
        <w:numPr>
          <w:ilvl w:val="0"/>
          <w:numId w:val="13"/>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Модернизация экономики и инфраструктуры.</w:t>
      </w:r>
    </w:p>
    <w:p w:rsidR="00CB3272" w:rsidRPr="00A26D6E" w:rsidRDefault="00CB3272" w:rsidP="00CB3272">
      <w:pPr>
        <w:numPr>
          <w:ilvl w:val="0"/>
          <w:numId w:val="13"/>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Модернизация и повышение эффективности человеческого капитала в направлении повышения его креативности и инновационности.</w:t>
      </w:r>
    </w:p>
    <w:p w:rsidR="00CB3272" w:rsidRPr="00A26D6E" w:rsidRDefault="00CB3272" w:rsidP="00CB3272">
      <w:pPr>
        <w:numPr>
          <w:ilvl w:val="0"/>
          <w:numId w:val="13"/>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Независимая экспертиза исследовательских проектов, направлений исследований, а также научных и инженерных коллективов.</w:t>
      </w:r>
    </w:p>
    <w:p w:rsidR="00CB3272" w:rsidRPr="00A26D6E" w:rsidRDefault="00CB3272" w:rsidP="00CB3272">
      <w:pPr>
        <w:numPr>
          <w:ilvl w:val="0"/>
          <w:numId w:val="13"/>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Законодательство, регулирующее отношения в сфере инновационной экономики.</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Обычно выделяются, по крайней мере, следующие виды (подсистемы) инновационной инфраструктуры [1]:</w:t>
      </w:r>
    </w:p>
    <w:p w:rsidR="00CB3272" w:rsidRPr="00A26D6E" w:rsidRDefault="00CB3272" w:rsidP="00CB3272">
      <w:pPr>
        <w:numPr>
          <w:ilvl w:val="0"/>
          <w:numId w:val="14"/>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sz w:val="24"/>
          <w:szCs w:val="24"/>
        </w:rPr>
        <w:t>финансовая:</w:t>
      </w:r>
      <w:r w:rsidRPr="00A26D6E">
        <w:rPr>
          <w:rFonts w:ascii="Times New Roman" w:eastAsia="Times New Roman" w:hAnsi="Times New Roman" w:cs="Times New Roman"/>
          <w:sz w:val="24"/>
          <w:szCs w:val="24"/>
        </w:rPr>
        <w:t xml:space="preserve"> различные типы фондов (бюджетные, венчурные, страховые, инвестиционные), а также другие финансовые институты, такие как фондовый рынок, особенно в части высокотехнологичных компаний;</w:t>
      </w:r>
    </w:p>
    <w:p w:rsidR="00CB3272" w:rsidRPr="00A26D6E" w:rsidRDefault="00CB3272" w:rsidP="00CB3272">
      <w:pPr>
        <w:numPr>
          <w:ilvl w:val="0"/>
          <w:numId w:val="14"/>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sz w:val="24"/>
          <w:szCs w:val="24"/>
        </w:rPr>
        <w:t>производственно-технологическая</w:t>
      </w:r>
      <w:r w:rsidRPr="00A26D6E">
        <w:rPr>
          <w:rFonts w:ascii="Times New Roman" w:eastAsia="Times New Roman" w:hAnsi="Times New Roman" w:cs="Times New Roman"/>
          <w:sz w:val="24"/>
          <w:szCs w:val="24"/>
        </w:rPr>
        <w:t xml:space="preserve"> </w:t>
      </w:r>
      <w:r w:rsidRPr="00A26D6E">
        <w:rPr>
          <w:rFonts w:ascii="Times New Roman" w:eastAsia="Times New Roman" w:hAnsi="Times New Roman" w:cs="Times New Roman"/>
          <w:b/>
          <w:sz w:val="24"/>
          <w:szCs w:val="24"/>
        </w:rPr>
        <w:t>(или материальная):</w:t>
      </w:r>
      <w:r w:rsidRPr="00A26D6E">
        <w:rPr>
          <w:rFonts w:ascii="Times New Roman" w:eastAsia="Times New Roman" w:hAnsi="Times New Roman" w:cs="Times New Roman"/>
          <w:sz w:val="24"/>
          <w:szCs w:val="24"/>
        </w:rPr>
        <w:t xml:space="preserve"> технопарки, инновационно-технологические центры, бизнес-инкубаторы и т. п.;</w:t>
      </w:r>
    </w:p>
    <w:p w:rsidR="00CB3272" w:rsidRPr="00A26D6E" w:rsidRDefault="00CB3272" w:rsidP="00CB3272">
      <w:pPr>
        <w:numPr>
          <w:ilvl w:val="0"/>
          <w:numId w:val="14"/>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sz w:val="24"/>
          <w:szCs w:val="24"/>
        </w:rPr>
        <w:t>информационная:</w:t>
      </w:r>
      <w:r w:rsidRPr="00A26D6E">
        <w:rPr>
          <w:rFonts w:ascii="Times New Roman" w:eastAsia="Times New Roman" w:hAnsi="Times New Roman" w:cs="Times New Roman"/>
          <w:sz w:val="24"/>
          <w:szCs w:val="24"/>
        </w:rPr>
        <w:t xml:space="preserve"> базы данных и знаний и центры доступа, а также аналитические, статистические, информационные и т. п. центры (т. е. организации, оказывающие услуги);</w:t>
      </w:r>
    </w:p>
    <w:p w:rsidR="00CB3272" w:rsidRPr="00A26D6E" w:rsidRDefault="00CB3272" w:rsidP="00CB3272">
      <w:pPr>
        <w:numPr>
          <w:ilvl w:val="0"/>
          <w:numId w:val="14"/>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sz w:val="24"/>
          <w:szCs w:val="24"/>
        </w:rPr>
        <w:t>кадровая:</w:t>
      </w:r>
      <w:r w:rsidRPr="00A26D6E">
        <w:rPr>
          <w:rFonts w:ascii="Times New Roman" w:eastAsia="Times New Roman" w:hAnsi="Times New Roman" w:cs="Times New Roman"/>
          <w:sz w:val="24"/>
          <w:szCs w:val="24"/>
        </w:rPr>
        <w:t xml:space="preserve"> образовательные учреждения по подготовке и переподготовке кадров в области научного и инновационного менеджмента, технологического аудита, маркетинга и т. д.;</w:t>
      </w:r>
    </w:p>
    <w:p w:rsidR="00CB3272" w:rsidRPr="00A26D6E" w:rsidRDefault="00CB3272" w:rsidP="00CB3272">
      <w:pPr>
        <w:numPr>
          <w:ilvl w:val="0"/>
          <w:numId w:val="14"/>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sz w:val="24"/>
          <w:szCs w:val="24"/>
        </w:rPr>
        <w:t>экспертно-консалтинговая:</w:t>
      </w:r>
      <w:r w:rsidRPr="00A26D6E">
        <w:rPr>
          <w:rFonts w:ascii="Times New Roman" w:eastAsia="Times New Roman" w:hAnsi="Times New Roman" w:cs="Times New Roman"/>
          <w:sz w:val="24"/>
          <w:szCs w:val="24"/>
        </w:rPr>
        <w:t xml:space="preserve"> организации, занятые оказанием услуг по проблемам интеллектуальной собственности, стандартизации, сертификации, а также центры консалтинга, как общего, так и специализирующегося в отдельных сферах (финансов, инвестиций, маркетинга, управления и т. д.).</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lastRenderedPageBreak/>
        <w:t>В современной науке присутствует значительное количество классификаций инновационной инфраструктуры. В таблице 2 приведем общую схему элементов указанной инфраструктуры.</w:t>
      </w:r>
    </w:p>
    <w:p w:rsidR="00CB3272" w:rsidRPr="00A26D6E" w:rsidRDefault="00CB3272" w:rsidP="00CB3272">
      <w:pPr>
        <w:spacing w:after="0" w:line="240" w:lineRule="auto"/>
        <w:jc w:val="right"/>
        <w:rPr>
          <w:rFonts w:ascii="Times New Roman" w:eastAsia="Times New Roman" w:hAnsi="Times New Roman" w:cs="Times New Roman"/>
          <w:sz w:val="24"/>
          <w:szCs w:val="24"/>
        </w:rPr>
      </w:pPr>
    </w:p>
    <w:p w:rsidR="00CB3272" w:rsidRPr="00A26D6E" w:rsidRDefault="00CB3272" w:rsidP="00CB3272">
      <w:pPr>
        <w:spacing w:after="0" w:line="240" w:lineRule="auto"/>
        <w:jc w:val="center"/>
        <w:rPr>
          <w:rFonts w:ascii="Times New Roman" w:eastAsia="Times New Roman" w:hAnsi="Times New Roman" w:cs="Times New Roman"/>
          <w:sz w:val="24"/>
          <w:szCs w:val="24"/>
        </w:rPr>
      </w:pPr>
      <w:r w:rsidRPr="00A26D6E">
        <w:rPr>
          <w:rFonts w:ascii="Times New Roman" w:eastAsia="Times New Roman" w:hAnsi="Times New Roman" w:cs="Times New Roman"/>
          <w:b/>
          <w:i/>
          <w:sz w:val="24"/>
          <w:szCs w:val="24"/>
        </w:rPr>
        <w:t>Таблица 2.</w:t>
      </w:r>
      <w:r w:rsidRPr="00A26D6E">
        <w:rPr>
          <w:rFonts w:ascii="Times New Roman" w:eastAsia="Times New Roman" w:hAnsi="Times New Roman" w:cs="Times New Roman"/>
          <w:b/>
          <w:i/>
          <w:iCs/>
          <w:sz w:val="24"/>
          <w:szCs w:val="24"/>
        </w:rPr>
        <w:t>Общая схема инновационной инфраструктуры</w:t>
      </w:r>
      <w:r w:rsidRPr="00A26D6E">
        <w:rPr>
          <w:rFonts w:ascii="Times New Roman" w:eastAsia="Times New Roman" w:hAnsi="Times New Roman" w:cs="Times New Roman"/>
          <w:b/>
          <w:iCs/>
          <w:sz w:val="24"/>
          <w:szCs w:val="24"/>
        </w:rPr>
        <w:t xml:space="preserve"> </w:t>
      </w:r>
      <w:r w:rsidRPr="00A26D6E">
        <w:rPr>
          <w:rFonts w:ascii="Times New Roman" w:eastAsia="Times New Roman" w:hAnsi="Times New Roman" w:cs="Times New Roman"/>
          <w:sz w:val="24"/>
          <w:szCs w:val="24"/>
        </w:rPr>
        <w:t>[5]</w:t>
      </w:r>
    </w:p>
    <w:p w:rsidR="00CB3272" w:rsidRPr="00A26D6E" w:rsidRDefault="00CB3272" w:rsidP="00CB3272">
      <w:pPr>
        <w:spacing w:after="0" w:line="240" w:lineRule="auto"/>
        <w:jc w:val="center"/>
        <w:rPr>
          <w:rFonts w:ascii="Times New Roman" w:eastAsia="Times New Roman" w:hAnsi="Times New Roman" w:cs="Times New Roman"/>
          <w:sz w:val="24"/>
          <w:szCs w:val="24"/>
        </w:rPr>
      </w:pPr>
    </w:p>
    <w:tbl>
      <w:tblPr>
        <w:tblStyle w:val="TableGrid"/>
        <w:tblW w:w="9747" w:type="dxa"/>
        <w:jc w:val="center"/>
        <w:tblLayout w:type="fixed"/>
        <w:tblLook w:val="04A0" w:firstRow="1" w:lastRow="0" w:firstColumn="1" w:lastColumn="0" w:noHBand="0" w:noVBand="1"/>
      </w:tblPr>
      <w:tblGrid>
        <w:gridCol w:w="1809"/>
        <w:gridCol w:w="1843"/>
        <w:gridCol w:w="1559"/>
        <w:gridCol w:w="1560"/>
        <w:gridCol w:w="1559"/>
        <w:gridCol w:w="1417"/>
      </w:tblGrid>
      <w:tr w:rsidR="00A26D6E" w:rsidRPr="00A26D6E" w:rsidTr="0033489E">
        <w:trPr>
          <w:jc w:val="center"/>
        </w:trPr>
        <w:tc>
          <w:tcPr>
            <w:tcW w:w="1809" w:type="dxa"/>
            <w:tcBorders>
              <w:top w:val="double" w:sz="4" w:space="0" w:color="auto"/>
              <w:left w:val="double" w:sz="4" w:space="0" w:color="auto"/>
            </w:tcBorders>
            <w:shd w:val="clear" w:color="auto" w:fill="F2F2F2" w:themeFill="background1" w:themeFillShade="F2"/>
            <w:vAlign w:val="center"/>
          </w:tcPr>
          <w:p w:rsidR="00CB3272" w:rsidRPr="00A26D6E" w:rsidRDefault="00CB3272" w:rsidP="0033489E">
            <w:pPr>
              <w:jc w:val="center"/>
              <w:rPr>
                <w:rFonts w:ascii="Times New Roman" w:eastAsia="Times New Roman" w:hAnsi="Times New Roman" w:cs="Times New Roman"/>
                <w:b/>
                <w:sz w:val="16"/>
                <w:szCs w:val="16"/>
                <w:lang w:val="ru-RU"/>
              </w:rPr>
            </w:pPr>
            <w:r w:rsidRPr="00A26D6E">
              <w:rPr>
                <w:rFonts w:ascii="Times New Roman" w:eastAsia="Times New Roman" w:hAnsi="Times New Roman" w:cs="Times New Roman"/>
                <w:b/>
                <w:sz w:val="16"/>
                <w:szCs w:val="16"/>
                <w:lang w:val="ru-RU"/>
              </w:rPr>
              <w:t>Производственно- технологичсская составляющая</w:t>
            </w:r>
          </w:p>
        </w:tc>
        <w:tc>
          <w:tcPr>
            <w:tcW w:w="1843" w:type="dxa"/>
            <w:tcBorders>
              <w:top w:val="double" w:sz="4" w:space="0" w:color="auto"/>
            </w:tcBorders>
            <w:shd w:val="clear" w:color="auto" w:fill="F2F2F2" w:themeFill="background1" w:themeFillShade="F2"/>
            <w:vAlign w:val="center"/>
          </w:tcPr>
          <w:p w:rsidR="00CB3272" w:rsidRPr="00A26D6E" w:rsidRDefault="00CB3272" w:rsidP="0033489E">
            <w:pPr>
              <w:jc w:val="center"/>
              <w:rPr>
                <w:rFonts w:ascii="Times New Roman" w:eastAsia="Times New Roman" w:hAnsi="Times New Roman" w:cs="Times New Roman"/>
                <w:b/>
                <w:sz w:val="16"/>
                <w:szCs w:val="16"/>
              </w:rPr>
            </w:pPr>
            <w:proofErr w:type="spellStart"/>
            <w:r w:rsidRPr="00A26D6E">
              <w:rPr>
                <w:rFonts w:ascii="Times New Roman" w:eastAsia="Times New Roman" w:hAnsi="Times New Roman" w:cs="Times New Roman"/>
                <w:b/>
                <w:sz w:val="16"/>
                <w:szCs w:val="16"/>
              </w:rPr>
              <w:t>Консалтинговая</w:t>
            </w:r>
            <w:proofErr w:type="spellEnd"/>
            <w:r w:rsidRPr="00A26D6E">
              <w:rPr>
                <w:rFonts w:ascii="Times New Roman" w:eastAsia="Times New Roman" w:hAnsi="Times New Roman" w:cs="Times New Roman"/>
                <w:b/>
                <w:sz w:val="16"/>
                <w:szCs w:val="16"/>
              </w:rPr>
              <w:t xml:space="preserve"> </w:t>
            </w:r>
            <w:proofErr w:type="spellStart"/>
            <w:r w:rsidRPr="00A26D6E">
              <w:rPr>
                <w:rFonts w:ascii="Times New Roman" w:eastAsia="Times New Roman" w:hAnsi="Times New Roman" w:cs="Times New Roman"/>
                <w:b/>
                <w:sz w:val="16"/>
                <w:szCs w:val="16"/>
              </w:rPr>
              <w:t>составляющая</w:t>
            </w:r>
            <w:proofErr w:type="spellEnd"/>
          </w:p>
        </w:tc>
        <w:tc>
          <w:tcPr>
            <w:tcW w:w="1559" w:type="dxa"/>
            <w:tcBorders>
              <w:top w:val="double" w:sz="4" w:space="0" w:color="auto"/>
            </w:tcBorders>
            <w:shd w:val="clear" w:color="auto" w:fill="F2F2F2" w:themeFill="background1" w:themeFillShade="F2"/>
            <w:vAlign w:val="center"/>
          </w:tcPr>
          <w:p w:rsidR="00CB3272" w:rsidRPr="00A26D6E" w:rsidRDefault="00CB3272" w:rsidP="0033489E">
            <w:pPr>
              <w:jc w:val="center"/>
              <w:rPr>
                <w:rFonts w:ascii="Times New Roman" w:eastAsia="Times New Roman" w:hAnsi="Times New Roman" w:cs="Times New Roman"/>
                <w:b/>
                <w:sz w:val="16"/>
                <w:szCs w:val="16"/>
              </w:rPr>
            </w:pPr>
            <w:proofErr w:type="spellStart"/>
            <w:r w:rsidRPr="00A26D6E">
              <w:rPr>
                <w:rFonts w:ascii="Times New Roman" w:eastAsia="Times New Roman" w:hAnsi="Times New Roman" w:cs="Times New Roman"/>
                <w:b/>
                <w:sz w:val="16"/>
                <w:szCs w:val="16"/>
              </w:rPr>
              <w:t>Финансовая</w:t>
            </w:r>
            <w:proofErr w:type="spellEnd"/>
            <w:r w:rsidRPr="00A26D6E">
              <w:rPr>
                <w:rFonts w:ascii="Times New Roman" w:eastAsia="Times New Roman" w:hAnsi="Times New Roman" w:cs="Times New Roman"/>
                <w:b/>
                <w:sz w:val="16"/>
                <w:szCs w:val="16"/>
              </w:rPr>
              <w:t xml:space="preserve"> </w:t>
            </w:r>
            <w:proofErr w:type="spellStart"/>
            <w:r w:rsidRPr="00A26D6E">
              <w:rPr>
                <w:rFonts w:ascii="Times New Roman" w:eastAsia="Times New Roman" w:hAnsi="Times New Roman" w:cs="Times New Roman"/>
                <w:b/>
                <w:sz w:val="16"/>
                <w:szCs w:val="16"/>
              </w:rPr>
              <w:t>составляющая</w:t>
            </w:r>
            <w:proofErr w:type="spellEnd"/>
          </w:p>
        </w:tc>
        <w:tc>
          <w:tcPr>
            <w:tcW w:w="1560" w:type="dxa"/>
            <w:tcBorders>
              <w:top w:val="double" w:sz="4" w:space="0" w:color="auto"/>
            </w:tcBorders>
            <w:shd w:val="clear" w:color="auto" w:fill="F2F2F2" w:themeFill="background1" w:themeFillShade="F2"/>
            <w:vAlign w:val="center"/>
          </w:tcPr>
          <w:p w:rsidR="00CB3272" w:rsidRPr="00A26D6E" w:rsidRDefault="00CB3272" w:rsidP="0033489E">
            <w:pPr>
              <w:jc w:val="center"/>
              <w:rPr>
                <w:rFonts w:ascii="Times New Roman" w:eastAsia="Times New Roman" w:hAnsi="Times New Roman" w:cs="Times New Roman"/>
                <w:b/>
                <w:sz w:val="16"/>
                <w:szCs w:val="16"/>
              </w:rPr>
            </w:pPr>
            <w:proofErr w:type="spellStart"/>
            <w:r w:rsidRPr="00A26D6E">
              <w:rPr>
                <w:rFonts w:ascii="Times New Roman" w:eastAsia="Times New Roman" w:hAnsi="Times New Roman" w:cs="Times New Roman"/>
                <w:b/>
                <w:sz w:val="16"/>
                <w:szCs w:val="16"/>
              </w:rPr>
              <w:t>Кадровая</w:t>
            </w:r>
            <w:proofErr w:type="spellEnd"/>
          </w:p>
          <w:p w:rsidR="00CB3272" w:rsidRPr="00A26D6E" w:rsidRDefault="00CB3272" w:rsidP="0033489E">
            <w:pPr>
              <w:jc w:val="center"/>
              <w:rPr>
                <w:rFonts w:ascii="Times New Roman" w:eastAsia="Times New Roman" w:hAnsi="Times New Roman" w:cs="Times New Roman"/>
                <w:b/>
                <w:sz w:val="16"/>
                <w:szCs w:val="16"/>
              </w:rPr>
            </w:pPr>
            <w:proofErr w:type="spellStart"/>
            <w:r w:rsidRPr="00A26D6E">
              <w:rPr>
                <w:rFonts w:ascii="Times New Roman" w:eastAsia="Times New Roman" w:hAnsi="Times New Roman" w:cs="Times New Roman"/>
                <w:b/>
                <w:sz w:val="16"/>
                <w:szCs w:val="16"/>
              </w:rPr>
              <w:t>составляющая</w:t>
            </w:r>
            <w:proofErr w:type="spellEnd"/>
          </w:p>
        </w:tc>
        <w:tc>
          <w:tcPr>
            <w:tcW w:w="1559" w:type="dxa"/>
            <w:tcBorders>
              <w:top w:val="double" w:sz="4" w:space="0" w:color="auto"/>
            </w:tcBorders>
            <w:shd w:val="clear" w:color="auto" w:fill="F2F2F2" w:themeFill="background1" w:themeFillShade="F2"/>
            <w:vAlign w:val="center"/>
          </w:tcPr>
          <w:p w:rsidR="00CB3272" w:rsidRPr="00A26D6E" w:rsidRDefault="00CB3272" w:rsidP="0033489E">
            <w:pPr>
              <w:jc w:val="center"/>
              <w:rPr>
                <w:rFonts w:ascii="Times New Roman" w:eastAsia="Times New Roman" w:hAnsi="Times New Roman" w:cs="Times New Roman"/>
                <w:b/>
                <w:sz w:val="16"/>
                <w:szCs w:val="16"/>
              </w:rPr>
            </w:pPr>
            <w:proofErr w:type="spellStart"/>
            <w:r w:rsidRPr="00A26D6E">
              <w:rPr>
                <w:rFonts w:ascii="Times New Roman" w:eastAsia="Times New Roman" w:hAnsi="Times New Roman" w:cs="Times New Roman"/>
                <w:b/>
                <w:sz w:val="16"/>
                <w:szCs w:val="16"/>
              </w:rPr>
              <w:t>Информационная</w:t>
            </w:r>
            <w:proofErr w:type="spellEnd"/>
            <w:r w:rsidRPr="00A26D6E">
              <w:rPr>
                <w:rFonts w:ascii="Times New Roman" w:eastAsia="Times New Roman" w:hAnsi="Times New Roman" w:cs="Times New Roman"/>
                <w:b/>
                <w:sz w:val="16"/>
                <w:szCs w:val="16"/>
              </w:rPr>
              <w:t xml:space="preserve"> </w:t>
            </w:r>
            <w:proofErr w:type="spellStart"/>
            <w:r w:rsidRPr="00A26D6E">
              <w:rPr>
                <w:rFonts w:ascii="Times New Roman" w:eastAsia="Times New Roman" w:hAnsi="Times New Roman" w:cs="Times New Roman"/>
                <w:b/>
                <w:sz w:val="16"/>
                <w:szCs w:val="16"/>
              </w:rPr>
              <w:t>составляющая</w:t>
            </w:r>
            <w:proofErr w:type="spellEnd"/>
          </w:p>
        </w:tc>
        <w:tc>
          <w:tcPr>
            <w:tcW w:w="1417" w:type="dxa"/>
            <w:tcBorders>
              <w:top w:val="double" w:sz="4" w:space="0" w:color="auto"/>
              <w:right w:val="double" w:sz="4" w:space="0" w:color="auto"/>
            </w:tcBorders>
            <w:shd w:val="clear" w:color="auto" w:fill="F2F2F2" w:themeFill="background1" w:themeFillShade="F2"/>
            <w:vAlign w:val="center"/>
          </w:tcPr>
          <w:p w:rsidR="00CB3272" w:rsidRPr="00A26D6E" w:rsidRDefault="00CB3272" w:rsidP="0033489E">
            <w:pPr>
              <w:jc w:val="center"/>
              <w:rPr>
                <w:rFonts w:ascii="Times New Roman" w:eastAsia="Times New Roman" w:hAnsi="Times New Roman" w:cs="Times New Roman"/>
                <w:b/>
                <w:sz w:val="16"/>
                <w:szCs w:val="16"/>
              </w:rPr>
            </w:pPr>
            <w:proofErr w:type="spellStart"/>
            <w:r w:rsidRPr="00A26D6E">
              <w:rPr>
                <w:rFonts w:ascii="Times New Roman" w:eastAsia="Times New Roman" w:hAnsi="Times New Roman" w:cs="Times New Roman"/>
                <w:b/>
                <w:sz w:val="16"/>
                <w:szCs w:val="16"/>
              </w:rPr>
              <w:t>Сбытовая</w:t>
            </w:r>
            <w:proofErr w:type="spellEnd"/>
          </w:p>
          <w:p w:rsidR="00CB3272" w:rsidRPr="00A26D6E" w:rsidRDefault="00CB3272" w:rsidP="0033489E">
            <w:pPr>
              <w:jc w:val="center"/>
              <w:rPr>
                <w:rFonts w:ascii="Times New Roman" w:eastAsia="Times New Roman" w:hAnsi="Times New Roman" w:cs="Times New Roman"/>
                <w:b/>
                <w:sz w:val="16"/>
                <w:szCs w:val="16"/>
              </w:rPr>
            </w:pPr>
            <w:proofErr w:type="spellStart"/>
            <w:r w:rsidRPr="00A26D6E">
              <w:rPr>
                <w:rFonts w:ascii="Times New Roman" w:eastAsia="Times New Roman" w:hAnsi="Times New Roman" w:cs="Times New Roman"/>
                <w:b/>
                <w:sz w:val="16"/>
                <w:szCs w:val="16"/>
              </w:rPr>
              <w:t>составляющая</w:t>
            </w:r>
            <w:proofErr w:type="spellEnd"/>
          </w:p>
        </w:tc>
      </w:tr>
      <w:tr w:rsidR="00A26D6E" w:rsidRPr="00A26D6E" w:rsidTr="0033489E">
        <w:trPr>
          <w:jc w:val="center"/>
        </w:trPr>
        <w:tc>
          <w:tcPr>
            <w:tcW w:w="1809" w:type="dxa"/>
            <w:tcBorders>
              <w:lef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Инновационно- технологические центры и технопарки</w:t>
            </w:r>
          </w:p>
        </w:tc>
        <w:tc>
          <w:tcPr>
            <w:tcW w:w="1843" w:type="dxa"/>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Центры</w:t>
            </w:r>
            <w:proofErr w:type="spellEnd"/>
          </w:p>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трансфера</w:t>
            </w:r>
            <w:proofErr w:type="spellEnd"/>
          </w:p>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технологий</w:t>
            </w:r>
            <w:proofErr w:type="spellEnd"/>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Бюджетные</w:t>
            </w:r>
            <w:proofErr w:type="spellEnd"/>
          </w:p>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средства</w:t>
            </w:r>
            <w:proofErr w:type="spellEnd"/>
          </w:p>
        </w:tc>
        <w:tc>
          <w:tcPr>
            <w:tcW w:w="1560" w:type="dxa"/>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Повышение квалификации персонала в области инноваций</w:t>
            </w:r>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Государственная система научно- технической информации</w:t>
            </w:r>
          </w:p>
        </w:tc>
        <w:tc>
          <w:tcPr>
            <w:tcW w:w="1417" w:type="dxa"/>
            <w:tcBorders>
              <w:righ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Внешнеторговые</w:t>
            </w:r>
            <w:proofErr w:type="spellEnd"/>
          </w:p>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объединения</w:t>
            </w:r>
            <w:proofErr w:type="spellEnd"/>
          </w:p>
        </w:tc>
      </w:tr>
      <w:tr w:rsidR="00A26D6E" w:rsidRPr="00A26D6E" w:rsidTr="0033489E">
        <w:trPr>
          <w:jc w:val="center"/>
        </w:trPr>
        <w:tc>
          <w:tcPr>
            <w:tcW w:w="1809" w:type="dxa"/>
            <w:tcBorders>
              <w:lef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Инновационно-</w:t>
            </w:r>
          </w:p>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промышленные</w:t>
            </w:r>
          </w:p>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комплексы</w:t>
            </w:r>
          </w:p>
        </w:tc>
        <w:tc>
          <w:tcPr>
            <w:tcW w:w="1843" w:type="dxa"/>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Консалтинг в сфере экономики и финансов</w:t>
            </w:r>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Бюджетные и внебюджетные фонды технологического развития</w:t>
            </w:r>
          </w:p>
        </w:tc>
        <w:tc>
          <w:tcPr>
            <w:tcW w:w="1560" w:type="dxa"/>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Подготовка специалистов в области технологического и научного менеджмента</w:t>
            </w:r>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Ресурсы структур поддержки малого бизнеса</w:t>
            </w:r>
          </w:p>
        </w:tc>
        <w:tc>
          <w:tcPr>
            <w:tcW w:w="1417" w:type="dxa"/>
            <w:tcBorders>
              <w:righ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Специализиро</w:t>
            </w:r>
            <w:proofErr w:type="spellEnd"/>
            <w:r w:rsidRPr="00A26D6E">
              <w:rPr>
                <w:rFonts w:ascii="Times New Roman" w:eastAsia="Times New Roman" w:hAnsi="Times New Roman" w:cs="Times New Roman"/>
                <w:sz w:val="16"/>
                <w:szCs w:val="16"/>
                <w:lang w:val="ru-RU"/>
              </w:rPr>
              <w:t>-</w:t>
            </w:r>
            <w:proofErr w:type="spellStart"/>
            <w:r w:rsidRPr="00A26D6E">
              <w:rPr>
                <w:rFonts w:ascii="Times New Roman" w:eastAsia="Times New Roman" w:hAnsi="Times New Roman" w:cs="Times New Roman"/>
                <w:sz w:val="16"/>
                <w:szCs w:val="16"/>
              </w:rPr>
              <w:t>ванные</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посреднические</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фирмы</w:t>
            </w:r>
            <w:proofErr w:type="spellEnd"/>
          </w:p>
        </w:tc>
      </w:tr>
      <w:tr w:rsidR="00A26D6E" w:rsidRPr="00A26D6E" w:rsidTr="0033489E">
        <w:trPr>
          <w:jc w:val="center"/>
        </w:trPr>
        <w:tc>
          <w:tcPr>
            <w:tcW w:w="1809" w:type="dxa"/>
            <w:tcBorders>
              <w:lef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Технологические</w:t>
            </w:r>
            <w:proofErr w:type="spellEnd"/>
          </w:p>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кластеры</w:t>
            </w:r>
            <w:proofErr w:type="spellEnd"/>
          </w:p>
        </w:tc>
        <w:tc>
          <w:tcPr>
            <w:tcW w:w="1843" w:type="dxa"/>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Технологический</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консалтинг</w:t>
            </w:r>
            <w:proofErr w:type="spellEnd"/>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Венчурные</w:t>
            </w:r>
            <w:proofErr w:type="spellEnd"/>
          </w:p>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фонды</w:t>
            </w:r>
            <w:proofErr w:type="spellEnd"/>
          </w:p>
        </w:tc>
        <w:tc>
          <w:tcPr>
            <w:tcW w:w="1560" w:type="dxa"/>
            <w:vAlign w:val="center"/>
          </w:tcPr>
          <w:p w:rsidR="00CB3272" w:rsidRPr="00A26D6E" w:rsidRDefault="00CB3272" w:rsidP="0033489E">
            <w:pPr>
              <w:jc w:val="center"/>
              <w:rPr>
                <w:rFonts w:ascii="Times New Roman" w:eastAsia="Times New Roman" w:hAnsi="Times New Roman" w:cs="Times New Roman"/>
                <w:sz w:val="16"/>
                <w:szCs w:val="16"/>
              </w:rPr>
            </w:pPr>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Региональные</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информационные</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сети</w:t>
            </w:r>
            <w:proofErr w:type="spellEnd"/>
          </w:p>
        </w:tc>
        <w:tc>
          <w:tcPr>
            <w:tcW w:w="1417" w:type="dxa"/>
            <w:tcBorders>
              <w:righ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Интернет</w:t>
            </w:r>
            <w:proofErr w:type="spellEnd"/>
          </w:p>
        </w:tc>
      </w:tr>
      <w:tr w:rsidR="00A26D6E" w:rsidRPr="00A26D6E" w:rsidTr="0033489E">
        <w:trPr>
          <w:jc w:val="center"/>
        </w:trPr>
        <w:tc>
          <w:tcPr>
            <w:tcW w:w="1809" w:type="dxa"/>
            <w:tcBorders>
              <w:lef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Технико</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внедренческие</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зоны</w:t>
            </w:r>
            <w:proofErr w:type="spellEnd"/>
          </w:p>
        </w:tc>
        <w:tc>
          <w:tcPr>
            <w:tcW w:w="1843" w:type="dxa"/>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Маркетинговый</w:t>
            </w:r>
            <w:proofErr w:type="spellEnd"/>
            <w:r w:rsidRPr="00A26D6E">
              <w:rPr>
                <w:rFonts w:ascii="Times New Roman" w:eastAsia="Times New Roman" w:hAnsi="Times New Roman" w:cs="Times New Roman"/>
                <w:sz w:val="16"/>
                <w:szCs w:val="16"/>
              </w:rPr>
              <w:t xml:space="preserve"> </w:t>
            </w:r>
            <w:proofErr w:type="spellStart"/>
            <w:r w:rsidRPr="00A26D6E">
              <w:rPr>
                <w:rFonts w:ascii="Times New Roman" w:eastAsia="Times New Roman" w:hAnsi="Times New Roman" w:cs="Times New Roman"/>
                <w:sz w:val="16"/>
                <w:szCs w:val="16"/>
              </w:rPr>
              <w:t>консалтинг</w:t>
            </w:r>
            <w:proofErr w:type="spellEnd"/>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Посевные и стартовые фонды</w:t>
            </w:r>
          </w:p>
        </w:tc>
        <w:tc>
          <w:tcPr>
            <w:tcW w:w="1560" w:type="dxa"/>
            <w:vAlign w:val="center"/>
          </w:tcPr>
          <w:p w:rsidR="00CB3272" w:rsidRPr="00A26D6E" w:rsidRDefault="00CB3272" w:rsidP="0033489E">
            <w:pPr>
              <w:jc w:val="center"/>
              <w:rPr>
                <w:rFonts w:ascii="Times New Roman" w:eastAsia="Times New Roman" w:hAnsi="Times New Roman" w:cs="Times New Roman"/>
                <w:sz w:val="16"/>
                <w:szCs w:val="16"/>
                <w:lang w:val="ru-RU"/>
              </w:rPr>
            </w:pPr>
          </w:p>
        </w:tc>
        <w:tc>
          <w:tcPr>
            <w:tcW w:w="1559" w:type="dxa"/>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Интернет</w:t>
            </w:r>
            <w:proofErr w:type="spellEnd"/>
          </w:p>
        </w:tc>
        <w:tc>
          <w:tcPr>
            <w:tcW w:w="1417" w:type="dxa"/>
            <w:tcBorders>
              <w:righ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rPr>
            </w:pPr>
            <w:proofErr w:type="spellStart"/>
            <w:r w:rsidRPr="00A26D6E">
              <w:rPr>
                <w:rFonts w:ascii="Times New Roman" w:eastAsia="Times New Roman" w:hAnsi="Times New Roman" w:cs="Times New Roman"/>
                <w:sz w:val="16"/>
                <w:szCs w:val="16"/>
              </w:rPr>
              <w:t>Выставки</w:t>
            </w:r>
            <w:proofErr w:type="spellEnd"/>
          </w:p>
        </w:tc>
      </w:tr>
      <w:tr w:rsidR="00240C55" w:rsidRPr="00A26D6E" w:rsidTr="0033489E">
        <w:trPr>
          <w:jc w:val="center"/>
        </w:trPr>
        <w:tc>
          <w:tcPr>
            <w:tcW w:w="1809" w:type="dxa"/>
            <w:tcBorders>
              <w:left w:val="double" w:sz="4" w:space="0" w:color="auto"/>
              <w:bottom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Центры коллективного пользования высокотехнологичным оборудованием</w:t>
            </w:r>
          </w:p>
        </w:tc>
        <w:tc>
          <w:tcPr>
            <w:tcW w:w="1843" w:type="dxa"/>
            <w:tcBorders>
              <w:bottom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Консалтинг в области внешнеэкономической деятельности</w:t>
            </w:r>
          </w:p>
        </w:tc>
        <w:tc>
          <w:tcPr>
            <w:tcW w:w="1559" w:type="dxa"/>
            <w:tcBorders>
              <w:bottom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r w:rsidRPr="00A26D6E">
              <w:rPr>
                <w:rFonts w:ascii="Times New Roman" w:eastAsia="Times New Roman" w:hAnsi="Times New Roman" w:cs="Times New Roman"/>
                <w:sz w:val="16"/>
                <w:szCs w:val="16"/>
                <w:lang w:val="ru-RU"/>
              </w:rPr>
              <w:t>Гарантийные структуры и фонды</w:t>
            </w:r>
          </w:p>
        </w:tc>
        <w:tc>
          <w:tcPr>
            <w:tcW w:w="1560" w:type="dxa"/>
            <w:tcBorders>
              <w:bottom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p>
        </w:tc>
        <w:tc>
          <w:tcPr>
            <w:tcW w:w="1559" w:type="dxa"/>
            <w:tcBorders>
              <w:bottom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p>
        </w:tc>
        <w:tc>
          <w:tcPr>
            <w:tcW w:w="1417" w:type="dxa"/>
            <w:tcBorders>
              <w:bottom w:val="double" w:sz="4" w:space="0" w:color="auto"/>
              <w:right w:val="double" w:sz="4" w:space="0" w:color="auto"/>
            </w:tcBorders>
            <w:vAlign w:val="center"/>
          </w:tcPr>
          <w:p w:rsidR="00CB3272" w:rsidRPr="00A26D6E" w:rsidRDefault="00CB3272" w:rsidP="0033489E">
            <w:pPr>
              <w:jc w:val="center"/>
              <w:rPr>
                <w:rFonts w:ascii="Times New Roman" w:eastAsia="Times New Roman" w:hAnsi="Times New Roman" w:cs="Times New Roman"/>
                <w:sz w:val="16"/>
                <w:szCs w:val="16"/>
                <w:lang w:val="ru-RU"/>
              </w:rPr>
            </w:pPr>
          </w:p>
        </w:tc>
      </w:tr>
    </w:tbl>
    <w:p w:rsidR="00CB3272" w:rsidRPr="00A26D6E" w:rsidRDefault="00CB3272" w:rsidP="00CB3272">
      <w:pPr>
        <w:spacing w:after="0" w:line="240" w:lineRule="auto"/>
        <w:ind w:firstLine="709"/>
        <w:jc w:val="both"/>
        <w:rPr>
          <w:rFonts w:ascii="Times New Roman" w:eastAsia="Times New Roman" w:hAnsi="Times New Roman" w:cs="Times New Roman"/>
          <w:b/>
          <w:bCs/>
          <w:sz w:val="28"/>
          <w:szCs w:val="28"/>
        </w:rPr>
      </w:pP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bCs/>
          <w:sz w:val="24"/>
          <w:szCs w:val="24"/>
        </w:rPr>
        <w:t xml:space="preserve">Технологическая инфраструктура </w:t>
      </w:r>
      <w:r w:rsidRPr="00A26D6E">
        <w:rPr>
          <w:rFonts w:ascii="Times New Roman" w:eastAsia="Times New Roman" w:hAnsi="Times New Roman" w:cs="Times New Roman"/>
          <w:sz w:val="24"/>
          <w:szCs w:val="24"/>
        </w:rPr>
        <w:t>(производственно-технологическая составляющая) призвана создать условия для доступа предприятий (прежде всего малых) к производственным ресурсам. Субъекты:</w:t>
      </w:r>
    </w:p>
    <w:p w:rsidR="00CB3272" w:rsidRPr="00A26D6E" w:rsidRDefault="00CB3272" w:rsidP="00CB3272">
      <w:pPr>
        <w:numPr>
          <w:ilvl w:val="0"/>
          <w:numId w:val="15"/>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технопарки и инновационно-технологические центры - обеспечивают доступ к производственным площадям на стадии возникновения (бизнес-инкубаторы и технологические инкубаторы) и развития;</w:t>
      </w:r>
    </w:p>
    <w:p w:rsidR="00CB3272" w:rsidRPr="00A26D6E" w:rsidRDefault="00CB3272" w:rsidP="00CB3272">
      <w:pPr>
        <w:numPr>
          <w:ilvl w:val="0"/>
          <w:numId w:val="15"/>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инновационно-технологические комплексы - дополнительно обеспечивают также доступ к производственным мощностям;</w:t>
      </w:r>
    </w:p>
    <w:p w:rsidR="00CB3272" w:rsidRPr="00A26D6E" w:rsidRDefault="00CB3272" w:rsidP="00CB3272">
      <w:pPr>
        <w:numPr>
          <w:ilvl w:val="0"/>
          <w:numId w:val="15"/>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промышленные парки - наборы стандартных модулей, оснащенных необходимыми коммуникациями и производственной инфраструктурой;</w:t>
      </w:r>
    </w:p>
    <w:p w:rsidR="00CB3272" w:rsidRPr="00A26D6E" w:rsidRDefault="00CB3272" w:rsidP="00CB3272">
      <w:pPr>
        <w:numPr>
          <w:ilvl w:val="0"/>
          <w:numId w:val="15"/>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технологические кластеры - совокупность предприятий, расположенных на одной ограниченной территории (на крупном предприятии или в пределах одного города) и более или менее тесно связанных в производстве;</w:t>
      </w:r>
    </w:p>
    <w:p w:rsidR="00CB3272" w:rsidRPr="00A26D6E" w:rsidRDefault="00CB3272" w:rsidP="00CB3272">
      <w:pPr>
        <w:numPr>
          <w:ilvl w:val="0"/>
          <w:numId w:val="15"/>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технико-внедренческие зоны - специализированные территориальные образования, в которых допускается только техниковнедренческая деятельность (создание научно-технической продукции, доведение ее до этапа промышленного производства и реализации, программного обеспечения и электронно-вычислительных систем, их обслуживание и совершенствование);</w:t>
      </w:r>
    </w:p>
    <w:p w:rsidR="00CB3272" w:rsidRPr="00A26D6E" w:rsidRDefault="00CB3272" w:rsidP="00CB3272">
      <w:pPr>
        <w:numPr>
          <w:ilvl w:val="0"/>
          <w:numId w:val="15"/>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центры коллективного пользования производственным оборудованием.</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bCs/>
          <w:sz w:val="24"/>
          <w:szCs w:val="24"/>
        </w:rPr>
        <w:t>Консалтинговая инфраструктура </w:t>
      </w:r>
      <w:r w:rsidRPr="00A26D6E">
        <w:rPr>
          <w:rFonts w:ascii="Times New Roman" w:eastAsia="Times New Roman" w:hAnsi="Times New Roman" w:cs="Times New Roman"/>
          <w:sz w:val="24"/>
          <w:szCs w:val="24"/>
        </w:rPr>
        <w:t>включает консалтинговые организации. Инновационная деятельность имеет много специфических особенностей, которые можно изучить только па практике. Поэтому обеспечение доступа к профессиональным консультациям - средство повышения эффективности инновационного развития. Субъекты:</w:t>
      </w:r>
    </w:p>
    <w:p w:rsidR="00CB3272" w:rsidRPr="00A26D6E" w:rsidRDefault="00CB3272" w:rsidP="00CB3272">
      <w:pPr>
        <w:numPr>
          <w:ilvl w:val="0"/>
          <w:numId w:val="16"/>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центры (офисы) трансфера технологий (организации, дающие оценку перспектив внедрения той или иной инновации);</w:t>
      </w:r>
    </w:p>
    <w:p w:rsidR="00CB3272" w:rsidRPr="00A26D6E" w:rsidRDefault="00CB3272" w:rsidP="00CB3272">
      <w:pPr>
        <w:numPr>
          <w:ilvl w:val="0"/>
          <w:numId w:val="16"/>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специализированные учебные заведения;</w:t>
      </w:r>
    </w:p>
    <w:p w:rsidR="00CB3272" w:rsidRPr="00A26D6E" w:rsidRDefault="00CB3272" w:rsidP="00CB3272">
      <w:pPr>
        <w:numPr>
          <w:ilvl w:val="0"/>
          <w:numId w:val="16"/>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юридические консалтинговые компании;</w:t>
      </w:r>
    </w:p>
    <w:p w:rsidR="00CB3272" w:rsidRPr="00A26D6E" w:rsidRDefault="00CB3272" w:rsidP="00CB3272">
      <w:pPr>
        <w:numPr>
          <w:ilvl w:val="0"/>
          <w:numId w:val="16"/>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профильные органы государственного управления;</w:t>
      </w:r>
    </w:p>
    <w:p w:rsidR="00CB3272" w:rsidRPr="00A26D6E" w:rsidRDefault="00CB3272" w:rsidP="00CB3272">
      <w:pPr>
        <w:numPr>
          <w:ilvl w:val="0"/>
          <w:numId w:val="16"/>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бюджетные и внебюджетные национальные, зарубежные и совместные фонды.</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bCs/>
          <w:sz w:val="24"/>
          <w:szCs w:val="24"/>
        </w:rPr>
        <w:lastRenderedPageBreak/>
        <w:t>Инфраструктура подготовки кадров </w:t>
      </w:r>
      <w:r w:rsidRPr="00A26D6E">
        <w:rPr>
          <w:rFonts w:ascii="Times New Roman" w:eastAsia="Times New Roman" w:hAnsi="Times New Roman" w:cs="Times New Roman"/>
          <w:sz w:val="24"/>
          <w:szCs w:val="24"/>
        </w:rPr>
        <w:t>осуществляет развитие системы подготовки кадров по всем направлениям, обеспечивающим инновационную деятельность - научные исследования, опытноконструкторские работы, управление производством, защиту прав собственности, реализационную деятельность. Субъекты:</w:t>
      </w:r>
    </w:p>
    <w:p w:rsidR="00CB3272" w:rsidRPr="00A26D6E" w:rsidRDefault="00CB3272" w:rsidP="00CB3272">
      <w:pPr>
        <w:numPr>
          <w:ilvl w:val="0"/>
          <w:numId w:val="17"/>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высшие учебные заведения;</w:t>
      </w:r>
    </w:p>
    <w:p w:rsidR="00CB3272" w:rsidRPr="00A26D6E" w:rsidRDefault="00CB3272" w:rsidP="00CB3272">
      <w:pPr>
        <w:numPr>
          <w:ilvl w:val="0"/>
          <w:numId w:val="17"/>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специализированные организации по обучению в сфере инновационной деятельности;</w:t>
      </w:r>
    </w:p>
    <w:p w:rsidR="00CB3272" w:rsidRPr="00A26D6E" w:rsidRDefault="00CB3272" w:rsidP="00CB3272">
      <w:pPr>
        <w:numPr>
          <w:ilvl w:val="0"/>
          <w:numId w:val="17"/>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профильные органы государственного управления в сфере своих полномочий и компетенции;</w:t>
      </w:r>
    </w:p>
    <w:p w:rsidR="00CB3272" w:rsidRPr="00A26D6E" w:rsidRDefault="00CB3272" w:rsidP="00CB3272">
      <w:pPr>
        <w:numPr>
          <w:ilvl w:val="0"/>
          <w:numId w:val="17"/>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научно-исследовательские институты;</w:t>
      </w:r>
    </w:p>
    <w:p w:rsidR="00CB3272" w:rsidRPr="00A26D6E" w:rsidRDefault="00CB3272" w:rsidP="00CB3272">
      <w:pPr>
        <w:numPr>
          <w:ilvl w:val="0"/>
          <w:numId w:val="17"/>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опытно-конструкторские организации;</w:t>
      </w:r>
    </w:p>
    <w:p w:rsidR="00CB3272" w:rsidRPr="00A26D6E" w:rsidRDefault="00CB3272" w:rsidP="00CB3272">
      <w:pPr>
        <w:numPr>
          <w:ilvl w:val="0"/>
          <w:numId w:val="17"/>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маркетинговые компании;</w:t>
      </w:r>
    </w:p>
    <w:p w:rsidR="00CB3272" w:rsidRPr="00A26D6E" w:rsidRDefault="00CB3272" w:rsidP="00CB3272">
      <w:pPr>
        <w:numPr>
          <w:ilvl w:val="0"/>
          <w:numId w:val="17"/>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кредитно-финансовые учреждения.</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bCs/>
          <w:sz w:val="24"/>
          <w:szCs w:val="24"/>
        </w:rPr>
        <w:t>Информационная инфраструктура </w:t>
      </w:r>
      <w:r w:rsidRPr="00A26D6E">
        <w:rPr>
          <w:rFonts w:ascii="Times New Roman" w:eastAsia="Times New Roman" w:hAnsi="Times New Roman" w:cs="Times New Roman"/>
          <w:sz w:val="24"/>
          <w:szCs w:val="24"/>
        </w:rPr>
        <w:t>включает достаточно разветвленную сеть организаций, осуществляющую доведение информации в инновационной сфере до всех заинтересованных участников. Субъекты:</w:t>
      </w:r>
    </w:p>
    <w:p w:rsidR="00CB3272" w:rsidRPr="00A26D6E" w:rsidRDefault="00CB3272" w:rsidP="00CB3272">
      <w:pPr>
        <w:numPr>
          <w:ilvl w:val="0"/>
          <w:numId w:val="18"/>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государственные центры научно-технической информации;</w:t>
      </w:r>
    </w:p>
    <w:p w:rsidR="00CB3272" w:rsidRPr="00A26D6E" w:rsidRDefault="00CB3272" w:rsidP="00CB3272">
      <w:pPr>
        <w:numPr>
          <w:ilvl w:val="0"/>
          <w:numId w:val="18"/>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структуры, поддерживающие малый бизнес;</w:t>
      </w:r>
    </w:p>
    <w:p w:rsidR="00CB3272" w:rsidRPr="00A26D6E" w:rsidRDefault="00CB3272" w:rsidP="00CB3272">
      <w:pPr>
        <w:numPr>
          <w:ilvl w:val="0"/>
          <w:numId w:val="18"/>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информационные сети федерального, регионального и местного уровня;</w:t>
      </w:r>
    </w:p>
    <w:p w:rsidR="00CB3272" w:rsidRPr="00A26D6E" w:rsidRDefault="00CB3272" w:rsidP="00CB3272">
      <w:pPr>
        <w:numPr>
          <w:ilvl w:val="0"/>
          <w:numId w:val="18"/>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периодические научно-практические издания;</w:t>
      </w:r>
    </w:p>
    <w:p w:rsidR="00CB3272" w:rsidRPr="00A26D6E" w:rsidRDefault="00CB3272" w:rsidP="00CB3272">
      <w:pPr>
        <w:numPr>
          <w:ilvl w:val="0"/>
          <w:numId w:val="18"/>
        </w:numPr>
        <w:tabs>
          <w:tab w:val="clear" w:pos="720"/>
          <w:tab w:val="num" w:pos="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государственные и частные интернет-ресурсы инновационной направленности.</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bCs/>
          <w:sz w:val="24"/>
          <w:szCs w:val="24"/>
        </w:rPr>
        <w:t>Финансовая инфраструктура </w:t>
      </w:r>
      <w:r w:rsidRPr="00A26D6E">
        <w:rPr>
          <w:rFonts w:ascii="Times New Roman" w:eastAsia="Times New Roman" w:hAnsi="Times New Roman" w:cs="Times New Roman"/>
          <w:sz w:val="24"/>
          <w:szCs w:val="24"/>
        </w:rPr>
        <w:t>обеспечивает доступ инновационных предприятий (как крупных, так и малых) к финансовым ресурсам. Субъекты:</w:t>
      </w:r>
    </w:p>
    <w:p w:rsidR="00CB3272" w:rsidRPr="00A26D6E" w:rsidRDefault="00CB3272" w:rsidP="00CB3272">
      <w:pPr>
        <w:numPr>
          <w:ilvl w:val="0"/>
          <w:numId w:val="19"/>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предприятия-участники инновационной деятельности;</w:t>
      </w:r>
    </w:p>
    <w:p w:rsidR="00CB3272" w:rsidRPr="00A26D6E" w:rsidRDefault="00CB3272" w:rsidP="00CB3272">
      <w:pPr>
        <w:numPr>
          <w:ilvl w:val="0"/>
          <w:numId w:val="19"/>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государственные и негосударственные фонды финансирования;</w:t>
      </w:r>
    </w:p>
    <w:p w:rsidR="00CB3272" w:rsidRPr="00A26D6E" w:rsidRDefault="00CB3272" w:rsidP="00CB3272">
      <w:pPr>
        <w:numPr>
          <w:ilvl w:val="0"/>
          <w:numId w:val="19"/>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венчурные фонды (коммерческие финансовые организации, аккумулирующие на своих счетах финансовые средства и инвестирующие их в наиболее интересные инвестиционные проекты с целью получения прибыли);</w:t>
      </w:r>
    </w:p>
    <w:p w:rsidR="00CB3272" w:rsidRPr="00A26D6E" w:rsidRDefault="00CB3272" w:rsidP="00CB3272">
      <w:pPr>
        <w:numPr>
          <w:ilvl w:val="0"/>
          <w:numId w:val="19"/>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бизнес-ангелы (частные инвесторы и их объединения, вкладывающие средства в рискованные проекты);</w:t>
      </w:r>
    </w:p>
    <w:p w:rsidR="00CB3272" w:rsidRPr="00A26D6E" w:rsidRDefault="00CB3272" w:rsidP="00CB3272">
      <w:pPr>
        <w:numPr>
          <w:ilvl w:val="0"/>
          <w:numId w:val="19"/>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международные проекты (ориентированные на решение конкретной проблемы/создание конкретного товара международные союзы специалистов и капиталов).</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b/>
          <w:bCs/>
          <w:sz w:val="24"/>
          <w:szCs w:val="24"/>
        </w:rPr>
        <w:t>Сбытовая инфраструктура </w:t>
      </w:r>
      <w:r w:rsidRPr="00A26D6E">
        <w:rPr>
          <w:rFonts w:ascii="Times New Roman" w:eastAsia="Times New Roman" w:hAnsi="Times New Roman" w:cs="Times New Roman"/>
          <w:sz w:val="24"/>
          <w:szCs w:val="24"/>
        </w:rPr>
        <w:t>ответственна за распространение информации о предлагаемых разработчиками возможностях и продвижение инновационной продукции на рынки, в том числе мировые. Решение проблемы можно искать в создании структур коллективного выхода на рынки. Субъекты:</w:t>
      </w:r>
    </w:p>
    <w:p w:rsidR="00CB3272" w:rsidRPr="00A26D6E" w:rsidRDefault="00CB3272" w:rsidP="00CB3272">
      <w:pPr>
        <w:numPr>
          <w:ilvl w:val="0"/>
          <w:numId w:val="20"/>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внешнеторговые объединения, в том числе отраслевые;</w:t>
      </w:r>
    </w:p>
    <w:p w:rsidR="00CB3272" w:rsidRPr="00A26D6E" w:rsidRDefault="00CB3272" w:rsidP="00CB3272">
      <w:pPr>
        <w:numPr>
          <w:ilvl w:val="0"/>
          <w:numId w:val="20"/>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торгово-промышленные палаты;</w:t>
      </w:r>
    </w:p>
    <w:p w:rsidR="00CB3272" w:rsidRPr="00A26D6E" w:rsidRDefault="00CB3272" w:rsidP="00CB3272">
      <w:pPr>
        <w:numPr>
          <w:ilvl w:val="0"/>
          <w:numId w:val="20"/>
        </w:numPr>
        <w:tabs>
          <w:tab w:val="clear" w:pos="720"/>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специализированные посредники.</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Как известно, управление инновационным процессом требует социальных механизмов. Главным образом это связанно с неопределенностью, характерной для инновационной деятельности. Всегда есть риск, что цена разработанных инновационных решений окажется выше или новая продукция потерпит поражение на рынке. Неэффективность инвестиций тесно связана с возможностью коммерческого успеха. С помощью создания специальной программы, которая поддерживает инновационный процесс, эту проблему можно разрешить. Инновационная инфраструктура – это организационная, финансовокредитная, материальная и информационная база для создания условий, которые могут способствовать:</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1) оказанию услуг для развития инновационной деятельности;</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2) эффективному распределению средств.</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От уровня экономического развития страны зависит создание инновационной структуры. Если этот уровень достаточно велик, то мы можем наблюдать такой процесс, как софтизация и сервизация.</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lastRenderedPageBreak/>
        <w:t>Софтизация – повышение роли нематериальных и невещественных факторов производства, информатизация общества.</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Сервизация – тесно переплетается с понятием софтизации и означает опережающее развитие сферы услуг.</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Инновационная инфраструктура в трансформирующемся обществе может помогать вхождению науки в рыночную среду и развитию предпринимательства в научно технической сфере. Именно по этой причине ее формирование определяется состоянием инфраструктуры рынка [4].</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Инновационная инфраструктура распределяет риск по следующим направлениям:</w:t>
      </w:r>
    </w:p>
    <w:p w:rsidR="00CB3272" w:rsidRPr="00A26D6E" w:rsidRDefault="00CB3272" w:rsidP="00CB3272">
      <w:pPr>
        <w:pStyle w:val="ListParagraph"/>
        <w:numPr>
          <w:ilvl w:val="0"/>
          <w:numId w:val="12"/>
        </w:numPr>
        <w:tabs>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по фазам инновационного процесса;</w:t>
      </w:r>
    </w:p>
    <w:p w:rsidR="00CB3272" w:rsidRPr="00A26D6E" w:rsidRDefault="00CB3272" w:rsidP="00CB3272">
      <w:pPr>
        <w:pStyle w:val="ListParagraph"/>
        <w:numPr>
          <w:ilvl w:val="0"/>
          <w:numId w:val="12"/>
        </w:numPr>
        <w:tabs>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между участниками венчура;</w:t>
      </w:r>
    </w:p>
    <w:p w:rsidR="00CB3272" w:rsidRPr="00A26D6E" w:rsidRDefault="00CB3272" w:rsidP="00CB3272">
      <w:pPr>
        <w:pStyle w:val="ListParagraph"/>
        <w:numPr>
          <w:ilvl w:val="0"/>
          <w:numId w:val="12"/>
        </w:numPr>
        <w:tabs>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снижает риск инвестирования в определенном регионе;</w:t>
      </w:r>
    </w:p>
    <w:p w:rsidR="00CB3272" w:rsidRPr="00A26D6E" w:rsidRDefault="00CB3272" w:rsidP="00D46A1D">
      <w:pPr>
        <w:pStyle w:val="ListParagraph"/>
        <w:numPr>
          <w:ilvl w:val="0"/>
          <w:numId w:val="12"/>
        </w:numPr>
        <w:tabs>
          <w:tab w:val="left" w:pos="851"/>
        </w:tabs>
        <w:spacing w:after="0" w:line="240" w:lineRule="auto"/>
        <w:ind w:left="0"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между государством и институциональными инвесторами.</w:t>
      </w:r>
    </w:p>
    <w:p w:rsidR="00CB3272" w:rsidRPr="00A26D6E" w:rsidRDefault="00CB3272" w:rsidP="00CB3272">
      <w:pPr>
        <w:pStyle w:val="NormalWeb"/>
        <w:tabs>
          <w:tab w:val="left" w:pos="851"/>
          <w:tab w:val="left" w:pos="993"/>
        </w:tabs>
        <w:spacing w:before="0" w:beforeAutospacing="0" w:after="0" w:afterAutospacing="0"/>
        <w:ind w:firstLine="567"/>
        <w:jc w:val="both"/>
      </w:pPr>
      <w:r w:rsidRPr="00A26D6E">
        <w:t>Учитывая нынешнее состояние развития экономики Республики Армения предлагаются следующие подходы по активизации инновационной деятельности:</w:t>
      </w:r>
    </w:p>
    <w:p w:rsidR="00CB3272" w:rsidRPr="00A26D6E" w:rsidRDefault="00CB3272" w:rsidP="00CB3272">
      <w:pPr>
        <w:pStyle w:val="NormalWeb"/>
        <w:numPr>
          <w:ilvl w:val="0"/>
          <w:numId w:val="11"/>
        </w:numPr>
        <w:tabs>
          <w:tab w:val="left" w:pos="0"/>
          <w:tab w:val="left" w:pos="1134"/>
        </w:tabs>
        <w:spacing w:before="0" w:beforeAutospacing="0" w:after="0" w:afterAutospacing="0"/>
        <w:ind w:left="0" w:firstLine="709"/>
        <w:jc w:val="both"/>
      </w:pPr>
      <w:r w:rsidRPr="00A26D6E">
        <w:t>Создание эффективного институционального и правового поля;</w:t>
      </w:r>
    </w:p>
    <w:p w:rsidR="00CB3272" w:rsidRPr="00A26D6E" w:rsidRDefault="00CB3272" w:rsidP="00CB3272">
      <w:pPr>
        <w:pStyle w:val="NormalWeb"/>
        <w:numPr>
          <w:ilvl w:val="0"/>
          <w:numId w:val="11"/>
        </w:numPr>
        <w:tabs>
          <w:tab w:val="left" w:pos="0"/>
          <w:tab w:val="left" w:pos="1134"/>
        </w:tabs>
        <w:spacing w:before="0" w:beforeAutospacing="0" w:after="0" w:afterAutospacing="0"/>
        <w:ind w:left="0" w:firstLine="709"/>
        <w:jc w:val="both"/>
      </w:pPr>
      <w:r w:rsidRPr="00A26D6E">
        <w:t xml:space="preserve">Формирование и поддержка инновационной инфраструктуры; </w:t>
      </w:r>
    </w:p>
    <w:p w:rsidR="00CB3272" w:rsidRPr="00A26D6E" w:rsidRDefault="00CB3272" w:rsidP="00CB3272">
      <w:pPr>
        <w:pStyle w:val="NormalWeb"/>
        <w:numPr>
          <w:ilvl w:val="0"/>
          <w:numId w:val="11"/>
        </w:numPr>
        <w:tabs>
          <w:tab w:val="left" w:pos="0"/>
          <w:tab w:val="left" w:pos="1134"/>
        </w:tabs>
        <w:spacing w:before="0" w:beforeAutospacing="0" w:after="0" w:afterAutospacing="0"/>
        <w:ind w:left="0" w:firstLine="709"/>
        <w:jc w:val="both"/>
      </w:pPr>
      <w:r w:rsidRPr="00A26D6E">
        <w:t>Формирование необходимого спроса на инновационные продукты, в том числе - за счет государственного заказа;</w:t>
      </w:r>
    </w:p>
    <w:p w:rsidR="00CB3272" w:rsidRPr="00A26D6E" w:rsidRDefault="00CB3272" w:rsidP="00CB3272">
      <w:pPr>
        <w:pStyle w:val="NormalWeb"/>
        <w:numPr>
          <w:ilvl w:val="0"/>
          <w:numId w:val="11"/>
        </w:numPr>
        <w:tabs>
          <w:tab w:val="left" w:pos="0"/>
          <w:tab w:val="left" w:pos="1134"/>
        </w:tabs>
        <w:spacing w:before="0" w:beforeAutospacing="0" w:after="0" w:afterAutospacing="0"/>
        <w:ind w:left="0" w:firstLine="709"/>
        <w:jc w:val="both"/>
      </w:pPr>
      <w:r w:rsidRPr="00A26D6E">
        <w:t>Предоставление компаниям инновационной сферы налоговых и таможенных льгот;</w:t>
      </w:r>
    </w:p>
    <w:p w:rsidR="00CB3272" w:rsidRPr="00A26D6E" w:rsidRDefault="00CB3272" w:rsidP="00CB3272">
      <w:pPr>
        <w:pStyle w:val="NormalWeb"/>
        <w:numPr>
          <w:ilvl w:val="0"/>
          <w:numId w:val="11"/>
        </w:numPr>
        <w:tabs>
          <w:tab w:val="left" w:pos="0"/>
          <w:tab w:val="left" w:pos="709"/>
          <w:tab w:val="left" w:pos="1134"/>
        </w:tabs>
        <w:spacing w:before="0" w:beforeAutospacing="0" w:after="0" w:afterAutospacing="0"/>
        <w:ind w:left="0" w:firstLine="709"/>
        <w:jc w:val="both"/>
      </w:pPr>
      <w:r w:rsidRPr="00A26D6E">
        <w:t xml:space="preserve">Государственное содействие созданию и развитию инновационных центров, фондов, технопарков, бизнес-инкубаторов  и т.д.;  </w:t>
      </w:r>
    </w:p>
    <w:p w:rsidR="00CB3272" w:rsidRPr="00A26D6E" w:rsidRDefault="00CB3272" w:rsidP="00CB3272">
      <w:pPr>
        <w:pStyle w:val="NormalWeb"/>
        <w:numPr>
          <w:ilvl w:val="0"/>
          <w:numId w:val="11"/>
        </w:numPr>
        <w:tabs>
          <w:tab w:val="left" w:pos="0"/>
          <w:tab w:val="left" w:pos="709"/>
          <w:tab w:val="left" w:pos="1134"/>
        </w:tabs>
        <w:spacing w:before="0" w:beforeAutospacing="0" w:after="0" w:afterAutospacing="0"/>
        <w:ind w:left="0" w:firstLine="709"/>
        <w:jc w:val="both"/>
      </w:pPr>
      <w:r w:rsidRPr="00A26D6E">
        <w:t>Создание необходимой ресурсной базы для осуществления инновационной деятельности;</w:t>
      </w:r>
    </w:p>
    <w:p w:rsidR="00CB3272" w:rsidRPr="00A26D6E" w:rsidRDefault="00CB3272" w:rsidP="00CB3272">
      <w:pPr>
        <w:pStyle w:val="NormalWeb"/>
        <w:numPr>
          <w:ilvl w:val="0"/>
          <w:numId w:val="11"/>
        </w:numPr>
        <w:tabs>
          <w:tab w:val="left" w:pos="0"/>
          <w:tab w:val="left" w:pos="709"/>
          <w:tab w:val="left" w:pos="1134"/>
        </w:tabs>
        <w:spacing w:before="0" w:beforeAutospacing="0" w:after="0" w:afterAutospacing="0"/>
        <w:ind w:left="0" w:firstLine="709"/>
        <w:jc w:val="both"/>
      </w:pPr>
      <w:r w:rsidRPr="00A26D6E">
        <w:t>Содействие инновационной деятельности компаний малого и среднего бизнеса</w:t>
      </w:r>
      <w:r w:rsidR="00D46A1D" w:rsidRPr="00A26D6E">
        <w:t>.</w:t>
      </w:r>
    </w:p>
    <w:p w:rsidR="00CB3272" w:rsidRPr="00A26D6E" w:rsidRDefault="00CB3272" w:rsidP="00CB3272">
      <w:pPr>
        <w:tabs>
          <w:tab w:val="left" w:pos="851"/>
        </w:tabs>
        <w:spacing w:after="0" w:line="240" w:lineRule="auto"/>
        <w:ind w:firstLine="567"/>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Таким образом, создание инновационных инфраструктур в Республике Армения имеет важное стратегическое значение, поскольку в дальнейшем может позволить выйти на новый уровень развития, создать новые рабочие места, повысить уровень жизни населения и улучшить деловой климат страны.</w:t>
      </w:r>
    </w:p>
    <w:p w:rsidR="00CB3272" w:rsidRPr="00A26D6E" w:rsidRDefault="00CB3272" w:rsidP="00322FD0">
      <w:pPr>
        <w:shd w:val="clear" w:color="auto" w:fill="FFFFFF"/>
        <w:spacing w:after="0" w:line="240" w:lineRule="auto"/>
        <w:jc w:val="center"/>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br/>
      </w:r>
      <w:r w:rsidRPr="00A26D6E">
        <w:rPr>
          <w:rFonts w:ascii="Times New Roman" w:eastAsia="Times New Roman" w:hAnsi="Times New Roman" w:cs="Times New Roman"/>
          <w:b/>
          <w:bCs/>
          <w:sz w:val="24"/>
          <w:szCs w:val="24"/>
        </w:rPr>
        <w:t>Библиографический список</w:t>
      </w:r>
    </w:p>
    <w:p w:rsidR="00CB3272" w:rsidRPr="00A26D6E" w:rsidRDefault="00CB3272" w:rsidP="00805F10">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1. Александрова А.И. Структура управления инновационной деятельностью // Проблемы современной экономики. - 2013. - N 3 (47). - С.62-65</w:t>
      </w:r>
    </w:p>
    <w:p w:rsidR="00CB3272" w:rsidRPr="00A26D6E" w:rsidRDefault="00CB3272" w:rsidP="00805F10">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2. Закон Республики Армения «О государственном содействии инновационной деятельности», 2006.</w:t>
      </w:r>
    </w:p>
    <w:p w:rsidR="00CB3272" w:rsidRPr="00A26D6E" w:rsidRDefault="00CB3272" w:rsidP="00805F10">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 xml:space="preserve">3. Инновационная экономика // Википедия: свободная энциклопедия. - Режим доступа: </w:t>
      </w:r>
      <w:r w:rsidRPr="00A26D6E">
        <w:rPr>
          <w:rFonts w:ascii="Times New Roman" w:eastAsia="Times New Roman" w:hAnsi="Times New Roman" w:cs="Times New Roman"/>
          <w:sz w:val="24"/>
          <w:szCs w:val="24"/>
        </w:rPr>
        <w:fldChar w:fldCharType="begin"/>
      </w:r>
      <w:r w:rsidRPr="00A26D6E">
        <w:rPr>
          <w:rFonts w:ascii="Times New Roman" w:eastAsia="Times New Roman" w:hAnsi="Times New Roman" w:cs="Times New Roman"/>
          <w:sz w:val="24"/>
          <w:szCs w:val="24"/>
        </w:rPr>
        <w:instrText xml:space="preserve"> HYPERLINK "http://ru.wikipcdia.org" </w:instrText>
      </w:r>
      <w:r w:rsidRPr="00A26D6E">
        <w:rPr>
          <w:rFonts w:ascii="Times New Roman" w:eastAsia="Times New Roman" w:hAnsi="Times New Roman" w:cs="Times New Roman"/>
          <w:sz w:val="24"/>
          <w:szCs w:val="24"/>
        </w:rPr>
        <w:fldChar w:fldCharType="separate"/>
      </w:r>
      <w:r w:rsidRPr="00A26D6E">
        <w:rPr>
          <w:rStyle w:val="Hyperlink"/>
          <w:rFonts w:ascii="Times New Roman" w:eastAsia="Times New Roman" w:hAnsi="Times New Roman" w:cs="Times New Roman"/>
          <w:color w:val="auto"/>
          <w:sz w:val="24"/>
          <w:szCs w:val="24"/>
        </w:rPr>
        <w:t>http://ru.wikipcdia.org</w:t>
      </w:r>
      <w:r w:rsidRPr="00A26D6E">
        <w:rPr>
          <w:rFonts w:ascii="Times New Roman" w:eastAsia="Times New Roman" w:hAnsi="Times New Roman" w:cs="Times New Roman"/>
          <w:sz w:val="24"/>
          <w:szCs w:val="24"/>
        </w:rPr>
        <w:fldChar w:fldCharType="end"/>
      </w:r>
    </w:p>
    <w:p w:rsidR="00CB3272" w:rsidRPr="00A26D6E" w:rsidRDefault="00CB3272" w:rsidP="00805F10">
      <w:pPr>
        <w:shd w:val="clear" w:color="auto" w:fill="FFFFFF"/>
        <w:tabs>
          <w:tab w:val="left" w:pos="709"/>
        </w:tabs>
        <w:spacing w:after="0" w:line="240" w:lineRule="auto"/>
        <w:ind w:firstLine="709"/>
        <w:jc w:val="both"/>
        <w:rPr>
          <w:rFonts w:ascii="Times New Roman" w:eastAsia="Times New Roman" w:hAnsi="Times New Roman" w:cs="Times New Roman"/>
          <w:sz w:val="24"/>
          <w:szCs w:val="24"/>
        </w:rPr>
      </w:pPr>
      <w:r w:rsidRPr="00A26D6E">
        <w:rPr>
          <w:rFonts w:ascii="Times New Roman" w:eastAsia="Times New Roman" w:hAnsi="Times New Roman" w:cs="Times New Roman"/>
          <w:sz w:val="24"/>
          <w:szCs w:val="24"/>
        </w:rPr>
        <w:t>4. Палей Т.Ф. Инновационный менеджмент. Изд. 2-ое, перераб. доп. – Казань: Изд-во «Фолиантъ», 2011. – 162 с.</w:t>
      </w:r>
    </w:p>
    <w:p w:rsidR="003571DA" w:rsidRPr="00A26D6E" w:rsidRDefault="00CB3272" w:rsidP="00805F10">
      <w:pPr>
        <w:pStyle w:val="FootnoteText"/>
        <w:tabs>
          <w:tab w:val="left" w:pos="709"/>
        </w:tabs>
        <w:ind w:firstLine="709"/>
        <w:jc w:val="both"/>
        <w:rPr>
          <w:rFonts w:ascii="Times New Roman" w:hAnsi="Times New Roman" w:cs="Times New Roman"/>
          <w:sz w:val="24"/>
          <w:szCs w:val="24"/>
        </w:rPr>
      </w:pPr>
      <w:r w:rsidRPr="00A26D6E">
        <w:rPr>
          <w:rFonts w:ascii="Times New Roman" w:eastAsia="Times New Roman" w:hAnsi="Times New Roman" w:cs="Times New Roman"/>
          <w:sz w:val="24"/>
          <w:szCs w:val="24"/>
        </w:rPr>
        <w:t>5. Шепелев Г.В. Проблемы развития инновационной инфраструктуры // Информационно-справочный портал «Наука и инновации в регионах России». - Режим доступа: http://regions.extech.ru/</w:t>
      </w:r>
      <w:r w:rsidR="003571DA" w:rsidRPr="00A26D6E">
        <w:rPr>
          <w:rFonts w:ascii="Times New Roman" w:hAnsi="Times New Roman" w:cs="Times New Roman"/>
          <w:iCs/>
          <w:sz w:val="24"/>
          <w:szCs w:val="24"/>
        </w:rPr>
        <w:t xml:space="preserve"> </w:t>
      </w:r>
    </w:p>
    <w:p w:rsidR="003571DA" w:rsidRPr="00A26D6E" w:rsidRDefault="003571DA" w:rsidP="00A34DC5">
      <w:pPr>
        <w:suppressAutoHyphens/>
        <w:spacing w:after="0" w:line="240" w:lineRule="auto"/>
        <w:ind w:firstLine="567"/>
        <w:jc w:val="center"/>
        <w:rPr>
          <w:rFonts w:ascii="Times New Roman" w:eastAsia="Calibri" w:hAnsi="Times New Roman" w:cs="Times New Roman"/>
          <w:b/>
          <w:sz w:val="24"/>
          <w:szCs w:val="24"/>
        </w:rPr>
      </w:pPr>
    </w:p>
    <w:p w:rsidR="00A34DC5" w:rsidRPr="00A26D6E" w:rsidRDefault="00A34DC5" w:rsidP="00A34DC5">
      <w:pPr>
        <w:suppressAutoHyphens/>
        <w:spacing w:after="0" w:line="240" w:lineRule="auto"/>
        <w:ind w:firstLine="567"/>
        <w:jc w:val="center"/>
        <w:rPr>
          <w:rFonts w:ascii="Times New Roman" w:eastAsia="Calibri" w:hAnsi="Times New Roman" w:cs="Times New Roman"/>
          <w:b/>
          <w:sz w:val="24"/>
          <w:szCs w:val="24"/>
        </w:rPr>
      </w:pPr>
      <w:r w:rsidRPr="00A26D6E">
        <w:rPr>
          <w:rFonts w:ascii="Times New Roman" w:eastAsia="Calibri" w:hAnsi="Times New Roman" w:cs="Times New Roman"/>
          <w:b/>
          <w:sz w:val="24"/>
          <w:szCs w:val="24"/>
        </w:rPr>
        <w:t>Информация об авторе</w:t>
      </w:r>
    </w:p>
    <w:p w:rsidR="00A34DC5" w:rsidRPr="00A26D6E" w:rsidRDefault="00E70710" w:rsidP="00A34DC5">
      <w:pPr>
        <w:suppressAutoHyphens/>
        <w:spacing w:after="0" w:line="240" w:lineRule="auto"/>
        <w:ind w:firstLine="567"/>
        <w:jc w:val="both"/>
        <w:rPr>
          <w:rFonts w:ascii="Times New Roman" w:eastAsia="Calibri" w:hAnsi="Times New Roman" w:cs="Times New Roman"/>
          <w:sz w:val="24"/>
          <w:szCs w:val="24"/>
          <w:lang w:val="en-US"/>
        </w:rPr>
      </w:pPr>
      <w:r w:rsidRPr="00A26D6E">
        <w:rPr>
          <w:rFonts w:ascii="Times New Roman" w:eastAsia="Calibri" w:hAnsi="Times New Roman" w:cs="Times New Roman"/>
          <w:sz w:val="24"/>
          <w:szCs w:val="24"/>
        </w:rPr>
        <w:t>Захарян</w:t>
      </w:r>
      <w:r w:rsidR="00A34DC5" w:rsidRPr="00A26D6E">
        <w:rPr>
          <w:rFonts w:ascii="Times New Roman" w:eastAsia="Calibri" w:hAnsi="Times New Roman" w:cs="Times New Roman"/>
          <w:sz w:val="24"/>
          <w:szCs w:val="24"/>
        </w:rPr>
        <w:t xml:space="preserve"> </w:t>
      </w:r>
      <w:r w:rsidRPr="00A26D6E">
        <w:rPr>
          <w:rFonts w:ascii="Times New Roman" w:eastAsia="Calibri" w:hAnsi="Times New Roman" w:cs="Times New Roman"/>
          <w:sz w:val="24"/>
          <w:szCs w:val="24"/>
        </w:rPr>
        <w:t>Армине</w:t>
      </w:r>
      <w:r w:rsidR="00A34DC5" w:rsidRPr="00A26D6E">
        <w:rPr>
          <w:rFonts w:ascii="Times New Roman" w:eastAsia="Calibri" w:hAnsi="Times New Roman" w:cs="Times New Roman"/>
          <w:sz w:val="24"/>
          <w:szCs w:val="24"/>
        </w:rPr>
        <w:t xml:space="preserve"> </w:t>
      </w:r>
      <w:r w:rsidRPr="00A26D6E">
        <w:rPr>
          <w:rFonts w:ascii="Times New Roman" w:eastAsia="Calibri" w:hAnsi="Times New Roman" w:cs="Times New Roman"/>
          <w:sz w:val="24"/>
          <w:szCs w:val="24"/>
        </w:rPr>
        <w:t>Григорьевна</w:t>
      </w:r>
      <w:r w:rsidR="00A34DC5" w:rsidRPr="00A26D6E">
        <w:rPr>
          <w:rFonts w:ascii="Times New Roman" w:eastAsia="Calibri" w:hAnsi="Times New Roman" w:cs="Times New Roman"/>
          <w:sz w:val="24"/>
          <w:szCs w:val="24"/>
        </w:rPr>
        <w:t xml:space="preserve"> (</w:t>
      </w:r>
      <w:r w:rsidRPr="00A26D6E">
        <w:rPr>
          <w:rFonts w:ascii="Times New Roman" w:eastAsia="Calibri" w:hAnsi="Times New Roman" w:cs="Times New Roman"/>
          <w:sz w:val="24"/>
          <w:szCs w:val="24"/>
        </w:rPr>
        <w:t>Армения</w:t>
      </w:r>
      <w:r w:rsidR="00A34DC5" w:rsidRPr="00A26D6E">
        <w:rPr>
          <w:rFonts w:ascii="Times New Roman" w:eastAsia="Calibri" w:hAnsi="Times New Roman" w:cs="Times New Roman"/>
          <w:sz w:val="24"/>
          <w:szCs w:val="24"/>
        </w:rPr>
        <w:t xml:space="preserve">, </w:t>
      </w:r>
      <w:r w:rsidRPr="00A26D6E">
        <w:rPr>
          <w:rFonts w:ascii="Times New Roman" w:eastAsia="Calibri" w:hAnsi="Times New Roman" w:cs="Times New Roman"/>
          <w:sz w:val="24"/>
          <w:szCs w:val="24"/>
        </w:rPr>
        <w:t>Ереван</w:t>
      </w:r>
      <w:r w:rsidR="00A34DC5" w:rsidRPr="00A26D6E">
        <w:rPr>
          <w:rFonts w:ascii="Times New Roman" w:eastAsia="Calibri" w:hAnsi="Times New Roman" w:cs="Times New Roman"/>
          <w:sz w:val="24"/>
          <w:szCs w:val="24"/>
        </w:rPr>
        <w:t xml:space="preserve">) – </w:t>
      </w:r>
      <w:r w:rsidR="00C358DB" w:rsidRPr="00A26D6E">
        <w:rPr>
          <w:rFonts w:ascii="Times New Roman" w:eastAsia="Calibri" w:hAnsi="Times New Roman" w:cs="Times New Roman"/>
          <w:sz w:val="24"/>
          <w:szCs w:val="24"/>
        </w:rPr>
        <w:t>кандидат экономических наук</w:t>
      </w:r>
      <w:r w:rsidR="00A34DC5" w:rsidRPr="00A26D6E">
        <w:rPr>
          <w:rFonts w:ascii="Times New Roman" w:eastAsia="Calibri" w:hAnsi="Times New Roman" w:cs="Times New Roman"/>
          <w:sz w:val="24"/>
          <w:szCs w:val="24"/>
        </w:rPr>
        <w:t xml:space="preserve">, </w:t>
      </w:r>
      <w:r w:rsidR="00C358DB" w:rsidRPr="00A26D6E">
        <w:rPr>
          <w:rFonts w:ascii="Times New Roman" w:eastAsia="Calibri" w:hAnsi="Times New Roman" w:cs="Times New Roman"/>
          <w:sz w:val="24"/>
          <w:szCs w:val="24"/>
        </w:rPr>
        <w:t>научный сотрудник</w:t>
      </w:r>
      <w:r w:rsidR="00A34DC5" w:rsidRPr="00A26D6E">
        <w:rPr>
          <w:rFonts w:ascii="Times New Roman" w:eastAsia="Calibri" w:hAnsi="Times New Roman" w:cs="Times New Roman"/>
          <w:sz w:val="24"/>
          <w:szCs w:val="24"/>
        </w:rPr>
        <w:t xml:space="preserve">, </w:t>
      </w:r>
      <w:r w:rsidR="00D21A0F" w:rsidRPr="00A26D6E">
        <w:rPr>
          <w:rFonts w:ascii="Times New Roman" w:hAnsi="Times New Roman" w:cs="Times New Roman"/>
          <w:sz w:val="24"/>
          <w:szCs w:val="24"/>
        </w:rPr>
        <w:t>Институт экономики им. М.Котаняна Национальной академии наук Республики Армения</w:t>
      </w:r>
      <w:r w:rsidR="00D21A0F" w:rsidRPr="00A26D6E">
        <w:rPr>
          <w:rFonts w:ascii="Times New Roman" w:eastAsia="Calibri" w:hAnsi="Times New Roman" w:cs="Times New Roman"/>
          <w:sz w:val="24"/>
          <w:szCs w:val="24"/>
        </w:rPr>
        <w:t xml:space="preserve"> </w:t>
      </w:r>
      <w:r w:rsidR="00A34DC5" w:rsidRPr="00A26D6E">
        <w:rPr>
          <w:rFonts w:ascii="Times New Roman" w:eastAsia="Calibri" w:hAnsi="Times New Roman" w:cs="Times New Roman"/>
          <w:sz w:val="24"/>
          <w:szCs w:val="24"/>
        </w:rPr>
        <w:t>(</w:t>
      </w:r>
      <w:r w:rsidR="00F10C4A" w:rsidRPr="00A26D6E">
        <w:rPr>
          <w:rFonts w:ascii="Times New Roman" w:eastAsia="Calibri" w:hAnsi="Times New Roman" w:cs="Times New Roman"/>
          <w:sz w:val="24"/>
          <w:szCs w:val="24"/>
        </w:rPr>
        <w:t xml:space="preserve">Индекс: </w:t>
      </w:r>
      <w:r w:rsidR="00D3034F" w:rsidRPr="00A26D6E">
        <w:rPr>
          <w:rFonts w:ascii="Times New Roman" w:eastAsia="Calibri" w:hAnsi="Times New Roman" w:cs="Times New Roman"/>
          <w:sz w:val="24"/>
          <w:szCs w:val="24"/>
        </w:rPr>
        <w:t>0015</w:t>
      </w:r>
      <w:r w:rsidR="00F10C4A" w:rsidRPr="00A26D6E">
        <w:rPr>
          <w:rFonts w:ascii="Times New Roman" w:eastAsia="Calibri" w:hAnsi="Times New Roman" w:cs="Times New Roman"/>
          <w:sz w:val="24"/>
          <w:szCs w:val="24"/>
        </w:rPr>
        <w:t xml:space="preserve">, </w:t>
      </w:r>
      <w:r w:rsidR="00D3034F" w:rsidRPr="00A26D6E">
        <w:rPr>
          <w:rFonts w:ascii="Times New Roman" w:eastAsia="Calibri" w:hAnsi="Times New Roman" w:cs="Times New Roman"/>
          <w:sz w:val="24"/>
          <w:szCs w:val="24"/>
        </w:rPr>
        <w:t>Республика Армения,</w:t>
      </w:r>
      <w:r w:rsidR="00F10C4A" w:rsidRPr="00A26D6E">
        <w:rPr>
          <w:rFonts w:ascii="Times New Roman" w:eastAsia="Calibri" w:hAnsi="Times New Roman" w:cs="Times New Roman"/>
          <w:sz w:val="24"/>
          <w:szCs w:val="24"/>
        </w:rPr>
        <w:t xml:space="preserve"> г.Ереван,</w:t>
      </w:r>
      <w:r w:rsidR="00D3034F" w:rsidRPr="00A26D6E">
        <w:rPr>
          <w:rFonts w:ascii="Times New Roman" w:eastAsia="Calibri" w:hAnsi="Times New Roman" w:cs="Times New Roman"/>
          <w:sz w:val="24"/>
          <w:szCs w:val="24"/>
        </w:rPr>
        <w:t xml:space="preserve"> ул. Григора</w:t>
      </w:r>
      <w:r w:rsidR="00D3034F" w:rsidRPr="00A26D6E">
        <w:rPr>
          <w:rFonts w:ascii="Times New Roman" w:eastAsia="Calibri" w:hAnsi="Times New Roman" w:cs="Times New Roman"/>
          <w:sz w:val="24"/>
          <w:szCs w:val="24"/>
          <w:lang w:val="en-US"/>
        </w:rPr>
        <w:t xml:space="preserve"> </w:t>
      </w:r>
      <w:r w:rsidR="00D3034F" w:rsidRPr="00A26D6E">
        <w:rPr>
          <w:rFonts w:ascii="Times New Roman" w:eastAsia="Calibri" w:hAnsi="Times New Roman" w:cs="Times New Roman"/>
          <w:sz w:val="24"/>
          <w:szCs w:val="24"/>
        </w:rPr>
        <w:t>Лусаворича</w:t>
      </w:r>
      <w:r w:rsidR="00D3034F" w:rsidRPr="00A26D6E">
        <w:rPr>
          <w:rFonts w:ascii="Times New Roman" w:eastAsia="Calibri" w:hAnsi="Times New Roman" w:cs="Times New Roman"/>
          <w:sz w:val="24"/>
          <w:szCs w:val="24"/>
          <w:lang w:val="en-US"/>
        </w:rPr>
        <w:t>, 15</w:t>
      </w:r>
      <w:r w:rsidR="00A34DC5" w:rsidRPr="00A26D6E">
        <w:rPr>
          <w:rFonts w:ascii="Times New Roman" w:eastAsia="Calibri" w:hAnsi="Times New Roman" w:cs="Times New Roman"/>
          <w:sz w:val="24"/>
          <w:szCs w:val="24"/>
          <w:lang w:val="en-US"/>
        </w:rPr>
        <w:t>, e-mail</w:t>
      </w:r>
      <w:r w:rsidR="007D66EF" w:rsidRPr="00A26D6E">
        <w:rPr>
          <w:rFonts w:ascii="Times New Roman" w:eastAsia="Calibri" w:hAnsi="Times New Roman" w:cs="Times New Roman"/>
          <w:sz w:val="24"/>
          <w:szCs w:val="24"/>
          <w:lang w:val="en-US"/>
        </w:rPr>
        <w:t xml:space="preserve">: </w:t>
      </w:r>
      <w:r w:rsidR="001A69AF" w:rsidRPr="00A26D6E">
        <w:rPr>
          <w:rFonts w:ascii="Times New Roman" w:hAnsi="Times New Roman" w:cs="Times New Roman"/>
          <w:sz w:val="24"/>
          <w:szCs w:val="24"/>
          <w:shd w:val="clear" w:color="auto" w:fill="FFFFFF"/>
          <w:lang w:val="en-US"/>
        </w:rPr>
        <w:t>azakharian</w:t>
      </w:r>
      <w:r w:rsidR="007D66EF" w:rsidRPr="00A26D6E">
        <w:rPr>
          <w:rFonts w:ascii="Times New Roman" w:hAnsi="Times New Roman" w:cs="Times New Roman"/>
          <w:sz w:val="24"/>
          <w:szCs w:val="24"/>
          <w:shd w:val="clear" w:color="auto" w:fill="FFFFFF"/>
          <w:lang w:val="en-US"/>
        </w:rPr>
        <w:t>@</w:t>
      </w:r>
      <w:r w:rsidR="001A69AF" w:rsidRPr="00A26D6E">
        <w:rPr>
          <w:rFonts w:ascii="Times New Roman" w:hAnsi="Times New Roman" w:cs="Times New Roman"/>
          <w:sz w:val="24"/>
          <w:szCs w:val="24"/>
          <w:shd w:val="clear" w:color="auto" w:fill="FFFFFF"/>
          <w:lang w:val="en-US"/>
        </w:rPr>
        <w:t>inbox.ru</w:t>
      </w:r>
      <w:r w:rsidR="00A34DC5" w:rsidRPr="00A26D6E">
        <w:rPr>
          <w:rFonts w:ascii="Times New Roman" w:eastAsia="Calibri" w:hAnsi="Times New Roman" w:cs="Times New Roman"/>
          <w:sz w:val="24"/>
          <w:szCs w:val="24"/>
          <w:lang w:val="en-US"/>
        </w:rPr>
        <w:t>).</w:t>
      </w:r>
    </w:p>
    <w:p w:rsidR="00A34DC5" w:rsidRPr="00A26D6E" w:rsidRDefault="00A34DC5" w:rsidP="00A34DC5">
      <w:pPr>
        <w:suppressAutoHyphens/>
        <w:spacing w:after="0" w:line="240" w:lineRule="auto"/>
        <w:ind w:firstLine="567"/>
        <w:jc w:val="both"/>
        <w:rPr>
          <w:rFonts w:ascii="Times New Roman" w:eastAsia="Times New Roman" w:hAnsi="Times New Roman" w:cs="Times New Roman"/>
          <w:sz w:val="24"/>
          <w:szCs w:val="24"/>
          <w:lang w:val="en-US"/>
        </w:rPr>
      </w:pPr>
    </w:p>
    <w:p w:rsidR="00A34DC5" w:rsidRPr="00A26D6E" w:rsidRDefault="00E61256" w:rsidP="00FA37B3">
      <w:pPr>
        <w:suppressAutoHyphens/>
        <w:spacing w:after="0" w:line="360" w:lineRule="auto"/>
        <w:jc w:val="right"/>
        <w:rPr>
          <w:rFonts w:ascii="Times New Roman" w:eastAsia="Calibri" w:hAnsi="Times New Roman" w:cs="Times New Roman"/>
          <w:b/>
          <w:sz w:val="24"/>
          <w:szCs w:val="24"/>
          <w:lang w:val="en-US"/>
        </w:rPr>
      </w:pPr>
      <w:proofErr w:type="spellStart"/>
      <w:r w:rsidRPr="00A26D6E">
        <w:rPr>
          <w:rFonts w:ascii="Times New Roman" w:eastAsia="Calibri" w:hAnsi="Times New Roman" w:cs="Times New Roman"/>
          <w:b/>
          <w:sz w:val="24"/>
          <w:szCs w:val="24"/>
          <w:lang w:val="en-US"/>
        </w:rPr>
        <w:t>Zakharyan</w:t>
      </w:r>
      <w:proofErr w:type="spellEnd"/>
      <w:r w:rsidRPr="00A26D6E">
        <w:rPr>
          <w:rFonts w:ascii="Times New Roman" w:eastAsia="Calibri" w:hAnsi="Times New Roman" w:cs="Times New Roman"/>
          <w:b/>
          <w:sz w:val="24"/>
          <w:szCs w:val="24"/>
          <w:lang w:val="en-US"/>
        </w:rPr>
        <w:t xml:space="preserve"> </w:t>
      </w:r>
      <w:proofErr w:type="spellStart"/>
      <w:r w:rsidRPr="00A26D6E">
        <w:rPr>
          <w:rFonts w:ascii="Times New Roman" w:eastAsia="Calibri" w:hAnsi="Times New Roman" w:cs="Times New Roman"/>
          <w:b/>
          <w:sz w:val="24"/>
          <w:szCs w:val="24"/>
          <w:lang w:val="en-US"/>
        </w:rPr>
        <w:t>Armine</w:t>
      </w:r>
      <w:proofErr w:type="spellEnd"/>
      <w:r w:rsidRPr="00A26D6E">
        <w:rPr>
          <w:rFonts w:ascii="Times New Roman" w:eastAsia="Calibri" w:hAnsi="Times New Roman" w:cs="Times New Roman"/>
          <w:b/>
          <w:sz w:val="24"/>
          <w:szCs w:val="24"/>
          <w:lang w:val="en-US"/>
        </w:rPr>
        <w:t xml:space="preserve"> </w:t>
      </w:r>
      <w:proofErr w:type="spellStart"/>
      <w:r w:rsidRPr="00A26D6E">
        <w:rPr>
          <w:rFonts w:ascii="Times New Roman" w:eastAsia="Calibri" w:hAnsi="Times New Roman" w:cs="Times New Roman"/>
          <w:b/>
          <w:sz w:val="24"/>
          <w:szCs w:val="24"/>
          <w:lang w:val="en-US"/>
        </w:rPr>
        <w:t>Grigorevna</w:t>
      </w:r>
      <w:proofErr w:type="spellEnd"/>
      <w:r w:rsidR="00A34DC5" w:rsidRPr="00A26D6E">
        <w:rPr>
          <w:rFonts w:ascii="Times New Roman" w:eastAsia="Calibri" w:hAnsi="Times New Roman" w:cs="Times New Roman"/>
          <w:b/>
          <w:sz w:val="24"/>
          <w:szCs w:val="24"/>
          <w:lang w:val="en-US"/>
        </w:rPr>
        <w:t xml:space="preserve"> </w:t>
      </w:r>
    </w:p>
    <w:p w:rsidR="00A34DC5" w:rsidRPr="00A26D6E" w:rsidRDefault="008E388A" w:rsidP="00FA37B3">
      <w:pPr>
        <w:suppressAutoHyphens/>
        <w:spacing w:after="0" w:line="360" w:lineRule="auto"/>
        <w:jc w:val="center"/>
        <w:rPr>
          <w:rFonts w:ascii="Times New Roman" w:eastAsia="Calibri" w:hAnsi="Times New Roman" w:cs="Times New Roman"/>
          <w:b/>
          <w:sz w:val="24"/>
          <w:szCs w:val="24"/>
          <w:lang w:val="en-US"/>
        </w:rPr>
      </w:pPr>
      <w:r w:rsidRPr="00A26D6E">
        <w:rPr>
          <w:rFonts w:ascii="Times New Roman" w:eastAsia="Calibri" w:hAnsi="Times New Roman" w:cs="Times New Roman"/>
          <w:b/>
          <w:sz w:val="24"/>
          <w:szCs w:val="24"/>
          <w:lang w:val="en-US"/>
        </w:rPr>
        <w:lastRenderedPageBreak/>
        <w:t>CREATION OF INNOVATIVE INFRASTRUCTURES AS A FACTOR OF THE ECONOMY DEVELOPMENT OF THE REPUBLIC OF ARMENIA</w:t>
      </w:r>
    </w:p>
    <w:p w:rsidR="00A34DC5" w:rsidRPr="00A26D6E" w:rsidRDefault="00A34DC5" w:rsidP="00A34DC5">
      <w:pPr>
        <w:suppressAutoHyphens/>
        <w:spacing w:after="0" w:line="240" w:lineRule="auto"/>
        <w:ind w:firstLine="567"/>
        <w:jc w:val="both"/>
        <w:rPr>
          <w:rFonts w:ascii="Times New Roman" w:eastAsia="Times New Roman" w:hAnsi="Times New Roman" w:cs="Times New Roman"/>
          <w:sz w:val="24"/>
          <w:szCs w:val="24"/>
          <w:lang w:val="en-US"/>
        </w:rPr>
      </w:pPr>
    </w:p>
    <w:p w:rsidR="00CB507A" w:rsidRPr="00A26D6E" w:rsidRDefault="00CB507A" w:rsidP="00CB507A">
      <w:pPr>
        <w:jc w:val="center"/>
        <w:rPr>
          <w:rFonts w:ascii="Times New Roman" w:hAnsi="Times New Roman" w:cs="Times New Roman"/>
          <w:b/>
          <w:sz w:val="24"/>
          <w:szCs w:val="24"/>
          <w:lang w:val="en-US"/>
        </w:rPr>
      </w:pPr>
      <w:r w:rsidRPr="00A26D6E">
        <w:rPr>
          <w:rFonts w:ascii="Times New Roman" w:hAnsi="Times New Roman" w:cs="Times New Roman"/>
          <w:b/>
          <w:sz w:val="24"/>
          <w:szCs w:val="24"/>
          <w:lang w:val="en-US"/>
        </w:rPr>
        <w:t>Abstract</w:t>
      </w:r>
    </w:p>
    <w:p w:rsidR="0078611D" w:rsidRPr="00A26D6E" w:rsidRDefault="0078611D" w:rsidP="0078611D">
      <w:pPr>
        <w:shd w:val="clear" w:color="auto" w:fill="FFFFFF"/>
        <w:tabs>
          <w:tab w:val="left" w:pos="851"/>
        </w:tabs>
        <w:spacing w:after="0" w:line="360" w:lineRule="auto"/>
        <w:ind w:firstLine="709"/>
        <w:jc w:val="both"/>
        <w:rPr>
          <w:rFonts w:ascii="Times New Roman" w:hAnsi="Times New Roman" w:cs="Times New Roman"/>
          <w:sz w:val="24"/>
          <w:szCs w:val="24"/>
          <w:lang w:val="en-US"/>
        </w:rPr>
      </w:pPr>
      <w:r w:rsidRPr="00A26D6E">
        <w:rPr>
          <w:rFonts w:ascii="Times New Roman" w:hAnsi="Times New Roman" w:cs="Times New Roman"/>
          <w:sz w:val="24"/>
          <w:szCs w:val="24"/>
          <w:lang w:val="en-US"/>
        </w:rPr>
        <w:t>The article is devoted to the study of methods and mechanisms for creating innovative infrastructures in the Republic of Armenia, as well as the factors, that determine the effective use of these methods and mechanisms. The article presents certain mechanisms for the development of the economy of the Republic of Armenia by increasing the efficiency of innovative activities.</w:t>
      </w:r>
    </w:p>
    <w:p w:rsidR="0078611D" w:rsidRPr="00A26D6E" w:rsidRDefault="0078611D" w:rsidP="0078611D">
      <w:pPr>
        <w:spacing w:after="0" w:line="360" w:lineRule="auto"/>
        <w:ind w:firstLine="709"/>
        <w:jc w:val="both"/>
        <w:rPr>
          <w:rFonts w:ascii="Times New Roman" w:hAnsi="Times New Roman" w:cs="Times New Roman"/>
          <w:sz w:val="24"/>
          <w:szCs w:val="24"/>
          <w:lang w:val="en-US"/>
        </w:rPr>
      </w:pPr>
      <w:r w:rsidRPr="00A26D6E">
        <w:rPr>
          <w:rFonts w:ascii="Times New Roman" w:hAnsi="Times New Roman" w:cs="Times New Roman"/>
          <w:b/>
          <w:sz w:val="24"/>
          <w:szCs w:val="24"/>
          <w:lang w:val="en-US"/>
        </w:rPr>
        <w:t>Key words:</w:t>
      </w:r>
      <w:r w:rsidRPr="00A26D6E">
        <w:rPr>
          <w:rFonts w:ascii="Times New Roman" w:hAnsi="Times New Roman" w:cs="Times New Roman"/>
          <w:sz w:val="24"/>
          <w:szCs w:val="24"/>
          <w:lang w:val="en-US"/>
        </w:rPr>
        <w:t xml:space="preserve"> economics, innovative activity, financing, management, development, efficiency.</w:t>
      </w:r>
    </w:p>
    <w:p w:rsidR="00A34DC5" w:rsidRPr="00A26D6E" w:rsidRDefault="00A34DC5" w:rsidP="0078611D">
      <w:pPr>
        <w:suppressAutoHyphens/>
        <w:spacing w:after="0" w:line="360" w:lineRule="auto"/>
        <w:jc w:val="both"/>
        <w:rPr>
          <w:rFonts w:ascii="Times New Roman" w:eastAsia="Times New Roman" w:hAnsi="Times New Roman" w:cs="Times New Roman"/>
          <w:i/>
          <w:sz w:val="24"/>
          <w:szCs w:val="24"/>
          <w:lang w:val="en-US"/>
        </w:rPr>
      </w:pPr>
    </w:p>
    <w:p w:rsidR="00A34DC5" w:rsidRPr="00A26D6E" w:rsidRDefault="0071057D" w:rsidP="00A34DC5">
      <w:pPr>
        <w:suppressAutoHyphens/>
        <w:spacing w:after="0" w:line="240" w:lineRule="auto"/>
        <w:jc w:val="center"/>
        <w:rPr>
          <w:rFonts w:ascii="Times New Roman" w:eastAsia="Times New Roman" w:hAnsi="Times New Roman" w:cs="Times New Roman"/>
          <w:b/>
          <w:sz w:val="24"/>
          <w:szCs w:val="24"/>
          <w:lang w:val="en-US"/>
        </w:rPr>
      </w:pPr>
      <w:r w:rsidRPr="00A26D6E">
        <w:rPr>
          <w:rFonts w:ascii="Times New Roman" w:eastAsia="Times New Roman" w:hAnsi="Times New Roman" w:cs="Times New Roman"/>
          <w:b/>
          <w:sz w:val="24"/>
          <w:szCs w:val="24"/>
          <w:lang w:val="en-US"/>
        </w:rPr>
        <w:t>Bibliography</w:t>
      </w:r>
    </w:p>
    <w:p w:rsidR="0071057D" w:rsidRPr="00A26D6E" w:rsidRDefault="0071057D" w:rsidP="0071057D">
      <w:pPr>
        <w:suppressAutoHyphens/>
        <w:spacing w:after="0" w:line="240" w:lineRule="auto"/>
        <w:ind w:firstLine="567"/>
        <w:jc w:val="both"/>
        <w:rPr>
          <w:rFonts w:ascii="Times New Roman" w:eastAsia="Times New Roman" w:hAnsi="Times New Roman" w:cs="Times New Roman"/>
          <w:sz w:val="24"/>
          <w:szCs w:val="24"/>
          <w:lang w:val="en-US"/>
        </w:rPr>
      </w:pPr>
    </w:p>
    <w:p w:rsidR="008E388A" w:rsidRPr="00A26D6E" w:rsidRDefault="008E388A" w:rsidP="008E388A">
      <w:pPr>
        <w:suppressAutoHyphens/>
        <w:spacing w:after="0" w:line="360" w:lineRule="auto"/>
        <w:ind w:firstLine="567"/>
        <w:jc w:val="both"/>
        <w:rPr>
          <w:rFonts w:ascii="Times New Roman" w:eastAsia="Times New Roman" w:hAnsi="Times New Roman" w:cs="Times New Roman"/>
          <w:sz w:val="24"/>
          <w:szCs w:val="24"/>
          <w:lang w:val="en-US"/>
        </w:rPr>
      </w:pPr>
      <w:r w:rsidRPr="00A26D6E">
        <w:rPr>
          <w:rFonts w:ascii="Times New Roman" w:eastAsia="Times New Roman" w:hAnsi="Times New Roman" w:cs="Times New Roman"/>
          <w:sz w:val="24"/>
          <w:szCs w:val="24"/>
          <w:lang w:val="en-US"/>
        </w:rPr>
        <w:t xml:space="preserve">1. </w:t>
      </w:r>
      <w:proofErr w:type="spellStart"/>
      <w:r w:rsidRPr="00A26D6E">
        <w:rPr>
          <w:rFonts w:ascii="Times New Roman" w:eastAsia="Times New Roman" w:hAnsi="Times New Roman" w:cs="Times New Roman"/>
          <w:sz w:val="24"/>
          <w:szCs w:val="24"/>
          <w:lang w:val="en-US"/>
        </w:rPr>
        <w:t>Alexandrova</w:t>
      </w:r>
      <w:proofErr w:type="spellEnd"/>
      <w:r w:rsidRPr="00A26D6E">
        <w:rPr>
          <w:rFonts w:ascii="Times New Roman" w:eastAsia="Times New Roman" w:hAnsi="Times New Roman" w:cs="Times New Roman"/>
          <w:sz w:val="24"/>
          <w:szCs w:val="24"/>
          <w:lang w:val="en-US"/>
        </w:rPr>
        <w:t xml:space="preserve"> A.I. The structure of innovation management // Problems of modern economics. - 2013. - N 3 (47). - S.62-65</w:t>
      </w:r>
    </w:p>
    <w:p w:rsidR="008E388A" w:rsidRPr="00A26D6E" w:rsidRDefault="008E388A" w:rsidP="008E388A">
      <w:pPr>
        <w:suppressAutoHyphens/>
        <w:spacing w:after="0" w:line="360" w:lineRule="auto"/>
        <w:ind w:firstLine="567"/>
        <w:jc w:val="both"/>
        <w:rPr>
          <w:rFonts w:ascii="Times New Roman" w:eastAsia="Times New Roman" w:hAnsi="Times New Roman" w:cs="Times New Roman"/>
          <w:sz w:val="24"/>
          <w:szCs w:val="24"/>
          <w:lang w:val="en-US"/>
        </w:rPr>
      </w:pPr>
      <w:r w:rsidRPr="00A26D6E">
        <w:rPr>
          <w:rFonts w:ascii="Times New Roman" w:eastAsia="Times New Roman" w:hAnsi="Times New Roman" w:cs="Times New Roman"/>
          <w:sz w:val="24"/>
          <w:szCs w:val="24"/>
          <w:lang w:val="en-US"/>
        </w:rPr>
        <w:t>2. Law of the Republic of Armenia “On State Assistance to Innovative Activity”, 2006.</w:t>
      </w:r>
    </w:p>
    <w:p w:rsidR="008E388A" w:rsidRPr="00A26D6E" w:rsidRDefault="008E388A" w:rsidP="008E388A">
      <w:pPr>
        <w:suppressAutoHyphens/>
        <w:spacing w:after="0" w:line="360" w:lineRule="auto"/>
        <w:ind w:firstLine="567"/>
        <w:jc w:val="both"/>
        <w:rPr>
          <w:rFonts w:ascii="Times New Roman" w:eastAsia="Times New Roman" w:hAnsi="Times New Roman" w:cs="Times New Roman"/>
          <w:sz w:val="24"/>
          <w:szCs w:val="24"/>
          <w:lang w:val="en-US"/>
        </w:rPr>
      </w:pPr>
      <w:r w:rsidRPr="00A26D6E">
        <w:rPr>
          <w:rFonts w:ascii="Times New Roman" w:eastAsia="Times New Roman" w:hAnsi="Times New Roman" w:cs="Times New Roman"/>
          <w:sz w:val="24"/>
          <w:szCs w:val="24"/>
          <w:lang w:val="en-US"/>
        </w:rPr>
        <w:t>3. Innovative economy // Wikipedia: the free encyclopedia. - Access mode: http://ru.wikipcdia.org</w:t>
      </w:r>
    </w:p>
    <w:p w:rsidR="008E388A" w:rsidRPr="00A26D6E" w:rsidRDefault="008E388A" w:rsidP="008E388A">
      <w:pPr>
        <w:suppressAutoHyphens/>
        <w:spacing w:after="0" w:line="360" w:lineRule="auto"/>
        <w:ind w:firstLine="567"/>
        <w:jc w:val="both"/>
        <w:rPr>
          <w:rFonts w:ascii="Times New Roman" w:eastAsia="Times New Roman" w:hAnsi="Times New Roman" w:cs="Times New Roman"/>
          <w:sz w:val="24"/>
          <w:szCs w:val="24"/>
          <w:lang w:val="en-US"/>
        </w:rPr>
      </w:pPr>
      <w:r w:rsidRPr="00A26D6E">
        <w:rPr>
          <w:rFonts w:ascii="Times New Roman" w:eastAsia="Times New Roman" w:hAnsi="Times New Roman" w:cs="Times New Roman"/>
          <w:sz w:val="24"/>
          <w:szCs w:val="24"/>
          <w:lang w:val="en-US"/>
        </w:rPr>
        <w:t xml:space="preserve">4. Paley T.F. Innovation management. Ed. 2nd, rev. add. - Kazan: </w:t>
      </w:r>
      <w:proofErr w:type="spellStart"/>
      <w:r w:rsidRPr="00A26D6E">
        <w:rPr>
          <w:rFonts w:ascii="Times New Roman" w:eastAsia="Times New Roman" w:hAnsi="Times New Roman" w:cs="Times New Roman"/>
          <w:sz w:val="24"/>
          <w:szCs w:val="24"/>
          <w:lang w:val="en-US"/>
        </w:rPr>
        <w:t>Foliant</w:t>
      </w:r>
      <w:proofErr w:type="spellEnd"/>
      <w:r w:rsidRPr="00A26D6E">
        <w:rPr>
          <w:rFonts w:ascii="Times New Roman" w:eastAsia="Times New Roman" w:hAnsi="Times New Roman" w:cs="Times New Roman"/>
          <w:sz w:val="24"/>
          <w:szCs w:val="24"/>
          <w:lang w:val="en-US"/>
        </w:rPr>
        <w:t xml:space="preserve"> Publishing House, 2011. - 162 p.</w:t>
      </w:r>
    </w:p>
    <w:p w:rsidR="0071057D" w:rsidRPr="00A26D6E" w:rsidRDefault="008E388A" w:rsidP="008E388A">
      <w:pPr>
        <w:suppressAutoHyphens/>
        <w:spacing w:after="0" w:line="360" w:lineRule="auto"/>
        <w:ind w:firstLine="567"/>
        <w:jc w:val="both"/>
        <w:rPr>
          <w:rFonts w:ascii="Times New Roman" w:eastAsia="Times New Roman" w:hAnsi="Times New Roman" w:cs="Times New Roman"/>
          <w:sz w:val="24"/>
          <w:szCs w:val="24"/>
          <w:lang w:val="en-US"/>
        </w:rPr>
      </w:pPr>
      <w:r w:rsidRPr="00A26D6E">
        <w:rPr>
          <w:rFonts w:ascii="Times New Roman" w:eastAsia="Times New Roman" w:hAnsi="Times New Roman" w:cs="Times New Roman"/>
          <w:sz w:val="24"/>
          <w:szCs w:val="24"/>
          <w:lang w:val="en-US"/>
        </w:rPr>
        <w:t xml:space="preserve">5. </w:t>
      </w:r>
      <w:proofErr w:type="spellStart"/>
      <w:r w:rsidRPr="00A26D6E">
        <w:rPr>
          <w:rFonts w:ascii="Times New Roman" w:eastAsia="Times New Roman" w:hAnsi="Times New Roman" w:cs="Times New Roman"/>
          <w:sz w:val="24"/>
          <w:szCs w:val="24"/>
          <w:lang w:val="en-US"/>
        </w:rPr>
        <w:t>Shepelev</w:t>
      </w:r>
      <w:proofErr w:type="spellEnd"/>
      <w:r w:rsidRPr="00A26D6E">
        <w:rPr>
          <w:rFonts w:ascii="Times New Roman" w:eastAsia="Times New Roman" w:hAnsi="Times New Roman" w:cs="Times New Roman"/>
          <w:sz w:val="24"/>
          <w:szCs w:val="24"/>
          <w:lang w:val="en-US"/>
        </w:rPr>
        <w:t xml:space="preserve"> G.V. Problems of development of innovation infrastructure // Information and reference portal "Science and innovation in the regions of Russia". - Access mode: http://regions.extech.ru/</w:t>
      </w:r>
    </w:p>
    <w:p w:rsidR="00A34DC5" w:rsidRPr="00A26D6E" w:rsidRDefault="00A34DC5" w:rsidP="00A34DC5">
      <w:pPr>
        <w:suppressAutoHyphens/>
        <w:spacing w:after="0" w:line="240" w:lineRule="auto"/>
        <w:ind w:firstLine="567"/>
        <w:jc w:val="both"/>
        <w:rPr>
          <w:rFonts w:ascii="Times New Roman" w:eastAsia="Times New Roman" w:hAnsi="Times New Roman" w:cs="Times New Roman"/>
          <w:sz w:val="24"/>
          <w:szCs w:val="24"/>
          <w:lang w:val="en-US"/>
        </w:rPr>
      </w:pPr>
    </w:p>
    <w:p w:rsidR="002E1F22" w:rsidRPr="00A26D6E" w:rsidRDefault="002E1F22" w:rsidP="002E1F22">
      <w:pPr>
        <w:suppressAutoHyphens/>
        <w:spacing w:after="0" w:line="240" w:lineRule="auto"/>
        <w:jc w:val="center"/>
        <w:rPr>
          <w:rFonts w:ascii="Times New Roman" w:eastAsia="Calibri" w:hAnsi="Times New Roman" w:cs="Times New Roman"/>
          <w:b/>
          <w:sz w:val="24"/>
          <w:szCs w:val="24"/>
          <w:lang w:val="en-US"/>
        </w:rPr>
      </w:pPr>
      <w:r w:rsidRPr="00A26D6E">
        <w:rPr>
          <w:rFonts w:ascii="Times New Roman" w:eastAsia="Calibri" w:hAnsi="Times New Roman" w:cs="Times New Roman"/>
          <w:b/>
          <w:sz w:val="24"/>
          <w:szCs w:val="24"/>
          <w:lang w:val="en-US"/>
        </w:rPr>
        <w:t>Information about the author</w:t>
      </w:r>
    </w:p>
    <w:p w:rsidR="00A34DC5" w:rsidRPr="00A26D6E" w:rsidRDefault="002E1F22" w:rsidP="002E1F22">
      <w:pPr>
        <w:tabs>
          <w:tab w:val="left" w:pos="567"/>
        </w:tabs>
        <w:suppressAutoHyphens/>
        <w:spacing w:after="0" w:line="240" w:lineRule="auto"/>
        <w:ind w:firstLine="567"/>
        <w:jc w:val="both"/>
        <w:rPr>
          <w:rFonts w:ascii="Times New Roman" w:eastAsia="Calibri" w:hAnsi="Times New Roman" w:cs="Times New Roman"/>
          <w:sz w:val="24"/>
          <w:szCs w:val="24"/>
          <w:lang w:val="en-US"/>
        </w:rPr>
      </w:pPr>
      <w:proofErr w:type="spellStart"/>
      <w:r w:rsidRPr="00A26D6E">
        <w:rPr>
          <w:rFonts w:ascii="Times New Roman" w:eastAsia="Calibri" w:hAnsi="Times New Roman" w:cs="Times New Roman"/>
          <w:sz w:val="24"/>
          <w:szCs w:val="24"/>
          <w:lang w:val="en-US"/>
        </w:rPr>
        <w:t>Zakharyan</w:t>
      </w:r>
      <w:proofErr w:type="spellEnd"/>
      <w:r w:rsidRPr="00A26D6E">
        <w:rPr>
          <w:rFonts w:ascii="Times New Roman" w:eastAsia="Calibri" w:hAnsi="Times New Roman" w:cs="Times New Roman"/>
          <w:sz w:val="24"/>
          <w:szCs w:val="24"/>
          <w:lang w:val="en-US"/>
        </w:rPr>
        <w:t xml:space="preserve"> </w:t>
      </w:r>
      <w:proofErr w:type="spellStart"/>
      <w:r w:rsidRPr="00A26D6E">
        <w:rPr>
          <w:rFonts w:ascii="Times New Roman" w:eastAsia="Calibri" w:hAnsi="Times New Roman" w:cs="Times New Roman"/>
          <w:sz w:val="24"/>
          <w:szCs w:val="24"/>
          <w:lang w:val="en-US"/>
        </w:rPr>
        <w:t>Armine</w:t>
      </w:r>
      <w:proofErr w:type="spellEnd"/>
      <w:r w:rsidRPr="00A26D6E">
        <w:rPr>
          <w:rFonts w:ascii="Times New Roman" w:eastAsia="Calibri" w:hAnsi="Times New Roman" w:cs="Times New Roman"/>
          <w:sz w:val="24"/>
          <w:szCs w:val="24"/>
          <w:lang w:val="en-US"/>
        </w:rPr>
        <w:t xml:space="preserve"> </w:t>
      </w:r>
      <w:proofErr w:type="spellStart"/>
      <w:r w:rsidRPr="00A26D6E">
        <w:rPr>
          <w:rFonts w:ascii="Times New Roman" w:eastAsia="Calibri" w:hAnsi="Times New Roman" w:cs="Times New Roman"/>
          <w:sz w:val="24"/>
          <w:szCs w:val="24"/>
          <w:lang w:val="en-US"/>
        </w:rPr>
        <w:t>Grigorevna</w:t>
      </w:r>
      <w:proofErr w:type="spellEnd"/>
      <w:r w:rsidRPr="00A26D6E">
        <w:rPr>
          <w:rFonts w:ascii="Times New Roman" w:eastAsia="Calibri" w:hAnsi="Times New Roman" w:cs="Times New Roman"/>
          <w:sz w:val="24"/>
          <w:szCs w:val="24"/>
          <w:lang w:val="en-US"/>
        </w:rPr>
        <w:t xml:space="preserve"> (Armenia, Yerevan) - PhD in Economics, </w:t>
      </w:r>
      <w:r w:rsidR="006357E9" w:rsidRPr="00A26D6E">
        <w:rPr>
          <w:rFonts w:ascii="Times New Roman" w:eastAsia="Calibri" w:hAnsi="Times New Roman" w:cs="Times New Roman"/>
          <w:sz w:val="24"/>
          <w:szCs w:val="24"/>
          <w:lang w:val="en-US"/>
        </w:rPr>
        <w:t>research associate</w:t>
      </w:r>
      <w:r w:rsidRPr="00A26D6E">
        <w:rPr>
          <w:rFonts w:ascii="Times New Roman" w:eastAsia="Calibri" w:hAnsi="Times New Roman" w:cs="Times New Roman"/>
          <w:sz w:val="24"/>
          <w:szCs w:val="24"/>
          <w:lang w:val="en-US"/>
        </w:rPr>
        <w:t xml:space="preserve">, Institute of Economics named after M. </w:t>
      </w:r>
      <w:proofErr w:type="spellStart"/>
      <w:r w:rsidRPr="00A26D6E">
        <w:rPr>
          <w:rFonts w:ascii="Times New Roman" w:eastAsia="Calibri" w:hAnsi="Times New Roman" w:cs="Times New Roman"/>
          <w:sz w:val="24"/>
          <w:szCs w:val="24"/>
          <w:lang w:val="en-US"/>
        </w:rPr>
        <w:t>Kotanyan</w:t>
      </w:r>
      <w:proofErr w:type="spellEnd"/>
      <w:r w:rsidRPr="00A26D6E">
        <w:rPr>
          <w:rFonts w:ascii="Times New Roman" w:eastAsia="Calibri" w:hAnsi="Times New Roman" w:cs="Times New Roman"/>
          <w:sz w:val="24"/>
          <w:szCs w:val="24"/>
          <w:lang w:val="en-US"/>
        </w:rPr>
        <w:t xml:space="preserve"> of the National Academy of Sciences of the Republic of Armenia (Index: 0015, Republic of Armenia, Yerevan, 15 </w:t>
      </w:r>
      <w:proofErr w:type="spellStart"/>
      <w:r w:rsidRPr="00A26D6E">
        <w:rPr>
          <w:rFonts w:ascii="Times New Roman" w:eastAsia="Calibri" w:hAnsi="Times New Roman" w:cs="Times New Roman"/>
          <w:sz w:val="24"/>
          <w:szCs w:val="24"/>
          <w:lang w:val="en-US"/>
        </w:rPr>
        <w:t>Grigor</w:t>
      </w:r>
      <w:proofErr w:type="spellEnd"/>
      <w:r w:rsidRPr="00A26D6E">
        <w:rPr>
          <w:rFonts w:ascii="Times New Roman" w:eastAsia="Calibri" w:hAnsi="Times New Roman" w:cs="Times New Roman"/>
          <w:sz w:val="24"/>
          <w:szCs w:val="24"/>
          <w:lang w:val="en-US"/>
        </w:rPr>
        <w:t xml:space="preserve"> </w:t>
      </w:r>
      <w:proofErr w:type="spellStart"/>
      <w:r w:rsidRPr="00A26D6E">
        <w:rPr>
          <w:rFonts w:ascii="Times New Roman" w:eastAsia="Calibri" w:hAnsi="Times New Roman" w:cs="Times New Roman"/>
          <w:sz w:val="24"/>
          <w:szCs w:val="24"/>
          <w:lang w:val="en-US"/>
        </w:rPr>
        <w:t>Lusavorich</w:t>
      </w:r>
      <w:proofErr w:type="spellEnd"/>
      <w:r w:rsidRPr="00A26D6E">
        <w:rPr>
          <w:rFonts w:ascii="Times New Roman" w:eastAsia="Calibri" w:hAnsi="Times New Roman" w:cs="Times New Roman"/>
          <w:sz w:val="24"/>
          <w:szCs w:val="24"/>
          <w:lang w:val="en-US"/>
        </w:rPr>
        <w:t xml:space="preserve"> St., e-mail: </w:t>
      </w:r>
      <w:r w:rsidR="001A69AF" w:rsidRPr="00A26D6E">
        <w:rPr>
          <w:rFonts w:ascii="Times New Roman" w:hAnsi="Times New Roman" w:cs="Times New Roman"/>
          <w:sz w:val="24"/>
          <w:szCs w:val="24"/>
          <w:shd w:val="clear" w:color="auto" w:fill="FFFFFF"/>
          <w:lang w:val="en-US"/>
        </w:rPr>
        <w:t>azakharian@inbox.ru</w:t>
      </w:r>
      <w:r w:rsidRPr="00A26D6E">
        <w:rPr>
          <w:rFonts w:ascii="Times New Roman" w:eastAsia="Calibri" w:hAnsi="Times New Roman" w:cs="Times New Roman"/>
          <w:sz w:val="24"/>
          <w:szCs w:val="24"/>
          <w:lang w:val="en-US"/>
        </w:rPr>
        <w:t>).</w:t>
      </w:r>
    </w:p>
    <w:p w:rsidR="00A34DC5" w:rsidRPr="00A26D6E" w:rsidRDefault="00A34DC5" w:rsidP="00A34DC5">
      <w:pPr>
        <w:tabs>
          <w:tab w:val="left" w:pos="2940"/>
        </w:tabs>
        <w:rPr>
          <w:rFonts w:ascii="Times New Roman" w:hAnsi="Times New Roman" w:cs="Times New Roman"/>
          <w:sz w:val="24"/>
          <w:szCs w:val="24"/>
          <w:lang w:val="en-US"/>
        </w:rPr>
      </w:pPr>
      <w:bookmarkStart w:id="0" w:name="_GoBack"/>
      <w:bookmarkEnd w:id="0"/>
    </w:p>
    <w:sectPr w:rsidR="00A34DC5" w:rsidRPr="00A26D6E" w:rsidSect="002D794A">
      <w:footerReference w:type="default" r:id="rId11"/>
      <w:pgSz w:w="11906" w:h="16838"/>
      <w:pgMar w:top="993" w:right="1133"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40FC" w:rsidRDefault="00E640FC" w:rsidP="00A34DC5">
      <w:pPr>
        <w:spacing w:after="0" w:line="240" w:lineRule="auto"/>
      </w:pPr>
      <w:r>
        <w:separator/>
      </w:r>
    </w:p>
  </w:endnote>
  <w:endnote w:type="continuationSeparator" w:id="0">
    <w:p w:rsidR="00E640FC" w:rsidRDefault="00E640FC"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72282"/>
      <w:docPartObj>
        <w:docPartGallery w:val="Page Numbers (Bottom of Page)"/>
        <w:docPartUnique/>
      </w:docPartObj>
    </w:sdtPr>
    <w:sdtEndPr/>
    <w:sdtContent>
      <w:p w:rsidR="002D794A" w:rsidRDefault="00D87197">
        <w:pPr>
          <w:pStyle w:val="Footer"/>
          <w:jc w:val="center"/>
        </w:pPr>
        <w:r>
          <w:fldChar w:fldCharType="begin"/>
        </w:r>
        <w:r>
          <w:instrText xml:space="preserve"> PAGE   \* MERGEFORMAT </w:instrText>
        </w:r>
        <w:r>
          <w:fldChar w:fldCharType="separate"/>
        </w:r>
        <w:r w:rsidR="00A26D6E">
          <w:rPr>
            <w:noProof/>
          </w:rPr>
          <w:t>7</w:t>
        </w:r>
        <w:r>
          <w:rPr>
            <w:noProof/>
          </w:rPr>
          <w:fldChar w:fldCharType="end"/>
        </w:r>
      </w:p>
    </w:sdtContent>
  </w:sdt>
  <w:p w:rsidR="002D794A" w:rsidRDefault="002D79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40FC" w:rsidRDefault="00E640FC" w:rsidP="00A34DC5">
      <w:pPr>
        <w:spacing w:after="0" w:line="240" w:lineRule="auto"/>
      </w:pPr>
      <w:r>
        <w:separator/>
      </w:r>
    </w:p>
  </w:footnote>
  <w:footnote w:type="continuationSeparator" w:id="0">
    <w:p w:rsidR="00E640FC" w:rsidRDefault="00E640FC" w:rsidP="00A34DC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73C24"/>
    <w:multiLevelType w:val="multilevel"/>
    <w:tmpl w:val="C1E85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B51DD4"/>
    <w:multiLevelType w:val="hybridMultilevel"/>
    <w:tmpl w:val="1BEEE578"/>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2">
    <w:nsid w:val="0B0D2068"/>
    <w:multiLevelType w:val="hybridMultilevel"/>
    <w:tmpl w:val="C4B8477E"/>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1B094D20"/>
    <w:multiLevelType w:val="multilevel"/>
    <w:tmpl w:val="22046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64B1BC8"/>
    <w:multiLevelType w:val="multilevel"/>
    <w:tmpl w:val="FD78A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B074D63"/>
    <w:multiLevelType w:val="multilevel"/>
    <w:tmpl w:val="23ACE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C8E38B9"/>
    <w:multiLevelType w:val="hybridMultilevel"/>
    <w:tmpl w:val="B96CDE08"/>
    <w:lvl w:ilvl="0" w:tplc="04090001">
      <w:start w:val="1"/>
      <w:numFmt w:val="bullet"/>
      <w:lvlText w:val=""/>
      <w:lvlJc w:val="left"/>
      <w:pPr>
        <w:ind w:left="927" w:hanging="360"/>
      </w:pPr>
      <w:rPr>
        <w:rFonts w:ascii="Symbol" w:hAnsi="Symbol"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4EB70547"/>
    <w:multiLevelType w:val="hybridMultilevel"/>
    <w:tmpl w:val="576088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57202BF0"/>
    <w:multiLevelType w:val="multilevel"/>
    <w:tmpl w:val="C21AE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8393A6B"/>
    <w:multiLevelType w:val="hybridMultilevel"/>
    <w:tmpl w:val="93DA9B8A"/>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10">
    <w:nsid w:val="5B5B7EEB"/>
    <w:multiLevelType w:val="multilevel"/>
    <w:tmpl w:val="7F50B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E593716"/>
    <w:multiLevelType w:val="hybridMultilevel"/>
    <w:tmpl w:val="1C36893E"/>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12">
    <w:nsid w:val="65F8352E"/>
    <w:multiLevelType w:val="multilevel"/>
    <w:tmpl w:val="58923A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00B050"/>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9594FD7"/>
    <w:multiLevelType w:val="hybridMultilevel"/>
    <w:tmpl w:val="469655A6"/>
    <w:lvl w:ilvl="0" w:tplc="9244B0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6B225766"/>
    <w:multiLevelType w:val="hybridMultilevel"/>
    <w:tmpl w:val="E6F8733A"/>
    <w:lvl w:ilvl="0" w:tplc="F1F00DF2">
      <w:start w:val="1"/>
      <w:numFmt w:val="decimal"/>
      <w:lvlText w:val="%1."/>
      <w:lvlJc w:val="left"/>
      <w:pPr>
        <w:ind w:left="1759" w:hanging="1050"/>
      </w:pPr>
      <w:rPr>
        <w:rFonts w:hint="default"/>
        <w:color w:val="auto"/>
      </w:rPr>
    </w:lvl>
    <w:lvl w:ilvl="1" w:tplc="0204AE94">
      <w:start w:val="1"/>
      <w:numFmt w:val="decimal"/>
      <w:lvlText w:val="%2)"/>
      <w:lvlJc w:val="left"/>
      <w:pPr>
        <w:ind w:left="1789" w:hanging="360"/>
      </w:pPr>
      <w:rPr>
        <w:rFonts w:hint="default"/>
        <w:b/>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E4D57CE"/>
    <w:multiLevelType w:val="multilevel"/>
    <w:tmpl w:val="7EFE7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23C485E"/>
    <w:multiLevelType w:val="hybridMultilevel"/>
    <w:tmpl w:val="066481CC"/>
    <w:lvl w:ilvl="0" w:tplc="04190001">
      <w:start w:val="1"/>
      <w:numFmt w:val="bullet"/>
      <w:lvlText w:val=""/>
      <w:lvlJc w:val="left"/>
      <w:pPr>
        <w:ind w:left="1095" w:hanging="360"/>
      </w:pPr>
      <w:rPr>
        <w:rFonts w:ascii="Symbol" w:hAnsi="Symbol" w:hint="default"/>
      </w:rPr>
    </w:lvl>
    <w:lvl w:ilvl="1" w:tplc="04190003" w:tentative="1">
      <w:start w:val="1"/>
      <w:numFmt w:val="bullet"/>
      <w:lvlText w:val="o"/>
      <w:lvlJc w:val="left"/>
      <w:pPr>
        <w:ind w:left="1815" w:hanging="360"/>
      </w:pPr>
      <w:rPr>
        <w:rFonts w:ascii="Courier New" w:hAnsi="Courier New" w:cs="Courier New" w:hint="default"/>
      </w:rPr>
    </w:lvl>
    <w:lvl w:ilvl="2" w:tplc="04190005" w:tentative="1">
      <w:start w:val="1"/>
      <w:numFmt w:val="bullet"/>
      <w:lvlText w:val=""/>
      <w:lvlJc w:val="left"/>
      <w:pPr>
        <w:ind w:left="2535" w:hanging="360"/>
      </w:pPr>
      <w:rPr>
        <w:rFonts w:ascii="Wingdings" w:hAnsi="Wingdings" w:hint="default"/>
      </w:rPr>
    </w:lvl>
    <w:lvl w:ilvl="3" w:tplc="04190001" w:tentative="1">
      <w:start w:val="1"/>
      <w:numFmt w:val="bullet"/>
      <w:lvlText w:val=""/>
      <w:lvlJc w:val="left"/>
      <w:pPr>
        <w:ind w:left="3255" w:hanging="360"/>
      </w:pPr>
      <w:rPr>
        <w:rFonts w:ascii="Symbol" w:hAnsi="Symbol" w:hint="default"/>
      </w:rPr>
    </w:lvl>
    <w:lvl w:ilvl="4" w:tplc="04190003" w:tentative="1">
      <w:start w:val="1"/>
      <w:numFmt w:val="bullet"/>
      <w:lvlText w:val="o"/>
      <w:lvlJc w:val="left"/>
      <w:pPr>
        <w:ind w:left="3975" w:hanging="360"/>
      </w:pPr>
      <w:rPr>
        <w:rFonts w:ascii="Courier New" w:hAnsi="Courier New" w:cs="Courier New" w:hint="default"/>
      </w:rPr>
    </w:lvl>
    <w:lvl w:ilvl="5" w:tplc="04190005" w:tentative="1">
      <w:start w:val="1"/>
      <w:numFmt w:val="bullet"/>
      <w:lvlText w:val=""/>
      <w:lvlJc w:val="left"/>
      <w:pPr>
        <w:ind w:left="4695" w:hanging="360"/>
      </w:pPr>
      <w:rPr>
        <w:rFonts w:ascii="Wingdings" w:hAnsi="Wingdings" w:hint="default"/>
      </w:rPr>
    </w:lvl>
    <w:lvl w:ilvl="6" w:tplc="04190001" w:tentative="1">
      <w:start w:val="1"/>
      <w:numFmt w:val="bullet"/>
      <w:lvlText w:val=""/>
      <w:lvlJc w:val="left"/>
      <w:pPr>
        <w:ind w:left="5415" w:hanging="360"/>
      </w:pPr>
      <w:rPr>
        <w:rFonts w:ascii="Symbol" w:hAnsi="Symbol" w:hint="default"/>
      </w:rPr>
    </w:lvl>
    <w:lvl w:ilvl="7" w:tplc="04190003" w:tentative="1">
      <w:start w:val="1"/>
      <w:numFmt w:val="bullet"/>
      <w:lvlText w:val="o"/>
      <w:lvlJc w:val="left"/>
      <w:pPr>
        <w:ind w:left="6135" w:hanging="360"/>
      </w:pPr>
      <w:rPr>
        <w:rFonts w:ascii="Courier New" w:hAnsi="Courier New" w:cs="Courier New" w:hint="default"/>
      </w:rPr>
    </w:lvl>
    <w:lvl w:ilvl="8" w:tplc="04190005" w:tentative="1">
      <w:start w:val="1"/>
      <w:numFmt w:val="bullet"/>
      <w:lvlText w:val=""/>
      <w:lvlJc w:val="left"/>
      <w:pPr>
        <w:ind w:left="6855" w:hanging="360"/>
      </w:pPr>
      <w:rPr>
        <w:rFonts w:ascii="Wingdings" w:hAnsi="Wingdings" w:hint="default"/>
      </w:rPr>
    </w:lvl>
  </w:abstractNum>
  <w:abstractNum w:abstractNumId="17">
    <w:nsid w:val="75D419DF"/>
    <w:multiLevelType w:val="multilevel"/>
    <w:tmpl w:val="8AFEA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7C20CB1"/>
    <w:multiLevelType w:val="multilevel"/>
    <w:tmpl w:val="33B61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C440AED"/>
    <w:multiLevelType w:val="hybridMultilevel"/>
    <w:tmpl w:val="C6B220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5"/>
  </w:num>
  <w:num w:numId="2">
    <w:abstractNumId w:val="3"/>
  </w:num>
  <w:num w:numId="3">
    <w:abstractNumId w:val="9"/>
  </w:num>
  <w:num w:numId="4">
    <w:abstractNumId w:val="16"/>
  </w:num>
  <w:num w:numId="5">
    <w:abstractNumId w:val="1"/>
  </w:num>
  <w:num w:numId="6">
    <w:abstractNumId w:val="11"/>
  </w:num>
  <w:num w:numId="7">
    <w:abstractNumId w:val="19"/>
  </w:num>
  <w:num w:numId="8">
    <w:abstractNumId w:val="7"/>
  </w:num>
  <w:num w:numId="9">
    <w:abstractNumId w:val="14"/>
  </w:num>
  <w:num w:numId="10">
    <w:abstractNumId w:val="2"/>
  </w:num>
  <w:num w:numId="11">
    <w:abstractNumId w:val="13"/>
  </w:num>
  <w:num w:numId="12">
    <w:abstractNumId w:val="6"/>
  </w:num>
  <w:num w:numId="13">
    <w:abstractNumId w:val="10"/>
  </w:num>
  <w:num w:numId="14">
    <w:abstractNumId w:val="15"/>
  </w:num>
  <w:num w:numId="15">
    <w:abstractNumId w:val="18"/>
  </w:num>
  <w:num w:numId="16">
    <w:abstractNumId w:val="0"/>
  </w:num>
  <w:num w:numId="17">
    <w:abstractNumId w:val="17"/>
  </w:num>
  <w:num w:numId="18">
    <w:abstractNumId w:val="4"/>
  </w:num>
  <w:num w:numId="19">
    <w:abstractNumId w:val="12"/>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3D5A"/>
    <w:rsid w:val="00007890"/>
    <w:rsid w:val="000455C3"/>
    <w:rsid w:val="00063CFC"/>
    <w:rsid w:val="000F3263"/>
    <w:rsid w:val="00140A71"/>
    <w:rsid w:val="001411C0"/>
    <w:rsid w:val="00177ACE"/>
    <w:rsid w:val="00190D46"/>
    <w:rsid w:val="001A69AF"/>
    <w:rsid w:val="001C1441"/>
    <w:rsid w:val="002179E4"/>
    <w:rsid w:val="00221E96"/>
    <w:rsid w:val="00240C55"/>
    <w:rsid w:val="00247018"/>
    <w:rsid w:val="002772E7"/>
    <w:rsid w:val="002A27BC"/>
    <w:rsid w:val="002B2DDF"/>
    <w:rsid w:val="002C1D6D"/>
    <w:rsid w:val="002D794A"/>
    <w:rsid w:val="002E1F22"/>
    <w:rsid w:val="00310ADC"/>
    <w:rsid w:val="00322FD0"/>
    <w:rsid w:val="003571DA"/>
    <w:rsid w:val="0038238F"/>
    <w:rsid w:val="003C4639"/>
    <w:rsid w:val="00403BB3"/>
    <w:rsid w:val="00440A6B"/>
    <w:rsid w:val="0046124B"/>
    <w:rsid w:val="0050454D"/>
    <w:rsid w:val="005209C3"/>
    <w:rsid w:val="00543182"/>
    <w:rsid w:val="005738D6"/>
    <w:rsid w:val="00574CB8"/>
    <w:rsid w:val="00593EFD"/>
    <w:rsid w:val="005C260A"/>
    <w:rsid w:val="005E66ED"/>
    <w:rsid w:val="006357E9"/>
    <w:rsid w:val="00644A65"/>
    <w:rsid w:val="00660A66"/>
    <w:rsid w:val="006631C6"/>
    <w:rsid w:val="006A41DC"/>
    <w:rsid w:val="006B595D"/>
    <w:rsid w:val="006F4870"/>
    <w:rsid w:val="0071057D"/>
    <w:rsid w:val="0073614B"/>
    <w:rsid w:val="00741EDF"/>
    <w:rsid w:val="00747B9E"/>
    <w:rsid w:val="0078611D"/>
    <w:rsid w:val="007D66EF"/>
    <w:rsid w:val="00805F10"/>
    <w:rsid w:val="00834D4F"/>
    <w:rsid w:val="008637FA"/>
    <w:rsid w:val="00866656"/>
    <w:rsid w:val="00873DBA"/>
    <w:rsid w:val="0088439E"/>
    <w:rsid w:val="008B2AF0"/>
    <w:rsid w:val="008B516E"/>
    <w:rsid w:val="008E388A"/>
    <w:rsid w:val="00915BE1"/>
    <w:rsid w:val="009178F0"/>
    <w:rsid w:val="00957947"/>
    <w:rsid w:val="0099057B"/>
    <w:rsid w:val="009940FE"/>
    <w:rsid w:val="009C151E"/>
    <w:rsid w:val="009D27DB"/>
    <w:rsid w:val="00A26D6E"/>
    <w:rsid w:val="00A34DC5"/>
    <w:rsid w:val="00A536A2"/>
    <w:rsid w:val="00A836FE"/>
    <w:rsid w:val="00AB349D"/>
    <w:rsid w:val="00AD490B"/>
    <w:rsid w:val="00B0662B"/>
    <w:rsid w:val="00B32791"/>
    <w:rsid w:val="00B707DD"/>
    <w:rsid w:val="00B92F19"/>
    <w:rsid w:val="00BD61FD"/>
    <w:rsid w:val="00C17EFD"/>
    <w:rsid w:val="00C22B5F"/>
    <w:rsid w:val="00C26004"/>
    <w:rsid w:val="00C3044C"/>
    <w:rsid w:val="00C358DB"/>
    <w:rsid w:val="00C54F39"/>
    <w:rsid w:val="00C9279D"/>
    <w:rsid w:val="00C96D3C"/>
    <w:rsid w:val="00CA161F"/>
    <w:rsid w:val="00CB3272"/>
    <w:rsid w:val="00CB507A"/>
    <w:rsid w:val="00CF0384"/>
    <w:rsid w:val="00D21A0F"/>
    <w:rsid w:val="00D3034F"/>
    <w:rsid w:val="00D3348C"/>
    <w:rsid w:val="00D46A1D"/>
    <w:rsid w:val="00D47791"/>
    <w:rsid w:val="00D766F6"/>
    <w:rsid w:val="00D87197"/>
    <w:rsid w:val="00DA4F4E"/>
    <w:rsid w:val="00DB6FAB"/>
    <w:rsid w:val="00DC1A18"/>
    <w:rsid w:val="00DD2E50"/>
    <w:rsid w:val="00DD51D7"/>
    <w:rsid w:val="00E61256"/>
    <w:rsid w:val="00E640FC"/>
    <w:rsid w:val="00E70710"/>
    <w:rsid w:val="00E8585F"/>
    <w:rsid w:val="00E9139A"/>
    <w:rsid w:val="00E9457F"/>
    <w:rsid w:val="00ED6FC3"/>
    <w:rsid w:val="00F07122"/>
    <w:rsid w:val="00F10C4A"/>
    <w:rsid w:val="00F177F4"/>
    <w:rsid w:val="00F24549"/>
    <w:rsid w:val="00F47D91"/>
    <w:rsid w:val="00F548C3"/>
    <w:rsid w:val="00F61D73"/>
    <w:rsid w:val="00F976F6"/>
    <w:rsid w:val="00FA37B3"/>
    <w:rsid w:val="00FD4B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6B"/>
  </w:style>
  <w:style w:type="paragraph" w:styleId="Heading1">
    <w:name w:val="heading 1"/>
    <w:basedOn w:val="Normal"/>
    <w:link w:val="Heading1Char"/>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DefaultParagraphFont"/>
    <w:rsid w:val="00A34DC5"/>
  </w:style>
  <w:style w:type="paragraph" w:customStyle="1" w:styleId="rvps34">
    <w:name w:val="rvps3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DefaultParagraphFont"/>
    <w:rsid w:val="00A34DC5"/>
  </w:style>
  <w:style w:type="character" w:customStyle="1" w:styleId="rvts54">
    <w:name w:val="rvts54"/>
    <w:basedOn w:val="DefaultParagraphFont"/>
    <w:rsid w:val="00A34DC5"/>
  </w:style>
  <w:style w:type="character" w:customStyle="1" w:styleId="hps">
    <w:name w:val="hps"/>
    <w:basedOn w:val="DefaultParagraphFont"/>
    <w:rsid w:val="00A34DC5"/>
  </w:style>
  <w:style w:type="character" w:styleId="Hyperlink">
    <w:name w:val="Hyperlink"/>
    <w:basedOn w:val="DefaultParagraphFont"/>
    <w:uiPriority w:val="99"/>
    <w:unhideWhenUsed/>
    <w:rsid w:val="00A34DC5"/>
    <w:rPr>
      <w:color w:val="0000FF" w:themeColor="hyperlink"/>
      <w:u w:val="single"/>
    </w:rPr>
  </w:style>
  <w:style w:type="paragraph" w:styleId="FootnoteText">
    <w:name w:val="footnote text"/>
    <w:basedOn w:val="Normal"/>
    <w:link w:val="FootnoteTextChar"/>
    <w:uiPriority w:val="99"/>
    <w:unhideWhenUsed/>
    <w:rsid w:val="00A34DC5"/>
    <w:pPr>
      <w:spacing w:after="0" w:line="240" w:lineRule="auto"/>
    </w:pPr>
    <w:rPr>
      <w:sz w:val="20"/>
      <w:szCs w:val="20"/>
    </w:rPr>
  </w:style>
  <w:style w:type="character" w:customStyle="1" w:styleId="FootnoteTextChar">
    <w:name w:val="Footnote Text Char"/>
    <w:basedOn w:val="DefaultParagraphFont"/>
    <w:link w:val="FootnoteText"/>
    <w:uiPriority w:val="99"/>
    <w:rsid w:val="00A34DC5"/>
    <w:rPr>
      <w:sz w:val="20"/>
      <w:szCs w:val="20"/>
    </w:rPr>
  </w:style>
  <w:style w:type="character" w:styleId="FootnoteReference">
    <w:name w:val="footnote reference"/>
    <w:basedOn w:val="DefaultParagraphFont"/>
    <w:uiPriority w:val="99"/>
    <w:semiHidden/>
    <w:unhideWhenUsed/>
    <w:rsid w:val="00A34DC5"/>
    <w:rPr>
      <w:vertAlign w:val="superscript"/>
    </w:rPr>
  </w:style>
  <w:style w:type="character" w:styleId="Strong">
    <w:name w:val="Strong"/>
    <w:basedOn w:val="DefaultParagraphFont"/>
    <w:uiPriority w:val="22"/>
    <w:qFormat/>
    <w:rsid w:val="00A34DC5"/>
    <w:rPr>
      <w:b/>
      <w:bCs/>
    </w:rPr>
  </w:style>
  <w:style w:type="paragraph" w:styleId="ListParagraph">
    <w:name w:val="List Paragraph"/>
    <w:basedOn w:val="Normal"/>
    <w:uiPriority w:val="34"/>
    <w:qFormat/>
    <w:rsid w:val="00A34DC5"/>
    <w:pPr>
      <w:ind w:left="720"/>
      <w:contextualSpacing/>
    </w:pPr>
  </w:style>
  <w:style w:type="paragraph" w:styleId="Footer">
    <w:name w:val="footer"/>
    <w:basedOn w:val="Normal"/>
    <w:link w:val="FooterChar"/>
    <w:uiPriority w:val="99"/>
    <w:unhideWhenUsed/>
    <w:rsid w:val="00A34DC5"/>
    <w:pPr>
      <w:tabs>
        <w:tab w:val="center" w:pos="4677"/>
        <w:tab w:val="right" w:pos="9355"/>
      </w:tabs>
      <w:spacing w:after="0" w:line="240" w:lineRule="auto"/>
    </w:pPr>
  </w:style>
  <w:style w:type="character" w:customStyle="1" w:styleId="FooterChar">
    <w:name w:val="Footer Char"/>
    <w:basedOn w:val="DefaultParagraphFont"/>
    <w:link w:val="Footer"/>
    <w:uiPriority w:val="99"/>
    <w:rsid w:val="00A34DC5"/>
  </w:style>
  <w:style w:type="paragraph" w:styleId="BalloonText">
    <w:name w:val="Balloon Text"/>
    <w:basedOn w:val="Normal"/>
    <w:link w:val="BalloonTextChar"/>
    <w:uiPriority w:val="99"/>
    <w:semiHidden/>
    <w:unhideWhenUsed/>
    <w:rsid w:val="00A34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DC5"/>
    <w:rPr>
      <w:rFonts w:ascii="Tahoma" w:hAnsi="Tahoma" w:cs="Tahoma"/>
      <w:sz w:val="16"/>
      <w:szCs w:val="16"/>
    </w:rPr>
  </w:style>
  <w:style w:type="character" w:customStyle="1" w:styleId="Heading1Char">
    <w:name w:val="Heading 1 Char"/>
    <w:basedOn w:val="DefaultParagraphFont"/>
    <w:link w:val="Heading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D2E50"/>
  </w:style>
  <w:style w:type="paragraph" w:styleId="Header">
    <w:name w:val="header"/>
    <w:basedOn w:val="Normal"/>
    <w:link w:val="HeaderChar"/>
    <w:uiPriority w:val="99"/>
    <w:semiHidden/>
    <w:unhideWhenUsed/>
    <w:rsid w:val="00DD2E50"/>
    <w:pPr>
      <w:tabs>
        <w:tab w:val="center" w:pos="4677"/>
        <w:tab w:val="right" w:pos="9355"/>
      </w:tabs>
      <w:spacing w:after="0" w:line="240" w:lineRule="auto"/>
    </w:pPr>
  </w:style>
  <w:style w:type="character" w:customStyle="1" w:styleId="HeaderChar">
    <w:name w:val="Header Char"/>
    <w:basedOn w:val="DefaultParagraphFont"/>
    <w:link w:val="Header"/>
    <w:uiPriority w:val="99"/>
    <w:semiHidden/>
    <w:rsid w:val="00DD2E50"/>
  </w:style>
  <w:style w:type="character" w:styleId="Emphasis">
    <w:name w:val="Emphasis"/>
    <w:basedOn w:val="DefaultParagraphFont"/>
    <w:uiPriority w:val="20"/>
    <w:qFormat/>
    <w:rsid w:val="005C260A"/>
    <w:rPr>
      <w:i/>
      <w:iCs/>
    </w:rPr>
  </w:style>
  <w:style w:type="table" w:styleId="TableGrid">
    <w:name w:val="Table Grid"/>
    <w:basedOn w:val="TableNormal"/>
    <w:rsid w:val="00CB3272"/>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D:\Armine%2016.09.2011\ARMINE\HODVACNER\EXCEL\New%20Microsoft%20Excel%20Worksheet.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Armine%2016.09.2011\ARMINE\HODVACNER\EXCEL\New%20Microsoft%20Excel%20Worksheet.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0646464646464679E-2"/>
          <c:y val="4.6296296296296391E-2"/>
          <c:w val="0.91925252525252421"/>
          <c:h val="0.70169364246136001"/>
        </c:manualLayout>
      </c:layout>
      <c:lineChart>
        <c:grouping val="stacked"/>
        <c:varyColors val="0"/>
        <c:ser>
          <c:idx val="0"/>
          <c:order val="0"/>
          <c:tx>
            <c:strRef>
              <c:f>Sheet1!$A$1510:$F$1510</c:f>
              <c:strCache>
                <c:ptCount val="1"/>
                <c:pt idx="0">
                  <c:v>Количество компаний сферы ИТ</c:v>
                </c:pt>
              </c:strCache>
            </c:strRef>
          </c:tx>
          <c:dLbls>
            <c:dLbl>
              <c:idx val="0"/>
              <c:layout>
                <c:manualLayout>
                  <c:x val="-4.0404040404040414E-2"/>
                  <c:y val="-6.4814814814814936E-2"/>
                </c:manualLayout>
              </c:layout>
              <c:showLegendKey val="0"/>
              <c:showVal val="1"/>
              <c:showCatName val="0"/>
              <c:showSerName val="0"/>
              <c:showPercent val="0"/>
              <c:showBubbleSize val="0"/>
            </c:dLbl>
            <c:dLbl>
              <c:idx val="1"/>
              <c:layout>
                <c:manualLayout>
                  <c:x val="-3.6363636363636362E-2"/>
                  <c:y val="-6.4814814814814936E-2"/>
                </c:manualLayout>
              </c:layout>
              <c:showLegendKey val="0"/>
              <c:showVal val="1"/>
              <c:showCatName val="0"/>
              <c:showSerName val="0"/>
              <c:showPercent val="0"/>
              <c:showBubbleSize val="0"/>
            </c:dLbl>
            <c:dLbl>
              <c:idx val="2"/>
              <c:layout>
                <c:manualLayout>
                  <c:x val="-3.8383838383838367E-2"/>
                  <c:y val="-5.092592592592593E-2"/>
                </c:manualLayout>
              </c:layout>
              <c:showLegendKey val="0"/>
              <c:showVal val="1"/>
              <c:showCatName val="0"/>
              <c:showSerName val="0"/>
              <c:showPercent val="0"/>
              <c:showBubbleSize val="0"/>
            </c:dLbl>
            <c:dLbl>
              <c:idx val="3"/>
              <c:layout>
                <c:manualLayout>
                  <c:x val="-3.8383838383838388E-2"/>
                  <c:y val="-6.0185185185185147E-2"/>
                </c:manualLayout>
              </c:layout>
              <c:showLegendKey val="0"/>
              <c:showVal val="1"/>
              <c:showCatName val="0"/>
              <c:showSerName val="0"/>
              <c:showPercent val="0"/>
              <c:showBubbleSize val="0"/>
            </c:dLbl>
            <c:dLbl>
              <c:idx val="4"/>
              <c:layout>
                <c:manualLayout>
                  <c:x val="-3.8383838383838388E-2"/>
                  <c:y val="-6.4814814814814936E-2"/>
                </c:manualLayout>
              </c:layout>
              <c:showLegendKey val="0"/>
              <c:showVal val="1"/>
              <c:showCatName val="0"/>
              <c:showSerName val="0"/>
              <c:showPercent val="0"/>
              <c:showBubbleSize val="0"/>
            </c:dLbl>
            <c:dLbl>
              <c:idx val="5"/>
              <c:layout>
                <c:manualLayout>
                  <c:x val="-4.6464646464646576E-2"/>
                  <c:y val="-6.4814814814814936E-2"/>
                </c:manualLayout>
              </c:layout>
              <c:showLegendKey val="0"/>
              <c:showVal val="1"/>
              <c:showCatName val="0"/>
              <c:showSerName val="0"/>
              <c:showPercent val="0"/>
              <c:showBubbleSize val="0"/>
            </c:dLbl>
            <c:dLbl>
              <c:idx val="6"/>
              <c:layout>
                <c:manualLayout>
                  <c:x val="-4.2424242424242427E-2"/>
                  <c:y val="-6.0185185185185147E-2"/>
                </c:manualLayout>
              </c:layout>
              <c:showLegendKey val="0"/>
              <c:showVal val="1"/>
              <c:showCatName val="0"/>
              <c:showSerName val="0"/>
              <c:showPercent val="0"/>
              <c:showBubbleSize val="0"/>
            </c:dLbl>
            <c:dLbl>
              <c:idx val="7"/>
              <c:layout>
                <c:manualLayout>
                  <c:x val="-4.64646464646465E-2"/>
                  <c:y val="-5.5555555555555455E-2"/>
                </c:manualLayout>
              </c:layout>
              <c:showLegendKey val="0"/>
              <c:showVal val="1"/>
              <c:showCatName val="0"/>
              <c:showSerName val="0"/>
              <c:showPercent val="0"/>
              <c:showBubbleSize val="0"/>
            </c:dLbl>
            <c:dLbl>
              <c:idx val="8"/>
              <c:layout>
                <c:manualLayout>
                  <c:x val="-4.2424242424242427E-2"/>
                  <c:y val="-4.6296296296296391E-2"/>
                </c:manualLayout>
              </c:layout>
              <c:showLegendKey val="0"/>
              <c:showVal val="1"/>
              <c:showCatName val="0"/>
              <c:showSerName val="0"/>
              <c:showPercent val="0"/>
              <c:showBubbleSize val="0"/>
            </c:dLbl>
            <c:dLbl>
              <c:idx val="9"/>
              <c:layout>
                <c:manualLayout>
                  <c:x val="-3.2323232323232365E-2"/>
                  <c:y val="-4.7816054243219761E-2"/>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numRef>
              <c:f>Sheet1!$G$1509:$P$1509</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Sheet1!$G$1510:$P$1510</c:f>
              <c:numCache>
                <c:formatCode>General</c:formatCode>
                <c:ptCount val="10"/>
                <c:pt idx="0">
                  <c:v>324</c:v>
                </c:pt>
                <c:pt idx="1">
                  <c:v>345</c:v>
                </c:pt>
                <c:pt idx="2">
                  <c:v>363</c:v>
                </c:pt>
                <c:pt idx="3">
                  <c:v>379</c:v>
                </c:pt>
                <c:pt idx="4">
                  <c:v>396</c:v>
                </c:pt>
                <c:pt idx="5">
                  <c:v>450</c:v>
                </c:pt>
                <c:pt idx="6">
                  <c:v>540</c:v>
                </c:pt>
                <c:pt idx="7">
                  <c:v>650</c:v>
                </c:pt>
                <c:pt idx="8">
                  <c:v>800</c:v>
                </c:pt>
                <c:pt idx="9">
                  <c:v>855</c:v>
                </c:pt>
              </c:numCache>
            </c:numRef>
          </c:val>
          <c:smooth val="0"/>
        </c:ser>
        <c:dLbls>
          <c:showLegendKey val="0"/>
          <c:showVal val="0"/>
          <c:showCatName val="0"/>
          <c:showSerName val="0"/>
          <c:showPercent val="0"/>
          <c:showBubbleSize val="0"/>
        </c:dLbls>
        <c:marker val="1"/>
        <c:smooth val="0"/>
        <c:axId val="163481856"/>
        <c:axId val="266345088"/>
      </c:lineChart>
      <c:catAx>
        <c:axId val="163481856"/>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en-US"/>
          </a:p>
        </c:txPr>
        <c:crossAx val="266345088"/>
        <c:crosses val="autoZero"/>
        <c:auto val="1"/>
        <c:lblAlgn val="ctr"/>
        <c:lblOffset val="100"/>
        <c:noMultiLvlLbl val="0"/>
      </c:catAx>
      <c:valAx>
        <c:axId val="266345088"/>
        <c:scaling>
          <c:orientation val="minMax"/>
        </c:scaling>
        <c:delete val="0"/>
        <c:axPos val="l"/>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en-US"/>
          </a:p>
        </c:txPr>
        <c:crossAx val="163481856"/>
        <c:crosses val="autoZero"/>
        <c:crossBetween val="between"/>
      </c:valAx>
    </c:plotArea>
    <c:legend>
      <c:legendPos val="b"/>
      <c:overlay val="0"/>
      <c:txPr>
        <a:bodyPr/>
        <a:lstStyle/>
        <a:p>
          <a:pPr>
            <a:defRPr>
              <a:latin typeface="Times New Roman" pitchFamily="18" charset="0"/>
              <a:cs typeface="Times New Roman" pitchFamily="18" charset="0"/>
            </a:defRPr>
          </a:pPr>
          <a:endParaRPr lang="en-US"/>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Sheet1!$C$1551</c:f>
              <c:strCache>
                <c:ptCount val="1"/>
                <c:pt idx="0">
                  <c:v>годовой прирост ИТ-сектора, %</c:v>
                </c:pt>
              </c:strCache>
            </c:strRef>
          </c:tx>
          <c:invertIfNegative val="0"/>
          <c:dLbls>
            <c:dLbl>
              <c:idx val="0"/>
              <c:layout>
                <c:manualLayout>
                  <c:x val="0"/>
                  <c:y val="-0.14351851851851852"/>
                </c:manualLayout>
              </c:layout>
              <c:showLegendKey val="0"/>
              <c:showVal val="1"/>
              <c:showCatName val="0"/>
              <c:showSerName val="0"/>
              <c:showPercent val="0"/>
              <c:showBubbleSize val="0"/>
            </c:dLbl>
            <c:dLbl>
              <c:idx val="1"/>
              <c:layout>
                <c:manualLayout>
                  <c:x val="0"/>
                  <c:y val="-0.16666666666666657"/>
                </c:manualLayout>
              </c:layout>
              <c:showLegendKey val="0"/>
              <c:showVal val="1"/>
              <c:showCatName val="0"/>
              <c:showSerName val="0"/>
              <c:showPercent val="0"/>
              <c:showBubbleSize val="0"/>
            </c:dLbl>
            <c:dLbl>
              <c:idx val="2"/>
              <c:layout>
                <c:manualLayout>
                  <c:x val="-2.1436227224008618E-3"/>
                  <c:y val="-0.21759259259259306"/>
                </c:manualLayout>
              </c:layout>
              <c:showLegendKey val="0"/>
              <c:showVal val="1"/>
              <c:showCatName val="0"/>
              <c:showSerName val="0"/>
              <c:showPercent val="0"/>
              <c:showBubbleSize val="0"/>
            </c:dLbl>
            <c:dLbl>
              <c:idx val="3"/>
              <c:layout>
                <c:manualLayout>
                  <c:x val="0"/>
                  <c:y val="-0.32407407407407507"/>
                </c:manualLayout>
              </c:layout>
              <c:showLegendKey val="0"/>
              <c:showVal val="1"/>
              <c:showCatName val="0"/>
              <c:showSerName val="0"/>
              <c:showPercent val="0"/>
              <c:showBubbleSize val="0"/>
            </c:dLbl>
            <c:dLbl>
              <c:idx val="4"/>
              <c:layout>
                <c:manualLayout>
                  <c:x val="0"/>
                  <c:y val="-0.33333333333333331"/>
                </c:manualLayout>
              </c:layout>
              <c:showLegendKey val="0"/>
              <c:showVal val="1"/>
              <c:showCatName val="0"/>
              <c:showSerName val="0"/>
              <c:showPercent val="0"/>
              <c:showBubbleSize val="0"/>
            </c:dLbl>
            <c:dLbl>
              <c:idx val="5"/>
              <c:layout>
                <c:manualLayout>
                  <c:x val="-2.1436227224008618E-3"/>
                  <c:y val="-0.33796296296296446"/>
                </c:manualLayout>
              </c:layout>
              <c:showLegendKey val="0"/>
              <c:showVal val="1"/>
              <c:showCatName val="0"/>
              <c:showSerName val="0"/>
              <c:showPercent val="0"/>
              <c:showBubbleSize val="0"/>
            </c:dLbl>
            <c:dLbl>
              <c:idx val="6"/>
              <c:layout>
                <c:manualLayout>
                  <c:x val="-2.1436227224008618E-3"/>
                  <c:y val="-0.35185185185185247"/>
                </c:manualLayout>
              </c:layout>
              <c:showLegendKey val="0"/>
              <c:showVal val="1"/>
              <c:showCatName val="0"/>
              <c:showSerName val="0"/>
              <c:showPercent val="0"/>
              <c:showBubbleSize val="0"/>
            </c:dLbl>
            <c:dLbl>
              <c:idx val="7"/>
              <c:layout>
                <c:manualLayout>
                  <c:x val="-2.1436227224008618E-3"/>
                  <c:y val="-0.3611111111111111"/>
                </c:manualLayout>
              </c:layout>
              <c:showLegendKey val="0"/>
              <c:showVal val="1"/>
              <c:showCatName val="0"/>
              <c:showSerName val="0"/>
              <c:showPercent val="0"/>
              <c:showBubbleSize val="0"/>
            </c:dLbl>
            <c:dLbl>
              <c:idx val="8"/>
              <c:layout>
                <c:manualLayout>
                  <c:x val="0"/>
                  <c:y val="-0.38425925925925986"/>
                </c:manualLayout>
              </c:layout>
              <c:showLegendKey val="0"/>
              <c:showVal val="1"/>
              <c:showCatName val="0"/>
              <c:showSerName val="0"/>
              <c:showPercent val="0"/>
              <c:showBubbleSize val="0"/>
            </c:dLbl>
            <c:dLbl>
              <c:idx val="9"/>
              <c:layout>
                <c:manualLayout>
                  <c:x val="0"/>
                  <c:y val="-0.37962962962963043"/>
                </c:manualLayout>
              </c:layout>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numRef>
              <c:f>Sheet1!$D$1550:$M$1550</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Sheet1!$D$1551:$M$1551</c:f>
              <c:numCache>
                <c:formatCode>General</c:formatCode>
                <c:ptCount val="10"/>
                <c:pt idx="0">
                  <c:v>3.8</c:v>
                </c:pt>
                <c:pt idx="1">
                  <c:v>4.7</c:v>
                </c:pt>
                <c:pt idx="2">
                  <c:v>6.8</c:v>
                </c:pt>
                <c:pt idx="3">
                  <c:v>11.7</c:v>
                </c:pt>
                <c:pt idx="4">
                  <c:v>12.2</c:v>
                </c:pt>
                <c:pt idx="5">
                  <c:v>12.5</c:v>
                </c:pt>
                <c:pt idx="6">
                  <c:v>12.9</c:v>
                </c:pt>
                <c:pt idx="7">
                  <c:v>13.6</c:v>
                </c:pt>
                <c:pt idx="8">
                  <c:v>14.3</c:v>
                </c:pt>
                <c:pt idx="9">
                  <c:v>15.2</c:v>
                </c:pt>
              </c:numCache>
            </c:numRef>
          </c:val>
        </c:ser>
        <c:dLbls>
          <c:showLegendKey val="0"/>
          <c:showVal val="0"/>
          <c:showCatName val="0"/>
          <c:showSerName val="0"/>
          <c:showPercent val="0"/>
          <c:showBubbleSize val="0"/>
        </c:dLbls>
        <c:gapWidth val="150"/>
        <c:overlap val="100"/>
        <c:axId val="266955392"/>
        <c:axId val="266989952"/>
      </c:barChart>
      <c:catAx>
        <c:axId val="266955392"/>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en-US"/>
          </a:p>
        </c:txPr>
        <c:crossAx val="266989952"/>
        <c:crosses val="autoZero"/>
        <c:auto val="1"/>
        <c:lblAlgn val="ctr"/>
        <c:lblOffset val="100"/>
        <c:noMultiLvlLbl val="0"/>
      </c:catAx>
      <c:valAx>
        <c:axId val="266989952"/>
        <c:scaling>
          <c:orientation val="minMax"/>
        </c:scaling>
        <c:delete val="0"/>
        <c:axPos val="l"/>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en-US"/>
          </a:p>
        </c:txPr>
        <c:crossAx val="266955392"/>
        <c:crosses val="autoZero"/>
        <c:crossBetween val="between"/>
      </c:valAx>
    </c:plotArea>
    <c:legend>
      <c:legendPos val="b"/>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68A62D-905E-4B99-9B2C-7A1CDC1DC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7</Pages>
  <Words>2628</Words>
  <Characters>14984</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PC</cp:lastModifiedBy>
  <cp:revision>341</cp:revision>
  <dcterms:created xsi:type="dcterms:W3CDTF">2020-05-15T09:10:00Z</dcterms:created>
  <dcterms:modified xsi:type="dcterms:W3CDTF">2021-05-01T17:06:00Z</dcterms:modified>
</cp:coreProperties>
</file>