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5F1E" w:rsidRPr="002F1FF4" w:rsidRDefault="00E25F1E" w:rsidP="00E25F1E">
      <w:pPr>
        <w:jc w:val="both"/>
        <w:rPr>
          <w:sz w:val="24"/>
          <w:szCs w:val="24"/>
        </w:rPr>
      </w:pPr>
      <w:bookmarkStart w:id="0" w:name="_GoBack"/>
      <w:bookmarkEnd w:id="0"/>
      <w:r w:rsidRPr="002F1FF4">
        <w:rPr>
          <w:sz w:val="24"/>
          <w:szCs w:val="24"/>
        </w:rPr>
        <w:t>УДК 338</w:t>
      </w:r>
    </w:p>
    <w:p w:rsidR="00E25F1E" w:rsidRDefault="00E25F1E" w:rsidP="00E25F1E">
      <w:pPr>
        <w:ind w:firstLine="709"/>
        <w:jc w:val="both"/>
        <w:rPr>
          <w:sz w:val="24"/>
          <w:szCs w:val="24"/>
        </w:rPr>
      </w:pPr>
    </w:p>
    <w:p w:rsidR="00E25F1E" w:rsidRDefault="00E25F1E" w:rsidP="00E25F1E">
      <w:pPr>
        <w:ind w:firstLine="709"/>
        <w:jc w:val="right"/>
        <w:rPr>
          <w:b/>
          <w:sz w:val="24"/>
          <w:szCs w:val="24"/>
        </w:rPr>
      </w:pPr>
      <w:r>
        <w:rPr>
          <w:b/>
          <w:sz w:val="24"/>
          <w:szCs w:val="24"/>
        </w:rPr>
        <w:t>Огородникова Е.С.</w:t>
      </w:r>
    </w:p>
    <w:p w:rsidR="00E25F1E" w:rsidRDefault="00E25F1E" w:rsidP="00E25F1E">
      <w:pPr>
        <w:ind w:firstLine="709"/>
        <w:jc w:val="center"/>
        <w:rPr>
          <w:rFonts w:eastAsia="Times New Roman"/>
          <w:b/>
          <w:sz w:val="28"/>
          <w:szCs w:val="24"/>
        </w:rPr>
      </w:pPr>
    </w:p>
    <w:p w:rsidR="00E25F1E" w:rsidRPr="007F3BE4" w:rsidRDefault="00E25F1E" w:rsidP="00E25F1E">
      <w:pPr>
        <w:ind w:firstLine="709"/>
        <w:jc w:val="center"/>
        <w:rPr>
          <w:rFonts w:eastAsia="Times New Roman"/>
          <w:b/>
          <w:caps/>
          <w:sz w:val="28"/>
          <w:szCs w:val="24"/>
        </w:rPr>
      </w:pPr>
      <w:r>
        <w:rPr>
          <w:rFonts w:eastAsia="Times New Roman"/>
          <w:b/>
          <w:sz w:val="28"/>
          <w:szCs w:val="24"/>
        </w:rPr>
        <w:t>ОЦЕНКА ВЫПУСКА СОЦИАЛЬНЫХ УСЛУГ СОЦИАЛЬНО ОРИЕНТИРОВАННЫМИ НЕКОММЕРЧЕСКИМИ ОРГАНИЗАЦИЯМИ</w:t>
      </w:r>
    </w:p>
    <w:p w:rsidR="00E25F1E" w:rsidRDefault="00E25F1E" w:rsidP="00E25F1E">
      <w:pPr>
        <w:ind w:firstLine="708"/>
        <w:jc w:val="both"/>
        <w:rPr>
          <w:b/>
          <w:i/>
          <w:sz w:val="24"/>
          <w:szCs w:val="24"/>
        </w:rPr>
      </w:pPr>
    </w:p>
    <w:p w:rsidR="00E25F1E" w:rsidRPr="007F3BE4" w:rsidRDefault="00E25F1E" w:rsidP="00E25F1E">
      <w:pPr>
        <w:ind w:firstLine="708"/>
        <w:jc w:val="both"/>
        <w:rPr>
          <w:i/>
          <w:sz w:val="24"/>
          <w:szCs w:val="24"/>
        </w:rPr>
      </w:pPr>
      <w:r w:rsidRPr="00DD119A">
        <w:rPr>
          <w:rStyle w:val="rvts52"/>
          <w:rFonts w:eastAsia="Times New Roman"/>
          <w:b/>
          <w:bCs/>
          <w:sz w:val="24"/>
          <w:szCs w:val="24"/>
        </w:rPr>
        <w:t>Аннотация</w:t>
      </w:r>
      <w:r w:rsidRPr="00DD119A">
        <w:rPr>
          <w:b/>
          <w:i/>
          <w:sz w:val="24"/>
          <w:szCs w:val="24"/>
        </w:rPr>
        <w:t>.</w:t>
      </w:r>
      <w:r w:rsidRPr="007F3BE4">
        <w:rPr>
          <w:i/>
          <w:sz w:val="24"/>
          <w:szCs w:val="24"/>
        </w:rPr>
        <w:t xml:space="preserve"> </w:t>
      </w:r>
      <w:r w:rsidR="00245607">
        <w:rPr>
          <w:i/>
          <w:sz w:val="24"/>
          <w:szCs w:val="24"/>
        </w:rPr>
        <w:t>Актуальность статьи обусловлена отсутствием эффективных методов и инструментов развития сектора некоммерческих организаций в сфере социальных услуг</w:t>
      </w:r>
      <w:r>
        <w:rPr>
          <w:i/>
          <w:sz w:val="24"/>
          <w:szCs w:val="24"/>
        </w:rPr>
        <w:t xml:space="preserve">. </w:t>
      </w:r>
      <w:r w:rsidR="00245607">
        <w:rPr>
          <w:i/>
          <w:sz w:val="24"/>
          <w:szCs w:val="24"/>
        </w:rPr>
        <w:t xml:space="preserve">В результате проведенного исследования сделан вывод о </w:t>
      </w:r>
      <w:r w:rsidR="003361B6">
        <w:rPr>
          <w:i/>
          <w:sz w:val="24"/>
          <w:szCs w:val="24"/>
        </w:rPr>
        <w:t>низкой</w:t>
      </w:r>
      <w:r w:rsidR="003361B6" w:rsidRPr="003361B6">
        <w:rPr>
          <w:i/>
          <w:sz w:val="24"/>
          <w:szCs w:val="24"/>
        </w:rPr>
        <w:t xml:space="preserve"> аллокативной</w:t>
      </w:r>
      <w:r w:rsidR="003361B6">
        <w:rPr>
          <w:i/>
          <w:sz w:val="24"/>
          <w:szCs w:val="24"/>
        </w:rPr>
        <w:t xml:space="preserve"> эффективности как </w:t>
      </w:r>
      <w:r w:rsidR="00245607">
        <w:rPr>
          <w:i/>
          <w:sz w:val="24"/>
          <w:szCs w:val="24"/>
        </w:rPr>
        <w:t>причине отсутствия инициативного развития СО НКО в секторе социальных услуг.</w:t>
      </w:r>
    </w:p>
    <w:p w:rsidR="00D611B9" w:rsidRDefault="00E25F1E" w:rsidP="00E25F1E">
      <w:pPr>
        <w:rPr>
          <w:i/>
          <w:sz w:val="24"/>
          <w:szCs w:val="24"/>
        </w:rPr>
      </w:pPr>
      <w:r w:rsidRPr="00DD119A">
        <w:rPr>
          <w:b/>
          <w:sz w:val="24"/>
          <w:szCs w:val="24"/>
        </w:rPr>
        <w:t>Ключевые слова</w:t>
      </w:r>
      <w:r>
        <w:rPr>
          <w:b/>
          <w:sz w:val="24"/>
          <w:szCs w:val="24"/>
        </w:rPr>
        <w:t>.</w:t>
      </w:r>
      <w:r w:rsidRPr="007F3BE4">
        <w:rPr>
          <w:i/>
          <w:sz w:val="24"/>
          <w:szCs w:val="24"/>
        </w:rPr>
        <w:t xml:space="preserve"> </w:t>
      </w:r>
      <w:r w:rsidR="00245607">
        <w:rPr>
          <w:i/>
          <w:sz w:val="24"/>
          <w:szCs w:val="24"/>
        </w:rPr>
        <w:t>Социальные услуги</w:t>
      </w:r>
      <w:r>
        <w:rPr>
          <w:i/>
          <w:sz w:val="24"/>
          <w:szCs w:val="24"/>
        </w:rPr>
        <w:t xml:space="preserve">, </w:t>
      </w:r>
      <w:r w:rsidR="00245607">
        <w:rPr>
          <w:i/>
          <w:sz w:val="24"/>
          <w:szCs w:val="24"/>
        </w:rPr>
        <w:t>некоммерческие организации</w:t>
      </w:r>
      <w:r w:rsidRPr="007F3BE4">
        <w:rPr>
          <w:i/>
          <w:sz w:val="24"/>
          <w:szCs w:val="24"/>
        </w:rPr>
        <w:t xml:space="preserve">, </w:t>
      </w:r>
      <w:r w:rsidR="003361B6">
        <w:rPr>
          <w:i/>
          <w:sz w:val="24"/>
          <w:szCs w:val="24"/>
        </w:rPr>
        <w:t>выпуск</w:t>
      </w:r>
      <w:r w:rsidRPr="007F3BE4">
        <w:rPr>
          <w:i/>
          <w:sz w:val="24"/>
          <w:szCs w:val="24"/>
        </w:rPr>
        <w:t xml:space="preserve">, стратегия.  </w:t>
      </w:r>
    </w:p>
    <w:p w:rsidR="00E25F1E" w:rsidRDefault="00E25F1E" w:rsidP="00E25F1E">
      <w:pPr>
        <w:rPr>
          <w:i/>
          <w:sz w:val="24"/>
          <w:szCs w:val="24"/>
        </w:rPr>
      </w:pPr>
    </w:p>
    <w:p w:rsidR="00E25F1E" w:rsidRPr="00E25F1E" w:rsidRDefault="00E25F1E" w:rsidP="00E25F1E">
      <w:pPr>
        <w:pStyle w:val="a7"/>
        <w:spacing w:line="276" w:lineRule="auto"/>
        <w:rPr>
          <w:sz w:val="24"/>
          <w:szCs w:val="24"/>
        </w:rPr>
      </w:pPr>
      <w:r w:rsidRPr="00E25F1E">
        <w:rPr>
          <w:sz w:val="24"/>
          <w:szCs w:val="24"/>
        </w:rPr>
        <w:t>По мнению И. В. Мерсияновой и В. Б.  Беневоленского</w:t>
      </w:r>
      <w:r w:rsidR="00245607">
        <w:rPr>
          <w:sz w:val="24"/>
          <w:szCs w:val="24"/>
        </w:rPr>
        <w:t xml:space="preserve"> </w:t>
      </w:r>
      <w:r w:rsidR="00245607" w:rsidRPr="00C32E4B">
        <w:rPr>
          <w:sz w:val="24"/>
          <w:szCs w:val="24"/>
        </w:rPr>
        <w:t>[</w:t>
      </w:r>
      <w:r w:rsidR="00245607">
        <w:rPr>
          <w:sz w:val="24"/>
          <w:szCs w:val="24"/>
        </w:rPr>
        <w:t>1</w:t>
      </w:r>
      <w:r w:rsidR="00245607" w:rsidRPr="00C32E4B">
        <w:rPr>
          <w:sz w:val="24"/>
          <w:szCs w:val="24"/>
        </w:rPr>
        <w:t>]</w:t>
      </w:r>
      <w:r w:rsidRPr="00E25F1E">
        <w:rPr>
          <w:sz w:val="24"/>
          <w:szCs w:val="24"/>
        </w:rPr>
        <w:t xml:space="preserve"> деятельность социально-ориентированных некоммерческих организаций при оказании социальных услуг отличается гибкостью и адаптивностью, предоставляемых услуг, способностью привлечения к решению социальных проблем внебюджетных источников и способностью продолжать инициированные государством проекты.  В</w:t>
      </w:r>
      <w:r w:rsidRPr="00245607">
        <w:rPr>
          <w:sz w:val="24"/>
          <w:szCs w:val="24"/>
        </w:rPr>
        <w:t xml:space="preserve"> </w:t>
      </w:r>
      <w:r w:rsidRPr="00E25F1E">
        <w:rPr>
          <w:sz w:val="24"/>
          <w:szCs w:val="24"/>
        </w:rPr>
        <w:t>работах</w:t>
      </w:r>
      <w:r w:rsidRPr="00245607">
        <w:rPr>
          <w:rStyle w:val="a8"/>
          <w:sz w:val="24"/>
          <w:szCs w:val="24"/>
        </w:rPr>
        <w:t xml:space="preserve">, </w:t>
      </w:r>
      <w:r w:rsidRPr="00E25F1E">
        <w:rPr>
          <w:sz w:val="24"/>
          <w:szCs w:val="24"/>
        </w:rPr>
        <w:t>А.А. Власовой и А.В. Соколова</w:t>
      </w:r>
      <w:r w:rsidR="00245607">
        <w:rPr>
          <w:sz w:val="24"/>
          <w:szCs w:val="24"/>
        </w:rPr>
        <w:t xml:space="preserve"> </w:t>
      </w:r>
      <w:r w:rsidR="00245607" w:rsidRPr="00C32E4B">
        <w:rPr>
          <w:sz w:val="24"/>
          <w:szCs w:val="24"/>
        </w:rPr>
        <w:t>[</w:t>
      </w:r>
      <w:r w:rsidR="00245607">
        <w:rPr>
          <w:sz w:val="24"/>
          <w:szCs w:val="24"/>
        </w:rPr>
        <w:t>2</w:t>
      </w:r>
      <w:r w:rsidR="00245607" w:rsidRPr="00C32E4B">
        <w:rPr>
          <w:sz w:val="24"/>
          <w:szCs w:val="24"/>
        </w:rPr>
        <w:t>]</w:t>
      </w:r>
      <w:r w:rsidRPr="00E25F1E">
        <w:rPr>
          <w:sz w:val="24"/>
          <w:szCs w:val="24"/>
        </w:rPr>
        <w:t xml:space="preserve">, </w:t>
      </w:r>
      <w:r w:rsidR="00245607">
        <w:rPr>
          <w:rStyle w:val="a8"/>
          <w:sz w:val="24"/>
          <w:szCs w:val="24"/>
        </w:rPr>
        <w:t xml:space="preserve"> </w:t>
      </w:r>
      <w:r w:rsidRPr="00E25F1E">
        <w:rPr>
          <w:sz w:val="24"/>
          <w:szCs w:val="24"/>
        </w:rPr>
        <w:t>Г. М. Заболотной и А. В.  Ларионова</w:t>
      </w:r>
      <w:r w:rsidR="00245607">
        <w:rPr>
          <w:sz w:val="24"/>
          <w:szCs w:val="24"/>
        </w:rPr>
        <w:t xml:space="preserve"> [3]</w:t>
      </w:r>
      <w:r w:rsidRPr="00E25F1E">
        <w:rPr>
          <w:sz w:val="24"/>
          <w:szCs w:val="24"/>
        </w:rPr>
        <w:t xml:space="preserve">, А.В. Баркова </w:t>
      </w:r>
      <w:r w:rsidR="00245607">
        <w:rPr>
          <w:sz w:val="24"/>
          <w:szCs w:val="24"/>
        </w:rPr>
        <w:t xml:space="preserve">[4] </w:t>
      </w:r>
      <w:r w:rsidRPr="00E25F1E">
        <w:rPr>
          <w:sz w:val="24"/>
          <w:szCs w:val="24"/>
        </w:rPr>
        <w:t>основным отличием модели организационно-экономического механизма сферы социальных услуг</w:t>
      </w:r>
      <w:r w:rsidR="00245607">
        <w:rPr>
          <w:sz w:val="24"/>
          <w:szCs w:val="24"/>
        </w:rPr>
        <w:t>, основанного</w:t>
      </w:r>
      <w:r w:rsidRPr="00E25F1E">
        <w:rPr>
          <w:sz w:val="24"/>
          <w:szCs w:val="24"/>
        </w:rPr>
        <w:t xml:space="preserve"> на деятельности социально-ориентированных некоммерческих организаций от рыночной является отсутствие прибыли в первом случае и необходимость ее формирования во втором. </w:t>
      </w:r>
    </w:p>
    <w:p w:rsidR="00E25F1E" w:rsidRPr="00E25F1E" w:rsidRDefault="00E25F1E" w:rsidP="00E25F1E">
      <w:pPr>
        <w:pStyle w:val="a7"/>
        <w:spacing w:line="276" w:lineRule="auto"/>
        <w:rPr>
          <w:sz w:val="24"/>
          <w:szCs w:val="24"/>
        </w:rPr>
      </w:pPr>
      <w:r w:rsidRPr="00E25F1E">
        <w:rPr>
          <w:sz w:val="24"/>
          <w:szCs w:val="24"/>
        </w:rPr>
        <w:t>По данным доклада, подготовленного Общественной палатой Российской Федерации</w:t>
      </w:r>
      <w:r w:rsidR="00245607">
        <w:rPr>
          <w:sz w:val="24"/>
          <w:szCs w:val="24"/>
        </w:rPr>
        <w:t xml:space="preserve"> [5]</w:t>
      </w:r>
      <w:r w:rsidRPr="00E25F1E">
        <w:rPr>
          <w:sz w:val="24"/>
          <w:szCs w:val="24"/>
        </w:rPr>
        <w:t xml:space="preserve"> происходит постепенное расширение присутствия СО НКО в сфере социальных услуг, в то же время доля выпуска, осуществляемого в рамках модели, основанной на деятельности СО НКО, остается крайне незначительн</w:t>
      </w:r>
      <w:r>
        <w:rPr>
          <w:sz w:val="24"/>
          <w:szCs w:val="24"/>
        </w:rPr>
        <w:t>ой</w:t>
      </w:r>
      <w:r w:rsidRPr="00E25F1E">
        <w:rPr>
          <w:sz w:val="24"/>
          <w:szCs w:val="24"/>
        </w:rPr>
        <w:t>, таблица 1.</w:t>
      </w:r>
    </w:p>
    <w:p w:rsidR="00E25F1E" w:rsidRDefault="00E25F1E" w:rsidP="00E25F1E">
      <w:pPr>
        <w:pStyle w:val="a7"/>
        <w:ind w:firstLine="0"/>
        <w:rPr>
          <w:szCs w:val="28"/>
        </w:rPr>
      </w:pPr>
    </w:p>
    <w:p w:rsidR="00E25F1E" w:rsidRPr="00E25F1E" w:rsidRDefault="00E25F1E" w:rsidP="00E25F1E">
      <w:pPr>
        <w:pStyle w:val="a7"/>
        <w:spacing w:line="276" w:lineRule="auto"/>
        <w:ind w:firstLine="0"/>
        <w:rPr>
          <w:sz w:val="24"/>
          <w:szCs w:val="24"/>
        </w:rPr>
      </w:pPr>
      <w:r w:rsidRPr="00E25F1E">
        <w:rPr>
          <w:sz w:val="24"/>
          <w:szCs w:val="24"/>
        </w:rPr>
        <w:t>Таблица 1 – Показатели выпуска СО НКО по отраслям сферы социальных услуг, 2017 г.</w:t>
      </w:r>
    </w:p>
    <w:tbl>
      <w:tblPr>
        <w:tblStyle w:val="a9"/>
        <w:tblW w:w="0" w:type="auto"/>
        <w:tblInd w:w="0" w:type="dxa"/>
        <w:tblLook w:val="04A0" w:firstRow="1" w:lastRow="0" w:firstColumn="1" w:lastColumn="0" w:noHBand="0" w:noVBand="1"/>
      </w:tblPr>
      <w:tblGrid>
        <w:gridCol w:w="3114"/>
        <w:gridCol w:w="3115"/>
        <w:gridCol w:w="3115"/>
      </w:tblGrid>
      <w:tr w:rsidR="00E25F1E" w:rsidTr="00E25F1E">
        <w:tc>
          <w:tcPr>
            <w:tcW w:w="311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25F1E" w:rsidRDefault="003361B6" w:rsidP="003361B6">
            <w:pPr>
              <w:pStyle w:val="a7"/>
              <w:spacing w:line="240" w:lineRule="auto"/>
              <w:ind w:firstLine="0"/>
              <w:jc w:val="center"/>
              <w:rPr>
                <w:szCs w:val="28"/>
              </w:rPr>
            </w:pPr>
            <w:r w:rsidRPr="003361B6">
              <w:rPr>
                <w:sz w:val="24"/>
                <w:szCs w:val="24"/>
              </w:rPr>
              <w:t>Вид деятельности</w:t>
            </w:r>
            <w:r w:rsidR="00E25F1E">
              <w:t xml:space="preserve"> </w:t>
            </w:r>
          </w:p>
        </w:tc>
        <w:tc>
          <w:tcPr>
            <w:tcW w:w="31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E25F1E" w:rsidRDefault="00E25F1E" w:rsidP="00E25F1E">
            <w:pPr>
              <w:pStyle w:val="a7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Выпуск, млн.руб.</w:t>
            </w:r>
          </w:p>
        </w:tc>
        <w:tc>
          <w:tcPr>
            <w:tcW w:w="31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E25F1E" w:rsidRDefault="00E25F1E" w:rsidP="00E25F1E">
            <w:pPr>
              <w:pStyle w:val="a7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в совокупном выпуске отрасли, %</w:t>
            </w:r>
          </w:p>
        </w:tc>
      </w:tr>
      <w:tr w:rsidR="00E25F1E" w:rsidTr="00E25F1E">
        <w:tc>
          <w:tcPr>
            <w:tcW w:w="311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25F1E" w:rsidRDefault="00E25F1E" w:rsidP="00E25F1E">
            <w:pPr>
              <w:pStyle w:val="a7"/>
              <w:spacing w:line="240" w:lineRule="auto"/>
              <w:ind w:firstLine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Здравоохранение и социальное обслуживание</w:t>
            </w:r>
          </w:p>
        </w:tc>
        <w:tc>
          <w:tcPr>
            <w:tcW w:w="31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25F1E" w:rsidRDefault="00E25F1E" w:rsidP="00E25F1E">
            <w:pPr>
              <w:pStyle w:val="a7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11567</w:t>
            </w:r>
          </w:p>
        </w:tc>
        <w:tc>
          <w:tcPr>
            <w:tcW w:w="31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25F1E" w:rsidRDefault="00E25F1E" w:rsidP="00E25F1E">
            <w:pPr>
              <w:pStyle w:val="a7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0,28</w:t>
            </w:r>
          </w:p>
        </w:tc>
      </w:tr>
      <w:tr w:rsidR="00E25F1E" w:rsidTr="00E25F1E">
        <w:tc>
          <w:tcPr>
            <w:tcW w:w="311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25F1E" w:rsidRDefault="00E25F1E" w:rsidP="00E25F1E">
            <w:pPr>
              <w:pStyle w:val="a7"/>
              <w:spacing w:line="240" w:lineRule="auto"/>
              <w:ind w:firstLine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Образование</w:t>
            </w:r>
          </w:p>
        </w:tc>
        <w:tc>
          <w:tcPr>
            <w:tcW w:w="31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25F1E" w:rsidRDefault="00E25F1E" w:rsidP="00E25F1E">
            <w:pPr>
              <w:pStyle w:val="a7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8117</w:t>
            </w:r>
          </w:p>
        </w:tc>
        <w:tc>
          <w:tcPr>
            <w:tcW w:w="31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25F1E" w:rsidRDefault="00E25F1E" w:rsidP="00E25F1E">
            <w:pPr>
              <w:pStyle w:val="a7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0,2</w:t>
            </w:r>
          </w:p>
        </w:tc>
      </w:tr>
      <w:tr w:rsidR="00E25F1E" w:rsidTr="00E25F1E">
        <w:tc>
          <w:tcPr>
            <w:tcW w:w="311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25F1E" w:rsidRDefault="00E25F1E" w:rsidP="00E25F1E">
            <w:pPr>
              <w:pStyle w:val="a7"/>
              <w:spacing w:line="240" w:lineRule="auto"/>
              <w:ind w:firstLine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Культура</w:t>
            </w:r>
          </w:p>
        </w:tc>
        <w:tc>
          <w:tcPr>
            <w:tcW w:w="31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25F1E" w:rsidRDefault="00E25F1E" w:rsidP="00E25F1E">
            <w:pPr>
              <w:pStyle w:val="a7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10626</w:t>
            </w:r>
          </w:p>
        </w:tc>
        <w:tc>
          <w:tcPr>
            <w:tcW w:w="31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25F1E" w:rsidRDefault="00E25F1E" w:rsidP="00E25F1E">
            <w:pPr>
              <w:pStyle w:val="a7"/>
              <w:spacing w:line="240" w:lineRule="auto"/>
              <w:ind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1,7</w:t>
            </w:r>
          </w:p>
        </w:tc>
      </w:tr>
    </w:tbl>
    <w:p w:rsidR="00E25F1E" w:rsidRDefault="00E25F1E" w:rsidP="00E25F1E">
      <w:pPr>
        <w:pStyle w:val="a5"/>
        <w:rPr>
          <w:szCs w:val="28"/>
        </w:rPr>
      </w:pPr>
    </w:p>
    <w:p w:rsidR="00E25F1E" w:rsidRPr="00E25F1E" w:rsidRDefault="00E25F1E" w:rsidP="00E25F1E">
      <w:pPr>
        <w:pStyle w:val="a7"/>
        <w:spacing w:line="276" w:lineRule="auto"/>
        <w:rPr>
          <w:sz w:val="24"/>
          <w:szCs w:val="24"/>
        </w:rPr>
      </w:pPr>
      <w:r w:rsidRPr="00E25F1E">
        <w:rPr>
          <w:sz w:val="24"/>
          <w:szCs w:val="24"/>
        </w:rPr>
        <w:t xml:space="preserve">Если основываться на целевых показателях присутствия СО НКО в сфере социальных услуг на уровне стран Западной Европы, для которых данный показатель составляет 60-70%, то наращивание мощностей НКО займет не одно десятилетие. Развитие модели, основанной на деятельности СО НКО демонстрирует разнонаправленные тенденции. Во-первых, несмотря на регистрацию свыше 300 тыс. НКО активную деятельность по оказанию социальных услуг осуществляет незначительная часть, по оценкам специалистов ниже 20%, штат в среднем составляет 5 человек. То есть </w:t>
      </w:r>
      <w:r>
        <w:rPr>
          <w:sz w:val="24"/>
          <w:szCs w:val="24"/>
        </w:rPr>
        <w:t>мощность</w:t>
      </w:r>
      <w:r w:rsidRPr="00E25F1E">
        <w:rPr>
          <w:sz w:val="24"/>
          <w:szCs w:val="24"/>
        </w:rPr>
        <w:t xml:space="preserve"> сформированных на данный момент социально ориентированных некоммерческих </w:t>
      </w:r>
      <w:r w:rsidRPr="00E25F1E">
        <w:rPr>
          <w:sz w:val="24"/>
          <w:szCs w:val="24"/>
        </w:rPr>
        <w:lastRenderedPageBreak/>
        <w:t xml:space="preserve">организаций крайне мала по сравнению с задачами обеспечения населения социальными услугами. </w:t>
      </w:r>
    </w:p>
    <w:p w:rsidR="00E25F1E" w:rsidRPr="00E25F1E" w:rsidRDefault="00E25F1E" w:rsidP="00E25F1E">
      <w:pPr>
        <w:pStyle w:val="a7"/>
        <w:spacing w:line="276" w:lineRule="auto"/>
        <w:rPr>
          <w:sz w:val="24"/>
          <w:szCs w:val="24"/>
        </w:rPr>
      </w:pPr>
      <w:r w:rsidRPr="00E25F1E">
        <w:rPr>
          <w:sz w:val="24"/>
          <w:szCs w:val="24"/>
        </w:rPr>
        <w:t>Существенными с точки зрения организационно-экономического механизма являются проблемы участия СО НКО в оказании социальных услуг. Во-первых, существующие тарифы по возмещению затрат, сформированные в рамках нормативного подхода не покрывают затрат НКО на оказание социальных услуг. То есть те нормативы, которые действуют для государственных организаций не позволяют НКО осуществлять аналогичный выпуск услуг. Как отмечено в докладе Общественной палаты РФ, посвященному вопросам участия НКО в оказании социальных услуг</w:t>
      </w:r>
      <w:r w:rsidR="00245607">
        <w:rPr>
          <w:sz w:val="24"/>
          <w:szCs w:val="24"/>
        </w:rPr>
        <w:t xml:space="preserve"> [6]</w:t>
      </w:r>
      <w:r w:rsidRPr="00E25F1E">
        <w:rPr>
          <w:sz w:val="24"/>
          <w:szCs w:val="24"/>
        </w:rPr>
        <w:t xml:space="preserve"> «Во многих субъектах Российской Федерации размеры компенсации не соответствуют трудоемкости услуг и не коррелируют </w:t>
      </w:r>
      <w:r w:rsidR="00245607" w:rsidRPr="00E25F1E">
        <w:rPr>
          <w:sz w:val="24"/>
          <w:szCs w:val="24"/>
        </w:rPr>
        <w:t>с оплатой</w:t>
      </w:r>
      <w:r w:rsidRPr="00E25F1E">
        <w:rPr>
          <w:sz w:val="24"/>
          <w:szCs w:val="24"/>
        </w:rPr>
        <w:t xml:space="preserve"> труда работников, оказывающих услугу, </w:t>
      </w:r>
      <w:r w:rsidR="00245607" w:rsidRPr="00E25F1E">
        <w:rPr>
          <w:sz w:val="24"/>
          <w:szCs w:val="24"/>
        </w:rPr>
        <w:t>не включают</w:t>
      </w:r>
      <w:r w:rsidRPr="00E25F1E">
        <w:rPr>
          <w:sz w:val="24"/>
          <w:szCs w:val="24"/>
        </w:rPr>
        <w:t xml:space="preserve"> административные расходы». </w:t>
      </w:r>
    </w:p>
    <w:p w:rsidR="00E25F1E" w:rsidRPr="00E25F1E" w:rsidRDefault="00E25F1E" w:rsidP="00E25F1E">
      <w:pPr>
        <w:pStyle w:val="a7"/>
        <w:spacing w:line="276" w:lineRule="auto"/>
        <w:rPr>
          <w:sz w:val="24"/>
          <w:szCs w:val="24"/>
        </w:rPr>
      </w:pPr>
      <w:r w:rsidRPr="00E25F1E">
        <w:rPr>
          <w:sz w:val="24"/>
          <w:szCs w:val="24"/>
        </w:rPr>
        <w:t>Таким образом, существующая модель организационно-экономического механизма, основанная на деятельности СО НКО не в полной мере, соответствует методологии аллокативной эффективности, не позволяет максимизировать выпуск социальных услуг в условиях ограниченных ресурсов.</w:t>
      </w:r>
    </w:p>
    <w:p w:rsidR="00E25F1E" w:rsidRDefault="00E25F1E" w:rsidP="00E25F1E"/>
    <w:p w:rsidR="00245607" w:rsidRDefault="00245607" w:rsidP="00245607">
      <w:pPr>
        <w:ind w:firstLine="708"/>
        <w:jc w:val="center"/>
        <w:rPr>
          <w:sz w:val="24"/>
          <w:szCs w:val="24"/>
        </w:rPr>
      </w:pPr>
      <w:r>
        <w:rPr>
          <w:sz w:val="24"/>
          <w:szCs w:val="24"/>
        </w:rPr>
        <w:t>Список использованных источников:</w:t>
      </w:r>
    </w:p>
    <w:p w:rsidR="00245607" w:rsidRDefault="00245607" w:rsidP="00245607">
      <w:pPr>
        <w:ind w:firstLine="708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245607" w:rsidRPr="00245607" w:rsidRDefault="00245607" w:rsidP="00245607">
      <w:pPr>
        <w:pStyle w:val="a4"/>
        <w:numPr>
          <w:ilvl w:val="0"/>
          <w:numId w:val="1"/>
        </w:numPr>
        <w:jc w:val="both"/>
        <w:rPr>
          <w:lang w:val="en-US"/>
        </w:rPr>
      </w:pPr>
      <w:r>
        <w:t xml:space="preserve">Мерсиянова И. В., Беневоленский В. Б. Преимущества НКО как поставщиков социальных услуг: апробация в российских условиях //Вопросы государственного и муниципального управления. 2016. №. </w:t>
      </w:r>
      <w:r w:rsidRPr="00245607">
        <w:rPr>
          <w:lang w:val="en-US"/>
        </w:rPr>
        <w:t xml:space="preserve">4. </w:t>
      </w:r>
      <w:r>
        <w:t>С</w:t>
      </w:r>
      <w:r w:rsidRPr="00245607">
        <w:rPr>
          <w:lang w:val="en-US"/>
        </w:rPr>
        <w:t>. 7-26.</w:t>
      </w:r>
    </w:p>
    <w:p w:rsidR="00245607" w:rsidRDefault="00245607" w:rsidP="00245607">
      <w:pPr>
        <w:pStyle w:val="a4"/>
        <w:numPr>
          <w:ilvl w:val="0"/>
          <w:numId w:val="1"/>
        </w:numPr>
        <w:jc w:val="both"/>
      </w:pPr>
      <w:r>
        <w:t>Власова А. А., Соколов А. В. Проблемы и перспективы формирования и развития региональных квазирынков социальных услуг в России //</w:t>
      </w:r>
      <w:r>
        <w:rPr>
          <w:lang w:val="en-US"/>
        </w:rPr>
        <w:t>PolitBook</w:t>
      </w:r>
      <w:r>
        <w:t>. 2017. №. 4.</w:t>
      </w:r>
    </w:p>
    <w:p w:rsidR="00245607" w:rsidRDefault="00245607" w:rsidP="00245607">
      <w:pPr>
        <w:pStyle w:val="a4"/>
        <w:numPr>
          <w:ilvl w:val="0"/>
          <w:numId w:val="1"/>
        </w:numPr>
        <w:jc w:val="both"/>
      </w:pPr>
      <w:r>
        <w:t>Заболотная Г. М., Ларионов А. В. Региональные практики институционализации негосударственных поставщиков социальных услуг //Вопросы государственного и муниципального управления. 2017. №. 3.</w:t>
      </w:r>
    </w:p>
    <w:p w:rsidR="00245607" w:rsidRDefault="00245607" w:rsidP="00245607">
      <w:pPr>
        <w:pStyle w:val="a4"/>
        <w:numPr>
          <w:ilvl w:val="0"/>
          <w:numId w:val="1"/>
        </w:numPr>
      </w:pPr>
      <w:r>
        <w:t>Барков А. В. Социальное предпринимательство в условиях формирования правовой модели рынка социальных услуг //Предпринимательское право. 2012. №. 2. С. 28-32.</w:t>
      </w:r>
    </w:p>
    <w:p w:rsidR="00245607" w:rsidRDefault="00245607" w:rsidP="00245607">
      <w:pPr>
        <w:pStyle w:val="a4"/>
        <w:numPr>
          <w:ilvl w:val="0"/>
          <w:numId w:val="1"/>
        </w:numPr>
        <w:jc w:val="both"/>
      </w:pPr>
      <w:r>
        <w:t>Участие НКО в оказании услуг в социальной сфере (Специальный доклад Общественной палаты Российской Федерации) / Общественная палата Российской Федерации ; сост. и</w:t>
      </w:r>
      <w:r w:rsidRPr="00245607">
        <w:t xml:space="preserve"> </w:t>
      </w:r>
      <w:r>
        <w:t>общ. ред. Е.А. Тополева-Солдунова, – Москва: «Современные информационные системы», 2019  96 с.</w:t>
      </w:r>
    </w:p>
    <w:p w:rsidR="00245607" w:rsidRDefault="00245607" w:rsidP="00245607">
      <w:pPr>
        <w:pStyle w:val="a4"/>
        <w:numPr>
          <w:ilvl w:val="0"/>
          <w:numId w:val="1"/>
        </w:numPr>
      </w:pPr>
      <w:r>
        <w:t>Доклад О состоянии гражданского общества в Российской Федерации за 2019 год // Общественная палата Российской Федерации Электронный ресурс https://www.oprf.ru/files/1_2019dok/doklad_OPRF_2019_19122019.pdf</w:t>
      </w:r>
    </w:p>
    <w:p w:rsidR="003361B6" w:rsidRDefault="003361B6" w:rsidP="003361B6">
      <w:pPr>
        <w:jc w:val="both"/>
        <w:rPr>
          <w:b/>
          <w:sz w:val="24"/>
          <w:szCs w:val="24"/>
        </w:rPr>
      </w:pPr>
    </w:p>
    <w:p w:rsidR="003361B6" w:rsidRDefault="003361B6" w:rsidP="003361B6">
      <w:pPr>
        <w:jc w:val="both"/>
        <w:rPr>
          <w:b/>
          <w:sz w:val="24"/>
          <w:szCs w:val="24"/>
        </w:rPr>
      </w:pPr>
    </w:p>
    <w:p w:rsidR="003361B6" w:rsidRPr="003361B6" w:rsidRDefault="003361B6" w:rsidP="003361B6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Огородникова Екатерина Сергеевна</w:t>
      </w:r>
      <w:r w:rsidRPr="003361B6">
        <w:rPr>
          <w:b/>
          <w:sz w:val="24"/>
          <w:szCs w:val="24"/>
        </w:rPr>
        <w:t xml:space="preserve"> </w:t>
      </w:r>
      <w:r w:rsidRPr="003361B6">
        <w:rPr>
          <w:sz w:val="24"/>
          <w:szCs w:val="24"/>
        </w:rPr>
        <w:t>(Екатеринбург, Россия), к.э.н., доцент</w:t>
      </w:r>
      <w:r w:rsidRPr="003361B6">
        <w:rPr>
          <w:sz w:val="24"/>
          <w:szCs w:val="24"/>
          <w:vertAlign w:val="superscript"/>
        </w:rPr>
        <w:t xml:space="preserve"> </w:t>
      </w:r>
      <w:r w:rsidRPr="003361B6">
        <w:rPr>
          <w:sz w:val="24"/>
          <w:szCs w:val="24"/>
        </w:rPr>
        <w:t xml:space="preserve">ФГБОУ ВО «Уральский государственный экономический университет» </w:t>
      </w:r>
      <w:r>
        <w:rPr>
          <w:sz w:val="24"/>
          <w:szCs w:val="24"/>
          <w:lang w:val="en-US"/>
        </w:rPr>
        <w:t>cmb</w:t>
      </w:r>
      <w:r w:rsidRPr="003361B6">
        <w:rPr>
          <w:sz w:val="24"/>
          <w:szCs w:val="24"/>
        </w:rPr>
        <w:t>_8@</w:t>
      </w:r>
      <w:r>
        <w:rPr>
          <w:sz w:val="24"/>
          <w:szCs w:val="24"/>
          <w:lang w:val="en-US"/>
        </w:rPr>
        <w:t>mail</w:t>
      </w:r>
      <w:r w:rsidRPr="003361B6">
        <w:rPr>
          <w:sz w:val="24"/>
          <w:szCs w:val="24"/>
        </w:rPr>
        <w:t>.</w:t>
      </w:r>
      <w:r w:rsidRPr="003361B6">
        <w:rPr>
          <w:sz w:val="24"/>
          <w:szCs w:val="24"/>
          <w:lang w:val="en-US"/>
        </w:rPr>
        <w:t>ru</w:t>
      </w:r>
    </w:p>
    <w:p w:rsidR="00245607" w:rsidRDefault="00245607" w:rsidP="00245607"/>
    <w:p w:rsidR="003361B6" w:rsidRPr="003361B6" w:rsidRDefault="003361B6" w:rsidP="003361B6">
      <w:pPr>
        <w:jc w:val="right"/>
        <w:rPr>
          <w:sz w:val="24"/>
          <w:szCs w:val="24"/>
          <w:lang w:val="en-US"/>
        </w:rPr>
      </w:pPr>
      <w:r w:rsidRPr="003361B6">
        <w:rPr>
          <w:sz w:val="24"/>
          <w:szCs w:val="24"/>
          <w:lang w:val="en-US"/>
        </w:rPr>
        <w:t>Ogorodnikova E. S.</w:t>
      </w:r>
    </w:p>
    <w:p w:rsidR="003361B6" w:rsidRPr="003361B6" w:rsidRDefault="003361B6" w:rsidP="003361B6">
      <w:pPr>
        <w:rPr>
          <w:sz w:val="24"/>
          <w:szCs w:val="24"/>
          <w:lang w:val="en-US"/>
        </w:rPr>
      </w:pPr>
    </w:p>
    <w:p w:rsidR="003361B6" w:rsidRPr="003361B6" w:rsidRDefault="003361B6" w:rsidP="003361B6">
      <w:pPr>
        <w:jc w:val="center"/>
        <w:rPr>
          <w:b/>
          <w:sz w:val="24"/>
          <w:szCs w:val="24"/>
          <w:lang w:val="en-US"/>
        </w:rPr>
      </w:pPr>
      <w:r w:rsidRPr="003361B6">
        <w:rPr>
          <w:b/>
          <w:sz w:val="24"/>
          <w:szCs w:val="24"/>
          <w:lang w:val="en-US"/>
        </w:rPr>
        <w:t>EVALUATION OF THE OUTPUT OF SOCIAL SERVICES BY SOCIALLY ORIENTED NON-PROFIT ORGANIZATIONS</w:t>
      </w:r>
    </w:p>
    <w:p w:rsidR="003361B6" w:rsidRPr="003361B6" w:rsidRDefault="003361B6" w:rsidP="003361B6">
      <w:pPr>
        <w:rPr>
          <w:sz w:val="24"/>
          <w:szCs w:val="24"/>
          <w:lang w:val="en-US"/>
        </w:rPr>
      </w:pPr>
    </w:p>
    <w:p w:rsidR="003361B6" w:rsidRPr="003361B6" w:rsidRDefault="003361B6" w:rsidP="003361B6">
      <w:pPr>
        <w:jc w:val="both"/>
        <w:rPr>
          <w:sz w:val="24"/>
          <w:szCs w:val="24"/>
          <w:lang w:val="en-US"/>
        </w:rPr>
      </w:pPr>
      <w:r w:rsidRPr="003361B6">
        <w:rPr>
          <w:b/>
          <w:sz w:val="24"/>
          <w:szCs w:val="24"/>
          <w:lang w:val="en-US"/>
        </w:rPr>
        <w:t>Annotation.</w:t>
      </w:r>
      <w:r w:rsidRPr="003361B6">
        <w:rPr>
          <w:sz w:val="24"/>
          <w:szCs w:val="24"/>
          <w:lang w:val="en-US"/>
        </w:rPr>
        <w:t xml:space="preserve"> The relevance of the article is due to the lack of effective methods and tools for the development of the sector of non-profit organizations in the field of social services. As a result of the conducted research, a conclusion is made about the reason for the lack of initiative </w:t>
      </w:r>
      <w:r w:rsidRPr="003361B6">
        <w:rPr>
          <w:sz w:val="24"/>
          <w:szCs w:val="24"/>
          <w:lang w:val="en-US"/>
        </w:rPr>
        <w:lastRenderedPageBreak/>
        <w:t>development of SO NPOs in the social services sector due to low low-level efficiency.</w:t>
      </w:r>
    </w:p>
    <w:p w:rsidR="003361B6" w:rsidRDefault="003361B6" w:rsidP="003361B6">
      <w:pPr>
        <w:rPr>
          <w:sz w:val="24"/>
          <w:szCs w:val="24"/>
          <w:lang w:val="en-US"/>
        </w:rPr>
      </w:pPr>
      <w:r w:rsidRPr="003361B6">
        <w:rPr>
          <w:b/>
          <w:sz w:val="24"/>
          <w:szCs w:val="24"/>
          <w:lang w:val="en-US"/>
        </w:rPr>
        <w:t>Keywords.</w:t>
      </w:r>
      <w:r w:rsidRPr="003361B6">
        <w:rPr>
          <w:sz w:val="24"/>
          <w:szCs w:val="24"/>
          <w:lang w:val="en-US"/>
        </w:rPr>
        <w:t xml:space="preserve"> Social services, non-profit organizations, issue, strategy.</w:t>
      </w:r>
    </w:p>
    <w:p w:rsidR="003361B6" w:rsidRDefault="003361B6" w:rsidP="003361B6">
      <w:pPr>
        <w:rPr>
          <w:sz w:val="24"/>
          <w:szCs w:val="24"/>
          <w:lang w:val="en-US"/>
        </w:rPr>
      </w:pPr>
    </w:p>
    <w:p w:rsidR="003361B6" w:rsidRDefault="003361B6" w:rsidP="003361B6">
      <w:pPr>
        <w:rPr>
          <w:sz w:val="24"/>
          <w:szCs w:val="24"/>
          <w:lang w:val="en-US"/>
        </w:rPr>
      </w:pPr>
    </w:p>
    <w:p w:rsidR="003361B6" w:rsidRDefault="003361B6" w:rsidP="003361B6">
      <w:pPr>
        <w:rPr>
          <w:sz w:val="24"/>
          <w:szCs w:val="24"/>
          <w:lang w:val="en-US"/>
        </w:rPr>
      </w:pPr>
      <w:r w:rsidRPr="003361B6">
        <w:rPr>
          <w:b/>
          <w:sz w:val="24"/>
          <w:szCs w:val="24"/>
          <w:lang w:val="en-US"/>
        </w:rPr>
        <w:t>Ogorodnikova Ekaterina Sergeevna</w:t>
      </w:r>
      <w:r w:rsidRPr="003361B6">
        <w:rPr>
          <w:sz w:val="24"/>
          <w:szCs w:val="24"/>
          <w:lang w:val="en-US"/>
        </w:rPr>
        <w:t xml:space="preserve"> (Yekaterinburg, Russia), PhD, Associate Professor, Ural State University of Economics </w:t>
      </w:r>
      <w:hyperlink r:id="rId7" w:history="1">
        <w:r w:rsidRPr="00032070">
          <w:rPr>
            <w:rStyle w:val="ab"/>
            <w:sz w:val="24"/>
            <w:szCs w:val="24"/>
            <w:lang w:val="en-US"/>
          </w:rPr>
          <w:t>cmb_8@mail.ru</w:t>
        </w:r>
      </w:hyperlink>
    </w:p>
    <w:p w:rsidR="003361B6" w:rsidRDefault="003361B6" w:rsidP="003361B6">
      <w:pPr>
        <w:rPr>
          <w:sz w:val="24"/>
          <w:szCs w:val="24"/>
          <w:lang w:val="en-US"/>
        </w:rPr>
      </w:pPr>
    </w:p>
    <w:p w:rsidR="003361B6" w:rsidRPr="003361B6" w:rsidRDefault="003361B6" w:rsidP="003361B6">
      <w:pPr>
        <w:jc w:val="center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>References</w:t>
      </w:r>
      <w:r w:rsidRPr="003361B6">
        <w:rPr>
          <w:sz w:val="24"/>
          <w:szCs w:val="24"/>
          <w:lang w:val="en-US"/>
        </w:rPr>
        <w:t>:</w:t>
      </w:r>
    </w:p>
    <w:p w:rsidR="003361B6" w:rsidRPr="003361B6" w:rsidRDefault="003361B6" w:rsidP="003361B6">
      <w:pPr>
        <w:rPr>
          <w:sz w:val="24"/>
          <w:szCs w:val="24"/>
          <w:lang w:val="en-US"/>
        </w:rPr>
      </w:pPr>
    </w:p>
    <w:p w:rsidR="003361B6" w:rsidRPr="003361B6" w:rsidRDefault="003361B6" w:rsidP="003361B6">
      <w:pPr>
        <w:rPr>
          <w:sz w:val="24"/>
          <w:szCs w:val="24"/>
          <w:lang w:val="en-US"/>
        </w:rPr>
      </w:pPr>
      <w:r w:rsidRPr="003361B6">
        <w:rPr>
          <w:sz w:val="24"/>
          <w:szCs w:val="24"/>
          <w:lang w:val="en-US"/>
        </w:rPr>
        <w:t>1. Mersiyanova I. V., Benevolensky V. B. Advantages of NPOs as social service providers: approbation in Russian conditions //Issues of state and municipal administration. 2016. no. 4. pp. 7-26.</w:t>
      </w:r>
    </w:p>
    <w:p w:rsidR="003361B6" w:rsidRPr="003361B6" w:rsidRDefault="003361B6" w:rsidP="003361B6">
      <w:pPr>
        <w:rPr>
          <w:sz w:val="24"/>
          <w:szCs w:val="24"/>
          <w:lang w:val="en-US"/>
        </w:rPr>
      </w:pPr>
      <w:r w:rsidRPr="003361B6">
        <w:rPr>
          <w:sz w:val="24"/>
          <w:szCs w:val="24"/>
          <w:lang w:val="en-US"/>
        </w:rPr>
        <w:t>2. Vlasova A. A., Sokolov A.V. Problems and prospects of formation and development of regional quasi-markets of social services in Russia. 2017. No. 4.</w:t>
      </w:r>
    </w:p>
    <w:p w:rsidR="003361B6" w:rsidRPr="003361B6" w:rsidRDefault="003361B6" w:rsidP="003361B6">
      <w:pPr>
        <w:rPr>
          <w:sz w:val="24"/>
          <w:szCs w:val="24"/>
          <w:lang w:val="en-US"/>
        </w:rPr>
      </w:pPr>
      <w:r w:rsidRPr="003361B6">
        <w:rPr>
          <w:sz w:val="24"/>
          <w:szCs w:val="24"/>
          <w:lang w:val="en-US"/>
        </w:rPr>
        <w:t>3. Zabolotnaya G. M., Larionov A.V. Regional practices of institutionalization of non-state social service providers //Issues of state and municipal administration. 2017. №. 3.</w:t>
      </w:r>
    </w:p>
    <w:p w:rsidR="003361B6" w:rsidRPr="003361B6" w:rsidRDefault="003361B6" w:rsidP="003361B6">
      <w:pPr>
        <w:rPr>
          <w:sz w:val="24"/>
          <w:szCs w:val="24"/>
          <w:lang w:val="en-US"/>
        </w:rPr>
      </w:pPr>
      <w:r w:rsidRPr="003361B6">
        <w:rPr>
          <w:sz w:val="24"/>
          <w:szCs w:val="24"/>
          <w:lang w:val="en-US"/>
        </w:rPr>
        <w:t>4. Barkov A.V. Social entrepreneurship in the conditions of formation of the legal model of the social services market //Business law. 2012. no. 2. pp. 28-32.</w:t>
      </w:r>
    </w:p>
    <w:p w:rsidR="003361B6" w:rsidRPr="003361B6" w:rsidRDefault="003361B6" w:rsidP="003361B6">
      <w:pPr>
        <w:rPr>
          <w:sz w:val="24"/>
          <w:szCs w:val="24"/>
          <w:lang w:val="en-US"/>
        </w:rPr>
      </w:pPr>
      <w:r w:rsidRPr="003361B6">
        <w:rPr>
          <w:sz w:val="24"/>
          <w:szCs w:val="24"/>
          <w:lang w:val="en-US"/>
        </w:rPr>
        <w:t>5. Participation of NGOs in the provision of social services (Special Report of the Public Chamber of the Russian Federation) / Public Chamber of the Russian Federation; comp. and the general editorship of E. A. Topolev-Soldunov, - Moscow: "Modern information systems", 2019 96 p.</w:t>
      </w:r>
    </w:p>
    <w:p w:rsidR="003361B6" w:rsidRPr="003361B6" w:rsidRDefault="003361B6" w:rsidP="003361B6">
      <w:pPr>
        <w:rPr>
          <w:sz w:val="24"/>
          <w:szCs w:val="24"/>
          <w:lang w:val="en-US"/>
        </w:rPr>
      </w:pPr>
      <w:r w:rsidRPr="003361B6">
        <w:rPr>
          <w:sz w:val="24"/>
          <w:szCs w:val="24"/>
          <w:lang w:val="en-US"/>
        </w:rPr>
        <w:t>6. Report on the state of civil society in the Russian Federation for 2019 / / Public Chamber of the Russian Federation Electronic Resource https://www.oprf.ru/files/1_2019dok/doklad_OPRF_2019_19122019.pdf</w:t>
      </w:r>
    </w:p>
    <w:sectPr w:rsidR="003361B6" w:rsidRPr="003361B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B20DB" w:rsidRDefault="006B20DB" w:rsidP="00E25F1E">
      <w:r>
        <w:separator/>
      </w:r>
    </w:p>
  </w:endnote>
  <w:endnote w:type="continuationSeparator" w:id="0">
    <w:p w:rsidR="006B20DB" w:rsidRDefault="006B20DB" w:rsidP="00E25F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B20DB" w:rsidRDefault="006B20DB" w:rsidP="00E25F1E">
      <w:r>
        <w:separator/>
      </w:r>
    </w:p>
  </w:footnote>
  <w:footnote w:type="continuationSeparator" w:id="0">
    <w:p w:rsidR="006B20DB" w:rsidRDefault="006B20DB" w:rsidP="00E25F1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1B1578"/>
    <w:multiLevelType w:val="hybridMultilevel"/>
    <w:tmpl w:val="9A96F90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ru-RU" w:vendorID="64" w:dllVersion="131078" w:nlCheck="1" w:checkStyle="0"/>
  <w:activeWritingStyle w:appName="MSWord" w:lang="en-US" w:vendorID="64" w:dllVersion="131078" w:nlCheck="1" w:checkStyle="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F1E"/>
    <w:rsid w:val="00154CCE"/>
    <w:rsid w:val="00245607"/>
    <w:rsid w:val="003361B6"/>
    <w:rsid w:val="00474B61"/>
    <w:rsid w:val="006B20DB"/>
    <w:rsid w:val="006F0795"/>
    <w:rsid w:val="00976BF0"/>
    <w:rsid w:val="00E25F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F8BF157-65D1-475A-AE4A-024635D676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25F1E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rvts52">
    <w:name w:val="rvts52"/>
    <w:basedOn w:val="a0"/>
    <w:rsid w:val="00E25F1E"/>
  </w:style>
  <w:style w:type="character" w:customStyle="1" w:styleId="a3">
    <w:name w:val="Текст сноски Знак"/>
    <w:aliases w:val="Текст сноски-FN Знак,Footnote Text Char Знак Знак Знак,Footnote Text Char Знак Знак1,-++ Знак,single space Знак,footnote text Знак,Footnote Text Char Знак1,Знак Знак Знак1,Знак Знак Знак Знак,Знак Знак2,Знак1 Знак Знак Знак"/>
    <w:basedOn w:val="a0"/>
    <w:link w:val="a4"/>
    <w:uiPriority w:val="99"/>
    <w:semiHidden/>
    <w:locked/>
    <w:rsid w:val="00E25F1E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footnote text"/>
    <w:aliases w:val="Текст сноски-FN,Footnote Text Char Знак Знак,Footnote Text Char Знак,-++,single space,footnote text,Footnote Text Char,Знак Знак,Знак Знак Знак,Знак,Знак1 Знак Знак,Текст сноски1,Знак1 Знак,Знак Знак1"/>
    <w:basedOn w:val="a"/>
    <w:link w:val="a3"/>
    <w:uiPriority w:val="99"/>
    <w:semiHidden/>
    <w:unhideWhenUsed/>
    <w:rsid w:val="00E25F1E"/>
    <w:pPr>
      <w:widowControl/>
      <w:autoSpaceDE/>
      <w:autoSpaceDN/>
      <w:adjustRightInd/>
    </w:pPr>
    <w:rPr>
      <w:rFonts w:eastAsia="Times New Roman"/>
      <w:sz w:val="24"/>
      <w:szCs w:val="24"/>
    </w:rPr>
  </w:style>
  <w:style w:type="character" w:customStyle="1" w:styleId="1">
    <w:name w:val="Текст сноски Знак1"/>
    <w:basedOn w:val="a0"/>
    <w:uiPriority w:val="99"/>
    <w:semiHidden/>
    <w:rsid w:val="00E25F1E"/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styleId="a5">
    <w:name w:val="caption"/>
    <w:basedOn w:val="a"/>
    <w:next w:val="a"/>
    <w:uiPriority w:val="35"/>
    <w:semiHidden/>
    <w:unhideWhenUsed/>
    <w:qFormat/>
    <w:rsid w:val="00E25F1E"/>
    <w:pPr>
      <w:widowControl/>
      <w:autoSpaceDE/>
      <w:autoSpaceDN/>
      <w:adjustRightInd/>
      <w:spacing w:after="200"/>
    </w:pPr>
    <w:rPr>
      <w:rFonts w:eastAsia="Times New Roman"/>
      <w:b/>
      <w:bCs/>
      <w:color w:val="5B9BD5" w:themeColor="accent1"/>
      <w:sz w:val="18"/>
      <w:szCs w:val="18"/>
    </w:rPr>
  </w:style>
  <w:style w:type="character" w:customStyle="1" w:styleId="a6">
    <w:name w:val="Текст основной Знак"/>
    <w:basedOn w:val="a0"/>
    <w:link w:val="a7"/>
    <w:locked/>
    <w:rsid w:val="00E25F1E"/>
    <w:rPr>
      <w:rFonts w:ascii="Times New Roman" w:hAnsi="Times New Roman" w:cs="Times New Roman"/>
      <w:sz w:val="28"/>
    </w:rPr>
  </w:style>
  <w:style w:type="paragraph" w:customStyle="1" w:styleId="a7">
    <w:name w:val="Текст основной"/>
    <w:basedOn w:val="a"/>
    <w:link w:val="a6"/>
    <w:qFormat/>
    <w:rsid w:val="00E25F1E"/>
    <w:pPr>
      <w:widowControl/>
      <w:autoSpaceDE/>
      <w:autoSpaceDN/>
      <w:adjustRightInd/>
      <w:spacing w:line="360" w:lineRule="auto"/>
      <w:ind w:firstLine="709"/>
      <w:jc w:val="both"/>
    </w:pPr>
    <w:rPr>
      <w:rFonts w:eastAsiaTheme="minorHAnsi"/>
      <w:sz w:val="28"/>
      <w:szCs w:val="22"/>
      <w:lang w:eastAsia="en-US"/>
    </w:rPr>
  </w:style>
  <w:style w:type="character" w:styleId="a8">
    <w:name w:val="footnote reference"/>
    <w:aliases w:val="Знак сноски-FN"/>
    <w:basedOn w:val="a0"/>
    <w:uiPriority w:val="99"/>
    <w:semiHidden/>
    <w:unhideWhenUsed/>
    <w:rsid w:val="00E25F1E"/>
    <w:rPr>
      <w:vertAlign w:val="superscript"/>
    </w:rPr>
  </w:style>
  <w:style w:type="table" w:styleId="a9">
    <w:name w:val="Table Grid"/>
    <w:basedOn w:val="a1"/>
    <w:uiPriority w:val="59"/>
    <w:rsid w:val="00E25F1E"/>
    <w:pPr>
      <w:spacing w:after="0" w:line="240" w:lineRule="auto"/>
    </w:pPr>
    <w:rPr>
      <w:rFonts w:eastAsiaTheme="minorEastAsia"/>
    </w:rPr>
    <w:tblPr>
      <w:tblInd w:w="0" w:type="nil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a">
    <w:name w:val="List Paragraph"/>
    <w:basedOn w:val="a"/>
    <w:uiPriority w:val="34"/>
    <w:qFormat/>
    <w:rsid w:val="003361B6"/>
    <w:pPr>
      <w:ind w:left="720"/>
      <w:contextualSpacing/>
    </w:pPr>
  </w:style>
  <w:style w:type="character" w:styleId="ab">
    <w:name w:val="Hyperlink"/>
    <w:basedOn w:val="a0"/>
    <w:uiPriority w:val="99"/>
    <w:unhideWhenUsed/>
    <w:rsid w:val="003361B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47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59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8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825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29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43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cmb_8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1012</Words>
  <Characters>5772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Огородникова Екатерина Сергеевна</dc:creator>
  <cp:keywords/>
  <dc:description/>
  <cp:lastModifiedBy>Екатерина Георгиевна Леонидова</cp:lastModifiedBy>
  <cp:revision>2</cp:revision>
  <dcterms:created xsi:type="dcterms:W3CDTF">2021-05-11T06:22:00Z</dcterms:created>
  <dcterms:modified xsi:type="dcterms:W3CDTF">2021-05-11T06:22:00Z</dcterms:modified>
</cp:coreProperties>
</file>