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1DA7" w:rsidRPr="00BB5C8C" w:rsidRDefault="000E1DA7" w:rsidP="00753AB1">
      <w:pPr>
        <w:pStyle w:val="2"/>
        <w:ind w:firstLine="567"/>
        <w:jc w:val="both"/>
        <w:rPr>
          <w:rFonts w:ascii="Times New Roman" w:hAnsi="Times New Roman" w:cs="Times New Roman"/>
          <w:color w:val="000000"/>
          <w:sz w:val="24"/>
          <w:szCs w:val="24"/>
        </w:rPr>
      </w:pPr>
      <w:bookmarkStart w:id="0" w:name="_GoBack"/>
      <w:bookmarkEnd w:id="0"/>
      <w:r w:rsidRPr="00BB5C8C">
        <w:rPr>
          <w:rFonts w:ascii="Times New Roman" w:hAnsi="Times New Roman" w:cs="Times New Roman"/>
          <w:color w:val="000000"/>
          <w:sz w:val="24"/>
          <w:szCs w:val="24"/>
        </w:rPr>
        <w:t>УДК 338.24</w:t>
      </w:r>
    </w:p>
    <w:p w:rsidR="00223829" w:rsidRDefault="00223829" w:rsidP="00753AB1">
      <w:pPr>
        <w:ind w:firstLine="567"/>
        <w:jc w:val="right"/>
      </w:pPr>
    </w:p>
    <w:p w:rsidR="00223829" w:rsidRPr="00053608" w:rsidRDefault="00223829" w:rsidP="00753AB1">
      <w:pPr>
        <w:ind w:firstLine="567"/>
        <w:jc w:val="right"/>
        <w:rPr>
          <w:b/>
          <w:sz w:val="24"/>
          <w:szCs w:val="24"/>
        </w:rPr>
      </w:pPr>
      <w:r w:rsidRPr="00053608">
        <w:rPr>
          <w:b/>
          <w:sz w:val="24"/>
          <w:szCs w:val="24"/>
        </w:rPr>
        <w:t>Орех Евгений Владимирович</w:t>
      </w:r>
    </w:p>
    <w:p w:rsidR="00223829" w:rsidRPr="00053608" w:rsidRDefault="00223829" w:rsidP="00753AB1">
      <w:pPr>
        <w:ind w:firstLine="567"/>
        <w:jc w:val="right"/>
        <w:rPr>
          <w:b/>
          <w:sz w:val="24"/>
          <w:szCs w:val="24"/>
        </w:rPr>
      </w:pPr>
      <w:r w:rsidRPr="00053608">
        <w:rPr>
          <w:b/>
          <w:sz w:val="24"/>
          <w:szCs w:val="24"/>
        </w:rPr>
        <w:t>Василевский Александр Иванович</w:t>
      </w:r>
    </w:p>
    <w:p w:rsidR="00223829" w:rsidRPr="00053608" w:rsidRDefault="00223829" w:rsidP="00753AB1">
      <w:pPr>
        <w:pStyle w:val="2"/>
        <w:ind w:firstLine="567"/>
        <w:jc w:val="center"/>
        <w:rPr>
          <w:rFonts w:ascii="Times New Roman" w:hAnsi="Times New Roman" w:cs="Times New Roman"/>
          <w:color w:val="000000"/>
          <w:sz w:val="24"/>
          <w:szCs w:val="24"/>
        </w:rPr>
      </w:pPr>
      <w:r w:rsidRPr="00053608">
        <w:rPr>
          <w:rFonts w:ascii="Times New Roman" w:hAnsi="Times New Roman" w:cs="Times New Roman"/>
          <w:color w:val="000000"/>
          <w:sz w:val="24"/>
          <w:szCs w:val="24"/>
        </w:rPr>
        <w:t>ОЦЕНКА СТРАТЕГИЧЕСКИХ НАПРАВЛЕНИЙ СОВЕРШЕНСТВОВАНИЯ ФИНАНСОВОЙ ДЕЯТЕЛЬНОСТИ ПРОМЫШЛЕННОГО ПРЕДПРИЯТИЯ</w:t>
      </w:r>
    </w:p>
    <w:p w:rsidR="00DF2638" w:rsidRDefault="00DF2638" w:rsidP="00DF2638">
      <w:pPr>
        <w:pStyle w:val="a3"/>
        <w:ind w:left="0"/>
        <w:jc w:val="both"/>
        <w:rPr>
          <w:b/>
          <w:sz w:val="24"/>
          <w:szCs w:val="24"/>
        </w:rPr>
      </w:pPr>
    </w:p>
    <w:p w:rsidR="00DF2638" w:rsidRPr="00F63063" w:rsidRDefault="00DF2638" w:rsidP="00DF2638">
      <w:pPr>
        <w:pStyle w:val="a3"/>
        <w:ind w:left="0"/>
        <w:jc w:val="both"/>
        <w:rPr>
          <w:b/>
          <w:sz w:val="24"/>
          <w:szCs w:val="24"/>
        </w:rPr>
      </w:pPr>
      <w:r w:rsidRPr="00F63063">
        <w:rPr>
          <w:b/>
          <w:sz w:val="24"/>
          <w:szCs w:val="24"/>
        </w:rPr>
        <w:t xml:space="preserve">Аннотация </w:t>
      </w:r>
      <w:r>
        <w:rPr>
          <w:b/>
          <w:sz w:val="24"/>
          <w:szCs w:val="24"/>
        </w:rPr>
        <w:t xml:space="preserve">статьи </w:t>
      </w:r>
      <w:r w:rsidRPr="00F63063">
        <w:rPr>
          <w:b/>
          <w:sz w:val="24"/>
          <w:szCs w:val="24"/>
        </w:rPr>
        <w:t xml:space="preserve">на </w:t>
      </w:r>
      <w:r>
        <w:rPr>
          <w:b/>
          <w:sz w:val="24"/>
          <w:szCs w:val="24"/>
        </w:rPr>
        <w:t>русском языке</w:t>
      </w:r>
    </w:p>
    <w:p w:rsidR="00053608" w:rsidRPr="00053608" w:rsidRDefault="00053608" w:rsidP="00753AB1">
      <w:pPr>
        <w:shd w:val="clear" w:color="auto" w:fill="FFFFFF"/>
        <w:ind w:firstLine="567"/>
        <w:jc w:val="both"/>
        <w:rPr>
          <w:bCs/>
          <w:sz w:val="24"/>
          <w:szCs w:val="24"/>
          <w:lang w:val="en-US"/>
        </w:rPr>
      </w:pPr>
    </w:p>
    <w:p w:rsidR="00223829" w:rsidRPr="00053608" w:rsidRDefault="00053608" w:rsidP="00753AB1">
      <w:pPr>
        <w:shd w:val="clear" w:color="auto" w:fill="FFFFFF"/>
        <w:ind w:firstLine="567"/>
        <w:jc w:val="both"/>
        <w:rPr>
          <w:sz w:val="24"/>
          <w:szCs w:val="24"/>
        </w:rPr>
      </w:pPr>
      <w:r w:rsidRPr="00053608">
        <w:rPr>
          <w:bCs/>
          <w:sz w:val="24"/>
          <w:szCs w:val="24"/>
        </w:rPr>
        <w:t>Рассмотрены проблемные аспекты организации и проведения оценки показате</w:t>
      </w:r>
      <w:r>
        <w:rPr>
          <w:bCs/>
          <w:sz w:val="24"/>
          <w:szCs w:val="24"/>
        </w:rPr>
        <w:t xml:space="preserve">лей экономической эффективности </w:t>
      </w:r>
      <w:r w:rsidR="003E2EA4">
        <w:rPr>
          <w:bCs/>
          <w:sz w:val="24"/>
          <w:szCs w:val="24"/>
        </w:rPr>
        <w:t>финансово-хозяйственной</w:t>
      </w:r>
      <w:r w:rsidRPr="00053608">
        <w:rPr>
          <w:bCs/>
          <w:sz w:val="24"/>
          <w:szCs w:val="24"/>
        </w:rPr>
        <w:t xml:space="preserve"> деятельности промышленного предприятия. Приведена оценка </w:t>
      </w:r>
      <w:r>
        <w:rPr>
          <w:bCs/>
          <w:sz w:val="24"/>
          <w:szCs w:val="24"/>
        </w:rPr>
        <w:t>структуры ресурсов организации с целью выявления стратегических перспектив развития на примере</w:t>
      </w:r>
      <w:r w:rsidRPr="00053608">
        <w:rPr>
          <w:bCs/>
          <w:sz w:val="24"/>
          <w:szCs w:val="24"/>
        </w:rPr>
        <w:t xml:space="preserve"> промышленного предприятия </w:t>
      </w:r>
      <w:r w:rsidRPr="00053608">
        <w:rPr>
          <w:color w:val="000000"/>
          <w:sz w:val="24"/>
          <w:szCs w:val="24"/>
        </w:rPr>
        <w:t xml:space="preserve">ОАО «Гродненский </w:t>
      </w:r>
      <w:proofErr w:type="gramStart"/>
      <w:r w:rsidRPr="00053608">
        <w:rPr>
          <w:color w:val="000000"/>
          <w:sz w:val="24"/>
          <w:szCs w:val="24"/>
        </w:rPr>
        <w:t>ликеро-водочный</w:t>
      </w:r>
      <w:proofErr w:type="gramEnd"/>
      <w:r w:rsidRPr="00053608">
        <w:rPr>
          <w:color w:val="000000"/>
          <w:sz w:val="24"/>
          <w:szCs w:val="24"/>
        </w:rPr>
        <w:t xml:space="preserve"> завод»</w:t>
      </w:r>
    </w:p>
    <w:p w:rsidR="006F6729" w:rsidRDefault="006F6729" w:rsidP="006F6729">
      <w:pPr>
        <w:pStyle w:val="HTML"/>
        <w:shd w:val="clear" w:color="auto" w:fill="F8F9FA"/>
        <w:jc w:val="both"/>
        <w:rPr>
          <w:rFonts w:ascii="Times New Roman" w:hAnsi="Times New Roman" w:cs="Times New Roman"/>
          <w:b/>
          <w:sz w:val="24"/>
          <w:szCs w:val="24"/>
        </w:rPr>
      </w:pPr>
    </w:p>
    <w:p w:rsidR="00DF2638" w:rsidRDefault="006F6729" w:rsidP="00DF2638">
      <w:pPr>
        <w:pStyle w:val="HTML"/>
        <w:shd w:val="clear" w:color="auto" w:fill="F8F9FA"/>
        <w:jc w:val="both"/>
        <w:rPr>
          <w:rFonts w:ascii="Times New Roman" w:hAnsi="Times New Roman" w:cs="Times New Roman"/>
          <w:b/>
          <w:sz w:val="24"/>
          <w:szCs w:val="24"/>
        </w:rPr>
      </w:pPr>
      <w:r w:rsidRPr="00F63063">
        <w:rPr>
          <w:rFonts w:ascii="Times New Roman" w:hAnsi="Times New Roman" w:cs="Times New Roman"/>
          <w:b/>
          <w:sz w:val="24"/>
          <w:szCs w:val="24"/>
        </w:rPr>
        <w:t xml:space="preserve">Ключевые слова на </w:t>
      </w:r>
      <w:r>
        <w:rPr>
          <w:rFonts w:ascii="Times New Roman" w:hAnsi="Times New Roman" w:cs="Times New Roman"/>
          <w:b/>
          <w:sz w:val="24"/>
          <w:szCs w:val="24"/>
        </w:rPr>
        <w:t xml:space="preserve">русском </w:t>
      </w:r>
      <w:r w:rsidRPr="00F63063">
        <w:rPr>
          <w:rFonts w:ascii="Times New Roman" w:hAnsi="Times New Roman" w:cs="Times New Roman"/>
          <w:b/>
          <w:sz w:val="24"/>
          <w:szCs w:val="24"/>
        </w:rPr>
        <w:t>языке</w:t>
      </w:r>
      <w:r w:rsidR="00DF2638">
        <w:rPr>
          <w:rFonts w:ascii="Times New Roman" w:hAnsi="Times New Roman" w:cs="Times New Roman"/>
          <w:b/>
          <w:sz w:val="24"/>
          <w:szCs w:val="24"/>
        </w:rPr>
        <w:t xml:space="preserve"> </w:t>
      </w:r>
    </w:p>
    <w:p w:rsidR="006F6729" w:rsidRPr="00DF2638" w:rsidRDefault="006F6729" w:rsidP="00DF2638">
      <w:pPr>
        <w:pStyle w:val="HTML"/>
        <w:shd w:val="clear" w:color="auto" w:fill="F8F9FA"/>
        <w:jc w:val="center"/>
        <w:rPr>
          <w:rFonts w:ascii="Times New Roman" w:hAnsi="Times New Roman" w:cs="Times New Roman"/>
          <w:b/>
          <w:i/>
          <w:sz w:val="24"/>
          <w:szCs w:val="24"/>
        </w:rPr>
      </w:pPr>
      <w:r w:rsidRPr="00DF2638">
        <w:rPr>
          <w:rFonts w:ascii="Times New Roman" w:hAnsi="Times New Roman" w:cs="Times New Roman"/>
          <w:i/>
          <w:sz w:val="24"/>
          <w:szCs w:val="24"/>
        </w:rPr>
        <w:t>Стратегия, стратегическое планирование, финансовый анализ, алкогольная промышленность, активы</w:t>
      </w:r>
    </w:p>
    <w:p w:rsidR="0088631B" w:rsidRPr="00DF2638" w:rsidRDefault="000E1DA7" w:rsidP="00DF2638">
      <w:pPr>
        <w:shd w:val="clear" w:color="auto" w:fill="FFFFFF"/>
        <w:spacing w:before="100" w:beforeAutospacing="1" w:after="100" w:afterAutospacing="1"/>
        <w:ind w:firstLine="567"/>
        <w:jc w:val="both"/>
        <w:rPr>
          <w:sz w:val="24"/>
          <w:szCs w:val="24"/>
        </w:rPr>
      </w:pPr>
      <w:r w:rsidRPr="00753AB1">
        <w:rPr>
          <w:sz w:val="24"/>
          <w:szCs w:val="24"/>
        </w:rPr>
        <w:t xml:space="preserve">Экономическое развитие на современном этапе требует повышения результативности промышленных предприятий, наращивания объемов производства, эффективности их деятельности. Механизм управления результативностью промышленных предприятий должен базироваться на основе методического инструментария, который позволит дать оценку общей системе эффективности их деятельности, определить перспективное направление ее повышения. </w:t>
      </w:r>
      <w:r w:rsidRPr="00753AB1">
        <w:rPr>
          <w:color w:val="000000"/>
          <w:sz w:val="24"/>
          <w:szCs w:val="24"/>
        </w:rPr>
        <w:t>Стратегия развития ОАО «Гродненский ликеро-водочный завод»</w:t>
      </w:r>
      <w:r w:rsidR="003E2EA4" w:rsidRPr="00753AB1">
        <w:rPr>
          <w:color w:val="000000"/>
          <w:sz w:val="24"/>
          <w:szCs w:val="24"/>
        </w:rPr>
        <w:t xml:space="preserve"> (г. Гродно)</w:t>
      </w:r>
      <w:r w:rsidRPr="00753AB1">
        <w:rPr>
          <w:color w:val="000000"/>
          <w:sz w:val="24"/>
          <w:szCs w:val="24"/>
        </w:rPr>
        <w:t xml:space="preserve"> направлена на улучшение финансово – хозяйственной деятельности</w:t>
      </w:r>
      <w:r w:rsidR="003E2EA4" w:rsidRPr="00753AB1">
        <w:rPr>
          <w:color w:val="000000"/>
          <w:sz w:val="24"/>
          <w:szCs w:val="24"/>
        </w:rPr>
        <w:t xml:space="preserve">. </w:t>
      </w:r>
      <w:r w:rsidR="0088631B" w:rsidRPr="00753AB1">
        <w:rPr>
          <w:color w:val="000000"/>
          <w:sz w:val="24"/>
          <w:szCs w:val="24"/>
          <w:lang w:eastAsia="ru-RU"/>
        </w:rPr>
        <w:t>Конечные финансовые результаты деятельности предприятия характеризуются суммой полученной прибыли и уровнем рентабельности.</w:t>
      </w:r>
      <w:r w:rsidRPr="00753AB1">
        <w:rPr>
          <w:color w:val="000000"/>
          <w:sz w:val="24"/>
          <w:szCs w:val="24"/>
          <w:lang w:eastAsia="ru-RU"/>
        </w:rPr>
        <w:t xml:space="preserve"> </w:t>
      </w:r>
      <w:r w:rsidR="0088631B" w:rsidRPr="00753AB1">
        <w:rPr>
          <w:color w:val="000000"/>
          <w:sz w:val="24"/>
          <w:szCs w:val="24"/>
          <w:lang w:eastAsia="ru-RU"/>
        </w:rPr>
        <w:t xml:space="preserve">Общий финансовый результат предприятия за отчетный период отражается в отчетности в развернутом виде и представляет собой алгебраическую сумму прибыли (убытка) от реализации продукции (работ, услуг); реализации основных средств, нематериальных активов и иного имущества и результата от </w:t>
      </w:r>
      <w:r w:rsidR="00F9559E" w:rsidRPr="00753AB1">
        <w:rPr>
          <w:color w:val="000000"/>
          <w:sz w:val="24"/>
          <w:szCs w:val="24"/>
          <w:lang w:eastAsia="ru-RU"/>
        </w:rPr>
        <w:t>иной</w:t>
      </w:r>
      <w:r w:rsidR="0088631B" w:rsidRPr="00753AB1">
        <w:rPr>
          <w:color w:val="000000"/>
          <w:sz w:val="24"/>
          <w:szCs w:val="24"/>
          <w:lang w:eastAsia="ru-RU"/>
        </w:rPr>
        <w:t xml:space="preserve"> финансовой деятельности</w:t>
      </w:r>
      <w:r w:rsidR="00F9559E" w:rsidRPr="00753AB1">
        <w:rPr>
          <w:color w:val="000000"/>
          <w:sz w:val="24"/>
          <w:szCs w:val="24"/>
          <w:lang w:eastAsia="ru-RU"/>
        </w:rPr>
        <w:t xml:space="preserve"> и прочих </w:t>
      </w:r>
      <w:r w:rsidR="0088631B" w:rsidRPr="00753AB1">
        <w:rPr>
          <w:color w:val="000000"/>
          <w:sz w:val="24"/>
          <w:szCs w:val="24"/>
          <w:lang w:eastAsia="ru-RU"/>
        </w:rPr>
        <w:t>операций.</w:t>
      </w:r>
      <w:r w:rsidR="00BD05EF">
        <w:rPr>
          <w:color w:val="000000"/>
          <w:sz w:val="24"/>
          <w:szCs w:val="24"/>
          <w:lang w:eastAsia="ru-RU"/>
        </w:rPr>
        <w:t xml:space="preserve"> </w:t>
      </w:r>
      <w:r w:rsidR="0088631B" w:rsidRPr="00753AB1">
        <w:rPr>
          <w:sz w:val="24"/>
          <w:szCs w:val="24"/>
        </w:rPr>
        <w:t xml:space="preserve">Структура активов ОАО «Гродненский </w:t>
      </w:r>
      <w:proofErr w:type="gramStart"/>
      <w:r w:rsidR="0088631B" w:rsidRPr="00753AB1">
        <w:rPr>
          <w:sz w:val="24"/>
          <w:szCs w:val="24"/>
        </w:rPr>
        <w:t>ликеро-водочный</w:t>
      </w:r>
      <w:proofErr w:type="gramEnd"/>
      <w:r w:rsidR="0088631B" w:rsidRPr="00753AB1">
        <w:rPr>
          <w:sz w:val="24"/>
          <w:szCs w:val="24"/>
        </w:rPr>
        <w:t xml:space="preserve"> завод» приведена </w:t>
      </w:r>
      <w:r w:rsidR="00753AB1" w:rsidRPr="00753AB1">
        <w:rPr>
          <w:sz w:val="24"/>
          <w:szCs w:val="24"/>
        </w:rPr>
        <w:t>на рисунке 1</w:t>
      </w:r>
      <w:r w:rsidR="0088631B" w:rsidRPr="00753AB1">
        <w:rPr>
          <w:sz w:val="24"/>
          <w:szCs w:val="24"/>
        </w:rPr>
        <w:t>.</w:t>
      </w:r>
      <w:r w:rsidR="00753AB1" w:rsidRPr="00753AB1">
        <w:rPr>
          <w:sz w:val="24"/>
          <w:szCs w:val="24"/>
        </w:rPr>
        <w:t xml:space="preserve"> </w:t>
      </w:r>
      <w:r w:rsidR="0088631B" w:rsidRPr="00753AB1">
        <w:rPr>
          <w:sz w:val="24"/>
          <w:szCs w:val="24"/>
        </w:rPr>
        <w:t xml:space="preserve">В структуре активов ОАО "Гродненский </w:t>
      </w:r>
      <w:proofErr w:type="gramStart"/>
      <w:r w:rsidR="0088631B" w:rsidRPr="00753AB1">
        <w:rPr>
          <w:sz w:val="24"/>
          <w:szCs w:val="24"/>
        </w:rPr>
        <w:t>ликеро-водочный</w:t>
      </w:r>
      <w:proofErr w:type="gramEnd"/>
      <w:r w:rsidR="0088631B" w:rsidRPr="00753AB1">
        <w:rPr>
          <w:sz w:val="24"/>
          <w:szCs w:val="24"/>
        </w:rPr>
        <w:t xml:space="preserve"> завод" на протяжении 2016-2018гг. более половины занимают краткосрочные активы и с каждым годом их доля увеличивается. За 2017г. их доля увеличилась на 5%, за 2018г. – на 7,5%. Из них наибольшую часть составляют краткосрочная дебиторская задолженность (44,8% в 2018г.), запасы (16,4% в 2018г.). Менее половины активов составляют долгосрочные </w:t>
      </w:r>
      <w:proofErr w:type="gramStart"/>
      <w:r w:rsidR="0088631B" w:rsidRPr="00753AB1">
        <w:rPr>
          <w:sz w:val="24"/>
          <w:szCs w:val="24"/>
        </w:rPr>
        <w:t>активы ,</w:t>
      </w:r>
      <w:proofErr w:type="gramEnd"/>
      <w:r w:rsidR="0088631B" w:rsidRPr="00753AB1">
        <w:rPr>
          <w:sz w:val="24"/>
          <w:szCs w:val="24"/>
        </w:rPr>
        <w:t xml:space="preserve"> из них основная часть – основные средства  в 2018г. 37,5%</w:t>
      </w:r>
      <w:r w:rsidR="00753AB1" w:rsidRPr="00753AB1">
        <w:rPr>
          <w:sz w:val="24"/>
          <w:szCs w:val="24"/>
        </w:rPr>
        <w:t>.</w:t>
      </w:r>
      <w:r w:rsidR="0088631B" w:rsidRPr="00753AB1">
        <w:rPr>
          <w:sz w:val="24"/>
          <w:szCs w:val="24"/>
        </w:rPr>
        <w:t xml:space="preserve"> </w:t>
      </w:r>
    </w:p>
    <w:p w:rsidR="0088631B" w:rsidRPr="00753AB1" w:rsidRDefault="0088631B" w:rsidP="00753AB1">
      <w:pPr>
        <w:ind w:firstLine="567"/>
        <w:jc w:val="both"/>
        <w:rPr>
          <w:sz w:val="24"/>
          <w:szCs w:val="24"/>
          <w:lang w:val="en-US"/>
        </w:rPr>
      </w:pPr>
      <w:r w:rsidRPr="00753AB1">
        <w:rPr>
          <w:noProof/>
          <w:color w:val="000000"/>
          <w:sz w:val="24"/>
          <w:szCs w:val="24"/>
          <w:lang w:eastAsia="ru-RU"/>
        </w:rPr>
        <w:lastRenderedPageBreak/>
        <w:drawing>
          <wp:inline distT="0" distB="0" distL="0" distR="0">
            <wp:extent cx="4495800" cy="2362200"/>
            <wp:effectExtent l="19050" t="0" r="1905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88631B" w:rsidRPr="00753AB1" w:rsidRDefault="0088631B" w:rsidP="00753AB1">
      <w:pPr>
        <w:ind w:firstLine="567"/>
        <w:rPr>
          <w:bCs/>
          <w:sz w:val="24"/>
          <w:szCs w:val="24"/>
        </w:rPr>
      </w:pPr>
      <w:r w:rsidRPr="00753AB1">
        <w:rPr>
          <w:bCs/>
          <w:sz w:val="24"/>
          <w:szCs w:val="24"/>
        </w:rPr>
        <w:t>Рису</w:t>
      </w:r>
      <w:r w:rsidR="00753AB1" w:rsidRPr="00753AB1">
        <w:rPr>
          <w:bCs/>
          <w:sz w:val="24"/>
          <w:szCs w:val="24"/>
        </w:rPr>
        <w:t xml:space="preserve">нок </w:t>
      </w:r>
      <w:r w:rsidRPr="00753AB1">
        <w:rPr>
          <w:bCs/>
          <w:sz w:val="24"/>
          <w:szCs w:val="24"/>
        </w:rPr>
        <w:t xml:space="preserve">1 – Структура активов </w:t>
      </w:r>
      <w:r w:rsidR="00753AB1" w:rsidRPr="00753AB1">
        <w:rPr>
          <w:color w:val="000000"/>
          <w:sz w:val="24"/>
          <w:szCs w:val="24"/>
        </w:rPr>
        <w:t xml:space="preserve">ОАО «Гродненский </w:t>
      </w:r>
      <w:proofErr w:type="gramStart"/>
      <w:r w:rsidR="00753AB1" w:rsidRPr="00753AB1">
        <w:rPr>
          <w:color w:val="000000"/>
          <w:sz w:val="24"/>
          <w:szCs w:val="24"/>
        </w:rPr>
        <w:t>ликеро-водочный</w:t>
      </w:r>
      <w:proofErr w:type="gramEnd"/>
      <w:r w:rsidR="00753AB1" w:rsidRPr="00753AB1">
        <w:rPr>
          <w:color w:val="000000"/>
          <w:sz w:val="24"/>
          <w:szCs w:val="24"/>
        </w:rPr>
        <w:t xml:space="preserve"> завод»</w:t>
      </w:r>
      <w:r w:rsidR="00BD05EF">
        <w:rPr>
          <w:color w:val="000000"/>
          <w:sz w:val="24"/>
          <w:szCs w:val="24"/>
        </w:rPr>
        <w:t xml:space="preserve"> </w:t>
      </w:r>
      <w:r w:rsidRPr="00753AB1">
        <w:rPr>
          <w:bCs/>
          <w:sz w:val="24"/>
          <w:szCs w:val="24"/>
        </w:rPr>
        <w:t>за 2018 г.</w:t>
      </w:r>
    </w:p>
    <w:p w:rsidR="00753AB1" w:rsidRPr="00753AB1" w:rsidRDefault="00753AB1" w:rsidP="00BD05EF">
      <w:pPr>
        <w:ind w:firstLine="567"/>
        <w:jc w:val="both"/>
        <w:rPr>
          <w:sz w:val="24"/>
          <w:szCs w:val="24"/>
        </w:rPr>
      </w:pPr>
    </w:p>
    <w:p w:rsidR="0088631B" w:rsidRPr="00753AB1" w:rsidRDefault="0088631B" w:rsidP="00BD05EF">
      <w:pPr>
        <w:ind w:firstLine="567"/>
        <w:jc w:val="both"/>
        <w:rPr>
          <w:sz w:val="24"/>
          <w:szCs w:val="24"/>
        </w:rPr>
      </w:pPr>
      <w:r w:rsidRPr="00753AB1">
        <w:rPr>
          <w:sz w:val="24"/>
          <w:szCs w:val="24"/>
        </w:rPr>
        <w:t xml:space="preserve">Структура долгосрочных активов 2016-2018 гг. представлена </w:t>
      </w:r>
      <w:r w:rsidR="00753AB1" w:rsidRPr="00753AB1">
        <w:rPr>
          <w:sz w:val="24"/>
          <w:szCs w:val="24"/>
        </w:rPr>
        <w:t xml:space="preserve">на рисунке 2. </w:t>
      </w:r>
      <w:r w:rsidRPr="00753AB1">
        <w:rPr>
          <w:sz w:val="24"/>
          <w:szCs w:val="24"/>
        </w:rPr>
        <w:t>В структуре долгосрочных активов</w:t>
      </w:r>
      <w:r w:rsidR="00753AB1" w:rsidRPr="00753AB1">
        <w:rPr>
          <w:sz w:val="24"/>
          <w:szCs w:val="24"/>
        </w:rPr>
        <w:t xml:space="preserve"> (ДА)</w:t>
      </w:r>
      <w:r w:rsidRPr="00753AB1">
        <w:rPr>
          <w:sz w:val="24"/>
          <w:szCs w:val="24"/>
        </w:rPr>
        <w:t xml:space="preserve"> </w:t>
      </w:r>
      <w:r w:rsidR="00753AB1" w:rsidRPr="00753AB1">
        <w:rPr>
          <w:sz w:val="24"/>
          <w:szCs w:val="24"/>
        </w:rPr>
        <w:t xml:space="preserve">исследуемого предприятия </w:t>
      </w:r>
      <w:r w:rsidRPr="00753AB1">
        <w:rPr>
          <w:sz w:val="24"/>
          <w:szCs w:val="24"/>
        </w:rPr>
        <w:t>более 97% всех ДА — основные средства, что обусловлено отраслевой спецификой промышленного предприятия. Их доля оставалась неизменной на протяже</w:t>
      </w:r>
      <w:r w:rsidR="00BD05EF">
        <w:rPr>
          <w:sz w:val="24"/>
          <w:szCs w:val="24"/>
        </w:rPr>
        <w:t>нии трех лет. Менее 4% стоимости</w:t>
      </w:r>
      <w:r w:rsidRPr="00753AB1">
        <w:rPr>
          <w:sz w:val="24"/>
          <w:szCs w:val="24"/>
        </w:rPr>
        <w:t xml:space="preserve"> составляют нематериальные активы, вложения в долгосрочные активы и долгосрочные финансовые вложения.</w:t>
      </w:r>
    </w:p>
    <w:p w:rsidR="0088631B" w:rsidRPr="00753AB1" w:rsidRDefault="0088631B" w:rsidP="00BD05EF">
      <w:pPr>
        <w:ind w:firstLine="567"/>
        <w:jc w:val="both"/>
        <w:rPr>
          <w:sz w:val="24"/>
          <w:szCs w:val="24"/>
        </w:rPr>
      </w:pPr>
      <w:r w:rsidRPr="00753AB1">
        <w:rPr>
          <w:sz w:val="24"/>
          <w:szCs w:val="24"/>
        </w:rPr>
        <w:t>Вложения в долгосрочные активы – это расходы на приобретение, создание, реконструкцию, модернизацию, расширение нематериальных активов и основных средств.</w:t>
      </w:r>
    </w:p>
    <w:p w:rsidR="0088631B" w:rsidRPr="00753AB1" w:rsidRDefault="00BD05EF" w:rsidP="00BD05EF">
      <w:pPr>
        <w:ind w:firstLine="567"/>
        <w:jc w:val="both"/>
        <w:rPr>
          <w:sz w:val="24"/>
          <w:szCs w:val="24"/>
        </w:rPr>
      </w:pPr>
      <w:r>
        <w:rPr>
          <w:sz w:val="24"/>
          <w:szCs w:val="24"/>
        </w:rPr>
        <w:t>Нематериальные активы – используемые предприятием обозначения исключительные</w:t>
      </w:r>
      <w:r w:rsidR="0088631B" w:rsidRPr="00753AB1">
        <w:rPr>
          <w:sz w:val="24"/>
          <w:szCs w:val="24"/>
        </w:rPr>
        <w:t xml:space="preserve"> права на объекты интеллектуальной собственности, к которым на предприятии относятся базы данных и программы ЭВМ.</w:t>
      </w:r>
      <w:r>
        <w:rPr>
          <w:sz w:val="24"/>
          <w:szCs w:val="24"/>
        </w:rPr>
        <w:t xml:space="preserve"> </w:t>
      </w:r>
      <w:r w:rsidR="0088631B" w:rsidRPr="00753AB1">
        <w:rPr>
          <w:sz w:val="24"/>
          <w:szCs w:val="24"/>
        </w:rPr>
        <w:t>К долгосрочным финансовым вложениям относятся вложения в уставный фонд других предприятий, ценные бумаги, ч</w:t>
      </w:r>
      <w:r>
        <w:rPr>
          <w:sz w:val="24"/>
          <w:szCs w:val="24"/>
        </w:rPr>
        <w:t xml:space="preserve">то можно наблюдать на рисунке </w:t>
      </w:r>
      <w:r w:rsidR="0088631B" w:rsidRPr="00753AB1">
        <w:rPr>
          <w:sz w:val="24"/>
          <w:szCs w:val="24"/>
        </w:rPr>
        <w:t>2</w:t>
      </w:r>
      <w:r>
        <w:rPr>
          <w:sz w:val="24"/>
          <w:szCs w:val="24"/>
        </w:rPr>
        <w:t>.</w:t>
      </w:r>
    </w:p>
    <w:p w:rsidR="0088631B" w:rsidRPr="00753AB1" w:rsidRDefault="0088631B" w:rsidP="00753AB1">
      <w:pPr>
        <w:ind w:firstLine="567"/>
        <w:rPr>
          <w:bCs/>
          <w:noProof/>
          <w:color w:val="000000"/>
          <w:sz w:val="24"/>
          <w:szCs w:val="24"/>
          <w:lang w:eastAsia="ru-RU"/>
        </w:rPr>
      </w:pPr>
    </w:p>
    <w:p w:rsidR="0088631B" w:rsidRPr="00753AB1" w:rsidRDefault="0088631B" w:rsidP="00753AB1">
      <w:pPr>
        <w:ind w:firstLine="567"/>
        <w:rPr>
          <w:sz w:val="24"/>
          <w:szCs w:val="24"/>
        </w:rPr>
      </w:pPr>
      <w:r w:rsidRPr="00753AB1">
        <w:rPr>
          <w:noProof/>
          <w:sz w:val="24"/>
          <w:szCs w:val="24"/>
          <w:lang w:eastAsia="ru-RU"/>
        </w:rPr>
        <w:drawing>
          <wp:inline distT="0" distB="0" distL="0" distR="0">
            <wp:extent cx="4834716" cy="2757052"/>
            <wp:effectExtent l="0" t="0" r="0" b="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
                    <a:srcRect/>
                    <a:stretch>
                      <a:fillRect/>
                    </a:stretch>
                  </pic:blipFill>
                  <pic:spPr bwMode="auto">
                    <a:xfrm>
                      <a:off x="0" y="0"/>
                      <a:ext cx="4838535" cy="2759230"/>
                    </a:xfrm>
                    <a:prstGeom prst="rect">
                      <a:avLst/>
                    </a:prstGeom>
                    <a:noFill/>
                    <a:ln w="9525">
                      <a:noFill/>
                      <a:miter lim="800000"/>
                      <a:headEnd/>
                      <a:tailEnd/>
                    </a:ln>
                  </pic:spPr>
                </pic:pic>
              </a:graphicData>
            </a:graphic>
          </wp:inline>
        </w:drawing>
      </w:r>
    </w:p>
    <w:p w:rsidR="0088631B" w:rsidRPr="00BD05EF" w:rsidRDefault="00BD05EF" w:rsidP="00BD05EF">
      <w:pPr>
        <w:ind w:firstLine="567"/>
        <w:rPr>
          <w:bCs/>
          <w:sz w:val="24"/>
          <w:szCs w:val="24"/>
        </w:rPr>
      </w:pPr>
      <w:r>
        <w:rPr>
          <w:bCs/>
          <w:sz w:val="24"/>
          <w:szCs w:val="24"/>
        </w:rPr>
        <w:t xml:space="preserve">Рисунок </w:t>
      </w:r>
      <w:r w:rsidR="0088631B" w:rsidRPr="00753AB1">
        <w:rPr>
          <w:bCs/>
          <w:sz w:val="24"/>
          <w:szCs w:val="24"/>
        </w:rPr>
        <w:t xml:space="preserve">2 – Структура долгосрочных активов </w:t>
      </w:r>
      <w:r w:rsidRPr="00753AB1">
        <w:rPr>
          <w:color w:val="000000"/>
          <w:sz w:val="24"/>
          <w:szCs w:val="24"/>
        </w:rPr>
        <w:t xml:space="preserve">ОАО «Гродненский </w:t>
      </w:r>
      <w:proofErr w:type="gramStart"/>
      <w:r w:rsidRPr="00753AB1">
        <w:rPr>
          <w:color w:val="000000"/>
          <w:sz w:val="24"/>
          <w:szCs w:val="24"/>
        </w:rPr>
        <w:t>ликеро-водочный</w:t>
      </w:r>
      <w:proofErr w:type="gramEnd"/>
      <w:r w:rsidRPr="00753AB1">
        <w:rPr>
          <w:color w:val="000000"/>
          <w:sz w:val="24"/>
          <w:szCs w:val="24"/>
        </w:rPr>
        <w:t xml:space="preserve"> завод</w:t>
      </w:r>
      <w:r>
        <w:rPr>
          <w:color w:val="000000"/>
          <w:sz w:val="24"/>
          <w:szCs w:val="24"/>
        </w:rPr>
        <w:t>»</w:t>
      </w:r>
      <w:r w:rsidRPr="00753AB1">
        <w:rPr>
          <w:bCs/>
          <w:sz w:val="24"/>
          <w:szCs w:val="24"/>
        </w:rPr>
        <w:t xml:space="preserve"> </w:t>
      </w:r>
      <w:r w:rsidR="0088631B" w:rsidRPr="00753AB1">
        <w:rPr>
          <w:bCs/>
          <w:sz w:val="24"/>
          <w:szCs w:val="24"/>
        </w:rPr>
        <w:t>за 2016-2018 г.</w:t>
      </w:r>
    </w:p>
    <w:p w:rsidR="00BD05EF" w:rsidRDefault="00BD05EF" w:rsidP="00753AB1">
      <w:pPr>
        <w:ind w:firstLine="567"/>
        <w:jc w:val="both"/>
        <w:rPr>
          <w:sz w:val="24"/>
          <w:szCs w:val="24"/>
        </w:rPr>
      </w:pPr>
    </w:p>
    <w:p w:rsidR="0088631B" w:rsidRPr="00753AB1" w:rsidRDefault="0088631B" w:rsidP="00753AB1">
      <w:pPr>
        <w:ind w:firstLine="567"/>
        <w:jc w:val="both"/>
        <w:rPr>
          <w:sz w:val="24"/>
          <w:szCs w:val="24"/>
        </w:rPr>
      </w:pPr>
      <w:r w:rsidRPr="00753AB1">
        <w:rPr>
          <w:sz w:val="24"/>
          <w:szCs w:val="24"/>
        </w:rPr>
        <w:t xml:space="preserve">Стоимость долгосрочных активов в 2017г. в сопоставимых ценах сократилась на 6%. Основную часть долгосрочных активов составляют ОС, что связано с отраслевой спецификой предприятия, однако в сопоставимых ценах их стоимость сократилась на </w:t>
      </w:r>
      <w:r w:rsidRPr="00753AB1">
        <w:rPr>
          <w:sz w:val="24"/>
          <w:szCs w:val="24"/>
        </w:rPr>
        <w:lastRenderedPageBreak/>
        <w:t>6,7%, что связано с их амортизацией. Так же сократилась стоимость нематериальных активов (-37,5%), что м.б. также связано с их амортизацией.  На 18,9% увеличилась сумма вложений в долгосрочные активы, что связано с увеличением расходов на приобретение программного обеспечения, которое было принято к учету в 2018г, что наглядно видно на рисунке</w:t>
      </w:r>
      <w:r w:rsidR="00BD05EF">
        <w:rPr>
          <w:sz w:val="24"/>
          <w:szCs w:val="24"/>
        </w:rPr>
        <w:t xml:space="preserve"> 3.</w:t>
      </w:r>
    </w:p>
    <w:p w:rsidR="0088631B" w:rsidRPr="00753AB1" w:rsidRDefault="0088631B" w:rsidP="00753AB1">
      <w:pPr>
        <w:ind w:firstLine="567"/>
        <w:rPr>
          <w:sz w:val="24"/>
          <w:szCs w:val="24"/>
        </w:rPr>
      </w:pPr>
      <w:r w:rsidRPr="00753AB1">
        <w:rPr>
          <w:bCs/>
          <w:noProof/>
          <w:sz w:val="24"/>
          <w:szCs w:val="24"/>
          <w:lang w:eastAsia="ru-RU"/>
        </w:rPr>
        <w:drawing>
          <wp:inline distT="0" distB="0" distL="0" distR="0">
            <wp:extent cx="5181600" cy="3095625"/>
            <wp:effectExtent l="19050" t="0" r="1905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3</w:t>
      </w:r>
      <w:r>
        <w:rPr>
          <w:bCs/>
          <w:sz w:val="24"/>
          <w:szCs w:val="24"/>
        </w:rPr>
        <w:t xml:space="preserve"> </w:t>
      </w:r>
      <w:r w:rsidR="0088631B" w:rsidRPr="00753AB1">
        <w:rPr>
          <w:bCs/>
          <w:sz w:val="24"/>
          <w:szCs w:val="24"/>
        </w:rPr>
        <w:t xml:space="preserve">– динамика долгосрочных </w:t>
      </w:r>
      <w:r>
        <w:rPr>
          <w:bCs/>
          <w:sz w:val="24"/>
          <w:szCs w:val="24"/>
        </w:rPr>
        <w:t xml:space="preserve">активов </w:t>
      </w:r>
      <w:r w:rsidRPr="00753AB1">
        <w:rPr>
          <w:color w:val="000000"/>
          <w:sz w:val="24"/>
          <w:szCs w:val="24"/>
        </w:rPr>
        <w:t xml:space="preserve">ОАО «Гродненский </w:t>
      </w:r>
      <w:proofErr w:type="gramStart"/>
      <w:r w:rsidRPr="00753AB1">
        <w:rPr>
          <w:color w:val="000000"/>
          <w:sz w:val="24"/>
          <w:szCs w:val="24"/>
        </w:rPr>
        <w:t>ликеро-водочный</w:t>
      </w:r>
      <w:proofErr w:type="gramEnd"/>
      <w:r w:rsidRPr="00753AB1">
        <w:rPr>
          <w:color w:val="000000"/>
          <w:sz w:val="24"/>
          <w:szCs w:val="24"/>
        </w:rPr>
        <w:t xml:space="preserve"> завод</w:t>
      </w:r>
      <w:r>
        <w:rPr>
          <w:color w:val="000000"/>
          <w:sz w:val="24"/>
          <w:szCs w:val="24"/>
        </w:rPr>
        <w:t>» з</w:t>
      </w:r>
      <w:r w:rsidR="0088631B" w:rsidRPr="00753AB1">
        <w:rPr>
          <w:bCs/>
          <w:sz w:val="24"/>
          <w:szCs w:val="24"/>
        </w:rPr>
        <w:t>а 2016-2017 г.</w:t>
      </w:r>
    </w:p>
    <w:p w:rsidR="0088631B" w:rsidRPr="00753AB1" w:rsidRDefault="0088631B" w:rsidP="00753AB1">
      <w:pPr>
        <w:ind w:firstLine="567"/>
        <w:rPr>
          <w:sz w:val="24"/>
          <w:szCs w:val="24"/>
        </w:rPr>
      </w:pPr>
    </w:p>
    <w:p w:rsidR="0088631B" w:rsidRPr="00753AB1" w:rsidRDefault="0088631B" w:rsidP="00753AB1">
      <w:pPr>
        <w:ind w:firstLine="567"/>
        <w:jc w:val="both"/>
        <w:rPr>
          <w:sz w:val="24"/>
          <w:szCs w:val="24"/>
        </w:rPr>
      </w:pPr>
      <w:r w:rsidRPr="00753AB1">
        <w:rPr>
          <w:sz w:val="24"/>
          <w:szCs w:val="24"/>
        </w:rPr>
        <w:t xml:space="preserve">В 2018г. стоимость долгосрочных активов в сопоставимых ценах сократилась на 12%, что в основном связано с сокращением стоимости ОС в сопоставимых ценах </w:t>
      </w:r>
      <w:proofErr w:type="gramStart"/>
      <w:r w:rsidRPr="00753AB1">
        <w:rPr>
          <w:sz w:val="24"/>
          <w:szCs w:val="24"/>
        </w:rPr>
        <w:t>( снижение</w:t>
      </w:r>
      <w:proofErr w:type="gramEnd"/>
      <w:r w:rsidRPr="00753AB1">
        <w:rPr>
          <w:sz w:val="24"/>
          <w:szCs w:val="24"/>
        </w:rPr>
        <w:t xml:space="preserve"> – -12% по сравнению с 2017г.) из-за их амортизации. Стоимость нематериальных активов напротив же выросла на 55%, что м.б. связано с приобретением программного обеспечения. Вложения в долгосрочные активы сократились за год на 30,8%, что говорит и снижении вложений в реконструкцию и модернизации ОС и НА, которые в 2019г. были приняты к учету, </w:t>
      </w:r>
      <w:r w:rsidR="00BD05EF">
        <w:rPr>
          <w:sz w:val="24"/>
          <w:szCs w:val="24"/>
        </w:rPr>
        <w:t xml:space="preserve">что наглядно видно на рисунке </w:t>
      </w:r>
      <w:r w:rsidRPr="00753AB1">
        <w:rPr>
          <w:sz w:val="24"/>
          <w:szCs w:val="24"/>
        </w:rPr>
        <w:t>4.</w:t>
      </w:r>
    </w:p>
    <w:p w:rsidR="0088631B" w:rsidRPr="00753AB1" w:rsidRDefault="0088631B" w:rsidP="00753AB1">
      <w:pPr>
        <w:ind w:firstLine="567"/>
        <w:jc w:val="both"/>
        <w:rPr>
          <w:sz w:val="24"/>
          <w:szCs w:val="24"/>
        </w:rPr>
      </w:pPr>
    </w:p>
    <w:p w:rsidR="0088631B" w:rsidRPr="00753AB1" w:rsidRDefault="0088631B" w:rsidP="00753AB1">
      <w:pPr>
        <w:ind w:firstLine="567"/>
        <w:rPr>
          <w:bCs/>
          <w:sz w:val="24"/>
          <w:szCs w:val="24"/>
        </w:rPr>
      </w:pPr>
      <w:r w:rsidRPr="00753AB1">
        <w:rPr>
          <w:bCs/>
          <w:noProof/>
          <w:color w:val="000000"/>
          <w:sz w:val="24"/>
          <w:szCs w:val="24"/>
          <w:lang w:eastAsia="ru-RU"/>
        </w:rPr>
        <w:drawing>
          <wp:inline distT="0" distB="0" distL="0" distR="0">
            <wp:extent cx="4943475" cy="2543175"/>
            <wp:effectExtent l="19050" t="0" r="9525"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8631B" w:rsidRPr="00753AB1" w:rsidRDefault="0088631B" w:rsidP="00753AB1">
      <w:pPr>
        <w:ind w:firstLine="567"/>
        <w:rPr>
          <w:bCs/>
          <w:sz w:val="24"/>
          <w:szCs w:val="24"/>
        </w:rPr>
      </w:pP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4– динамика долгосрочных активов</w:t>
      </w:r>
      <w:r>
        <w:rPr>
          <w:bCs/>
          <w:sz w:val="24"/>
          <w:szCs w:val="24"/>
        </w:rPr>
        <w:t xml:space="preserve"> </w:t>
      </w:r>
      <w:r w:rsidRPr="00753AB1">
        <w:rPr>
          <w:color w:val="000000"/>
          <w:sz w:val="24"/>
          <w:szCs w:val="24"/>
        </w:rPr>
        <w:t xml:space="preserve">ОАО «Гродненский </w:t>
      </w:r>
      <w:proofErr w:type="gramStart"/>
      <w:r w:rsidRPr="00753AB1">
        <w:rPr>
          <w:color w:val="000000"/>
          <w:sz w:val="24"/>
          <w:szCs w:val="24"/>
        </w:rPr>
        <w:t>ликеро-водочный</w:t>
      </w:r>
      <w:proofErr w:type="gramEnd"/>
      <w:r w:rsidRPr="00753AB1">
        <w:rPr>
          <w:color w:val="000000"/>
          <w:sz w:val="24"/>
          <w:szCs w:val="24"/>
        </w:rPr>
        <w:t xml:space="preserve"> завод</w:t>
      </w:r>
      <w:r>
        <w:rPr>
          <w:color w:val="000000"/>
          <w:sz w:val="24"/>
          <w:szCs w:val="24"/>
        </w:rPr>
        <w:t>»</w:t>
      </w:r>
      <w:r w:rsidR="0088631B" w:rsidRPr="00753AB1">
        <w:rPr>
          <w:bCs/>
          <w:sz w:val="24"/>
          <w:szCs w:val="24"/>
        </w:rPr>
        <w:t xml:space="preserve"> за 201</w:t>
      </w:r>
      <w:r w:rsidR="005B6953">
        <w:rPr>
          <w:bCs/>
          <w:sz w:val="24"/>
          <w:szCs w:val="24"/>
        </w:rPr>
        <w:t>7-2018</w:t>
      </w:r>
      <w:r w:rsidR="0088631B" w:rsidRPr="00753AB1">
        <w:rPr>
          <w:bCs/>
          <w:sz w:val="24"/>
          <w:szCs w:val="24"/>
        </w:rPr>
        <w:t xml:space="preserve"> г.</w:t>
      </w:r>
    </w:p>
    <w:p w:rsidR="0088631B" w:rsidRPr="005B6953" w:rsidRDefault="005B6953" w:rsidP="005B6953">
      <w:pPr>
        <w:spacing w:after="160"/>
        <w:ind w:firstLine="567"/>
        <w:jc w:val="both"/>
        <w:outlineLvl w:val="1"/>
        <w:rPr>
          <w:bCs/>
          <w:sz w:val="24"/>
          <w:szCs w:val="24"/>
        </w:rPr>
      </w:pPr>
      <w:bookmarkStart w:id="1" w:name="_Toc36585159"/>
      <w:r>
        <w:rPr>
          <w:bCs/>
          <w:sz w:val="24"/>
          <w:szCs w:val="24"/>
        </w:rPr>
        <w:lastRenderedPageBreak/>
        <w:t>Оценка</w:t>
      </w:r>
      <w:r w:rsidR="0088631B" w:rsidRPr="00753AB1">
        <w:rPr>
          <w:bCs/>
          <w:sz w:val="24"/>
          <w:szCs w:val="24"/>
        </w:rPr>
        <w:t xml:space="preserve"> состава</w:t>
      </w:r>
      <w:r>
        <w:rPr>
          <w:bCs/>
          <w:sz w:val="24"/>
          <w:szCs w:val="24"/>
        </w:rPr>
        <w:t>,</w:t>
      </w:r>
      <w:r w:rsidR="0088631B" w:rsidRPr="00753AB1">
        <w:rPr>
          <w:bCs/>
          <w:sz w:val="24"/>
          <w:szCs w:val="24"/>
        </w:rPr>
        <w:t xml:space="preserve"> структуры и динамики краткосрочных активов предприятия</w:t>
      </w:r>
      <w:bookmarkEnd w:id="1"/>
      <w:r>
        <w:rPr>
          <w:bCs/>
          <w:sz w:val="24"/>
          <w:szCs w:val="24"/>
        </w:rPr>
        <w:t xml:space="preserve"> представлена на рисунке 5. </w:t>
      </w:r>
      <w:r w:rsidR="0088631B" w:rsidRPr="00753AB1">
        <w:rPr>
          <w:sz w:val="24"/>
          <w:szCs w:val="24"/>
        </w:rPr>
        <w:t xml:space="preserve">В структуре краткосрочных активов за </w:t>
      </w:r>
      <w:r w:rsidR="00BD05EF">
        <w:rPr>
          <w:sz w:val="24"/>
          <w:szCs w:val="24"/>
        </w:rPr>
        <w:t>2016-2018 гг.</w:t>
      </w:r>
      <w:r w:rsidR="0088631B" w:rsidRPr="00753AB1">
        <w:rPr>
          <w:sz w:val="24"/>
          <w:szCs w:val="24"/>
        </w:rPr>
        <w:t xml:space="preserve"> наибольшую часть составляет краткосрочная кредиторская задолженность (это более 73% структуры КА, что говорит о проблемах с оплатой со стороны дебиторов) и запасы, доля которых за 2016-2018гг. увеличилась с 19,1% до 26,7%, что говорит о большом наличии запасов, пролеживающих на складах. Менее 0,5% в структуре КА составляют расходы будущих периодов, налоги на добавленную стоимость и денежные средства.</w:t>
      </w:r>
    </w:p>
    <w:p w:rsidR="0088631B" w:rsidRPr="00753AB1" w:rsidRDefault="0088631B" w:rsidP="00753AB1">
      <w:pPr>
        <w:ind w:firstLine="567"/>
        <w:jc w:val="both"/>
        <w:rPr>
          <w:sz w:val="24"/>
          <w:szCs w:val="24"/>
        </w:rPr>
      </w:pPr>
    </w:p>
    <w:p w:rsidR="0088631B" w:rsidRPr="00753AB1" w:rsidRDefault="0088631B" w:rsidP="00753AB1">
      <w:pPr>
        <w:ind w:firstLine="567"/>
        <w:rPr>
          <w:sz w:val="24"/>
          <w:szCs w:val="24"/>
        </w:rPr>
      </w:pPr>
    </w:p>
    <w:p w:rsidR="0088631B" w:rsidRPr="00753AB1" w:rsidRDefault="0088631B" w:rsidP="00753AB1">
      <w:pPr>
        <w:ind w:firstLine="567"/>
        <w:rPr>
          <w:sz w:val="24"/>
          <w:szCs w:val="24"/>
        </w:rPr>
      </w:pPr>
      <w:r w:rsidRPr="00753AB1">
        <w:rPr>
          <w:bCs/>
          <w:noProof/>
          <w:color w:val="000000"/>
          <w:sz w:val="24"/>
          <w:szCs w:val="24"/>
          <w:lang w:eastAsia="ru-RU"/>
        </w:rPr>
        <w:drawing>
          <wp:inline distT="0" distB="0" distL="0" distR="0">
            <wp:extent cx="4800600" cy="2828925"/>
            <wp:effectExtent l="19050" t="0" r="19050" b="0"/>
            <wp:docPr id="5"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B6953" w:rsidRDefault="005B6953" w:rsidP="00753AB1">
      <w:pPr>
        <w:ind w:firstLine="567"/>
        <w:rPr>
          <w:bCs/>
          <w:sz w:val="24"/>
          <w:szCs w:val="24"/>
        </w:rPr>
      </w:pP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 xml:space="preserve">5– структура краткосрочных активов </w:t>
      </w:r>
      <w:r w:rsidR="005B6953" w:rsidRPr="00753AB1">
        <w:rPr>
          <w:color w:val="000000"/>
          <w:sz w:val="24"/>
          <w:szCs w:val="24"/>
        </w:rPr>
        <w:t xml:space="preserve">ОАО «Гродненский </w:t>
      </w:r>
      <w:proofErr w:type="gramStart"/>
      <w:r w:rsidR="005B6953" w:rsidRPr="00753AB1">
        <w:rPr>
          <w:color w:val="000000"/>
          <w:sz w:val="24"/>
          <w:szCs w:val="24"/>
        </w:rPr>
        <w:t>ликеро-водочный</w:t>
      </w:r>
      <w:proofErr w:type="gramEnd"/>
      <w:r w:rsidR="005B6953" w:rsidRPr="00753AB1">
        <w:rPr>
          <w:color w:val="000000"/>
          <w:sz w:val="24"/>
          <w:szCs w:val="24"/>
        </w:rPr>
        <w:t xml:space="preserve"> завод</w:t>
      </w:r>
      <w:r w:rsidR="005B6953">
        <w:rPr>
          <w:color w:val="000000"/>
          <w:sz w:val="24"/>
          <w:szCs w:val="24"/>
        </w:rPr>
        <w:t xml:space="preserve">» </w:t>
      </w:r>
      <w:r w:rsidR="0088631B" w:rsidRPr="00753AB1">
        <w:rPr>
          <w:bCs/>
          <w:sz w:val="24"/>
          <w:szCs w:val="24"/>
        </w:rPr>
        <w:t>за 201</w:t>
      </w:r>
      <w:r w:rsidR="005B6953">
        <w:rPr>
          <w:bCs/>
          <w:sz w:val="24"/>
          <w:szCs w:val="24"/>
        </w:rPr>
        <w:t>6-2018</w:t>
      </w:r>
      <w:r w:rsidR="0088631B" w:rsidRPr="00753AB1">
        <w:rPr>
          <w:bCs/>
          <w:sz w:val="24"/>
          <w:szCs w:val="24"/>
        </w:rPr>
        <w:t xml:space="preserve"> г.</w:t>
      </w:r>
    </w:p>
    <w:p w:rsidR="005B6953" w:rsidRDefault="005B6953" w:rsidP="00753AB1">
      <w:pPr>
        <w:ind w:firstLine="567"/>
        <w:jc w:val="both"/>
        <w:rPr>
          <w:sz w:val="24"/>
          <w:szCs w:val="24"/>
        </w:rPr>
      </w:pPr>
    </w:p>
    <w:p w:rsidR="005B6953" w:rsidRDefault="0088631B" w:rsidP="005B6953">
      <w:pPr>
        <w:ind w:firstLine="567"/>
        <w:jc w:val="both"/>
        <w:rPr>
          <w:bCs/>
          <w:sz w:val="24"/>
          <w:szCs w:val="24"/>
        </w:rPr>
      </w:pPr>
      <w:r w:rsidRPr="00753AB1">
        <w:rPr>
          <w:sz w:val="24"/>
          <w:szCs w:val="24"/>
        </w:rPr>
        <w:t xml:space="preserve">Стоимость краткосрочных активов в 2017г. выросла на 4,9%, что в основном связано с увеличением стоимости запасов в сопоставимых ценах в 2017г. по сравнению с 2016г. на 34,7%.  Расходы будущих периодов увеличились почти в 4,5 раза, что м.б. связано </w:t>
      </w:r>
      <w:proofErr w:type="gramStart"/>
      <w:r w:rsidRPr="00753AB1">
        <w:rPr>
          <w:sz w:val="24"/>
          <w:szCs w:val="24"/>
        </w:rPr>
        <w:t>с  увеличением</w:t>
      </w:r>
      <w:proofErr w:type="gramEnd"/>
      <w:r w:rsidRPr="00753AB1">
        <w:rPr>
          <w:sz w:val="24"/>
          <w:szCs w:val="24"/>
        </w:rPr>
        <w:t xml:space="preserve"> расходов  по лизинговым платежам. Сократилась сумма налогов на добавленную </w:t>
      </w:r>
      <w:r w:rsidRPr="005B6953">
        <w:rPr>
          <w:sz w:val="24"/>
          <w:szCs w:val="24"/>
        </w:rPr>
        <w:t>стоимость (-74,7%), что связано с уменьшением приобретения ОС, НА.  Сократилась сумма денежных средств и их эквивалентов (-56,7%), что связано с проблемами с оплатой дебиторов и наличием большой дебиторской задолженности, а также направлением денежных средств на приобретение запасов. Незначительно сократилась краткосрочная дебиторская з</w:t>
      </w:r>
      <w:r w:rsidR="005B6953" w:rsidRPr="005B6953">
        <w:rPr>
          <w:sz w:val="24"/>
          <w:szCs w:val="24"/>
        </w:rPr>
        <w:t xml:space="preserve">адолженность (-1,9%). </w:t>
      </w:r>
      <w:r w:rsidRPr="005B6953">
        <w:rPr>
          <w:sz w:val="24"/>
          <w:szCs w:val="24"/>
        </w:rPr>
        <w:t>Стоимость краткосрочных активов в 2018</w:t>
      </w:r>
      <w:r w:rsidR="005B6953" w:rsidRPr="005B6953">
        <w:rPr>
          <w:sz w:val="24"/>
          <w:szCs w:val="24"/>
        </w:rPr>
        <w:t xml:space="preserve"> </w:t>
      </w:r>
      <w:r w:rsidRPr="005B6953">
        <w:rPr>
          <w:sz w:val="24"/>
          <w:szCs w:val="24"/>
        </w:rPr>
        <w:t>г. снова выросла на 5,3%. В стоимость запасов в сопоставимых ценах за 2018г. снова наблюдался прирост на 14,8%, а расходы будущих периодов напротив</w:t>
      </w:r>
      <w:r w:rsidR="005B6953" w:rsidRPr="005B6953">
        <w:rPr>
          <w:sz w:val="24"/>
          <w:szCs w:val="24"/>
        </w:rPr>
        <w:t>,</w:t>
      </w:r>
      <w:r w:rsidRPr="005B6953">
        <w:rPr>
          <w:sz w:val="24"/>
          <w:szCs w:val="24"/>
        </w:rPr>
        <w:t xml:space="preserve"> сократились (-9,5%).  В 3,5 раза увеличилась сумма НДС за счет увеличения приобретения материальных ценностей: запасных частей, материалов, НА. Краткосрочная дебиторская задолженность увеличилась на 2,2%. Сумма денежных средств и их эквивалентов, как и в 2017г., с</w:t>
      </w:r>
      <w:r w:rsidR="005B6953" w:rsidRPr="005B6953">
        <w:rPr>
          <w:sz w:val="24"/>
          <w:szCs w:val="24"/>
        </w:rPr>
        <w:t>ократилась на 21,8%.</w:t>
      </w:r>
      <w:r w:rsidR="005B6953">
        <w:rPr>
          <w:bCs/>
          <w:sz w:val="24"/>
          <w:szCs w:val="24"/>
        </w:rPr>
        <w:t xml:space="preserve"> </w:t>
      </w:r>
    </w:p>
    <w:p w:rsidR="0004558C" w:rsidRPr="005B6953" w:rsidRDefault="005B6953" w:rsidP="005B6953">
      <w:pPr>
        <w:ind w:firstLine="567"/>
        <w:jc w:val="both"/>
        <w:rPr>
          <w:bCs/>
          <w:sz w:val="24"/>
          <w:szCs w:val="24"/>
        </w:rPr>
      </w:pPr>
      <w:r>
        <w:rPr>
          <w:bCs/>
          <w:sz w:val="24"/>
          <w:szCs w:val="24"/>
        </w:rPr>
        <w:t xml:space="preserve">На основе проведенного анализа можно вести речь </w:t>
      </w:r>
      <w:r w:rsidRPr="005B6953">
        <w:rPr>
          <w:color w:val="000000"/>
          <w:sz w:val="24"/>
          <w:szCs w:val="24"/>
        </w:rPr>
        <w:t xml:space="preserve">о перспективах развития финансово-хозяйственной деятельности промышленного предприятия. </w:t>
      </w:r>
      <w:r>
        <w:rPr>
          <w:color w:val="000000"/>
          <w:sz w:val="24"/>
          <w:szCs w:val="24"/>
        </w:rPr>
        <w:t>П</w:t>
      </w:r>
      <w:r w:rsidRPr="005B6953">
        <w:rPr>
          <w:color w:val="000000"/>
          <w:sz w:val="24"/>
          <w:szCs w:val="24"/>
        </w:rPr>
        <w:t xml:space="preserve">ри разработке стратегии </w:t>
      </w:r>
      <w:r>
        <w:rPr>
          <w:color w:val="000000"/>
          <w:sz w:val="24"/>
          <w:szCs w:val="24"/>
        </w:rPr>
        <w:t xml:space="preserve">развития организации </w:t>
      </w:r>
      <w:r w:rsidRPr="005B6953">
        <w:rPr>
          <w:color w:val="000000"/>
          <w:sz w:val="24"/>
          <w:szCs w:val="24"/>
        </w:rPr>
        <w:t>необходимо обеспечить соответствие внутренних возможностей предприятия (т.е.</w:t>
      </w:r>
      <w:r w:rsidR="00947DF1">
        <w:rPr>
          <w:color w:val="000000"/>
          <w:sz w:val="24"/>
          <w:szCs w:val="24"/>
        </w:rPr>
        <w:t xml:space="preserve"> </w:t>
      </w:r>
      <w:r w:rsidRPr="005B6953">
        <w:rPr>
          <w:color w:val="000000"/>
          <w:sz w:val="24"/>
          <w:szCs w:val="24"/>
        </w:rPr>
        <w:t>баланса ее слабых и сильных сторон) внешней ситуации (т.е. условиям отрасли и конкуренции</w:t>
      </w:r>
      <w:r>
        <w:rPr>
          <w:color w:val="000000"/>
          <w:sz w:val="24"/>
          <w:szCs w:val="24"/>
        </w:rPr>
        <w:t>), м</w:t>
      </w:r>
      <w:r w:rsidRPr="005B6953">
        <w:rPr>
          <w:color w:val="000000"/>
          <w:sz w:val="24"/>
          <w:szCs w:val="24"/>
        </w:rPr>
        <w:t xml:space="preserve">анипулируя факторами, влияющими на </w:t>
      </w:r>
      <w:r w:rsidR="00947DF1">
        <w:rPr>
          <w:color w:val="000000"/>
          <w:sz w:val="24"/>
          <w:szCs w:val="24"/>
        </w:rPr>
        <w:t>показатели экономической эффективности</w:t>
      </w:r>
      <w:r w:rsidRPr="005B6953">
        <w:rPr>
          <w:color w:val="000000"/>
          <w:sz w:val="24"/>
          <w:szCs w:val="24"/>
        </w:rPr>
        <w:t xml:space="preserve"> предприятия, можно осуществлять перспективное управление </w:t>
      </w:r>
      <w:r w:rsidR="00947DF1">
        <w:rPr>
          <w:color w:val="000000"/>
          <w:sz w:val="24"/>
          <w:szCs w:val="24"/>
        </w:rPr>
        <w:t>предприятием,</w:t>
      </w:r>
      <w:r w:rsidRPr="005B6953">
        <w:rPr>
          <w:color w:val="000000"/>
          <w:sz w:val="24"/>
          <w:szCs w:val="24"/>
        </w:rPr>
        <w:t xml:space="preserve"> принимая тактические и стратегические</w:t>
      </w:r>
      <w:r>
        <w:rPr>
          <w:color w:val="000000"/>
          <w:sz w:val="24"/>
          <w:szCs w:val="24"/>
        </w:rPr>
        <w:t xml:space="preserve"> </w:t>
      </w:r>
      <w:r w:rsidRPr="005B6953">
        <w:rPr>
          <w:color w:val="000000"/>
          <w:sz w:val="24"/>
          <w:szCs w:val="24"/>
        </w:rPr>
        <w:t xml:space="preserve">управленческие решения по разным производственным процессам предприятия, </w:t>
      </w:r>
      <w:r w:rsidRPr="005B6953">
        <w:rPr>
          <w:color w:val="000000"/>
          <w:sz w:val="24"/>
          <w:szCs w:val="24"/>
        </w:rPr>
        <w:lastRenderedPageBreak/>
        <w:t>отдельным</w:t>
      </w:r>
      <w:r>
        <w:rPr>
          <w:color w:val="000000"/>
          <w:sz w:val="24"/>
          <w:szCs w:val="24"/>
        </w:rPr>
        <w:t xml:space="preserve"> </w:t>
      </w:r>
      <w:r w:rsidRPr="005B6953">
        <w:rPr>
          <w:color w:val="000000"/>
          <w:sz w:val="24"/>
          <w:szCs w:val="24"/>
        </w:rPr>
        <w:t>бизнес-процессам, а также разрабатывать общий</w:t>
      </w:r>
      <w:r>
        <w:rPr>
          <w:color w:val="000000"/>
          <w:sz w:val="24"/>
          <w:szCs w:val="24"/>
        </w:rPr>
        <w:t xml:space="preserve"> </w:t>
      </w:r>
      <w:r w:rsidRPr="005B6953">
        <w:rPr>
          <w:color w:val="000000"/>
          <w:sz w:val="24"/>
          <w:szCs w:val="24"/>
        </w:rPr>
        <w:t xml:space="preserve">план перспективного развития предприятия с учетом его специфики и вида деятельности. </w:t>
      </w:r>
    </w:p>
    <w:p w:rsidR="00947DF1" w:rsidRDefault="00947DF1" w:rsidP="0004558C">
      <w:pPr>
        <w:jc w:val="center"/>
        <w:rPr>
          <w:b/>
          <w:sz w:val="24"/>
          <w:szCs w:val="24"/>
        </w:rPr>
      </w:pPr>
    </w:p>
    <w:p w:rsidR="0004558C" w:rsidRPr="00947DF1" w:rsidRDefault="0004558C" w:rsidP="0004558C">
      <w:pPr>
        <w:jc w:val="center"/>
        <w:rPr>
          <w:b/>
          <w:sz w:val="24"/>
          <w:szCs w:val="24"/>
        </w:rPr>
      </w:pPr>
      <w:r w:rsidRPr="00947DF1">
        <w:rPr>
          <w:b/>
          <w:sz w:val="24"/>
          <w:szCs w:val="24"/>
        </w:rPr>
        <w:t>Список литературы на русском языке</w:t>
      </w:r>
    </w:p>
    <w:p w:rsidR="0004558C" w:rsidRPr="00A6715B" w:rsidRDefault="00A6715B" w:rsidP="00A6715B">
      <w:pPr>
        <w:jc w:val="both"/>
        <w:rPr>
          <w:sz w:val="24"/>
          <w:szCs w:val="24"/>
        </w:rPr>
      </w:pPr>
      <w:r>
        <w:rPr>
          <w:sz w:val="24"/>
          <w:szCs w:val="24"/>
        </w:rPr>
        <w:t>1.</w:t>
      </w:r>
      <w:r w:rsidR="0004558C" w:rsidRPr="00A6715B">
        <w:rPr>
          <w:sz w:val="24"/>
          <w:szCs w:val="24"/>
        </w:rPr>
        <w:t xml:space="preserve">SWOT-анализ: сильные и слабые стороны, возможности и угрозы [Электронный ресурс] // Технологии корпоративного управления. – Режим доступа: </w:t>
      </w:r>
      <w:r w:rsidRPr="00A6715B">
        <w:rPr>
          <w:sz w:val="24"/>
          <w:szCs w:val="24"/>
        </w:rPr>
        <w:t>http://www.iteam.ru/publications/strategy/section_16/article_1185</w:t>
      </w:r>
      <w:r w:rsidR="0004558C" w:rsidRPr="00A6715B">
        <w:rPr>
          <w:sz w:val="24"/>
          <w:szCs w:val="24"/>
        </w:rPr>
        <w:t>.</w:t>
      </w:r>
      <w:r>
        <w:rPr>
          <w:sz w:val="24"/>
          <w:szCs w:val="24"/>
        </w:rPr>
        <w:t xml:space="preserve"> </w:t>
      </w:r>
      <w:r w:rsidRPr="00A6715B">
        <w:rPr>
          <w:sz w:val="24"/>
          <w:szCs w:val="24"/>
        </w:rPr>
        <w:t xml:space="preserve">– </w:t>
      </w:r>
      <w:r>
        <w:rPr>
          <w:sz w:val="24"/>
          <w:szCs w:val="24"/>
        </w:rPr>
        <w:t>Дата доступа: 15.04</w:t>
      </w:r>
      <w:r w:rsidRPr="00A6715B">
        <w:rPr>
          <w:sz w:val="24"/>
          <w:szCs w:val="24"/>
        </w:rPr>
        <w:t>.2020.</w:t>
      </w:r>
    </w:p>
    <w:p w:rsidR="00756A66" w:rsidRPr="00A6715B" w:rsidRDefault="00A6715B" w:rsidP="00A6715B">
      <w:pPr>
        <w:jc w:val="both"/>
        <w:outlineLvl w:val="0"/>
        <w:rPr>
          <w:sz w:val="24"/>
          <w:szCs w:val="24"/>
        </w:rPr>
      </w:pPr>
      <w:r>
        <w:rPr>
          <w:sz w:val="24"/>
          <w:szCs w:val="24"/>
        </w:rPr>
        <w:t xml:space="preserve">2. </w:t>
      </w:r>
      <w:r w:rsidR="00756A66" w:rsidRPr="00A6715B">
        <w:rPr>
          <w:sz w:val="24"/>
          <w:szCs w:val="24"/>
        </w:rPr>
        <w:t>Гурко, В. Методика проведения экономического анализа прибыли организаций (с использованием традиционного и новых подходов). [</w:t>
      </w:r>
      <w:proofErr w:type="spellStart"/>
      <w:r w:rsidR="00756A66" w:rsidRPr="00A6715B">
        <w:rPr>
          <w:sz w:val="24"/>
          <w:szCs w:val="24"/>
        </w:rPr>
        <w:t>Элетронный</w:t>
      </w:r>
      <w:proofErr w:type="spellEnd"/>
      <w:r w:rsidR="00756A66" w:rsidRPr="00A6715B">
        <w:rPr>
          <w:sz w:val="24"/>
          <w:szCs w:val="24"/>
        </w:rPr>
        <w:t xml:space="preserve"> ресурс]/ Аналитическая  правовая система Республики Беларусь.</w:t>
      </w:r>
      <w:r>
        <w:rPr>
          <w:sz w:val="24"/>
          <w:szCs w:val="24"/>
        </w:rPr>
        <w:t xml:space="preserve"> – </w:t>
      </w:r>
      <w:r w:rsidR="00756A66" w:rsidRPr="00A6715B">
        <w:rPr>
          <w:sz w:val="24"/>
          <w:szCs w:val="24"/>
        </w:rPr>
        <w:t xml:space="preserve">Минск, 2017. – Режим доступа </w:t>
      </w:r>
      <w:r w:rsidR="00756A66" w:rsidRPr="00A6715B">
        <w:rPr>
          <w:bCs/>
          <w:sz w:val="24"/>
          <w:szCs w:val="24"/>
        </w:rPr>
        <w:t xml:space="preserve">http://bii.by/tx.dll?d=258319. </w:t>
      </w:r>
      <w:r w:rsidR="00756A66" w:rsidRPr="00A6715B">
        <w:rPr>
          <w:sz w:val="24"/>
          <w:szCs w:val="24"/>
        </w:rPr>
        <w:t xml:space="preserve">– </w:t>
      </w:r>
      <w:r>
        <w:rPr>
          <w:sz w:val="24"/>
          <w:szCs w:val="24"/>
        </w:rPr>
        <w:t>Дата доступа: 21</w:t>
      </w:r>
      <w:r w:rsidR="00756A66" w:rsidRPr="00A6715B">
        <w:rPr>
          <w:sz w:val="24"/>
          <w:szCs w:val="24"/>
        </w:rPr>
        <w:t>.03.2020.</w:t>
      </w:r>
    </w:p>
    <w:p w:rsidR="0004558C" w:rsidRPr="00A6715B" w:rsidRDefault="00A6715B" w:rsidP="00A6715B">
      <w:pPr>
        <w:jc w:val="both"/>
        <w:outlineLvl w:val="0"/>
        <w:rPr>
          <w:sz w:val="24"/>
          <w:szCs w:val="24"/>
        </w:rPr>
      </w:pPr>
      <w:r>
        <w:rPr>
          <w:color w:val="000000"/>
          <w:sz w:val="24"/>
          <w:szCs w:val="24"/>
          <w:lang w:eastAsia="ru-RU"/>
        </w:rPr>
        <w:t xml:space="preserve">3. </w:t>
      </w:r>
      <w:proofErr w:type="spellStart"/>
      <w:r w:rsidR="00756A66" w:rsidRPr="00A6715B">
        <w:rPr>
          <w:color w:val="000000"/>
          <w:sz w:val="24"/>
          <w:szCs w:val="24"/>
          <w:lang w:eastAsia="ru-RU"/>
        </w:rPr>
        <w:t>Выборова</w:t>
      </w:r>
      <w:proofErr w:type="spellEnd"/>
      <w:r w:rsidR="00756A66" w:rsidRPr="00A6715B">
        <w:rPr>
          <w:color w:val="000000"/>
          <w:sz w:val="24"/>
          <w:szCs w:val="24"/>
          <w:lang w:eastAsia="ru-RU"/>
        </w:rPr>
        <w:t xml:space="preserve">, Е.Н. Особенности методологии анализа и управления устойчивостью компании: новые тенденции / Е.Н. </w:t>
      </w:r>
      <w:proofErr w:type="spellStart"/>
      <w:r w:rsidR="00756A66" w:rsidRPr="00A6715B">
        <w:rPr>
          <w:color w:val="000000"/>
          <w:sz w:val="24"/>
          <w:szCs w:val="24"/>
          <w:lang w:eastAsia="ru-RU"/>
        </w:rPr>
        <w:t>Выборова</w:t>
      </w:r>
      <w:proofErr w:type="spellEnd"/>
      <w:r w:rsidR="00756A66" w:rsidRPr="00A6715B">
        <w:rPr>
          <w:color w:val="000000"/>
          <w:sz w:val="24"/>
          <w:szCs w:val="24"/>
          <w:lang w:eastAsia="ru-RU"/>
        </w:rPr>
        <w:t>// Экономический анализ. – 2014. – № 20 (53). – С.25–29.</w:t>
      </w:r>
    </w:p>
    <w:p w:rsidR="00A6715B" w:rsidRPr="00A6715B" w:rsidRDefault="00A6715B" w:rsidP="0004558C">
      <w:pPr>
        <w:pStyle w:val="a3"/>
        <w:jc w:val="center"/>
        <w:rPr>
          <w:b/>
          <w:sz w:val="24"/>
          <w:szCs w:val="24"/>
        </w:rPr>
      </w:pPr>
      <w:r w:rsidRPr="00A6715B">
        <w:rPr>
          <w:b/>
          <w:sz w:val="24"/>
          <w:szCs w:val="24"/>
        </w:rPr>
        <w:t>Информация об авторах на русском языке</w:t>
      </w:r>
    </w:p>
    <w:p w:rsidR="004144D6" w:rsidRDefault="00A6715B" w:rsidP="004144D6">
      <w:pPr>
        <w:jc w:val="center"/>
        <w:rPr>
          <w:sz w:val="24"/>
          <w:szCs w:val="24"/>
        </w:rPr>
      </w:pPr>
      <w:r w:rsidRPr="00A6715B">
        <w:rPr>
          <w:sz w:val="24"/>
          <w:szCs w:val="24"/>
        </w:rPr>
        <w:t>Орех Евгений Владимирович</w:t>
      </w:r>
      <w:r>
        <w:rPr>
          <w:sz w:val="24"/>
          <w:szCs w:val="24"/>
        </w:rPr>
        <w:t xml:space="preserve"> (Гродно, Беларусь) – студент 4 курса УО «Гродненский государственный университет имени Янки Купалы»</w:t>
      </w:r>
      <w:r w:rsidR="004144D6" w:rsidRPr="004144D6">
        <w:rPr>
          <w:sz w:val="24"/>
          <w:szCs w:val="24"/>
        </w:rPr>
        <w:t xml:space="preserve"> </w:t>
      </w:r>
      <w:r w:rsidR="004144D6">
        <w:rPr>
          <w:sz w:val="24"/>
          <w:szCs w:val="24"/>
        </w:rPr>
        <w:t xml:space="preserve">(230000 Республика Беларусь, г. Гродно, ул. Ожешко,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A6715B" w:rsidRDefault="00A6715B" w:rsidP="004144D6">
      <w:pPr>
        <w:jc w:val="center"/>
        <w:rPr>
          <w:sz w:val="24"/>
          <w:szCs w:val="24"/>
        </w:rPr>
      </w:pPr>
      <w:r w:rsidRPr="00A6715B">
        <w:rPr>
          <w:sz w:val="24"/>
          <w:szCs w:val="24"/>
        </w:rPr>
        <w:t>Василевский Александр Иванович</w:t>
      </w:r>
      <w:r>
        <w:rPr>
          <w:sz w:val="24"/>
          <w:szCs w:val="24"/>
        </w:rPr>
        <w:t xml:space="preserve"> (Гродно, Беларусь) – студент 4 курса УО «Гродненский государственный университет имени Янки Купалы»</w:t>
      </w:r>
      <w:r w:rsidR="004144D6">
        <w:rPr>
          <w:sz w:val="24"/>
          <w:szCs w:val="24"/>
        </w:rPr>
        <w:t xml:space="preserve"> (230000 Республика Беларусь, г. Гродно, ул. Ожешко,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4144D6" w:rsidRDefault="00A6715B" w:rsidP="004144D6">
      <w:pPr>
        <w:jc w:val="center"/>
        <w:rPr>
          <w:sz w:val="24"/>
          <w:szCs w:val="24"/>
        </w:rPr>
      </w:pPr>
      <w:r>
        <w:rPr>
          <w:sz w:val="24"/>
          <w:szCs w:val="24"/>
        </w:rPr>
        <w:t>Научный руководитель – Шевченко Оксана Викторовна, старший преподаватель УО «Гродненский государственный университет имени Янки Купалы»</w:t>
      </w:r>
      <w:r w:rsidR="004144D6" w:rsidRPr="004144D6">
        <w:rPr>
          <w:sz w:val="24"/>
          <w:szCs w:val="24"/>
        </w:rPr>
        <w:t xml:space="preserve"> </w:t>
      </w:r>
      <w:r w:rsidR="004144D6">
        <w:rPr>
          <w:sz w:val="24"/>
          <w:szCs w:val="24"/>
        </w:rPr>
        <w:t xml:space="preserve">(230000 Республика Беларусь, г. Гродно, ул. Ожешко,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A6715B" w:rsidRDefault="00A6715B" w:rsidP="004144D6">
      <w:pPr>
        <w:jc w:val="center"/>
        <w:rPr>
          <w:sz w:val="24"/>
          <w:szCs w:val="24"/>
        </w:rPr>
      </w:pPr>
    </w:p>
    <w:p w:rsidR="00A6715B" w:rsidRPr="00053608" w:rsidRDefault="00053608" w:rsidP="00053608">
      <w:pPr>
        <w:jc w:val="center"/>
        <w:rPr>
          <w:sz w:val="24"/>
          <w:szCs w:val="24"/>
          <w:lang w:val="en-US"/>
        </w:rPr>
      </w:pPr>
      <w:r w:rsidRPr="00053608">
        <w:rPr>
          <w:sz w:val="24"/>
          <w:szCs w:val="24"/>
          <w:shd w:val="clear" w:color="auto" w:fill="F8F9FA"/>
          <w:lang w:val="en-US"/>
        </w:rPr>
        <w:t>EVALUATION OF STRATEGIC DIRECTIONS OF IMPROVEMENT OF FINANCIAL ACTIVITIES OF INDUSTRIAL ENTERPRISES</w:t>
      </w:r>
    </w:p>
    <w:p w:rsidR="00A6715B" w:rsidRPr="00F63063" w:rsidRDefault="00F63063" w:rsidP="00F63063">
      <w:pPr>
        <w:pStyle w:val="a3"/>
        <w:ind w:left="0"/>
        <w:jc w:val="both"/>
        <w:rPr>
          <w:b/>
          <w:sz w:val="24"/>
          <w:szCs w:val="24"/>
        </w:rPr>
      </w:pPr>
      <w:r w:rsidRPr="00F63063">
        <w:rPr>
          <w:b/>
          <w:sz w:val="24"/>
          <w:szCs w:val="24"/>
        </w:rPr>
        <w:t xml:space="preserve">Аннотация </w:t>
      </w:r>
      <w:r w:rsidR="00DF2638">
        <w:rPr>
          <w:b/>
          <w:sz w:val="24"/>
          <w:szCs w:val="24"/>
        </w:rPr>
        <w:t xml:space="preserve">статьи </w:t>
      </w:r>
      <w:r w:rsidRPr="00F63063">
        <w:rPr>
          <w:b/>
          <w:sz w:val="24"/>
          <w:szCs w:val="24"/>
        </w:rPr>
        <w:t>на английском языке</w:t>
      </w:r>
    </w:p>
    <w:p w:rsidR="00053608" w:rsidRDefault="00053608" w:rsidP="003E2EA4">
      <w:pPr>
        <w:pStyle w:val="HTML"/>
        <w:shd w:val="clear" w:color="auto" w:fill="F8F9FA"/>
        <w:spacing w:line="360" w:lineRule="auto"/>
        <w:jc w:val="center"/>
        <w:rPr>
          <w:rFonts w:ascii="Times New Roman" w:hAnsi="Times New Roman" w:cs="Times New Roman"/>
          <w:sz w:val="24"/>
          <w:szCs w:val="24"/>
        </w:rPr>
      </w:pPr>
      <w:r w:rsidRPr="00053608">
        <w:rPr>
          <w:rFonts w:ascii="Times New Roman" w:hAnsi="Times New Roman" w:cs="Times New Roman"/>
          <w:sz w:val="24"/>
          <w:szCs w:val="24"/>
          <w:lang w:val="en-US"/>
        </w:rPr>
        <w:t xml:space="preserve">The </w:t>
      </w:r>
      <w:r w:rsidRPr="00F63063">
        <w:rPr>
          <w:rFonts w:ascii="Times New Roman" w:hAnsi="Times New Roman" w:cs="Times New Roman"/>
          <w:sz w:val="24"/>
          <w:szCs w:val="24"/>
          <w:lang w:val="en-US"/>
        </w:rPr>
        <w:t xml:space="preserve">purpose of this work is to </w:t>
      </w:r>
      <w:r w:rsidR="00F63063" w:rsidRPr="00F63063">
        <w:rPr>
          <w:rFonts w:ascii="Times New Roman" w:hAnsi="Times New Roman" w:cs="Times New Roman"/>
          <w:sz w:val="24"/>
          <w:szCs w:val="24"/>
          <w:lang w:val="en-US"/>
        </w:rPr>
        <w:t>t</w:t>
      </w:r>
      <w:r w:rsidRPr="00515488">
        <w:rPr>
          <w:rFonts w:ascii="Times New Roman" w:hAnsi="Times New Roman" w:cs="Times New Roman"/>
          <w:sz w:val="24"/>
          <w:szCs w:val="24"/>
          <w:lang w:val="en-US"/>
        </w:rPr>
        <w:t xml:space="preserve">he problematic aspects of organizing and assessing the indicators of economic efficiency of the financial and economic activity of an industrial enterprise are considered. </w:t>
      </w:r>
      <w:r w:rsidRPr="00F63063">
        <w:rPr>
          <w:rFonts w:ascii="Times New Roman" w:hAnsi="Times New Roman" w:cs="Times New Roman"/>
          <w:sz w:val="24"/>
          <w:szCs w:val="24"/>
        </w:rPr>
        <w:t xml:space="preserve">An assessment of the organization’s resource structure is presented with the aim of identifying strategic development prospects using the example of an industrial enterprise </w:t>
      </w:r>
      <w:r w:rsidR="00F63063" w:rsidRPr="00F63063">
        <w:rPr>
          <w:rFonts w:ascii="Times New Roman" w:hAnsi="Times New Roman" w:cs="Times New Roman"/>
          <w:sz w:val="24"/>
          <w:szCs w:val="24"/>
          <w:lang w:val="en-US"/>
        </w:rPr>
        <w:t>JSC</w:t>
      </w:r>
      <w:r w:rsidRPr="00F63063">
        <w:rPr>
          <w:rFonts w:ascii="Times New Roman" w:hAnsi="Times New Roman" w:cs="Times New Roman"/>
          <w:sz w:val="24"/>
          <w:szCs w:val="24"/>
        </w:rPr>
        <w:t xml:space="preserve"> </w:t>
      </w:r>
      <w:r w:rsidR="00F63063" w:rsidRPr="00F63063">
        <w:rPr>
          <w:rFonts w:ascii="Times New Roman" w:hAnsi="Times New Roman" w:cs="Times New Roman"/>
          <w:sz w:val="24"/>
          <w:szCs w:val="24"/>
          <w:lang w:val="en-US"/>
        </w:rPr>
        <w:t>«</w:t>
      </w:r>
      <w:r w:rsidRPr="00F63063">
        <w:rPr>
          <w:rFonts w:ascii="Times New Roman" w:hAnsi="Times New Roman" w:cs="Times New Roman"/>
          <w:sz w:val="24"/>
          <w:szCs w:val="24"/>
        </w:rPr>
        <w:t>Grodno Distillery</w:t>
      </w:r>
      <w:r w:rsidR="00F63063" w:rsidRPr="00F63063">
        <w:rPr>
          <w:rFonts w:ascii="Times New Roman" w:hAnsi="Times New Roman" w:cs="Times New Roman"/>
          <w:sz w:val="24"/>
          <w:szCs w:val="24"/>
          <w:lang w:val="en-US"/>
        </w:rPr>
        <w:t>».</w:t>
      </w:r>
    </w:p>
    <w:p w:rsidR="00F63063" w:rsidRPr="00F63063" w:rsidRDefault="00F63063" w:rsidP="00F63063">
      <w:pPr>
        <w:pStyle w:val="HTML"/>
        <w:shd w:val="clear" w:color="auto" w:fill="F8F9FA"/>
        <w:jc w:val="both"/>
        <w:rPr>
          <w:rFonts w:ascii="Times New Roman" w:hAnsi="Times New Roman" w:cs="Times New Roman"/>
          <w:b/>
          <w:sz w:val="24"/>
          <w:szCs w:val="24"/>
        </w:rPr>
      </w:pPr>
      <w:r w:rsidRPr="00F63063">
        <w:rPr>
          <w:rFonts w:ascii="Times New Roman" w:hAnsi="Times New Roman" w:cs="Times New Roman"/>
          <w:b/>
          <w:sz w:val="24"/>
          <w:szCs w:val="24"/>
        </w:rPr>
        <w:t>Ключевые слова на английском языке</w:t>
      </w:r>
    </w:p>
    <w:p w:rsidR="00F63063" w:rsidRPr="00F63063" w:rsidRDefault="00F63063" w:rsidP="003E2EA4">
      <w:pPr>
        <w:pStyle w:val="HTML"/>
        <w:shd w:val="clear" w:color="auto" w:fill="F8F9FA"/>
        <w:spacing w:line="360" w:lineRule="auto"/>
        <w:jc w:val="center"/>
        <w:rPr>
          <w:rFonts w:ascii="Times New Roman" w:hAnsi="Times New Roman" w:cs="Times New Roman"/>
          <w:i/>
          <w:sz w:val="24"/>
          <w:szCs w:val="24"/>
        </w:rPr>
      </w:pPr>
      <w:r w:rsidRPr="00F63063">
        <w:rPr>
          <w:rFonts w:ascii="Times New Roman" w:hAnsi="Times New Roman" w:cs="Times New Roman"/>
          <w:i/>
          <w:sz w:val="24"/>
          <w:szCs w:val="24"/>
        </w:rPr>
        <w:t>Strategy</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rPr>
        <w:t>strategic planning</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rPr>
        <w:t>the financial analysis</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rPr>
        <w:t>alcohol industry</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rPr>
        <w:t>assets</w:t>
      </w:r>
    </w:p>
    <w:p w:rsidR="0004558C" w:rsidRPr="003E2EA4" w:rsidRDefault="0004558C" w:rsidP="0004558C">
      <w:pPr>
        <w:pStyle w:val="a3"/>
        <w:jc w:val="center"/>
        <w:rPr>
          <w:b/>
          <w:sz w:val="24"/>
          <w:szCs w:val="24"/>
        </w:rPr>
      </w:pPr>
      <w:r w:rsidRPr="00A6715B">
        <w:rPr>
          <w:b/>
          <w:sz w:val="24"/>
          <w:szCs w:val="24"/>
        </w:rPr>
        <w:t>Список</w:t>
      </w:r>
      <w:r w:rsidRPr="003E2EA4">
        <w:rPr>
          <w:b/>
          <w:sz w:val="24"/>
          <w:szCs w:val="24"/>
        </w:rPr>
        <w:t xml:space="preserve"> </w:t>
      </w:r>
      <w:r w:rsidRPr="00A6715B">
        <w:rPr>
          <w:b/>
          <w:sz w:val="24"/>
          <w:szCs w:val="24"/>
        </w:rPr>
        <w:t>литературы</w:t>
      </w:r>
      <w:r w:rsidRPr="003E2EA4">
        <w:rPr>
          <w:b/>
          <w:sz w:val="24"/>
          <w:szCs w:val="24"/>
        </w:rPr>
        <w:t xml:space="preserve"> </w:t>
      </w:r>
      <w:r w:rsidRPr="00A6715B">
        <w:rPr>
          <w:b/>
          <w:sz w:val="24"/>
          <w:szCs w:val="24"/>
        </w:rPr>
        <w:t>на</w:t>
      </w:r>
      <w:r w:rsidRPr="003E2EA4">
        <w:rPr>
          <w:b/>
          <w:sz w:val="24"/>
          <w:szCs w:val="24"/>
        </w:rPr>
        <w:t xml:space="preserve"> </w:t>
      </w:r>
      <w:r w:rsidRPr="00A6715B">
        <w:rPr>
          <w:b/>
          <w:sz w:val="24"/>
          <w:szCs w:val="24"/>
        </w:rPr>
        <w:t>английском</w:t>
      </w:r>
      <w:r w:rsidRPr="003E2EA4">
        <w:rPr>
          <w:b/>
          <w:sz w:val="24"/>
          <w:szCs w:val="24"/>
        </w:rPr>
        <w:t xml:space="preserve"> </w:t>
      </w:r>
      <w:r w:rsidRPr="00A6715B">
        <w:rPr>
          <w:b/>
          <w:sz w:val="24"/>
          <w:szCs w:val="24"/>
        </w:rPr>
        <w:t>языке</w:t>
      </w:r>
    </w:p>
    <w:p w:rsidR="00A6715B" w:rsidRPr="003E2EA4" w:rsidRDefault="00A6715B" w:rsidP="0004558C">
      <w:pPr>
        <w:pStyle w:val="a3"/>
        <w:jc w:val="center"/>
        <w:rPr>
          <w:b/>
        </w:rPr>
      </w:pP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eastAsia="ru-RU"/>
        </w:rPr>
      </w:pPr>
      <w:r w:rsidRPr="004144D6">
        <w:rPr>
          <w:rFonts w:eastAsia="Times New Roman"/>
          <w:sz w:val="24"/>
          <w:szCs w:val="24"/>
          <w:lang w:eastAsia="ru-RU"/>
        </w:rPr>
        <w:t>1. SWOT analysis: strengths and weaknesses, opportunities and threats [Electronic resource] // Corporate Governance Technologies. - Access mode: http://www.iteam.ru/publications/strategy/section_16/article_1185. - Date of access: 04/15/2020.</w:t>
      </w: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eastAsia="ru-RU"/>
        </w:rPr>
      </w:pPr>
      <w:r w:rsidRPr="004144D6">
        <w:rPr>
          <w:rFonts w:eastAsia="Times New Roman"/>
          <w:sz w:val="24"/>
          <w:szCs w:val="24"/>
          <w:lang w:eastAsia="ru-RU"/>
        </w:rPr>
        <w:t xml:space="preserve">2. </w:t>
      </w:r>
      <w:proofErr w:type="spellStart"/>
      <w:r w:rsidRPr="004144D6">
        <w:rPr>
          <w:rFonts w:eastAsia="Times New Roman"/>
          <w:sz w:val="24"/>
          <w:szCs w:val="24"/>
          <w:lang w:eastAsia="ru-RU"/>
        </w:rPr>
        <w:t>Gurko</w:t>
      </w:r>
      <w:proofErr w:type="spellEnd"/>
      <w:r w:rsidRPr="004144D6">
        <w:rPr>
          <w:rFonts w:eastAsia="Times New Roman"/>
          <w:sz w:val="24"/>
          <w:szCs w:val="24"/>
          <w:lang w:eastAsia="ru-RU"/>
        </w:rPr>
        <w:t>, V. Methodology for conducting an economic analysis of the profits of organizations (using traditional and new approaches). [Electronic resource] / Analytical legal system of the Republic of Belarus. - Minsk, 2017. - Access mode http://bii.by/tx.dll?d=258319. - Date of access: 03/21/2020.</w:t>
      </w: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val="en-US" w:eastAsia="ru-RU"/>
        </w:rPr>
      </w:pPr>
      <w:r w:rsidRPr="00515488">
        <w:rPr>
          <w:rFonts w:eastAsia="Times New Roman"/>
          <w:sz w:val="24"/>
          <w:szCs w:val="24"/>
          <w:lang w:val="en-US" w:eastAsia="ru-RU"/>
        </w:rPr>
        <w:t>3. Vyborova, E. N. Features of the methodology of analysis and management of company sustainability: new trends / E.N. Vyborova // Economic analysis. - 2014. - No. 20 (53). - S.25–29.</w:t>
      </w:r>
    </w:p>
    <w:p w:rsidR="00FF4905" w:rsidRPr="00A6715B" w:rsidRDefault="00FF4905" w:rsidP="00FF4905">
      <w:pPr>
        <w:pStyle w:val="a3"/>
        <w:jc w:val="center"/>
        <w:rPr>
          <w:b/>
          <w:sz w:val="24"/>
          <w:szCs w:val="24"/>
        </w:rPr>
      </w:pPr>
      <w:r w:rsidRPr="00A6715B">
        <w:rPr>
          <w:b/>
          <w:sz w:val="24"/>
          <w:szCs w:val="24"/>
        </w:rPr>
        <w:t xml:space="preserve">Информация об авторах на </w:t>
      </w:r>
      <w:r>
        <w:rPr>
          <w:b/>
          <w:sz w:val="24"/>
          <w:szCs w:val="24"/>
        </w:rPr>
        <w:t>английском</w:t>
      </w:r>
      <w:r w:rsidRPr="00A6715B">
        <w:rPr>
          <w:b/>
          <w:sz w:val="24"/>
          <w:szCs w:val="24"/>
        </w:rPr>
        <w:t xml:space="preserve"> языке</w:t>
      </w:r>
    </w:p>
    <w:p w:rsidR="004144D6" w:rsidRPr="004144D6" w:rsidRDefault="004144D6" w:rsidP="004144D6">
      <w:pPr>
        <w:pStyle w:val="HTML"/>
        <w:shd w:val="clear" w:color="auto" w:fill="F8F9FA"/>
        <w:jc w:val="center"/>
        <w:rPr>
          <w:rFonts w:ascii="Times New Roman" w:hAnsi="Times New Roman" w:cs="Times New Roman"/>
          <w:sz w:val="24"/>
          <w:szCs w:val="24"/>
          <w:lang w:val="en-US"/>
        </w:rPr>
      </w:pPr>
      <w:r w:rsidRPr="004144D6">
        <w:rPr>
          <w:rFonts w:ascii="Times New Roman" w:hAnsi="Times New Roman" w:cs="Times New Roman"/>
          <w:sz w:val="24"/>
          <w:szCs w:val="24"/>
          <w:shd w:val="clear" w:color="auto" w:fill="F8F9FA"/>
          <w:lang w:val="en-US"/>
        </w:rPr>
        <w:lastRenderedPageBreak/>
        <w:t xml:space="preserve">Evgeniy </w:t>
      </w:r>
      <w:proofErr w:type="spellStart"/>
      <w:r w:rsidR="00053608" w:rsidRPr="00053608">
        <w:rPr>
          <w:rFonts w:ascii="Times New Roman" w:hAnsi="Times New Roman" w:cs="Times New Roman"/>
          <w:sz w:val="24"/>
          <w:szCs w:val="24"/>
        </w:rPr>
        <w:t>Vladimirovich</w:t>
      </w:r>
      <w:proofErr w:type="spellEnd"/>
      <w:r w:rsidR="00053608" w:rsidRPr="004144D6">
        <w:rPr>
          <w:rFonts w:ascii="Times New Roman" w:hAnsi="Times New Roman" w:cs="Times New Roman"/>
          <w:sz w:val="24"/>
          <w:szCs w:val="24"/>
          <w:shd w:val="clear" w:color="auto" w:fill="F8F9FA"/>
          <w:lang w:val="en-US"/>
        </w:rPr>
        <w:t xml:space="preserve"> </w:t>
      </w:r>
      <w:proofErr w:type="spellStart"/>
      <w:r w:rsidRPr="004144D6">
        <w:rPr>
          <w:rFonts w:ascii="Times New Roman" w:hAnsi="Times New Roman" w:cs="Times New Roman"/>
          <w:sz w:val="24"/>
          <w:szCs w:val="24"/>
          <w:shd w:val="clear" w:color="auto" w:fill="F8F9FA"/>
          <w:lang w:val="en-US"/>
        </w:rPr>
        <w:t>Orekh</w:t>
      </w:r>
      <w:proofErr w:type="spellEnd"/>
      <w:r w:rsidRPr="004144D6">
        <w:rPr>
          <w:rFonts w:ascii="Times New Roman" w:hAnsi="Times New Roman" w:cs="Times New Roman"/>
          <w:sz w:val="24"/>
          <w:szCs w:val="24"/>
          <w:shd w:val="clear" w:color="auto" w:fill="F8F9FA"/>
          <w:lang w:val="en-US"/>
        </w:rPr>
        <w:t xml:space="preserve"> (Grodno, Belarus) </w:t>
      </w:r>
      <w:r>
        <w:rPr>
          <w:rFonts w:ascii="Times New Roman" w:hAnsi="Times New Roman" w:cs="Times New Roman"/>
          <w:sz w:val="24"/>
          <w:szCs w:val="24"/>
          <w:shd w:val="clear" w:color="auto" w:fill="F8F9FA"/>
          <w:lang w:val="en-US"/>
        </w:rPr>
        <w:t>–</w:t>
      </w:r>
      <w:r w:rsidRPr="004144D6">
        <w:rPr>
          <w:rFonts w:ascii="Times New Roman" w:hAnsi="Times New Roman" w:cs="Times New Roman"/>
          <w:sz w:val="24"/>
          <w:szCs w:val="24"/>
          <w:shd w:val="clear" w:color="auto" w:fill="F8F9FA"/>
          <w:lang w:val="en-US"/>
        </w:rPr>
        <w:t xml:space="preserve"> </w:t>
      </w:r>
      <w:proofErr w:type="spellStart"/>
      <w:r w:rsidRPr="004144D6">
        <w:rPr>
          <w:rFonts w:ascii="Times New Roman" w:hAnsi="Times New Roman" w:cs="Times New Roman"/>
          <w:sz w:val="24"/>
          <w:szCs w:val="24"/>
        </w:rPr>
        <w:t>bachelor</w:t>
      </w:r>
      <w:proofErr w:type="spellEnd"/>
      <w:r>
        <w:rPr>
          <w:rFonts w:ascii="Times New Roman" w:hAnsi="Times New Roman" w:cs="Times New Roman"/>
          <w:sz w:val="24"/>
          <w:szCs w:val="24"/>
        </w:rPr>
        <w:t xml:space="preserve"> </w:t>
      </w:r>
      <w:r w:rsidRPr="004144D6">
        <w:rPr>
          <w:rFonts w:ascii="Times New Roman" w:hAnsi="Times New Roman" w:cs="Times New Roman"/>
          <w:sz w:val="24"/>
          <w:szCs w:val="24"/>
          <w:shd w:val="clear" w:color="auto" w:fill="F8F9FA"/>
          <w:lang w:val="en-US"/>
        </w:rPr>
        <w:t xml:space="preserve">of the </w:t>
      </w:r>
      <w:proofErr w:type="spellStart"/>
      <w:r w:rsidRPr="004144D6">
        <w:rPr>
          <w:rFonts w:ascii="Times New Roman" w:hAnsi="Times New Roman" w:cs="Times New Roman"/>
          <w:sz w:val="24"/>
          <w:szCs w:val="24"/>
          <w:shd w:val="clear" w:color="auto" w:fill="F8F9FA"/>
          <w:lang w:val="en-US"/>
        </w:rPr>
        <w:t>Yanka</w:t>
      </w:r>
      <w:proofErr w:type="spellEnd"/>
      <w:r w:rsidRPr="004144D6">
        <w:rPr>
          <w:rFonts w:ascii="Times New Roman" w:hAnsi="Times New Roman" w:cs="Times New Roman"/>
          <w:sz w:val="24"/>
          <w:szCs w:val="24"/>
          <w:shd w:val="clear" w:color="auto" w:fill="F8F9FA"/>
          <w:lang w:val="en-US"/>
        </w:rPr>
        <w:t xml:space="preserve"> </w:t>
      </w:r>
      <w:proofErr w:type="spellStart"/>
      <w:r w:rsidRPr="004144D6">
        <w:rPr>
          <w:rFonts w:ascii="Times New Roman" w:hAnsi="Times New Roman" w:cs="Times New Roman"/>
          <w:sz w:val="24"/>
          <w:szCs w:val="24"/>
          <w:shd w:val="clear" w:color="auto" w:fill="F8F9FA"/>
          <w:lang w:val="en-US"/>
        </w:rPr>
        <w:t>Kupala</w:t>
      </w:r>
      <w:proofErr w:type="spellEnd"/>
      <w:r w:rsidRPr="004144D6">
        <w:rPr>
          <w:rFonts w:ascii="Times New Roman" w:hAnsi="Times New Roman" w:cs="Times New Roman"/>
          <w:sz w:val="24"/>
          <w:szCs w:val="24"/>
          <w:shd w:val="clear" w:color="auto" w:fill="F8F9FA"/>
          <w:lang w:val="en-US"/>
        </w:rPr>
        <w:t xml:space="preserve"> State University of Grodno (230000 Republic of Belarus, Grodno, </w:t>
      </w:r>
      <w:proofErr w:type="spellStart"/>
      <w:r w:rsidRPr="004144D6">
        <w:rPr>
          <w:rFonts w:ascii="Times New Roman" w:hAnsi="Times New Roman" w:cs="Times New Roman"/>
          <w:sz w:val="24"/>
          <w:szCs w:val="24"/>
          <w:shd w:val="clear" w:color="auto" w:fill="F8F9FA"/>
          <w:lang w:val="en-US"/>
        </w:rPr>
        <w:t>Ozheshko</w:t>
      </w:r>
      <w:proofErr w:type="spellEnd"/>
      <w:r w:rsidRPr="004144D6">
        <w:rPr>
          <w:rFonts w:ascii="Times New Roman" w:hAnsi="Times New Roman" w:cs="Times New Roman"/>
          <w:sz w:val="24"/>
          <w:szCs w:val="24"/>
          <w:shd w:val="clear" w:color="auto" w:fill="F8F9FA"/>
          <w:lang w:val="en-US"/>
        </w:rPr>
        <w:t xml:space="preserve"> St., 22, www.grsu.by)</w:t>
      </w:r>
    </w:p>
    <w:p w:rsidR="004144D6" w:rsidRPr="004144D6" w:rsidRDefault="004144D6" w:rsidP="004144D6">
      <w:pPr>
        <w:pStyle w:val="a3"/>
        <w:ind w:left="0"/>
        <w:jc w:val="center"/>
        <w:rPr>
          <w:sz w:val="24"/>
          <w:szCs w:val="24"/>
          <w:shd w:val="clear" w:color="auto" w:fill="F8F9FA"/>
          <w:lang w:val="en-US"/>
        </w:rPr>
      </w:pPr>
      <w:r w:rsidRPr="004144D6">
        <w:rPr>
          <w:sz w:val="24"/>
          <w:szCs w:val="24"/>
          <w:shd w:val="clear" w:color="auto" w:fill="F8F9FA"/>
          <w:lang w:val="en-US"/>
        </w:rPr>
        <w:t xml:space="preserve">Alexander </w:t>
      </w:r>
      <w:proofErr w:type="spellStart"/>
      <w:r w:rsidR="00053608" w:rsidRPr="00053608">
        <w:rPr>
          <w:sz w:val="24"/>
          <w:szCs w:val="24"/>
        </w:rPr>
        <w:t>Ivanovich</w:t>
      </w:r>
      <w:proofErr w:type="spellEnd"/>
      <w:r w:rsidR="00053608" w:rsidRPr="004144D6">
        <w:rPr>
          <w:sz w:val="24"/>
          <w:szCs w:val="24"/>
          <w:shd w:val="clear" w:color="auto" w:fill="F8F9FA"/>
          <w:lang w:val="en-US"/>
        </w:rPr>
        <w:t xml:space="preserve"> </w:t>
      </w:r>
      <w:proofErr w:type="spellStart"/>
      <w:r w:rsidRPr="004144D6">
        <w:rPr>
          <w:sz w:val="24"/>
          <w:szCs w:val="24"/>
          <w:shd w:val="clear" w:color="auto" w:fill="F8F9FA"/>
          <w:lang w:val="en-US"/>
        </w:rPr>
        <w:t>Vasilevsky</w:t>
      </w:r>
      <w:proofErr w:type="spellEnd"/>
      <w:r w:rsidRPr="004144D6">
        <w:rPr>
          <w:sz w:val="24"/>
          <w:szCs w:val="24"/>
          <w:shd w:val="clear" w:color="auto" w:fill="F8F9FA"/>
          <w:lang w:val="en-US"/>
        </w:rPr>
        <w:t xml:space="preserve"> (Grodno, Belarus) - </w:t>
      </w:r>
      <w:proofErr w:type="spellStart"/>
      <w:r w:rsidRPr="004144D6">
        <w:rPr>
          <w:sz w:val="24"/>
          <w:szCs w:val="24"/>
        </w:rPr>
        <w:t>bachelor</w:t>
      </w:r>
      <w:proofErr w:type="spellEnd"/>
      <w:r w:rsidRPr="004144D6">
        <w:rPr>
          <w:sz w:val="24"/>
          <w:szCs w:val="24"/>
          <w:shd w:val="clear" w:color="auto" w:fill="F8F9FA"/>
          <w:lang w:val="en-US"/>
        </w:rPr>
        <w:t xml:space="preserve"> of the </w:t>
      </w:r>
      <w:proofErr w:type="spellStart"/>
      <w:r w:rsidRPr="004144D6">
        <w:rPr>
          <w:sz w:val="24"/>
          <w:szCs w:val="24"/>
          <w:shd w:val="clear" w:color="auto" w:fill="F8F9FA"/>
          <w:lang w:val="en-US"/>
        </w:rPr>
        <w:t>Yanka</w:t>
      </w:r>
      <w:proofErr w:type="spellEnd"/>
      <w:r w:rsidRPr="004144D6">
        <w:rPr>
          <w:sz w:val="24"/>
          <w:szCs w:val="24"/>
          <w:shd w:val="clear" w:color="auto" w:fill="F8F9FA"/>
          <w:lang w:val="en-US"/>
        </w:rPr>
        <w:t xml:space="preserve"> </w:t>
      </w:r>
      <w:proofErr w:type="spellStart"/>
      <w:r w:rsidRPr="004144D6">
        <w:rPr>
          <w:sz w:val="24"/>
          <w:szCs w:val="24"/>
          <w:shd w:val="clear" w:color="auto" w:fill="F8F9FA"/>
          <w:lang w:val="en-US"/>
        </w:rPr>
        <w:t>Kupala</w:t>
      </w:r>
      <w:proofErr w:type="spellEnd"/>
      <w:r w:rsidRPr="004144D6">
        <w:rPr>
          <w:sz w:val="24"/>
          <w:szCs w:val="24"/>
          <w:shd w:val="clear" w:color="auto" w:fill="F8F9FA"/>
          <w:lang w:val="en-US"/>
        </w:rPr>
        <w:t xml:space="preserve"> State University of Grodno (230000 Republic of Belarus, Grodno, </w:t>
      </w:r>
      <w:proofErr w:type="spellStart"/>
      <w:r w:rsidRPr="004144D6">
        <w:rPr>
          <w:sz w:val="24"/>
          <w:szCs w:val="24"/>
          <w:shd w:val="clear" w:color="auto" w:fill="F8F9FA"/>
          <w:lang w:val="en-US"/>
        </w:rPr>
        <w:t>Ozheshko</w:t>
      </w:r>
      <w:proofErr w:type="spellEnd"/>
      <w:r w:rsidRPr="004144D6">
        <w:rPr>
          <w:sz w:val="24"/>
          <w:szCs w:val="24"/>
          <w:shd w:val="clear" w:color="auto" w:fill="F8F9FA"/>
          <w:lang w:val="en-US"/>
        </w:rPr>
        <w:t xml:space="preserve"> St., 22, www.grsu.by)</w:t>
      </w:r>
    </w:p>
    <w:p w:rsidR="004144D6" w:rsidRPr="00053608" w:rsidRDefault="004144D6" w:rsidP="004144D6">
      <w:pPr>
        <w:pStyle w:val="a3"/>
        <w:ind w:left="0"/>
        <w:jc w:val="center"/>
        <w:rPr>
          <w:sz w:val="24"/>
          <w:szCs w:val="24"/>
          <w:shd w:val="clear" w:color="auto" w:fill="F8F9FA"/>
          <w:lang w:val="en-US"/>
        </w:rPr>
      </w:pPr>
      <w:r w:rsidRPr="004144D6">
        <w:rPr>
          <w:sz w:val="24"/>
          <w:szCs w:val="24"/>
          <w:shd w:val="clear" w:color="auto" w:fill="F8F9FA"/>
          <w:lang w:val="en-US"/>
        </w:rPr>
        <w:t xml:space="preserve">Academic Supervisor - Oksana </w:t>
      </w:r>
      <w:r w:rsidR="00053608">
        <w:rPr>
          <w:sz w:val="24"/>
          <w:szCs w:val="24"/>
          <w:shd w:val="clear" w:color="auto" w:fill="F8F9FA"/>
          <w:lang w:val="en-US"/>
        </w:rPr>
        <w:t xml:space="preserve">Viktorovna </w:t>
      </w:r>
      <w:r w:rsidRPr="004144D6">
        <w:rPr>
          <w:sz w:val="24"/>
          <w:szCs w:val="24"/>
          <w:shd w:val="clear" w:color="auto" w:fill="F8F9FA"/>
          <w:lang w:val="en-US"/>
        </w:rPr>
        <w:t xml:space="preserve">Shevchenko, Senior Lecturer, </w:t>
      </w:r>
      <w:proofErr w:type="spellStart"/>
      <w:r w:rsidRPr="004144D6">
        <w:rPr>
          <w:sz w:val="24"/>
          <w:szCs w:val="24"/>
          <w:shd w:val="clear" w:color="auto" w:fill="F8F9FA"/>
          <w:lang w:val="en-US"/>
        </w:rPr>
        <w:t>Yanka</w:t>
      </w:r>
      <w:proofErr w:type="spellEnd"/>
      <w:r w:rsidRPr="004144D6">
        <w:rPr>
          <w:sz w:val="24"/>
          <w:szCs w:val="24"/>
          <w:shd w:val="clear" w:color="auto" w:fill="F8F9FA"/>
          <w:lang w:val="en-US"/>
        </w:rPr>
        <w:t xml:space="preserve"> </w:t>
      </w:r>
      <w:proofErr w:type="spellStart"/>
      <w:r w:rsidRPr="004144D6">
        <w:rPr>
          <w:sz w:val="24"/>
          <w:szCs w:val="24"/>
          <w:shd w:val="clear" w:color="auto" w:fill="F8F9FA"/>
          <w:lang w:val="en-US"/>
        </w:rPr>
        <w:t>Kupala</w:t>
      </w:r>
      <w:proofErr w:type="spellEnd"/>
      <w:r w:rsidRPr="004144D6">
        <w:rPr>
          <w:sz w:val="24"/>
          <w:szCs w:val="24"/>
          <w:shd w:val="clear" w:color="auto" w:fill="F8F9FA"/>
          <w:lang w:val="en-US"/>
        </w:rPr>
        <w:t xml:space="preserve"> State University of Grodno (230000 Republic of Belarus, Grodno, </w:t>
      </w:r>
      <w:proofErr w:type="spellStart"/>
      <w:r w:rsidRPr="004144D6">
        <w:rPr>
          <w:sz w:val="24"/>
          <w:szCs w:val="24"/>
          <w:shd w:val="clear" w:color="auto" w:fill="F8F9FA"/>
          <w:lang w:val="en-US"/>
        </w:rPr>
        <w:t>Ozheshko</w:t>
      </w:r>
      <w:proofErr w:type="spellEnd"/>
      <w:r w:rsidRPr="004144D6">
        <w:rPr>
          <w:sz w:val="24"/>
          <w:szCs w:val="24"/>
          <w:shd w:val="clear" w:color="auto" w:fill="F8F9FA"/>
          <w:lang w:val="en-US"/>
        </w:rPr>
        <w:t xml:space="preserve"> St., 22, </w:t>
      </w:r>
      <w:r w:rsidR="00053608" w:rsidRPr="005B586D">
        <w:rPr>
          <w:sz w:val="24"/>
          <w:szCs w:val="24"/>
          <w:shd w:val="clear" w:color="auto" w:fill="F8F9FA"/>
          <w:lang w:val="en-US"/>
        </w:rPr>
        <w:t>www.grsu.by</w:t>
      </w:r>
      <w:r w:rsidRPr="004144D6">
        <w:rPr>
          <w:sz w:val="24"/>
          <w:szCs w:val="24"/>
          <w:shd w:val="clear" w:color="auto" w:fill="F8F9FA"/>
          <w:lang w:val="en-US"/>
        </w:rPr>
        <w:t>)</w:t>
      </w:r>
    </w:p>
    <w:p w:rsidR="00053608" w:rsidRPr="00053608" w:rsidRDefault="00053608" w:rsidP="004144D6">
      <w:pPr>
        <w:pStyle w:val="a3"/>
        <w:ind w:left="0"/>
        <w:jc w:val="center"/>
        <w:rPr>
          <w:sz w:val="24"/>
          <w:szCs w:val="24"/>
          <w:shd w:val="clear" w:color="auto" w:fill="F8F9FA"/>
          <w:lang w:val="en-US"/>
        </w:rPr>
      </w:pPr>
    </w:p>
    <w:sectPr w:rsidR="00053608" w:rsidRPr="00053608" w:rsidSect="003351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E1421"/>
    <w:multiLevelType w:val="hybridMultilevel"/>
    <w:tmpl w:val="3D4AB4CA"/>
    <w:lvl w:ilvl="0" w:tplc="A53EC94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20563343"/>
    <w:multiLevelType w:val="hybridMultilevel"/>
    <w:tmpl w:val="D98C6F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1DA4CFA"/>
    <w:multiLevelType w:val="hybridMultilevel"/>
    <w:tmpl w:val="730AE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94B0A6F"/>
    <w:multiLevelType w:val="hybridMultilevel"/>
    <w:tmpl w:val="B5C83C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31B"/>
    <w:rsid w:val="0004558C"/>
    <w:rsid w:val="00053608"/>
    <w:rsid w:val="000E1DA7"/>
    <w:rsid w:val="00223829"/>
    <w:rsid w:val="003351F0"/>
    <w:rsid w:val="003E2EA4"/>
    <w:rsid w:val="004144D6"/>
    <w:rsid w:val="00515488"/>
    <w:rsid w:val="005B586D"/>
    <w:rsid w:val="005B6953"/>
    <w:rsid w:val="006F6729"/>
    <w:rsid w:val="00753AB1"/>
    <w:rsid w:val="00756A66"/>
    <w:rsid w:val="0088631B"/>
    <w:rsid w:val="00947DF1"/>
    <w:rsid w:val="009E0595"/>
    <w:rsid w:val="00A6715B"/>
    <w:rsid w:val="00BB5C8C"/>
    <w:rsid w:val="00BD05EF"/>
    <w:rsid w:val="00DF2638"/>
    <w:rsid w:val="00F63063"/>
    <w:rsid w:val="00F9559E"/>
    <w:rsid w:val="00FF49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18605D-6192-4A26-8F8E-A68F11607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631B"/>
    <w:pPr>
      <w:spacing w:after="0" w:line="240" w:lineRule="auto"/>
    </w:pPr>
    <w:rPr>
      <w:rFonts w:ascii="Times New Roman" w:eastAsia="Calibri" w:hAnsi="Times New Roman" w:cs="Times New Roman"/>
      <w:sz w:val="28"/>
      <w:szCs w:val="28"/>
    </w:rPr>
  </w:style>
  <w:style w:type="paragraph" w:styleId="2">
    <w:name w:val="heading 2"/>
    <w:basedOn w:val="a"/>
    <w:next w:val="a"/>
    <w:link w:val="20"/>
    <w:uiPriority w:val="99"/>
    <w:qFormat/>
    <w:rsid w:val="0088631B"/>
    <w:pPr>
      <w:keepNext/>
      <w:keepLines/>
      <w:spacing w:before="200"/>
      <w:outlineLvl w:val="1"/>
    </w:pPr>
    <w:rPr>
      <w:rFonts w:ascii="Calibri Light" w:eastAsia="Times New Roman" w:hAnsi="Calibri Light" w:cs="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88631B"/>
    <w:rPr>
      <w:rFonts w:ascii="Calibri Light" w:eastAsia="Times New Roman" w:hAnsi="Calibri Light" w:cs="Calibri Light"/>
      <w:b/>
      <w:bCs/>
      <w:color w:val="5B9BD5"/>
      <w:sz w:val="26"/>
      <w:szCs w:val="26"/>
    </w:rPr>
  </w:style>
  <w:style w:type="paragraph" w:styleId="a3">
    <w:name w:val="List Paragraph"/>
    <w:basedOn w:val="a"/>
    <w:uiPriority w:val="99"/>
    <w:qFormat/>
    <w:rsid w:val="0088631B"/>
    <w:pPr>
      <w:ind w:left="720"/>
    </w:pPr>
  </w:style>
  <w:style w:type="paragraph" w:styleId="a4">
    <w:name w:val="Normal (Web)"/>
    <w:basedOn w:val="a"/>
    <w:uiPriority w:val="99"/>
    <w:rsid w:val="0088631B"/>
    <w:pPr>
      <w:spacing w:before="100" w:beforeAutospacing="1" w:after="100" w:afterAutospacing="1"/>
    </w:pPr>
    <w:rPr>
      <w:rFonts w:eastAsia="Times New Roman"/>
      <w:sz w:val="24"/>
      <w:szCs w:val="24"/>
      <w:lang w:eastAsia="ru-RU"/>
    </w:rPr>
  </w:style>
  <w:style w:type="paragraph" w:styleId="a5">
    <w:name w:val="Balloon Text"/>
    <w:basedOn w:val="a"/>
    <w:link w:val="a6"/>
    <w:uiPriority w:val="99"/>
    <w:semiHidden/>
    <w:unhideWhenUsed/>
    <w:rsid w:val="0088631B"/>
    <w:rPr>
      <w:rFonts w:ascii="Tahoma" w:hAnsi="Tahoma" w:cs="Tahoma"/>
      <w:sz w:val="16"/>
      <w:szCs w:val="16"/>
    </w:rPr>
  </w:style>
  <w:style w:type="character" w:customStyle="1" w:styleId="a6">
    <w:name w:val="Текст выноски Знак"/>
    <w:basedOn w:val="a0"/>
    <w:link w:val="a5"/>
    <w:uiPriority w:val="99"/>
    <w:semiHidden/>
    <w:rsid w:val="0088631B"/>
    <w:rPr>
      <w:rFonts w:ascii="Tahoma" w:eastAsia="Calibri" w:hAnsi="Tahoma" w:cs="Tahoma"/>
      <w:sz w:val="16"/>
      <w:szCs w:val="16"/>
    </w:rPr>
  </w:style>
  <w:style w:type="character" w:styleId="a7">
    <w:name w:val="Hyperlink"/>
    <w:basedOn w:val="a0"/>
    <w:uiPriority w:val="99"/>
    <w:unhideWhenUsed/>
    <w:rsid w:val="0004558C"/>
    <w:rPr>
      <w:color w:val="0000FF" w:themeColor="hyperlink"/>
      <w:u w:val="single"/>
    </w:rPr>
  </w:style>
  <w:style w:type="character" w:styleId="a8">
    <w:name w:val="FollowedHyperlink"/>
    <w:basedOn w:val="a0"/>
    <w:uiPriority w:val="99"/>
    <w:semiHidden/>
    <w:unhideWhenUsed/>
    <w:rsid w:val="00A6715B"/>
    <w:rPr>
      <w:color w:val="800080" w:themeColor="followedHyperlink"/>
      <w:u w:val="single"/>
    </w:rPr>
  </w:style>
  <w:style w:type="paragraph" w:styleId="HTML">
    <w:name w:val="HTML Preformatted"/>
    <w:basedOn w:val="a"/>
    <w:link w:val="HTML0"/>
    <w:uiPriority w:val="99"/>
    <w:unhideWhenUsed/>
    <w:rsid w:val="00A671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6715B"/>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279126">
      <w:bodyDiv w:val="1"/>
      <w:marLeft w:val="0"/>
      <w:marRight w:val="0"/>
      <w:marTop w:val="0"/>
      <w:marBottom w:val="0"/>
      <w:divBdr>
        <w:top w:val="none" w:sz="0" w:space="0" w:color="auto"/>
        <w:left w:val="none" w:sz="0" w:space="0" w:color="auto"/>
        <w:bottom w:val="none" w:sz="0" w:space="0" w:color="auto"/>
        <w:right w:val="none" w:sz="0" w:space="0" w:color="auto"/>
      </w:divBdr>
    </w:div>
    <w:div w:id="132069270">
      <w:bodyDiv w:val="1"/>
      <w:marLeft w:val="0"/>
      <w:marRight w:val="0"/>
      <w:marTop w:val="0"/>
      <w:marBottom w:val="0"/>
      <w:divBdr>
        <w:top w:val="none" w:sz="0" w:space="0" w:color="auto"/>
        <w:left w:val="none" w:sz="0" w:space="0" w:color="auto"/>
        <w:bottom w:val="none" w:sz="0" w:space="0" w:color="auto"/>
        <w:right w:val="none" w:sz="0" w:space="0" w:color="auto"/>
      </w:divBdr>
    </w:div>
    <w:div w:id="1508861091">
      <w:bodyDiv w:val="1"/>
      <w:marLeft w:val="0"/>
      <w:marRight w:val="0"/>
      <w:marTop w:val="0"/>
      <w:marBottom w:val="0"/>
      <w:divBdr>
        <w:top w:val="none" w:sz="0" w:space="0" w:color="auto"/>
        <w:left w:val="none" w:sz="0" w:space="0" w:color="auto"/>
        <w:bottom w:val="none" w:sz="0" w:space="0" w:color="auto"/>
        <w:right w:val="none" w:sz="0" w:space="0" w:color="auto"/>
      </w:divBdr>
    </w:div>
    <w:div w:id="1526409461">
      <w:bodyDiv w:val="1"/>
      <w:marLeft w:val="0"/>
      <w:marRight w:val="0"/>
      <w:marTop w:val="0"/>
      <w:marBottom w:val="0"/>
      <w:divBdr>
        <w:top w:val="none" w:sz="0" w:space="0" w:color="auto"/>
        <w:left w:val="none" w:sz="0" w:space="0" w:color="auto"/>
        <w:bottom w:val="none" w:sz="0" w:space="0" w:color="auto"/>
        <w:right w:val="none" w:sz="0" w:space="0" w:color="auto"/>
      </w:divBdr>
    </w:div>
    <w:div w:id="158283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ettings" Target="setting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7" b="0" i="0" u="none" strike="noStrike" kern="1200" spc="0" baseline="0">
                <a:solidFill>
                  <a:schemeClr val="tx1">
                    <a:lumMod val="65000"/>
                    <a:lumOff val="35000"/>
                  </a:schemeClr>
                </a:solidFill>
                <a:latin typeface="+mn-lt"/>
                <a:ea typeface="+mn-ea"/>
                <a:cs typeface="+mn-cs"/>
              </a:defRPr>
            </a:pPr>
            <a:r>
              <a:rPr lang="ru-RU"/>
              <a:t>Структура активов 2018г.</a:t>
            </a:r>
          </a:p>
        </c:rich>
      </c:tx>
      <c:overlay val="0"/>
      <c:spPr>
        <a:noFill/>
        <a:ln w="25352">
          <a:noFill/>
        </a:ln>
      </c:spPr>
    </c:title>
    <c:autoTitleDeleted val="0"/>
    <c:plotArea>
      <c:layout/>
      <c:pieChart>
        <c:varyColors val="1"/>
        <c:ser>
          <c:idx val="0"/>
          <c:order val="0"/>
          <c:tx>
            <c:strRef>
              <c:f>Лист1!$B$1</c:f>
              <c:strCache>
                <c:ptCount val="1"/>
                <c:pt idx="0">
                  <c:v>Структура активов</c:v>
                </c:pt>
              </c:strCache>
            </c:strRef>
          </c:tx>
          <c:dPt>
            <c:idx val="0"/>
            <c:bubble3D val="0"/>
            <c:spPr>
              <a:solidFill>
                <a:srgbClr val="5B9BD5"/>
              </a:solidFill>
              <a:ln w="12676">
                <a:solidFill>
                  <a:srgbClr val="FFFFFF"/>
                </a:solidFill>
                <a:prstDash val="solid"/>
              </a:ln>
            </c:spPr>
            <c:extLst>
              <c:ext xmlns:c16="http://schemas.microsoft.com/office/drawing/2014/chart" uri="{C3380CC4-5D6E-409C-BE32-E72D297353CC}">
                <c16:uniqueId val="{00000000-43A1-4930-8CB2-FBEFEA773D80}"/>
              </c:ext>
            </c:extLst>
          </c:dPt>
          <c:dPt>
            <c:idx val="1"/>
            <c:bubble3D val="0"/>
            <c:spPr>
              <a:solidFill>
                <a:srgbClr val="ED7D31"/>
              </a:solidFill>
              <a:ln w="12676">
                <a:solidFill>
                  <a:srgbClr val="FFFFFF"/>
                </a:solidFill>
                <a:prstDash val="solid"/>
              </a:ln>
            </c:spPr>
            <c:extLst>
              <c:ext xmlns:c16="http://schemas.microsoft.com/office/drawing/2014/chart" uri="{C3380CC4-5D6E-409C-BE32-E72D297353CC}">
                <c16:uniqueId val="{00000001-43A1-4930-8CB2-FBEFEA773D80}"/>
              </c:ext>
            </c:extLst>
          </c:dPt>
          <c:dPt>
            <c:idx val="2"/>
            <c:bubble3D val="0"/>
            <c:spPr>
              <a:solidFill>
                <a:srgbClr val="A5A5A5"/>
              </a:solidFill>
              <a:ln w="12676">
                <a:solidFill>
                  <a:srgbClr val="FFFFFF"/>
                </a:solidFill>
                <a:prstDash val="solid"/>
              </a:ln>
            </c:spPr>
            <c:extLst>
              <c:ext xmlns:c16="http://schemas.microsoft.com/office/drawing/2014/chart" uri="{C3380CC4-5D6E-409C-BE32-E72D297353CC}">
                <c16:uniqueId val="{00000002-43A1-4930-8CB2-FBEFEA773D80}"/>
              </c:ext>
            </c:extLst>
          </c:dPt>
          <c:dPt>
            <c:idx val="3"/>
            <c:bubble3D val="0"/>
            <c:spPr>
              <a:solidFill>
                <a:srgbClr val="FFC000"/>
              </a:solidFill>
              <a:ln w="12676">
                <a:solidFill>
                  <a:srgbClr val="FFFFFF"/>
                </a:solidFill>
                <a:prstDash val="solid"/>
              </a:ln>
            </c:spPr>
            <c:extLst>
              <c:ext xmlns:c16="http://schemas.microsoft.com/office/drawing/2014/chart" uri="{C3380CC4-5D6E-409C-BE32-E72D297353CC}">
                <c16:uniqueId val="{00000003-43A1-4930-8CB2-FBEFEA773D80}"/>
              </c:ext>
            </c:extLst>
          </c:dPt>
          <c:dPt>
            <c:idx val="4"/>
            <c:bubble3D val="0"/>
            <c:spPr>
              <a:solidFill>
                <a:srgbClr val="4472C4"/>
              </a:solidFill>
              <a:ln w="12676">
                <a:solidFill>
                  <a:srgbClr val="FFFFFF"/>
                </a:solidFill>
                <a:prstDash val="solid"/>
              </a:ln>
            </c:spPr>
            <c:extLst>
              <c:ext xmlns:c16="http://schemas.microsoft.com/office/drawing/2014/chart" uri="{C3380CC4-5D6E-409C-BE32-E72D297353CC}">
                <c16:uniqueId val="{00000004-43A1-4930-8CB2-FBEFEA773D80}"/>
              </c:ext>
            </c:extLst>
          </c:dPt>
          <c:dPt>
            <c:idx val="5"/>
            <c:bubble3D val="0"/>
            <c:spPr>
              <a:solidFill>
                <a:srgbClr val="70AD47"/>
              </a:solidFill>
              <a:ln w="12676">
                <a:solidFill>
                  <a:srgbClr val="FFFFFF"/>
                </a:solidFill>
                <a:prstDash val="solid"/>
              </a:ln>
            </c:spPr>
            <c:extLst>
              <c:ext xmlns:c16="http://schemas.microsoft.com/office/drawing/2014/chart" uri="{C3380CC4-5D6E-409C-BE32-E72D297353CC}">
                <c16:uniqueId val="{00000005-43A1-4930-8CB2-FBEFEA773D80}"/>
              </c:ext>
            </c:extLst>
          </c:dPt>
          <c:dPt>
            <c:idx val="6"/>
            <c:bubble3D val="0"/>
            <c:spPr>
              <a:solidFill>
                <a:schemeClr val="accent1">
                  <a:lumMod val="60000"/>
                </a:schemeClr>
              </a:solidFill>
              <a:ln w="19014">
                <a:solidFill>
                  <a:schemeClr val="lt1"/>
                </a:solidFill>
              </a:ln>
              <a:effectLst/>
            </c:spPr>
            <c:extLst>
              <c:ext xmlns:c16="http://schemas.microsoft.com/office/drawing/2014/chart" uri="{C3380CC4-5D6E-409C-BE32-E72D297353CC}">
                <c16:uniqueId val="{00000006-43A1-4930-8CB2-FBEFEA773D80}"/>
              </c:ext>
            </c:extLst>
          </c:dPt>
          <c:dPt>
            <c:idx val="7"/>
            <c:bubble3D val="0"/>
            <c:spPr>
              <a:solidFill>
                <a:schemeClr val="accent2">
                  <a:lumMod val="60000"/>
                </a:schemeClr>
              </a:solidFill>
              <a:ln w="19014">
                <a:solidFill>
                  <a:schemeClr val="lt1"/>
                </a:solidFill>
              </a:ln>
              <a:effectLst/>
            </c:spPr>
            <c:extLst>
              <c:ext xmlns:c16="http://schemas.microsoft.com/office/drawing/2014/chart" uri="{C3380CC4-5D6E-409C-BE32-E72D297353CC}">
                <c16:uniqueId val="{00000007-43A1-4930-8CB2-FBEFEA773D80}"/>
              </c:ext>
            </c:extLst>
          </c:dPt>
          <c:dPt>
            <c:idx val="8"/>
            <c:bubble3D val="0"/>
            <c:spPr>
              <a:solidFill>
                <a:schemeClr val="accent3">
                  <a:lumMod val="60000"/>
                </a:schemeClr>
              </a:solidFill>
              <a:ln w="19014">
                <a:solidFill>
                  <a:schemeClr val="lt1"/>
                </a:solidFill>
              </a:ln>
              <a:effectLst/>
            </c:spPr>
            <c:extLst>
              <c:ext xmlns:c16="http://schemas.microsoft.com/office/drawing/2014/chart" uri="{C3380CC4-5D6E-409C-BE32-E72D297353CC}">
                <c16:uniqueId val="{00000008-43A1-4930-8CB2-FBEFEA773D80}"/>
              </c:ext>
            </c:extLst>
          </c:dPt>
          <c:dLbls>
            <c:dLbl>
              <c:idx val="0"/>
              <c:layout>
                <c:manualLayout>
                  <c:x val="5.0175695251207511E-3"/>
                  <c:y val="-8.910443886821860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43A1-4930-8CB2-FBEFEA773D80}"/>
                </c:ext>
              </c:extLst>
            </c:dLbl>
            <c:dLbl>
              <c:idx val="1"/>
              <c:layout>
                <c:manualLayout>
                  <c:x val="6.3523179821101533E-2"/>
                  <c:y val="-0.1535979764187508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3A1-4930-8CB2-FBEFEA773D80}"/>
                </c:ext>
              </c:extLst>
            </c:dLbl>
            <c:dLbl>
              <c:idx val="2"/>
              <c:layout>
                <c:manualLayout>
                  <c:x val="0.15599261840903791"/>
                  <c:y val="1.44781254674772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43A1-4930-8CB2-FBEFEA773D80}"/>
                </c:ext>
              </c:extLst>
            </c:dLbl>
            <c:dLbl>
              <c:idx val="7"/>
              <c:layout>
                <c:manualLayout>
                  <c:x val="-9.0347996117973021E-4"/>
                  <c:y val="-5.827983040581465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3A1-4930-8CB2-FBEFEA773D80}"/>
                </c:ext>
              </c:extLst>
            </c:dLbl>
            <c:dLbl>
              <c:idx val="8"/>
              <c:layout>
                <c:manualLayout>
                  <c:x val="-0.2765073218306735"/>
                  <c:y val="5.586080586080588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8-43A1-4930-8CB2-FBEFEA773D80}"/>
                </c:ext>
              </c:extLst>
            </c:dLbl>
            <c:spPr>
              <a:noFill/>
              <a:ln w="25352">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1"/>
            <c:showBubbleSize val="0"/>
            <c:showLeaderLines val="1"/>
            <c:leaderLines>
              <c:spPr>
                <a:ln w="9507"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Лист1!$A$2:$A$10</c:f>
              <c:strCache>
                <c:ptCount val="9"/>
                <c:pt idx="0">
                  <c:v>Основные средства (01 минус 02)</c:v>
                </c:pt>
                <c:pt idx="1">
                  <c:v>Нематериальные активы </c:v>
                </c:pt>
                <c:pt idx="2">
                  <c:v>Вложения в долгосрочные активы</c:v>
                </c:pt>
                <c:pt idx="3">
                  <c:v>Долгосрочные финансовые вложения  </c:v>
                </c:pt>
                <c:pt idx="4">
                  <c:v>Запасы</c:v>
                </c:pt>
                <c:pt idx="5">
                  <c:v>Расходы будущих периодов  </c:v>
                </c:pt>
                <c:pt idx="6">
                  <c:v>НДС</c:v>
                </c:pt>
                <c:pt idx="7">
                  <c:v>Краткосрочная дебиторская задолженность </c:v>
                </c:pt>
                <c:pt idx="8">
                  <c:v>Денежные средства и их эквиваленты </c:v>
                </c:pt>
              </c:strCache>
            </c:strRef>
          </c:cat>
          <c:val>
            <c:numRef>
              <c:f>Лист1!$B$2:$B$10</c:f>
              <c:numCache>
                <c:formatCode>General</c:formatCode>
                <c:ptCount val="9"/>
                <c:pt idx="0">
                  <c:v>37.57</c:v>
                </c:pt>
                <c:pt idx="1">
                  <c:v>2.0000000000000014E-2</c:v>
                </c:pt>
                <c:pt idx="2">
                  <c:v>0.35000000000000031</c:v>
                </c:pt>
                <c:pt idx="3">
                  <c:v>0.61000000000000065</c:v>
                </c:pt>
                <c:pt idx="4">
                  <c:v>16.399999999999999</c:v>
                </c:pt>
                <c:pt idx="5">
                  <c:v>3.0000000000000016E-2</c:v>
                </c:pt>
                <c:pt idx="6">
                  <c:v>3.0000000000000016E-2</c:v>
                </c:pt>
                <c:pt idx="7">
                  <c:v>44.88</c:v>
                </c:pt>
                <c:pt idx="8">
                  <c:v>6.0000000000000032E-2</c:v>
                </c:pt>
              </c:numCache>
            </c:numRef>
          </c:val>
          <c:extLst>
            <c:ext xmlns:c16="http://schemas.microsoft.com/office/drawing/2014/chart" uri="{C3380CC4-5D6E-409C-BE32-E72D297353CC}">
              <c16:uniqueId val="{00000009-43A1-4930-8CB2-FBEFEA773D80}"/>
            </c:ext>
          </c:extLst>
        </c:ser>
        <c:dLbls>
          <c:showLegendKey val="0"/>
          <c:showVal val="0"/>
          <c:showCatName val="1"/>
          <c:showSerName val="0"/>
          <c:showPercent val="1"/>
          <c:showBubbleSize val="0"/>
          <c:showLeaderLines val="1"/>
        </c:dLbls>
        <c:firstSliceAng val="0"/>
      </c:pieChart>
      <c:spPr>
        <a:noFill/>
        <a:ln w="25352">
          <a:noFill/>
        </a:ln>
      </c:spPr>
    </c:plotArea>
    <c:plotVisOnly val="1"/>
    <c:dispBlanksAs val="zero"/>
    <c:showDLblsOverMax val="0"/>
  </c:chart>
  <c:spPr>
    <a:solidFill>
      <a:schemeClr val="bg1"/>
    </a:solidFill>
    <a:ln w="9507"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Динамика</a:t>
            </a:r>
            <a:r>
              <a:rPr lang="ru-RU" baseline="0"/>
              <a:t> долгосрочных активов 2016-2017гг.</a:t>
            </a:r>
            <a:endParaRPr lang="ru-RU"/>
          </a:p>
        </c:rich>
      </c:tx>
      <c:overlay val="0"/>
      <c:spPr>
        <a:noFill/>
        <a:ln w="25401">
          <a:noFill/>
        </a:ln>
      </c:spPr>
    </c:title>
    <c:autoTitleDeleted val="0"/>
    <c:plotArea>
      <c:layout/>
      <c:barChart>
        <c:barDir val="col"/>
        <c:grouping val="clustered"/>
        <c:varyColors val="0"/>
        <c:ser>
          <c:idx val="0"/>
          <c:order val="0"/>
          <c:tx>
            <c:strRef>
              <c:f>Лист1!$B$1</c:f>
              <c:strCache>
                <c:ptCount val="1"/>
                <c:pt idx="0">
                  <c:v>2016г.</c:v>
                </c:pt>
              </c:strCache>
            </c:strRef>
          </c:tx>
          <c:spPr>
            <a:solidFill>
              <a:srgbClr val="5B9BD5"/>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Лист1!$B$2:$B$5</c:f>
              <c:numCache>
                <c:formatCode>General</c:formatCode>
                <c:ptCount val="4"/>
                <c:pt idx="0">
                  <c:v>22708</c:v>
                </c:pt>
                <c:pt idx="1">
                  <c:v>12</c:v>
                </c:pt>
                <c:pt idx="2">
                  <c:v>211</c:v>
                </c:pt>
                <c:pt idx="3">
                  <c:v>297</c:v>
                </c:pt>
              </c:numCache>
            </c:numRef>
          </c:val>
          <c:extLst>
            <c:ext xmlns:c16="http://schemas.microsoft.com/office/drawing/2014/chart" uri="{C3380CC4-5D6E-409C-BE32-E72D297353CC}">
              <c16:uniqueId val="{00000000-504A-4FE1-8CCB-B74AB951B8A1}"/>
            </c:ext>
          </c:extLst>
        </c:ser>
        <c:ser>
          <c:idx val="1"/>
          <c:order val="1"/>
          <c:tx>
            <c:strRef>
              <c:f>Лист1!$C$1</c:f>
              <c:strCache>
                <c:ptCount val="1"/>
                <c:pt idx="0">
                  <c:v>2017г.</c:v>
                </c:pt>
              </c:strCache>
            </c:strRef>
          </c:tx>
          <c:spPr>
            <a:solidFill>
              <a:srgbClr val="ED7D31"/>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Лист1!$C$2:$C$5</c:f>
              <c:numCache>
                <c:formatCode>General</c:formatCode>
                <c:ptCount val="4"/>
                <c:pt idx="0">
                  <c:v>21192.5</c:v>
                </c:pt>
                <c:pt idx="1">
                  <c:v>7.5</c:v>
                </c:pt>
                <c:pt idx="2">
                  <c:v>250.9</c:v>
                </c:pt>
                <c:pt idx="3">
                  <c:v>299.10000000000002</c:v>
                </c:pt>
              </c:numCache>
            </c:numRef>
          </c:val>
          <c:extLst>
            <c:ext xmlns:c16="http://schemas.microsoft.com/office/drawing/2014/chart" uri="{C3380CC4-5D6E-409C-BE32-E72D297353CC}">
              <c16:uniqueId val="{00000001-504A-4FE1-8CCB-B74AB951B8A1}"/>
            </c:ext>
          </c:extLst>
        </c:ser>
        <c:dLbls>
          <c:showLegendKey val="0"/>
          <c:showVal val="1"/>
          <c:showCatName val="0"/>
          <c:showSerName val="0"/>
          <c:showPercent val="0"/>
          <c:showBubbleSize val="0"/>
        </c:dLbls>
        <c:gapWidth val="75"/>
        <c:axId val="50039424"/>
        <c:axId val="51053312"/>
      </c:barChart>
      <c:catAx>
        <c:axId val="5003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53312"/>
        <c:crosses val="autoZero"/>
        <c:auto val="1"/>
        <c:lblAlgn val="ctr"/>
        <c:lblOffset val="100"/>
        <c:noMultiLvlLbl val="0"/>
      </c:catAx>
      <c:valAx>
        <c:axId val="51053312"/>
        <c:scaling>
          <c:orientation val="minMax"/>
        </c:scaling>
        <c:delete val="0"/>
        <c:axPos val="l"/>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039424"/>
        <c:crosses val="autoZero"/>
        <c:crossBetween val="between"/>
      </c:valAx>
      <c:spPr>
        <a:noFill/>
        <a:ln w="25401">
          <a:noFill/>
        </a:ln>
      </c:spPr>
    </c:plotArea>
    <c:legend>
      <c:legendPos val="b"/>
      <c:overlay val="0"/>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Динамика</a:t>
            </a:r>
            <a:r>
              <a:rPr lang="ru-RU" baseline="0"/>
              <a:t> долгосрочных активов 2017-2018гг.</a:t>
            </a:r>
            <a:endParaRPr lang="ru-RU"/>
          </a:p>
        </c:rich>
      </c:tx>
      <c:overlay val="0"/>
      <c:spPr>
        <a:noFill/>
        <a:ln w="25409">
          <a:noFill/>
        </a:ln>
      </c:spPr>
    </c:title>
    <c:autoTitleDeleted val="0"/>
    <c:plotArea>
      <c:layout/>
      <c:barChart>
        <c:barDir val="col"/>
        <c:grouping val="clustered"/>
        <c:varyColors val="0"/>
        <c:ser>
          <c:idx val="0"/>
          <c:order val="0"/>
          <c:tx>
            <c:strRef>
              <c:f>Лист1!$B$1</c:f>
              <c:strCache>
                <c:ptCount val="1"/>
                <c:pt idx="0">
                  <c:v> 2017</c:v>
                </c:pt>
              </c:strCache>
            </c:strRef>
          </c:tx>
          <c:spPr>
            <a:solidFill>
              <a:srgbClr val="5B9BD5"/>
            </a:solidFill>
            <a:ln w="25409">
              <a:noFill/>
            </a:ln>
          </c:spPr>
          <c:invertIfNegative val="0"/>
          <c:dLbls>
            <c:spPr>
              <a:noFill/>
              <a:ln w="2540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Лист1!$B$2:$B$5</c:f>
              <c:numCache>
                <c:formatCode>General</c:formatCode>
                <c:ptCount val="4"/>
                <c:pt idx="0" formatCode="#,##0">
                  <c:v>22464</c:v>
                </c:pt>
                <c:pt idx="1">
                  <c:v>8</c:v>
                </c:pt>
                <c:pt idx="2">
                  <c:v>266</c:v>
                </c:pt>
                <c:pt idx="3">
                  <c:v>317</c:v>
                </c:pt>
              </c:numCache>
            </c:numRef>
          </c:val>
          <c:extLst>
            <c:ext xmlns:c16="http://schemas.microsoft.com/office/drawing/2014/chart" uri="{C3380CC4-5D6E-409C-BE32-E72D297353CC}">
              <c16:uniqueId val="{00000000-893C-4AAF-8C33-1A0C88DBA8CA}"/>
            </c:ext>
          </c:extLst>
        </c:ser>
        <c:ser>
          <c:idx val="1"/>
          <c:order val="1"/>
          <c:tx>
            <c:strRef>
              <c:f>Лист1!$C$1</c:f>
              <c:strCache>
                <c:ptCount val="1"/>
                <c:pt idx="0">
                  <c:v>2018</c:v>
                </c:pt>
              </c:strCache>
            </c:strRef>
          </c:tx>
          <c:spPr>
            <a:solidFill>
              <a:srgbClr val="ED7D31"/>
            </a:solidFill>
            <a:ln w="25409">
              <a:noFill/>
            </a:ln>
          </c:spPr>
          <c:invertIfNegative val="0"/>
          <c:dLbls>
            <c:spPr>
              <a:noFill/>
              <a:ln w="2540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Лист1!$C$2:$C$5</c:f>
              <c:numCache>
                <c:formatCode>General</c:formatCode>
                <c:ptCount val="4"/>
                <c:pt idx="0">
                  <c:v>19776</c:v>
                </c:pt>
                <c:pt idx="1">
                  <c:v>12.4</c:v>
                </c:pt>
                <c:pt idx="2">
                  <c:v>184</c:v>
                </c:pt>
                <c:pt idx="3">
                  <c:v>322.2</c:v>
                </c:pt>
              </c:numCache>
            </c:numRef>
          </c:val>
          <c:extLst>
            <c:ext xmlns:c16="http://schemas.microsoft.com/office/drawing/2014/chart" uri="{C3380CC4-5D6E-409C-BE32-E72D297353CC}">
              <c16:uniqueId val="{00000001-893C-4AAF-8C33-1A0C88DBA8CA}"/>
            </c:ext>
          </c:extLst>
        </c:ser>
        <c:dLbls>
          <c:showLegendKey val="0"/>
          <c:showVal val="1"/>
          <c:showCatName val="0"/>
          <c:showSerName val="0"/>
          <c:showPercent val="0"/>
          <c:showBubbleSize val="0"/>
        </c:dLbls>
        <c:gapWidth val="75"/>
        <c:axId val="51822592"/>
        <c:axId val="51825664"/>
      </c:barChart>
      <c:catAx>
        <c:axId val="51822592"/>
        <c:scaling>
          <c:orientation val="minMax"/>
        </c:scaling>
        <c:delete val="0"/>
        <c:axPos val="b"/>
        <c:numFmt formatCode="General" sourceLinked="1"/>
        <c:majorTickMark val="none"/>
        <c:minorTickMark val="none"/>
        <c:tickLblPos val="nextTo"/>
        <c:spPr>
          <a:noFill/>
          <a:ln w="9528"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825664"/>
        <c:crosses val="autoZero"/>
        <c:auto val="1"/>
        <c:lblAlgn val="ctr"/>
        <c:lblOffset val="100"/>
        <c:noMultiLvlLbl val="0"/>
      </c:catAx>
      <c:valAx>
        <c:axId val="51825664"/>
        <c:scaling>
          <c:orientation val="minMax"/>
        </c:scaling>
        <c:delete val="0"/>
        <c:axPos val="l"/>
        <c:numFmt formatCode="#,##0" sourceLinked="1"/>
        <c:majorTickMark val="none"/>
        <c:minorTickMark val="none"/>
        <c:tickLblPos val="nextTo"/>
        <c:spPr>
          <a:ln w="6352">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822592"/>
        <c:crosses val="autoZero"/>
        <c:crossBetween val="between"/>
      </c:valAx>
      <c:spPr>
        <a:noFill/>
        <a:ln w="25409">
          <a:noFill/>
        </a:ln>
      </c:spPr>
    </c:plotArea>
    <c:legend>
      <c:legendPos val="b"/>
      <c:overlay val="0"/>
      <c:spPr>
        <a:noFill/>
        <a:ln w="2540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8"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Структура</a:t>
            </a:r>
            <a:r>
              <a:rPr lang="ru-RU" baseline="0"/>
              <a:t> краткосрочных активов</a:t>
            </a:r>
            <a:endParaRPr lang="ru-RU"/>
          </a:p>
        </c:rich>
      </c:tx>
      <c:overlay val="0"/>
      <c:spPr>
        <a:noFill/>
        <a:ln w="25401">
          <a:noFill/>
        </a:ln>
      </c:spPr>
    </c:title>
    <c:autoTitleDeleted val="0"/>
    <c:plotArea>
      <c:layout>
        <c:manualLayout>
          <c:layoutTarget val="inner"/>
          <c:xMode val="edge"/>
          <c:yMode val="edge"/>
          <c:x val="8.127208480565358E-2"/>
          <c:y val="0.15030674846625774"/>
          <c:w val="0.892226148409894"/>
          <c:h val="0.38957055214723968"/>
        </c:manualLayout>
      </c:layout>
      <c:barChart>
        <c:barDir val="col"/>
        <c:grouping val="percentStacked"/>
        <c:varyColors val="0"/>
        <c:ser>
          <c:idx val="0"/>
          <c:order val="0"/>
          <c:tx>
            <c:strRef>
              <c:f>Лист1!$B$1</c:f>
              <c:strCache>
                <c:ptCount val="1"/>
                <c:pt idx="0">
                  <c:v>Запасы</c:v>
                </c:pt>
              </c:strCache>
            </c:strRef>
          </c:tx>
          <c:spPr>
            <a:solidFill>
              <a:srgbClr val="5B9BD5"/>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На 31 декабря 2018 года</c:v>
                </c:pt>
                <c:pt idx="1">
                  <c:v>На 31 декабря 2017 года</c:v>
                </c:pt>
                <c:pt idx="2">
                  <c:v>На 31 декабря 2016 года</c:v>
                </c:pt>
              </c:strCache>
            </c:strRef>
          </c:cat>
          <c:val>
            <c:numRef>
              <c:f>Лист1!$B$2:$B$4</c:f>
              <c:numCache>
                <c:formatCode>General</c:formatCode>
                <c:ptCount val="3"/>
                <c:pt idx="0">
                  <c:v>26.77</c:v>
                </c:pt>
                <c:pt idx="1">
                  <c:v>24.54</c:v>
                </c:pt>
                <c:pt idx="2">
                  <c:v>19.12</c:v>
                </c:pt>
              </c:numCache>
            </c:numRef>
          </c:val>
          <c:extLst>
            <c:ext xmlns:c16="http://schemas.microsoft.com/office/drawing/2014/chart" uri="{C3380CC4-5D6E-409C-BE32-E72D297353CC}">
              <c16:uniqueId val="{00000000-5727-4493-BC18-6B459D50BE6A}"/>
            </c:ext>
          </c:extLst>
        </c:ser>
        <c:ser>
          <c:idx val="1"/>
          <c:order val="1"/>
          <c:tx>
            <c:strRef>
              <c:f>Лист1!$C$1</c:f>
              <c:strCache>
                <c:ptCount val="1"/>
                <c:pt idx="0">
                  <c:v>Расходы будущих периодов  </c:v>
                </c:pt>
              </c:strCache>
            </c:strRef>
          </c:tx>
          <c:spPr>
            <a:solidFill>
              <a:srgbClr val="ED7D31"/>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На 31 декабря 2018 года</c:v>
                </c:pt>
                <c:pt idx="1">
                  <c:v>На 31 декабря 2017 года</c:v>
                </c:pt>
                <c:pt idx="2">
                  <c:v>На 31 декабря 2016 года</c:v>
                </c:pt>
              </c:strCache>
            </c:strRef>
          </c:cat>
          <c:val>
            <c:numRef>
              <c:f>Лист1!$C$2:$C$4</c:f>
              <c:numCache>
                <c:formatCode>General</c:formatCode>
                <c:ptCount val="3"/>
                <c:pt idx="0">
                  <c:v>0.05</c:v>
                </c:pt>
                <c:pt idx="1">
                  <c:v>6.0000000000000032E-2</c:v>
                </c:pt>
                <c:pt idx="2">
                  <c:v>1.0000000000000005E-2</c:v>
                </c:pt>
              </c:numCache>
            </c:numRef>
          </c:val>
          <c:extLst>
            <c:ext xmlns:c16="http://schemas.microsoft.com/office/drawing/2014/chart" uri="{C3380CC4-5D6E-409C-BE32-E72D297353CC}">
              <c16:uniqueId val="{00000001-5727-4493-BC18-6B459D50BE6A}"/>
            </c:ext>
          </c:extLst>
        </c:ser>
        <c:ser>
          <c:idx val="2"/>
          <c:order val="2"/>
          <c:tx>
            <c:strRef>
              <c:f>Лист1!$D$1</c:f>
              <c:strCache>
                <c:ptCount val="1"/>
                <c:pt idx="0">
                  <c:v>Налог на добавленную стоимость по приобретенным товарам, работам, услугам </c:v>
                </c:pt>
              </c:strCache>
            </c:strRef>
          </c:tx>
          <c:spPr>
            <a:solidFill>
              <a:srgbClr val="A5A5A5"/>
            </a:solidFill>
            <a:ln w="25401">
              <a:noFill/>
            </a:ln>
          </c:spPr>
          <c:invertIfNegative val="0"/>
          <c:dLbls>
            <c:dLbl>
              <c:idx val="0"/>
              <c:layout>
                <c:manualLayout>
                  <c:x val="3.4722222222222224E-2"/>
                  <c:y val="1.984126984126988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27-4493-BC18-6B459D50BE6A}"/>
                </c:ext>
              </c:extLst>
            </c:dLbl>
            <c:dLbl>
              <c:idx val="1"/>
              <c:layout>
                <c:manualLayout>
                  <c:x val="5.5555555555555455E-2"/>
                  <c:y val="3.9682539682538952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27-4493-BC18-6B459D50BE6A}"/>
                </c:ext>
              </c:extLst>
            </c:dLbl>
            <c:dLbl>
              <c:idx val="2"/>
              <c:layout>
                <c:manualLayout>
                  <c:x val="-4.1666666666666761E-2"/>
                  <c:y val="-2.380952380952381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27-4493-BC18-6B459D50BE6A}"/>
                </c:ext>
              </c:extLst>
            </c:dLbl>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На 31 декабря 2018 года</c:v>
                </c:pt>
                <c:pt idx="1">
                  <c:v>На 31 декабря 2017 года</c:v>
                </c:pt>
                <c:pt idx="2">
                  <c:v>На 31 декабря 2016 года</c:v>
                </c:pt>
              </c:strCache>
            </c:strRef>
          </c:cat>
          <c:val>
            <c:numRef>
              <c:f>Лист1!$D$2:$D$4</c:f>
              <c:numCache>
                <c:formatCode>General</c:formatCode>
                <c:ptCount val="3"/>
                <c:pt idx="0">
                  <c:v>4.0000000000000022E-2</c:v>
                </c:pt>
                <c:pt idx="1">
                  <c:v>1.0000000000000005E-2</c:v>
                </c:pt>
                <c:pt idx="2">
                  <c:v>0.05</c:v>
                </c:pt>
              </c:numCache>
            </c:numRef>
          </c:val>
          <c:extLst>
            <c:ext xmlns:c16="http://schemas.microsoft.com/office/drawing/2014/chart" uri="{C3380CC4-5D6E-409C-BE32-E72D297353CC}">
              <c16:uniqueId val="{00000005-5727-4493-BC18-6B459D50BE6A}"/>
            </c:ext>
          </c:extLst>
        </c:ser>
        <c:ser>
          <c:idx val="3"/>
          <c:order val="3"/>
          <c:tx>
            <c:strRef>
              <c:f>Лист1!$E$1</c:f>
              <c:strCache>
                <c:ptCount val="1"/>
                <c:pt idx="0">
                  <c:v>Краткосрочная дебиторская задолженность</c:v>
                </c:pt>
              </c:strCache>
            </c:strRef>
          </c:tx>
          <c:spPr>
            <a:solidFill>
              <a:srgbClr val="FFC000"/>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На 31 декабря 2018 года</c:v>
                </c:pt>
                <c:pt idx="1">
                  <c:v>На 31 декабря 2017 года</c:v>
                </c:pt>
                <c:pt idx="2">
                  <c:v>На 31 декабря 2016 года</c:v>
                </c:pt>
              </c:strCache>
            </c:strRef>
          </c:cat>
          <c:val>
            <c:numRef>
              <c:f>Лист1!$E$2:$E$4</c:f>
              <c:numCache>
                <c:formatCode>General</c:formatCode>
                <c:ptCount val="3"/>
                <c:pt idx="0">
                  <c:v>73.040000000000006</c:v>
                </c:pt>
                <c:pt idx="1">
                  <c:v>75.260000000000005</c:v>
                </c:pt>
                <c:pt idx="2">
                  <c:v>80.5</c:v>
                </c:pt>
              </c:numCache>
            </c:numRef>
          </c:val>
          <c:extLst>
            <c:ext xmlns:c16="http://schemas.microsoft.com/office/drawing/2014/chart" uri="{C3380CC4-5D6E-409C-BE32-E72D297353CC}">
              <c16:uniqueId val="{00000006-5727-4493-BC18-6B459D50BE6A}"/>
            </c:ext>
          </c:extLst>
        </c:ser>
        <c:ser>
          <c:idx val="4"/>
          <c:order val="4"/>
          <c:tx>
            <c:strRef>
              <c:f>Лист1!$F$1</c:f>
              <c:strCache>
                <c:ptCount val="1"/>
                <c:pt idx="0">
                  <c:v>Денежные средства и их эквиваленты </c:v>
                </c:pt>
              </c:strCache>
            </c:strRef>
          </c:tx>
          <c:spPr>
            <a:solidFill>
              <a:srgbClr val="4472C4"/>
            </a:solidFill>
            <a:ln w="25401">
              <a:noFill/>
            </a:ln>
          </c:spPr>
          <c:invertIfNegative val="0"/>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На 31 декабря 2018 года</c:v>
                </c:pt>
                <c:pt idx="1">
                  <c:v>На 31 декабря 2017 года</c:v>
                </c:pt>
                <c:pt idx="2">
                  <c:v>На 31 декабря 2016 года</c:v>
                </c:pt>
              </c:strCache>
            </c:strRef>
          </c:cat>
          <c:val>
            <c:numRef>
              <c:f>Лист1!$F$2:$F$4</c:f>
              <c:numCache>
                <c:formatCode>General</c:formatCode>
                <c:ptCount val="3"/>
                <c:pt idx="0">
                  <c:v>9.0000000000000024E-2</c:v>
                </c:pt>
                <c:pt idx="1">
                  <c:v>0.13</c:v>
                </c:pt>
                <c:pt idx="2">
                  <c:v>0.31000000000000033</c:v>
                </c:pt>
              </c:numCache>
            </c:numRef>
          </c:val>
          <c:extLst>
            <c:ext xmlns:c16="http://schemas.microsoft.com/office/drawing/2014/chart" uri="{C3380CC4-5D6E-409C-BE32-E72D297353CC}">
              <c16:uniqueId val="{00000007-5727-4493-BC18-6B459D50BE6A}"/>
            </c:ext>
          </c:extLst>
        </c:ser>
        <c:dLbls>
          <c:showLegendKey val="0"/>
          <c:showVal val="1"/>
          <c:showCatName val="0"/>
          <c:showSerName val="0"/>
          <c:showPercent val="0"/>
          <c:showBubbleSize val="0"/>
        </c:dLbls>
        <c:gapWidth val="75"/>
        <c:overlap val="100"/>
        <c:axId val="52401664"/>
        <c:axId val="52403200"/>
      </c:barChart>
      <c:catAx>
        <c:axId val="52401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403200"/>
        <c:crosses val="autoZero"/>
        <c:auto val="1"/>
        <c:lblAlgn val="ctr"/>
        <c:lblOffset val="100"/>
        <c:noMultiLvlLbl val="0"/>
      </c:catAx>
      <c:valAx>
        <c:axId val="52403200"/>
        <c:scaling>
          <c:orientation val="minMax"/>
        </c:scaling>
        <c:delete val="0"/>
        <c:axPos val="l"/>
        <c:numFmt formatCode="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401664"/>
        <c:crosses val="autoZero"/>
        <c:crossBetween val="between"/>
      </c:valAx>
      <c:spPr>
        <a:noFill/>
        <a:ln w="25401">
          <a:noFill/>
        </a:ln>
      </c:spPr>
    </c:plotArea>
    <c:legend>
      <c:legendPos val="b"/>
      <c:overlay val="0"/>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6</Pages>
  <Words>1580</Words>
  <Characters>9011</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GrSU073333</dc:creator>
  <cp:lastModifiedBy>Пользователь</cp:lastModifiedBy>
  <cp:revision>2</cp:revision>
  <dcterms:created xsi:type="dcterms:W3CDTF">2021-05-16T20:51:00Z</dcterms:created>
  <dcterms:modified xsi:type="dcterms:W3CDTF">2021-05-16T20:51:00Z</dcterms:modified>
</cp:coreProperties>
</file>