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83C" w:rsidRDefault="0013683C" w:rsidP="0015246E">
      <w:pPr>
        <w:pStyle w:val="rvps26"/>
        <w:shd w:val="clear" w:color="FFFFFF" w:fill="FFFFFF"/>
        <w:spacing w:before="0" w:beforeAutospacing="0" w:after="0" w:afterAutospacing="0"/>
        <w:jc w:val="right"/>
        <w:rPr>
          <w:b/>
        </w:rPr>
      </w:pPr>
      <w:r w:rsidRPr="0013683C">
        <w:rPr>
          <w:b/>
        </w:rPr>
        <w:t>Демьяненко Д.А.</w:t>
      </w:r>
    </w:p>
    <w:p w:rsidR="0013683C" w:rsidRDefault="0013683C" w:rsidP="0013683C">
      <w:pPr>
        <w:pStyle w:val="rvps26"/>
        <w:shd w:val="clear" w:color="FFFFFF" w:fill="FFFFFF"/>
        <w:spacing w:before="0" w:beforeAutospacing="0" w:after="0" w:afterAutospacing="0"/>
        <w:ind w:firstLine="567"/>
        <w:jc w:val="center"/>
        <w:rPr>
          <w:b/>
          <w:szCs w:val="28"/>
        </w:rPr>
      </w:pPr>
      <w:r w:rsidRPr="0013683C">
        <w:rPr>
          <w:b/>
          <w:color w:val="000000"/>
          <w:szCs w:val="28"/>
          <w:shd w:val="clear" w:color="auto" w:fill="FFFFFF"/>
        </w:rPr>
        <w:t xml:space="preserve">ВНЕШНЕЭКОНОМИЧЕСКАЯ СТРАТЕГИЯ И ДЕЯТЕЛЬНОСТЬ ПРЕДПРИЯТИЯ </w:t>
      </w:r>
      <w:r w:rsidRPr="0013683C">
        <w:rPr>
          <w:b/>
          <w:szCs w:val="28"/>
        </w:rPr>
        <w:t>ПАО «НК «РОСНЕФТЬ»</w:t>
      </w:r>
    </w:p>
    <w:p w:rsidR="00C7233F" w:rsidRDefault="00C7233F" w:rsidP="0013683C">
      <w:pPr>
        <w:pStyle w:val="rvps26"/>
        <w:shd w:val="clear" w:color="FFFFFF" w:fill="FFFFFF"/>
        <w:spacing w:before="0" w:beforeAutospacing="0" w:after="0" w:afterAutospacing="0"/>
        <w:ind w:firstLine="567"/>
        <w:jc w:val="center"/>
        <w:rPr>
          <w:b/>
          <w:szCs w:val="28"/>
        </w:rPr>
      </w:pPr>
    </w:p>
    <w:p w:rsidR="00C7233F" w:rsidRPr="00BD3C8D" w:rsidRDefault="00C7233F" w:rsidP="0015246E">
      <w:pPr>
        <w:pStyle w:val="rvps26"/>
        <w:shd w:val="clear" w:color="FFFFFF" w:fill="FFFFFF"/>
        <w:spacing w:before="0" w:beforeAutospacing="0" w:after="0" w:afterAutospacing="0"/>
        <w:ind w:firstLine="567"/>
        <w:jc w:val="both"/>
        <w:rPr>
          <w:rStyle w:val="rvts52"/>
          <w:bCs/>
          <w:i/>
        </w:rPr>
      </w:pPr>
      <w:r>
        <w:rPr>
          <w:rStyle w:val="rvts52"/>
          <w:b/>
          <w:bCs/>
        </w:rPr>
        <w:t>Аннотация статьи на русском языке</w:t>
      </w:r>
      <w:r w:rsidR="00BD3C8D">
        <w:rPr>
          <w:rStyle w:val="rvts52"/>
          <w:b/>
          <w:bCs/>
        </w:rPr>
        <w:t xml:space="preserve">. </w:t>
      </w:r>
      <w:r w:rsidR="00BD3C8D">
        <w:rPr>
          <w:rStyle w:val="rvts52"/>
          <w:bCs/>
          <w:i/>
        </w:rPr>
        <w:t xml:space="preserve">Данная статья посвящена </w:t>
      </w:r>
      <w:r w:rsidR="00D1761E">
        <w:rPr>
          <w:rStyle w:val="rvts52"/>
          <w:bCs/>
          <w:i/>
        </w:rPr>
        <w:t>изучению</w:t>
      </w:r>
      <w:r w:rsidR="00BD3C8D">
        <w:rPr>
          <w:rStyle w:val="rvts52"/>
          <w:bCs/>
          <w:i/>
        </w:rPr>
        <w:t xml:space="preserve"> внешнеэкономической стратегии предприятия на примере ПАО «НК «Роснефть»</w:t>
      </w:r>
      <w:r w:rsidR="00D1761E">
        <w:rPr>
          <w:rStyle w:val="rvts52"/>
          <w:bCs/>
          <w:i/>
        </w:rPr>
        <w:t xml:space="preserve">. Какие основные функции </w:t>
      </w:r>
      <w:r w:rsidR="00BD3C8D">
        <w:rPr>
          <w:rStyle w:val="rvts52"/>
          <w:bCs/>
          <w:i/>
        </w:rPr>
        <w:t xml:space="preserve">выполняет стратегия, как она влияет на показатели внешнеэкономической деятельности предприятия. </w:t>
      </w:r>
      <w:r w:rsidR="00D1761E">
        <w:rPr>
          <w:rStyle w:val="rvts52"/>
          <w:bCs/>
          <w:i/>
        </w:rPr>
        <w:t>Также в статье представлен анализ внешнеэкономической деятельности ПАО «НК «Роснефть».</w:t>
      </w:r>
    </w:p>
    <w:p w:rsidR="00C7233F" w:rsidRDefault="00C7233F" w:rsidP="0015246E">
      <w:pPr>
        <w:pStyle w:val="rvps26"/>
        <w:shd w:val="clear" w:color="FFFFFF" w:fill="FFFFFF"/>
        <w:spacing w:before="0" w:beforeAutospacing="0" w:after="0" w:afterAutospacing="0"/>
        <w:ind w:firstLine="567"/>
        <w:jc w:val="both"/>
        <w:rPr>
          <w:rStyle w:val="rvts52"/>
          <w:b/>
          <w:bCs/>
        </w:rPr>
      </w:pPr>
      <w:r>
        <w:rPr>
          <w:rStyle w:val="rvts52"/>
          <w:b/>
          <w:bCs/>
        </w:rPr>
        <w:t>Ключевые слова на русском языке</w:t>
      </w:r>
      <w:r w:rsidR="00D1761E">
        <w:rPr>
          <w:rStyle w:val="rvts52"/>
          <w:b/>
          <w:bCs/>
        </w:rPr>
        <w:t xml:space="preserve">. </w:t>
      </w:r>
      <w:r w:rsidR="00D1761E" w:rsidRPr="00D1761E">
        <w:rPr>
          <w:rStyle w:val="rvts52"/>
          <w:bCs/>
          <w:i/>
        </w:rPr>
        <w:t>Стратегия, деятельность, Роснефть,</w:t>
      </w:r>
      <w:r w:rsidR="0015246E">
        <w:rPr>
          <w:rStyle w:val="rvts52"/>
          <w:bCs/>
          <w:i/>
        </w:rPr>
        <w:t xml:space="preserve"> показатели, рынок, предприятие.</w:t>
      </w:r>
    </w:p>
    <w:p w:rsidR="0036477F" w:rsidRDefault="0036477F" w:rsidP="00C7233F">
      <w:pPr>
        <w:pStyle w:val="rvps26"/>
        <w:shd w:val="clear" w:color="FFFFFF" w:fill="FFFFFF"/>
        <w:spacing w:before="0" w:beforeAutospacing="0" w:after="0" w:afterAutospacing="0"/>
        <w:ind w:firstLine="567"/>
        <w:rPr>
          <w:rStyle w:val="rvts52"/>
          <w:b/>
          <w:bCs/>
        </w:rPr>
      </w:pPr>
    </w:p>
    <w:p w:rsidR="0036477F" w:rsidRPr="0036477F" w:rsidRDefault="00EB1765" w:rsidP="0036477F">
      <w:pPr>
        <w:shd w:val="clear" w:color="auto" w:fill="FDFEFF"/>
        <w:spacing w:after="0" w:line="240" w:lineRule="auto"/>
        <w:ind w:firstLine="709"/>
        <w:jc w:val="both"/>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t>Стратегию внешнеэкономической деятельности</w:t>
      </w:r>
      <w:r w:rsidR="0036477F" w:rsidRPr="0036477F">
        <w:rPr>
          <w:rFonts w:ascii="Times New Roman" w:eastAsia="Times New Roman" w:hAnsi="Times New Roman" w:cs="Times New Roman"/>
          <w:color w:val="000000" w:themeColor="text1"/>
          <w:sz w:val="24"/>
          <w:szCs w:val="28"/>
          <w:lang w:eastAsia="ru-RU"/>
        </w:rPr>
        <w:t xml:space="preserve"> предприятия можно охарактеризовать как способ, с помощью которого предприятие может создавать, сформировать и координировать свои действия на любых рынках. Стратегия ВЭД предприятия определяет</w:t>
      </w:r>
      <w:r w:rsidR="009F7B14">
        <w:rPr>
          <w:rFonts w:ascii="Times New Roman" w:eastAsia="Times New Roman" w:hAnsi="Times New Roman" w:cs="Times New Roman"/>
          <w:color w:val="000000" w:themeColor="text1"/>
          <w:sz w:val="24"/>
          <w:szCs w:val="28"/>
          <w:lang w:eastAsia="ru-RU"/>
        </w:rPr>
        <w:t>:</w:t>
      </w:r>
    </w:p>
    <w:p w:rsidR="0036477F" w:rsidRPr="0036477F" w:rsidRDefault="0036477F" w:rsidP="0036477F">
      <w:pPr>
        <w:numPr>
          <w:ilvl w:val="0"/>
          <w:numId w:val="2"/>
        </w:numPr>
        <w:shd w:val="clear" w:color="auto" w:fill="FDFEFF"/>
        <w:tabs>
          <w:tab w:val="clear" w:pos="720"/>
        </w:tabs>
        <w:spacing w:after="0" w:line="240" w:lineRule="auto"/>
        <w:ind w:left="0" w:firstLine="709"/>
        <w:jc w:val="both"/>
        <w:rPr>
          <w:rFonts w:ascii="Times New Roman" w:eastAsia="Times New Roman" w:hAnsi="Times New Roman" w:cs="Times New Roman"/>
          <w:color w:val="000000" w:themeColor="text1"/>
          <w:sz w:val="24"/>
          <w:szCs w:val="28"/>
          <w:lang w:eastAsia="ru-RU"/>
        </w:rPr>
      </w:pPr>
      <w:r w:rsidRPr="0036477F">
        <w:rPr>
          <w:rFonts w:ascii="Times New Roman" w:eastAsia="Times New Roman" w:hAnsi="Times New Roman" w:cs="Times New Roman"/>
          <w:color w:val="000000" w:themeColor="text1"/>
          <w:sz w:val="24"/>
          <w:szCs w:val="28"/>
          <w:lang w:eastAsia="ru-RU"/>
        </w:rPr>
        <w:t>эффективность деятельности предприятия;</w:t>
      </w:r>
    </w:p>
    <w:p w:rsidR="0036477F" w:rsidRPr="0036477F" w:rsidRDefault="0036477F" w:rsidP="0036477F">
      <w:pPr>
        <w:numPr>
          <w:ilvl w:val="0"/>
          <w:numId w:val="2"/>
        </w:numPr>
        <w:shd w:val="clear" w:color="auto" w:fill="FDFEFF"/>
        <w:tabs>
          <w:tab w:val="clear" w:pos="720"/>
        </w:tabs>
        <w:spacing w:after="0" w:line="240" w:lineRule="auto"/>
        <w:ind w:left="0" w:firstLine="709"/>
        <w:jc w:val="both"/>
        <w:rPr>
          <w:rFonts w:ascii="Times New Roman" w:eastAsia="Times New Roman" w:hAnsi="Times New Roman" w:cs="Times New Roman"/>
          <w:color w:val="000000" w:themeColor="text1"/>
          <w:sz w:val="24"/>
          <w:szCs w:val="28"/>
          <w:lang w:eastAsia="ru-RU"/>
        </w:rPr>
      </w:pPr>
      <w:r w:rsidRPr="0036477F">
        <w:rPr>
          <w:rFonts w:ascii="Times New Roman" w:eastAsia="Times New Roman" w:hAnsi="Times New Roman" w:cs="Times New Roman"/>
          <w:color w:val="000000" w:themeColor="text1"/>
          <w:sz w:val="24"/>
          <w:szCs w:val="28"/>
          <w:lang w:eastAsia="ru-RU"/>
        </w:rPr>
        <w:t>положение предприятия на рынке;</w:t>
      </w:r>
    </w:p>
    <w:p w:rsidR="0036477F" w:rsidRPr="0036477F" w:rsidRDefault="0036477F" w:rsidP="0036477F">
      <w:pPr>
        <w:numPr>
          <w:ilvl w:val="0"/>
          <w:numId w:val="2"/>
        </w:numPr>
        <w:shd w:val="clear" w:color="auto" w:fill="FDFEFF"/>
        <w:tabs>
          <w:tab w:val="clear" w:pos="720"/>
        </w:tabs>
        <w:spacing w:after="0" w:line="240" w:lineRule="auto"/>
        <w:ind w:left="0" w:firstLine="709"/>
        <w:jc w:val="both"/>
        <w:rPr>
          <w:rFonts w:ascii="Times New Roman" w:eastAsia="Times New Roman" w:hAnsi="Times New Roman" w:cs="Times New Roman"/>
          <w:color w:val="000000" w:themeColor="text1"/>
          <w:sz w:val="24"/>
          <w:szCs w:val="28"/>
          <w:lang w:eastAsia="ru-RU"/>
        </w:rPr>
      </w:pPr>
      <w:r w:rsidRPr="0036477F">
        <w:rPr>
          <w:rFonts w:ascii="Times New Roman" w:eastAsia="Times New Roman" w:hAnsi="Times New Roman" w:cs="Times New Roman"/>
          <w:color w:val="000000" w:themeColor="text1"/>
          <w:sz w:val="24"/>
          <w:szCs w:val="28"/>
          <w:lang w:eastAsia="ru-RU"/>
        </w:rPr>
        <w:t>особенности продукции по сравнению с продукцией конкурентов;</w:t>
      </w:r>
    </w:p>
    <w:p w:rsidR="0036477F" w:rsidRPr="0036477F" w:rsidRDefault="0036477F" w:rsidP="0036477F">
      <w:pPr>
        <w:numPr>
          <w:ilvl w:val="0"/>
          <w:numId w:val="2"/>
        </w:numPr>
        <w:shd w:val="clear" w:color="auto" w:fill="FDFEFF"/>
        <w:tabs>
          <w:tab w:val="clear" w:pos="720"/>
        </w:tabs>
        <w:spacing w:after="0" w:line="240" w:lineRule="auto"/>
        <w:ind w:left="0" w:firstLine="709"/>
        <w:jc w:val="both"/>
        <w:rPr>
          <w:rFonts w:ascii="Times New Roman" w:eastAsia="Times New Roman" w:hAnsi="Times New Roman" w:cs="Times New Roman"/>
          <w:color w:val="000000" w:themeColor="text1"/>
          <w:sz w:val="24"/>
          <w:szCs w:val="28"/>
          <w:lang w:eastAsia="ru-RU"/>
        </w:rPr>
      </w:pPr>
      <w:r w:rsidRPr="0036477F">
        <w:rPr>
          <w:rFonts w:ascii="Times New Roman" w:eastAsia="Times New Roman" w:hAnsi="Times New Roman" w:cs="Times New Roman"/>
          <w:color w:val="000000" w:themeColor="text1"/>
          <w:sz w:val="24"/>
          <w:szCs w:val="28"/>
          <w:lang w:eastAsia="ru-RU"/>
        </w:rPr>
        <w:t>конкурентные преимущества предприятия как следствие согласованности действий;</w:t>
      </w:r>
    </w:p>
    <w:p w:rsidR="0036477F" w:rsidRPr="0036477F" w:rsidRDefault="0036477F" w:rsidP="0036477F">
      <w:pPr>
        <w:numPr>
          <w:ilvl w:val="0"/>
          <w:numId w:val="2"/>
        </w:numPr>
        <w:shd w:val="clear" w:color="auto" w:fill="FDFEFF"/>
        <w:tabs>
          <w:tab w:val="clear" w:pos="720"/>
        </w:tabs>
        <w:spacing w:after="0" w:line="240" w:lineRule="auto"/>
        <w:ind w:left="0" w:firstLine="709"/>
        <w:jc w:val="both"/>
        <w:rPr>
          <w:rFonts w:ascii="Times New Roman" w:eastAsia="Times New Roman" w:hAnsi="Times New Roman" w:cs="Times New Roman"/>
          <w:color w:val="000000" w:themeColor="text1"/>
          <w:sz w:val="24"/>
          <w:szCs w:val="28"/>
          <w:lang w:eastAsia="ru-RU"/>
        </w:rPr>
      </w:pPr>
      <w:r w:rsidRPr="0036477F">
        <w:rPr>
          <w:rFonts w:ascii="Times New Roman" w:eastAsia="Times New Roman" w:hAnsi="Times New Roman" w:cs="Times New Roman"/>
          <w:color w:val="000000" w:themeColor="text1"/>
          <w:sz w:val="24"/>
          <w:szCs w:val="28"/>
          <w:lang w:eastAsia="ru-RU"/>
        </w:rPr>
        <w:t>жизненный цикл предприятия как результат эффективности правильно разработанной стратегии.</w:t>
      </w:r>
    </w:p>
    <w:p w:rsidR="0036477F" w:rsidRPr="0036477F" w:rsidRDefault="0036477F" w:rsidP="0036477F">
      <w:pPr>
        <w:spacing w:after="0" w:line="240" w:lineRule="auto"/>
        <w:ind w:firstLine="709"/>
        <w:jc w:val="both"/>
        <w:rPr>
          <w:rFonts w:ascii="Times New Roman" w:hAnsi="Times New Roman" w:cs="Times New Roman"/>
          <w:color w:val="000000" w:themeColor="text1"/>
          <w:sz w:val="24"/>
          <w:szCs w:val="28"/>
        </w:rPr>
      </w:pPr>
      <w:r w:rsidRPr="0036477F">
        <w:rPr>
          <w:rFonts w:ascii="Times New Roman" w:hAnsi="Times New Roman" w:cs="Times New Roman"/>
          <w:color w:val="000000" w:themeColor="text1"/>
          <w:sz w:val="24"/>
          <w:szCs w:val="28"/>
        </w:rPr>
        <w:t xml:space="preserve">В основе различных видов стратегий внешнеэкономической деятельности предприятия лежат три основных типа общих стратегий: </w:t>
      </w:r>
    </w:p>
    <w:p w:rsidR="0036477F" w:rsidRPr="00F32BCD" w:rsidRDefault="0036477F" w:rsidP="0036477F">
      <w:pPr>
        <w:pStyle w:val="a6"/>
        <w:numPr>
          <w:ilvl w:val="0"/>
          <w:numId w:val="1"/>
        </w:numPr>
        <w:spacing w:after="0" w:line="240" w:lineRule="auto"/>
        <w:ind w:left="0" w:firstLine="709"/>
        <w:jc w:val="both"/>
        <w:rPr>
          <w:rFonts w:ascii="Times New Roman" w:hAnsi="Times New Roman" w:cs="Times New Roman"/>
          <w:color w:val="000000" w:themeColor="text1"/>
          <w:sz w:val="24"/>
          <w:szCs w:val="28"/>
        </w:rPr>
      </w:pPr>
      <w:r w:rsidRPr="00F32BCD">
        <w:rPr>
          <w:rFonts w:ascii="Times New Roman" w:hAnsi="Times New Roman" w:cs="Times New Roman"/>
          <w:color w:val="000000" w:themeColor="text1"/>
          <w:sz w:val="24"/>
          <w:szCs w:val="28"/>
        </w:rPr>
        <w:t xml:space="preserve">Стратегия роста </w:t>
      </w:r>
    </w:p>
    <w:p w:rsidR="00F32BCD" w:rsidRPr="00F32BCD" w:rsidRDefault="0036477F" w:rsidP="003A0CD9">
      <w:pPr>
        <w:pStyle w:val="a6"/>
        <w:numPr>
          <w:ilvl w:val="0"/>
          <w:numId w:val="1"/>
        </w:numPr>
        <w:shd w:val="clear" w:color="auto" w:fill="FFFFFF"/>
        <w:spacing w:after="0" w:line="240" w:lineRule="auto"/>
        <w:ind w:left="0" w:firstLine="709"/>
        <w:jc w:val="both"/>
        <w:rPr>
          <w:rFonts w:ascii="Times New Roman" w:hAnsi="Times New Roman" w:cs="Times New Roman"/>
          <w:color w:val="000000" w:themeColor="text1"/>
          <w:szCs w:val="28"/>
        </w:rPr>
      </w:pPr>
      <w:r w:rsidRPr="00F32BCD">
        <w:rPr>
          <w:rFonts w:ascii="Times New Roman" w:hAnsi="Times New Roman" w:cs="Times New Roman"/>
          <w:color w:val="000000" w:themeColor="text1"/>
          <w:sz w:val="24"/>
          <w:szCs w:val="28"/>
        </w:rPr>
        <w:t>Стратегия стабилизации</w:t>
      </w:r>
    </w:p>
    <w:p w:rsidR="00F32BCD" w:rsidRPr="00F32BCD" w:rsidRDefault="00F32BCD" w:rsidP="00F32BCD">
      <w:pPr>
        <w:pStyle w:val="a6"/>
        <w:numPr>
          <w:ilvl w:val="0"/>
          <w:numId w:val="1"/>
        </w:numPr>
        <w:shd w:val="clear" w:color="auto" w:fill="FFFFFF"/>
        <w:spacing w:after="0" w:line="240" w:lineRule="auto"/>
        <w:ind w:left="0" w:firstLine="709"/>
        <w:jc w:val="both"/>
        <w:rPr>
          <w:rFonts w:ascii="Times New Roman" w:hAnsi="Times New Roman" w:cs="Times New Roman"/>
          <w:color w:val="000000" w:themeColor="text1"/>
          <w:szCs w:val="28"/>
        </w:rPr>
      </w:pPr>
      <w:r w:rsidRPr="00F32BCD">
        <w:rPr>
          <w:rFonts w:ascii="Times New Roman" w:hAnsi="Times New Roman" w:cs="Times New Roman"/>
          <w:color w:val="000000" w:themeColor="text1"/>
          <w:sz w:val="24"/>
          <w:szCs w:val="28"/>
        </w:rPr>
        <w:t>Стратегия сокращения</w:t>
      </w:r>
    </w:p>
    <w:p w:rsidR="0036477F" w:rsidRPr="0036477F" w:rsidRDefault="0036477F" w:rsidP="00F32BCD">
      <w:pPr>
        <w:pStyle w:val="a5"/>
        <w:shd w:val="clear" w:color="auto" w:fill="FFFFFF"/>
        <w:spacing w:before="0" w:beforeAutospacing="0" w:after="0" w:afterAutospacing="0"/>
        <w:ind w:firstLine="709"/>
        <w:jc w:val="both"/>
        <w:rPr>
          <w:color w:val="000000" w:themeColor="text1"/>
          <w:szCs w:val="28"/>
        </w:rPr>
      </w:pPr>
      <w:r w:rsidRPr="0036477F">
        <w:rPr>
          <w:color w:val="000000" w:themeColor="text1"/>
          <w:szCs w:val="28"/>
        </w:rPr>
        <w:t>Р</w:t>
      </w:r>
      <w:r w:rsidR="00AD31DC">
        <w:rPr>
          <w:color w:val="000000" w:themeColor="text1"/>
          <w:szCs w:val="28"/>
        </w:rPr>
        <w:t>оссия</w:t>
      </w:r>
      <w:r w:rsidRPr="0036477F">
        <w:rPr>
          <w:color w:val="000000" w:themeColor="text1"/>
          <w:szCs w:val="28"/>
        </w:rPr>
        <w:t xml:space="preserve"> все </w:t>
      </w:r>
      <w:r w:rsidR="00AD31DC">
        <w:rPr>
          <w:color w:val="000000" w:themeColor="text1"/>
          <w:szCs w:val="28"/>
        </w:rPr>
        <w:t>больше</w:t>
      </w:r>
      <w:r w:rsidRPr="0036477F">
        <w:rPr>
          <w:color w:val="000000" w:themeColor="text1"/>
          <w:szCs w:val="28"/>
        </w:rPr>
        <w:t xml:space="preserve"> использует нефтегазовый сектор в качестве геополитического инструмента, распространяя свое влияние по всему миру и бросая вызов интересам Соединенных Штатов Америки. </w:t>
      </w:r>
      <w:r w:rsidR="00AD31DC">
        <w:rPr>
          <w:color w:val="000000" w:themeColor="text1"/>
          <w:szCs w:val="28"/>
        </w:rPr>
        <w:t xml:space="preserve">«Роснефть» сейчас </w:t>
      </w:r>
      <w:r w:rsidRPr="0036477F">
        <w:rPr>
          <w:color w:val="000000" w:themeColor="text1"/>
          <w:szCs w:val="28"/>
        </w:rPr>
        <w:t xml:space="preserve">собирается усиленно взаимодействовать с лидером по оказанным запасам нефти – Венесуэлой. ПАО «НК «Роснефть» реализует на территории Венесуэлы пять проектов по разведке и добыче: Petromonagas S.A. (доля компании «Роснефть» составляет 40%), Petroperija S.A. (компании принадлежит 40%), Petromiranda S.A. (доля «Роснефти» – 32%) и PetroVictoria S.A. (доля компании «Роснефть» – 40%), Boqueron S.A. (доля компании составляет 26,67%). Добыча нефти по проектам Компании в Венесуэле за 2017 год составила 8,06 млн т. </w:t>
      </w:r>
    </w:p>
    <w:p w:rsidR="00F32BCD" w:rsidRDefault="0036477F" w:rsidP="00F32BCD">
      <w:pPr>
        <w:pStyle w:val="a5"/>
        <w:shd w:val="clear" w:color="auto" w:fill="FFFFFF"/>
        <w:spacing w:before="0" w:beforeAutospacing="0" w:after="0" w:afterAutospacing="0"/>
        <w:ind w:firstLine="709"/>
        <w:jc w:val="both"/>
        <w:rPr>
          <w:color w:val="000000" w:themeColor="text1"/>
          <w:szCs w:val="28"/>
        </w:rPr>
      </w:pPr>
      <w:r w:rsidRPr="0036477F">
        <w:rPr>
          <w:color w:val="000000" w:themeColor="text1"/>
          <w:szCs w:val="28"/>
        </w:rPr>
        <w:t>Р</w:t>
      </w:r>
      <w:r w:rsidR="00EB1765">
        <w:rPr>
          <w:color w:val="000000" w:themeColor="text1"/>
          <w:szCs w:val="28"/>
        </w:rPr>
        <w:t>оссия</w:t>
      </w:r>
      <w:r w:rsidRPr="0036477F">
        <w:rPr>
          <w:color w:val="000000" w:themeColor="text1"/>
          <w:szCs w:val="28"/>
        </w:rPr>
        <w:t xml:space="preserve"> заняла место Китая в качестве главного банкира Венесуэлы. Пока президент Уго Чавес был у власти, КНР предоставило кредиты Венесуэле на десятки миллиардов долларов на проекты, которые должны были оплачиваться нефтью. Но Китай прекратил выдачу новых кредитов, предоставив России заполнить образовавшуюся нишу. Венесуэла сейчас является вторым по величине источником нефти для компании «Роснефть» после самой России. Российская компания перепродает около 225000 баррелей венесуэльской нефти в день, что эквивалентно 13% венесуэльского экспорта. </w:t>
      </w:r>
    </w:p>
    <w:p w:rsidR="0036477F" w:rsidRPr="0036477F" w:rsidRDefault="0036477F" w:rsidP="00C240A7">
      <w:pPr>
        <w:pStyle w:val="a5"/>
        <w:shd w:val="clear" w:color="auto" w:fill="FFFFFF"/>
        <w:spacing w:before="0" w:beforeAutospacing="0" w:after="0" w:afterAutospacing="0"/>
        <w:ind w:firstLine="709"/>
        <w:jc w:val="both"/>
        <w:rPr>
          <w:color w:val="000000" w:themeColor="text1"/>
          <w:szCs w:val="28"/>
        </w:rPr>
      </w:pPr>
      <w:r w:rsidRPr="0036477F">
        <w:rPr>
          <w:color w:val="000000" w:themeColor="text1"/>
          <w:szCs w:val="28"/>
        </w:rPr>
        <w:t>По данным самой компании, опубликованной на сайте ПАО НК «Роснефть» получила лицензию сроком на 30 лет на разработку месторождений Патао и Мехильонес на шельфе Венесуэлы с правом экспорта газа.</w:t>
      </w:r>
      <w:r w:rsidRPr="0036477F">
        <w:rPr>
          <w:sz w:val="22"/>
        </w:rPr>
        <w:t xml:space="preserve"> </w:t>
      </w:r>
      <w:r w:rsidRPr="0036477F">
        <w:rPr>
          <w:color w:val="000000" w:themeColor="text1"/>
          <w:szCs w:val="28"/>
        </w:rPr>
        <w:t>В конце 2017 года была разработана и утверждена Советом директоров Компании стратегия «Роснефть-2022»</w:t>
      </w:r>
      <w:r>
        <w:rPr>
          <w:color w:val="000000" w:themeColor="text1"/>
          <w:szCs w:val="28"/>
        </w:rPr>
        <w:t xml:space="preserve"> (Рис.1</w:t>
      </w:r>
      <w:r w:rsidRPr="0036477F">
        <w:rPr>
          <w:color w:val="000000" w:themeColor="text1"/>
          <w:szCs w:val="28"/>
        </w:rPr>
        <w:t>).</w:t>
      </w:r>
    </w:p>
    <w:p w:rsidR="005A4E28" w:rsidRDefault="0036477F" w:rsidP="005A4E28">
      <w:pPr>
        <w:pStyle w:val="rvps26"/>
        <w:shd w:val="clear" w:color="FFFFFF" w:fill="FFFFFF"/>
        <w:spacing w:before="0" w:beforeAutospacing="0" w:after="0" w:afterAutospacing="0"/>
        <w:ind w:firstLine="567"/>
        <w:jc w:val="both"/>
        <w:rPr>
          <w:color w:val="000000" w:themeColor="text1"/>
          <w:szCs w:val="28"/>
        </w:rPr>
      </w:pPr>
      <w:r w:rsidRPr="0036477F">
        <w:rPr>
          <w:color w:val="000000" w:themeColor="text1"/>
          <w:szCs w:val="28"/>
        </w:rPr>
        <w:t>Стратегия учитывает цели устойчивого развития ООН и приоритеты развития России, и в качестве ключевых приоритетов предусматривает увеличение доходности бизнеса и отдачи от основных активов, фокус на реализации ключевых проектов, ускоренное тиражирование новых технологий и переход на качественно новый уровень с учетом современных технологических возможностей.</w:t>
      </w:r>
    </w:p>
    <w:p w:rsidR="00C7233F" w:rsidRPr="001837F8" w:rsidRDefault="005A4E28" w:rsidP="001837F8">
      <w:pPr>
        <w:pStyle w:val="rvps26"/>
        <w:shd w:val="clear" w:color="FFFFFF" w:fill="FFFFFF"/>
        <w:spacing w:before="0" w:beforeAutospacing="0" w:after="0" w:afterAutospacing="0"/>
        <w:ind w:firstLine="567"/>
        <w:jc w:val="center"/>
        <w:rPr>
          <w:color w:val="000000" w:themeColor="text1"/>
          <w:szCs w:val="28"/>
        </w:rPr>
      </w:pPr>
      <w:r w:rsidRPr="005A4E28">
        <w:rPr>
          <w:b/>
          <w:bCs/>
          <w:sz w:val="22"/>
        </w:rPr>
        <w:lastRenderedPageBreak/>
        <mc:AlternateContent>
          <mc:Choice Requires="wpg">
            <w:drawing>
              <wp:anchor distT="0" distB="0" distL="114300" distR="114300" simplePos="0" relativeHeight="251662336" behindDoc="0" locked="0" layoutInCell="1" allowOverlap="1" wp14:anchorId="51E5D767" wp14:editId="16EA3282">
                <wp:simplePos x="0" y="0"/>
                <wp:positionH relativeFrom="margin">
                  <wp:posOffset>164465</wp:posOffset>
                </wp:positionH>
                <wp:positionV relativeFrom="paragraph">
                  <wp:posOffset>19216</wp:posOffset>
                </wp:positionV>
                <wp:extent cx="5793105" cy="2216785"/>
                <wp:effectExtent l="19050" t="19050" r="17145" b="12065"/>
                <wp:wrapSquare wrapText="bothSides"/>
                <wp:docPr id="14" name="Группа 13"/>
                <wp:cNvGraphicFramePr/>
                <a:graphic xmlns:a="http://schemas.openxmlformats.org/drawingml/2006/main">
                  <a:graphicData uri="http://schemas.microsoft.com/office/word/2010/wordprocessingGroup">
                    <wpg:wgp>
                      <wpg:cNvGrpSpPr/>
                      <wpg:grpSpPr>
                        <a:xfrm>
                          <a:off x="0" y="0"/>
                          <a:ext cx="5793105" cy="2216785"/>
                          <a:chOff x="0" y="0"/>
                          <a:chExt cx="5793512" cy="2222105"/>
                        </a:xfrm>
                      </wpg:grpSpPr>
                      <wps:wsp>
                        <wps:cNvPr id="2" name="Прямоугольник 2"/>
                        <wps:cNvSpPr/>
                        <wps:spPr>
                          <a:xfrm>
                            <a:off x="2068756" y="1322105"/>
                            <a:ext cx="1656000" cy="72000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5A4E28" w:rsidRDefault="005A4E28" w:rsidP="005A4E28">
                              <w:pPr>
                                <w:pStyle w:val="a5"/>
                                <w:spacing w:before="0" w:beforeAutospacing="0" w:after="0" w:afterAutospacing="0"/>
                                <w:jc w:val="center"/>
                              </w:pPr>
                              <w:r>
                                <w:rPr>
                                  <w:b/>
                                  <w:bCs/>
                                  <w:color w:val="000000" w:themeColor="dark1"/>
                                  <w:kern w:val="24"/>
                                </w:rPr>
                                <w:t>Стратегия РОСНЕФТЬ - 2022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Скругленный прямоугольник 3"/>
                        <wps:cNvSpPr/>
                        <wps:spPr>
                          <a:xfrm>
                            <a:off x="2068756" y="0"/>
                            <a:ext cx="1656000" cy="1116000"/>
                          </a:xfrm>
                          <a:prstGeom prst="roundRect">
                            <a:avLst/>
                          </a:prstGeom>
                          <a:ln w="28575">
                            <a:prstDash val="lgDash"/>
                          </a:ln>
                        </wps:spPr>
                        <wps:style>
                          <a:lnRef idx="2">
                            <a:schemeClr val="dk1"/>
                          </a:lnRef>
                          <a:fillRef idx="1">
                            <a:schemeClr val="lt1"/>
                          </a:fillRef>
                          <a:effectRef idx="0">
                            <a:schemeClr val="dk1"/>
                          </a:effectRef>
                          <a:fontRef idx="minor">
                            <a:schemeClr val="dk1"/>
                          </a:fontRef>
                        </wps:style>
                        <wps:txbx>
                          <w:txbxContent>
                            <w:p w:rsidR="005A4E28" w:rsidRDefault="005A4E28" w:rsidP="005A4E28">
                              <w:pPr>
                                <w:pStyle w:val="a5"/>
                                <w:spacing w:before="0" w:beforeAutospacing="0" w:after="0" w:afterAutospacing="0"/>
                                <w:jc w:val="center"/>
                              </w:pPr>
                              <w:r>
                                <w:rPr>
                                  <w:b/>
                                  <w:bCs/>
                                  <w:color w:val="000000" w:themeColor="dark1"/>
                                  <w:kern w:val="24"/>
                                </w:rPr>
                                <w:t xml:space="preserve">Увеличение доходности бизнеса </w:t>
                              </w:r>
                              <w:r>
                                <w:rPr>
                                  <w:color w:val="000000" w:themeColor="dark1"/>
                                  <w:kern w:val="24"/>
                                </w:rPr>
                                <w:t>и повышение эффективности существующих активов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Скругленный прямоугольник 4"/>
                        <wps:cNvSpPr/>
                        <wps:spPr>
                          <a:xfrm>
                            <a:off x="0" y="1142105"/>
                            <a:ext cx="1908000" cy="1080000"/>
                          </a:xfrm>
                          <a:prstGeom prst="roundRect">
                            <a:avLst/>
                          </a:prstGeom>
                          <a:ln w="28575">
                            <a:prstDash val="lgDash"/>
                          </a:ln>
                        </wps:spPr>
                        <wps:style>
                          <a:lnRef idx="2">
                            <a:schemeClr val="dk1"/>
                          </a:lnRef>
                          <a:fillRef idx="1">
                            <a:schemeClr val="lt1"/>
                          </a:fillRef>
                          <a:effectRef idx="0">
                            <a:schemeClr val="dk1"/>
                          </a:effectRef>
                          <a:fontRef idx="minor">
                            <a:schemeClr val="dk1"/>
                          </a:fontRef>
                        </wps:style>
                        <wps:txbx>
                          <w:txbxContent>
                            <w:p w:rsidR="005A4E28" w:rsidRDefault="005A4E28" w:rsidP="005A4E28">
                              <w:pPr>
                                <w:pStyle w:val="a5"/>
                                <w:spacing w:before="0" w:beforeAutospacing="0" w:after="0" w:afterAutospacing="0"/>
                                <w:jc w:val="center"/>
                              </w:pPr>
                              <w:r>
                                <w:rPr>
                                  <w:b/>
                                  <w:bCs/>
                                  <w:color w:val="000000" w:themeColor="dark1"/>
                                  <w:kern w:val="24"/>
                                </w:rPr>
                                <w:t>Реализация ключевых проектов</w:t>
                              </w:r>
                            </w:p>
                            <w:p w:rsidR="005A4E28" w:rsidRDefault="005A4E28" w:rsidP="005A4E28">
                              <w:pPr>
                                <w:pStyle w:val="a5"/>
                                <w:spacing w:before="0" w:beforeAutospacing="0" w:after="0" w:afterAutospacing="0"/>
                                <w:jc w:val="center"/>
                              </w:pPr>
                              <w:r>
                                <w:rPr>
                                  <w:color w:val="000000" w:themeColor="dark1"/>
                                  <w:kern w:val="24"/>
                                </w:rPr>
                                <w:t>высокое качество проектного управления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Скругленный прямоугольник 5"/>
                        <wps:cNvSpPr/>
                        <wps:spPr>
                          <a:xfrm>
                            <a:off x="3885512" y="1142105"/>
                            <a:ext cx="1908000" cy="1080000"/>
                          </a:xfrm>
                          <a:prstGeom prst="roundRect">
                            <a:avLst/>
                          </a:prstGeom>
                          <a:ln w="28575">
                            <a:prstDash val="lgDash"/>
                          </a:ln>
                        </wps:spPr>
                        <wps:style>
                          <a:lnRef idx="2">
                            <a:schemeClr val="dk1"/>
                          </a:lnRef>
                          <a:fillRef idx="1">
                            <a:schemeClr val="lt1"/>
                          </a:fillRef>
                          <a:effectRef idx="0">
                            <a:schemeClr val="dk1"/>
                          </a:effectRef>
                          <a:fontRef idx="minor">
                            <a:schemeClr val="dk1"/>
                          </a:fontRef>
                        </wps:style>
                        <wps:txbx>
                          <w:txbxContent>
                            <w:p w:rsidR="005A4E28" w:rsidRDefault="005A4E28" w:rsidP="005A4E28">
                              <w:pPr>
                                <w:pStyle w:val="a5"/>
                                <w:spacing w:before="0" w:beforeAutospacing="0" w:after="0" w:afterAutospacing="0"/>
                                <w:jc w:val="center"/>
                              </w:pPr>
                              <w:r>
                                <w:rPr>
                                  <w:b/>
                                  <w:bCs/>
                                  <w:color w:val="000000" w:themeColor="dark1"/>
                                  <w:kern w:val="24"/>
                                </w:rPr>
                                <w:t>Организационная и техническая трансформация</w:t>
                              </w:r>
                              <w:r>
                                <w:rPr>
                                  <w:color w:val="000000" w:themeColor="dark1"/>
                                  <w:kern w:val="24"/>
                                </w:rPr>
                                <w:t xml:space="preserve"> для дальнейшего усиления конкурентных преимуществ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Прямая со стрелкой 6"/>
                        <wps:cNvCnPr>
                          <a:stCxn id="2" idx="0"/>
                          <a:endCxn id="3" idx="2"/>
                        </wps:cNvCnPr>
                        <wps:spPr>
                          <a:xfrm flipV="1">
                            <a:off x="2896756" y="1116000"/>
                            <a:ext cx="0" cy="2061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Прямая со стрелкой 7"/>
                        <wps:cNvCnPr>
                          <a:stCxn id="2" idx="1"/>
                          <a:endCxn id="4" idx="3"/>
                        </wps:cNvCnPr>
                        <wps:spPr>
                          <a:xfrm flipH="1">
                            <a:off x="1908000" y="1682105"/>
                            <a:ext cx="16075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Прямая со стрелкой 8"/>
                        <wps:cNvCnPr>
                          <a:stCxn id="2" idx="3"/>
                          <a:endCxn id="5" idx="1"/>
                        </wps:cNvCnPr>
                        <wps:spPr>
                          <a:xfrm>
                            <a:off x="3724756" y="1682105"/>
                            <a:ext cx="16075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51E5D767" id="Группа 13" o:spid="_x0000_s1026" style="position:absolute;left:0;text-align:left;margin-left:12.95pt;margin-top:1.5pt;width:456.15pt;height:174.55pt;z-index:251662336;mso-position-horizontal-relative:margin;mso-height-relative:margin" coordsize="57935,2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">
                <v:rect id="Прямоугольник 2" o:spid="_x0000_s1027" style="position:absolute;left:20687;top:13221;width:1656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" fillcolor="white [3201]" strokecolor="black [3200]" strokeweight="2.25pt">
                  <v:textbox>
                    <w:txbxContent>
                      <w:p w:rsidR="005A4E28" w:rsidRDefault="005A4E28" w:rsidP="005A4E28">
                        <w:pPr>
                          <w:pStyle w:val="a5"/>
                          <w:spacing w:before="0" w:beforeAutospacing="0" w:after="0" w:afterAutospacing="0"/>
                          <w:jc w:val="center"/>
                        </w:pPr>
                        <w:r>
                          <w:rPr>
                            <w:b/>
                            <w:bCs/>
                            <w:color w:val="000000" w:themeColor="dark1"/>
                            <w:kern w:val="24"/>
                          </w:rPr>
                          <w:t>Стратегия РОСНЕФТЬ - 2022</w:t>
                        </w:r>
                      </w:p>
                    </w:txbxContent>
                  </v:textbox>
                </v:rect>
                <v:roundrect id="Скругленный прямоугольник 3" o:spid="_x0000_s1028" style="position:absolute;left:20687;width:16560;height:111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" fillcolor="white [3201]" strokecolor="black [3200]" strokeweight="2.25pt">
                  <v:stroke dashstyle="longDash" joinstyle="miter"/>
                  <v:textbox>
                    <w:txbxContent>
                      <w:p w:rsidR="005A4E28" w:rsidRDefault="005A4E28" w:rsidP="005A4E28">
                        <w:pPr>
                          <w:pStyle w:val="a5"/>
                          <w:spacing w:before="0" w:beforeAutospacing="0" w:after="0" w:afterAutospacing="0"/>
                          <w:jc w:val="center"/>
                        </w:pPr>
                        <w:r>
                          <w:rPr>
                            <w:b/>
                            <w:bCs/>
                            <w:color w:val="000000" w:themeColor="dark1"/>
                            <w:kern w:val="24"/>
                          </w:rPr>
                          <w:t xml:space="preserve">Увеличение доходности бизнеса </w:t>
                        </w:r>
                        <w:r>
                          <w:rPr>
                            <w:color w:val="000000" w:themeColor="dark1"/>
                            <w:kern w:val="24"/>
                          </w:rPr>
                          <w:t>и повышение эффективности существующих активов</w:t>
                        </w:r>
                      </w:p>
                    </w:txbxContent>
                  </v:textbox>
                </v:roundrect>
                <v:roundrect id="Скругленный прямоугольник 4" o:spid="_x0000_s1029" style="position:absolute;top:11421;width:1908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" fillcolor="white [3201]" strokecolor="black [3200]" strokeweight="2.25pt">
                  <v:stroke dashstyle="longDash" joinstyle="miter"/>
                  <v:textbox>
                    <w:txbxContent>
                      <w:p w:rsidR="005A4E28" w:rsidRDefault="005A4E28" w:rsidP="005A4E28">
                        <w:pPr>
                          <w:pStyle w:val="a5"/>
                          <w:spacing w:before="0" w:beforeAutospacing="0" w:after="0" w:afterAutospacing="0"/>
                          <w:jc w:val="center"/>
                        </w:pPr>
                        <w:r>
                          <w:rPr>
                            <w:b/>
                            <w:bCs/>
                            <w:color w:val="000000" w:themeColor="dark1"/>
                            <w:kern w:val="24"/>
                          </w:rPr>
                          <w:t>Реализация ключевых проектов</w:t>
                        </w:r>
                      </w:p>
                      <w:p w:rsidR="005A4E28" w:rsidRDefault="005A4E28" w:rsidP="005A4E28">
                        <w:pPr>
                          <w:pStyle w:val="a5"/>
                          <w:spacing w:before="0" w:beforeAutospacing="0" w:after="0" w:afterAutospacing="0"/>
                          <w:jc w:val="center"/>
                        </w:pPr>
                        <w:r>
                          <w:rPr>
                            <w:color w:val="000000" w:themeColor="dark1"/>
                            <w:kern w:val="24"/>
                          </w:rPr>
                          <w:t>высокое качество проектного управления</w:t>
                        </w:r>
                      </w:p>
                    </w:txbxContent>
                  </v:textbox>
                </v:roundrect>
                <v:roundrect id="Скругленный прямоугольник 5" o:spid="_x0000_s1030" style="position:absolute;left:38855;top:11421;width:1908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" fillcolor="white [3201]" strokecolor="black [3200]" strokeweight="2.25pt">
                  <v:stroke dashstyle="longDash" joinstyle="miter"/>
                  <v:textbox>
                    <w:txbxContent>
                      <w:p w:rsidR="005A4E28" w:rsidRDefault="005A4E28" w:rsidP="005A4E28">
                        <w:pPr>
                          <w:pStyle w:val="a5"/>
                          <w:spacing w:before="0" w:beforeAutospacing="0" w:after="0" w:afterAutospacing="0"/>
                          <w:jc w:val="center"/>
                        </w:pPr>
                        <w:r>
                          <w:rPr>
                            <w:b/>
                            <w:bCs/>
                            <w:color w:val="000000" w:themeColor="dark1"/>
                            <w:kern w:val="24"/>
                          </w:rPr>
                          <w:t>Организационная и техническая трансформация</w:t>
                        </w:r>
                        <w:r>
                          <w:rPr>
                            <w:color w:val="000000" w:themeColor="dark1"/>
                            <w:kern w:val="24"/>
                          </w:rPr>
                          <w:t xml:space="preserve"> для дальнейшего усиления конкурентных преимуществ</w:t>
                        </w:r>
                      </w:p>
                    </w:txbxContent>
                  </v:textbox>
                </v:roundrect>
                <v:shapetype id="_x0000_t32" coordsize="21600,21600" o:spt="32" o:oned="t" path="m,l21600,21600e" filled="f">
                  <v:path arrowok="t" fillok="f" o:connecttype="none"/>
                  <o:lock v:ext="edit" shapetype="t"/>
                </v:shapetype>
                <v:shape id="Прямая со стрелкой 6" o:spid="_x0000_s1031" type="#_x0000_t32" style="position:absolute;left:28967;top:11160;width:0;height:20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" strokecolor="black [3200]" strokeweight=".5pt">
                  <v:stroke endarrow="block" joinstyle="miter"/>
                </v:shape>
                <v:shape id="Прямая со стрелкой 7" o:spid="_x0000_s1032" type="#_x0000_t32" style="position:absolute;left:19080;top:16821;width:160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" strokecolor="black [3200]" strokeweight=".5pt">
                  <v:stroke endarrow="block" joinstyle="miter"/>
                </v:shape>
                <v:shape id="Прямая со стрелкой 8" o:spid="_x0000_s1033" type="#_x0000_t32" style="position:absolute;left:37247;top:16821;width:16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" strokecolor="black [3200]" strokeweight=".5pt">
                  <v:stroke endarrow="block" joinstyle="miter"/>
                </v:shape>
                <w10:wrap type="square" anchorx="margin"/>
              </v:group>
            </w:pict>
          </mc:Fallback>
        </mc:AlternateContent>
      </w:r>
      <w:r w:rsidR="0076191A">
        <w:rPr>
          <w:szCs w:val="28"/>
        </w:rPr>
        <w:t xml:space="preserve">Рис. 1 – </w:t>
      </w:r>
      <w:r w:rsidR="00311284" w:rsidRPr="00311284">
        <w:rPr>
          <w:szCs w:val="28"/>
        </w:rPr>
        <w:t>Стратегия РОСНЕФТЬ – 2022</w:t>
      </w:r>
    </w:p>
    <w:p w:rsidR="008C1045" w:rsidRDefault="008C1045" w:rsidP="008C1045">
      <w:pPr>
        <w:pStyle w:val="a6"/>
        <w:spacing w:after="0" w:line="240" w:lineRule="auto"/>
        <w:ind w:left="0"/>
        <w:jc w:val="both"/>
        <w:rPr>
          <w:rStyle w:val="aa"/>
          <w:rFonts w:ascii="Times New Roman" w:hAnsi="Times New Roman" w:cs="Times New Roman"/>
          <w:sz w:val="24"/>
          <w:szCs w:val="24"/>
        </w:rPr>
      </w:pPr>
      <w:r w:rsidRPr="008A4ED6">
        <w:rPr>
          <w:rFonts w:ascii="Times New Roman" w:hAnsi="Times New Roman" w:cs="Times New Roman"/>
          <w:sz w:val="24"/>
          <w:szCs w:val="24"/>
        </w:rPr>
        <w:t xml:space="preserve">Годовой отчёт ПАО «НК «Роснефть» 2020 [Электронный ресурс]. – Режим доступа: </w:t>
      </w:r>
      <w:hyperlink r:id="rId7" w:history="1">
        <w:r w:rsidRPr="008A4ED6">
          <w:rPr>
            <w:rStyle w:val="aa"/>
            <w:rFonts w:ascii="Times New Roman" w:hAnsi="Times New Roman" w:cs="Times New Roman"/>
            <w:sz w:val="24"/>
            <w:szCs w:val="24"/>
          </w:rPr>
          <w:t>https://www.rosneft.ru/upload/site1/document_file/a_report_2020.pdf</w:t>
        </w:r>
      </w:hyperlink>
    </w:p>
    <w:p w:rsidR="0094189A" w:rsidRPr="008C1045" w:rsidRDefault="0094189A" w:rsidP="008C1045">
      <w:pPr>
        <w:pStyle w:val="a6"/>
        <w:spacing w:after="0" w:line="240" w:lineRule="auto"/>
        <w:ind w:left="0"/>
        <w:jc w:val="both"/>
        <w:rPr>
          <w:rStyle w:val="rvts52"/>
          <w:rFonts w:ascii="Times New Roman" w:hAnsi="Times New Roman" w:cs="Times New Roman"/>
          <w:sz w:val="24"/>
          <w:szCs w:val="24"/>
        </w:rPr>
      </w:pPr>
    </w:p>
    <w:p w:rsidR="0094189A" w:rsidRPr="0094189A" w:rsidRDefault="0094189A" w:rsidP="0094189A">
      <w:pPr>
        <w:spacing w:after="0" w:line="240" w:lineRule="auto"/>
        <w:ind w:firstLine="709"/>
        <w:jc w:val="both"/>
        <w:rPr>
          <w:rFonts w:ascii="Times New Roman" w:hAnsi="Times New Roman" w:cs="Times New Roman"/>
          <w:sz w:val="24"/>
          <w:szCs w:val="24"/>
        </w:rPr>
      </w:pPr>
      <w:r w:rsidRPr="0094189A">
        <w:rPr>
          <w:rFonts w:ascii="Times New Roman" w:hAnsi="Times New Roman" w:cs="Times New Roman"/>
          <w:sz w:val="24"/>
          <w:szCs w:val="24"/>
        </w:rPr>
        <w:t>Также реализуются задачи, которые направлены на обеспечение социального благополучия регионов, развитие кадрового потенциала и минимизацию негативного воздействия на природу. Главной основой стратегии является постройка бизнеса, который учитывает высокие критерии в сфере промышленной безопасности, экологии и охраны природы. «Роснефть» определяет своей целью стать к 2022 году лидером среди мировых нефтяных и газовых компаний по основным показателям в этой области.</w:t>
      </w:r>
    </w:p>
    <w:p w:rsidR="00BD4970" w:rsidRDefault="00810667" w:rsidP="00810667">
      <w:pPr>
        <w:spacing w:after="0" w:line="240" w:lineRule="auto"/>
        <w:ind w:firstLine="709"/>
        <w:jc w:val="both"/>
        <w:rPr>
          <w:rFonts w:ascii="Times New Roman" w:hAnsi="Times New Roman" w:cs="Times New Roman"/>
          <w:color w:val="000000" w:themeColor="text1"/>
          <w:sz w:val="24"/>
          <w:szCs w:val="28"/>
        </w:rPr>
      </w:pPr>
      <w:r w:rsidRPr="00810667">
        <w:rPr>
          <w:rFonts w:ascii="Times New Roman" w:hAnsi="Times New Roman" w:cs="Times New Roman"/>
          <w:color w:val="000000" w:themeColor="text1"/>
          <w:sz w:val="24"/>
          <w:szCs w:val="28"/>
        </w:rPr>
        <w:t xml:space="preserve">Целями системы показателей эффективности Компании являются декомпозиция Стратегии развития и ДПР ПАО «НК «Роснефть» в форму конкретных показателей эффективности и каскадирование их на все уровни управления Компании, а также оценка текущего состояния их достижения и создание факторов мотивации для принятия эффективных управленческих решений. </w:t>
      </w:r>
    </w:p>
    <w:p w:rsidR="00810667" w:rsidRPr="00810667" w:rsidRDefault="00810667" w:rsidP="00810667">
      <w:pPr>
        <w:spacing w:after="0" w:line="240" w:lineRule="auto"/>
        <w:ind w:firstLine="709"/>
        <w:jc w:val="both"/>
        <w:rPr>
          <w:rFonts w:ascii="Times New Roman" w:hAnsi="Times New Roman" w:cs="Times New Roman"/>
          <w:sz w:val="24"/>
        </w:rPr>
      </w:pPr>
      <w:r w:rsidRPr="00810667">
        <w:rPr>
          <w:rFonts w:ascii="Times New Roman" w:hAnsi="Times New Roman" w:cs="Times New Roman"/>
          <w:sz w:val="24"/>
        </w:rPr>
        <w:t>В перечни коллективных показателей эффективности Компании и индивидуальных показателей эффективности Главного исполнительного директора ПАО «НК «Роснефть» на 2020 год включены такие показатели, как(Табл</w:t>
      </w:r>
      <w:r w:rsidR="00FB1881">
        <w:rPr>
          <w:rFonts w:ascii="Times New Roman" w:hAnsi="Times New Roman" w:cs="Times New Roman"/>
          <w:sz w:val="24"/>
        </w:rPr>
        <w:t>.1</w:t>
      </w:r>
      <w:r w:rsidRPr="00810667">
        <w:rPr>
          <w:rFonts w:ascii="Times New Roman" w:hAnsi="Times New Roman" w:cs="Times New Roman"/>
          <w:sz w:val="24"/>
        </w:rPr>
        <w:t xml:space="preserve">): </w:t>
      </w:r>
    </w:p>
    <w:p w:rsidR="00810667" w:rsidRPr="00810667" w:rsidRDefault="00810667" w:rsidP="00810667">
      <w:pPr>
        <w:pStyle w:val="a6"/>
        <w:numPr>
          <w:ilvl w:val="1"/>
          <w:numId w:val="3"/>
        </w:numPr>
        <w:spacing w:after="0" w:line="240" w:lineRule="auto"/>
        <w:ind w:left="0" w:firstLine="709"/>
        <w:jc w:val="both"/>
        <w:rPr>
          <w:rFonts w:ascii="Times New Roman" w:hAnsi="Times New Roman" w:cs="Times New Roman"/>
          <w:sz w:val="24"/>
        </w:rPr>
      </w:pPr>
      <w:r w:rsidRPr="00810667">
        <w:rPr>
          <w:rFonts w:ascii="Times New Roman" w:hAnsi="Times New Roman" w:cs="Times New Roman"/>
          <w:sz w:val="24"/>
        </w:rPr>
        <w:t xml:space="preserve">доходность на средний задействованный капитал (ROACE); </w:t>
      </w:r>
    </w:p>
    <w:p w:rsidR="00810667" w:rsidRPr="00810667" w:rsidRDefault="00810667" w:rsidP="00810667">
      <w:pPr>
        <w:pStyle w:val="a6"/>
        <w:numPr>
          <w:ilvl w:val="1"/>
          <w:numId w:val="3"/>
        </w:numPr>
        <w:spacing w:after="0" w:line="240" w:lineRule="auto"/>
        <w:ind w:left="0" w:firstLine="709"/>
        <w:jc w:val="both"/>
        <w:rPr>
          <w:rFonts w:ascii="Times New Roman" w:hAnsi="Times New Roman" w:cs="Times New Roman"/>
          <w:sz w:val="24"/>
        </w:rPr>
      </w:pPr>
      <w:r w:rsidRPr="00810667">
        <w:rPr>
          <w:rFonts w:ascii="Times New Roman" w:hAnsi="Times New Roman" w:cs="Times New Roman"/>
          <w:sz w:val="24"/>
        </w:rPr>
        <w:t xml:space="preserve">объем добычи углеводородов; </w:t>
      </w:r>
    </w:p>
    <w:p w:rsidR="00810667" w:rsidRPr="00810667" w:rsidRDefault="00810667" w:rsidP="00810667">
      <w:pPr>
        <w:pStyle w:val="a6"/>
        <w:numPr>
          <w:ilvl w:val="1"/>
          <w:numId w:val="3"/>
        </w:numPr>
        <w:spacing w:after="0" w:line="240" w:lineRule="auto"/>
        <w:ind w:left="0" w:firstLine="709"/>
        <w:jc w:val="both"/>
        <w:rPr>
          <w:rFonts w:ascii="Times New Roman" w:hAnsi="Times New Roman" w:cs="Times New Roman"/>
          <w:sz w:val="24"/>
        </w:rPr>
      </w:pPr>
      <w:r w:rsidRPr="00810667">
        <w:rPr>
          <w:rFonts w:ascii="Times New Roman" w:hAnsi="Times New Roman" w:cs="Times New Roman"/>
          <w:sz w:val="24"/>
        </w:rPr>
        <w:t xml:space="preserve">показатель травматизма; </w:t>
      </w:r>
    </w:p>
    <w:p w:rsidR="00810667" w:rsidRPr="00810667" w:rsidRDefault="00810667" w:rsidP="00810667">
      <w:pPr>
        <w:pStyle w:val="a6"/>
        <w:numPr>
          <w:ilvl w:val="1"/>
          <w:numId w:val="3"/>
        </w:numPr>
        <w:spacing w:after="0" w:line="240" w:lineRule="auto"/>
        <w:ind w:left="0" w:firstLine="709"/>
        <w:jc w:val="both"/>
        <w:rPr>
          <w:rFonts w:ascii="Times New Roman" w:hAnsi="Times New Roman" w:cs="Times New Roman"/>
          <w:sz w:val="24"/>
        </w:rPr>
      </w:pPr>
      <w:r w:rsidRPr="00810667">
        <w:rPr>
          <w:rFonts w:ascii="Times New Roman" w:hAnsi="Times New Roman" w:cs="Times New Roman"/>
          <w:sz w:val="24"/>
        </w:rPr>
        <w:t xml:space="preserve">производительность труда; </w:t>
      </w:r>
    </w:p>
    <w:p w:rsidR="00810667" w:rsidRDefault="00810667" w:rsidP="00810667">
      <w:pPr>
        <w:pStyle w:val="a6"/>
        <w:numPr>
          <w:ilvl w:val="1"/>
          <w:numId w:val="3"/>
        </w:numPr>
        <w:spacing w:after="0" w:line="240" w:lineRule="auto"/>
        <w:ind w:left="0" w:firstLine="709"/>
        <w:jc w:val="both"/>
        <w:rPr>
          <w:rFonts w:ascii="Times New Roman" w:hAnsi="Times New Roman" w:cs="Times New Roman"/>
          <w:sz w:val="24"/>
        </w:rPr>
      </w:pPr>
      <w:r w:rsidRPr="00810667">
        <w:rPr>
          <w:rFonts w:ascii="Times New Roman" w:hAnsi="Times New Roman" w:cs="Times New Roman"/>
          <w:sz w:val="24"/>
        </w:rPr>
        <w:t>сохранение совокупной доходности акци</w:t>
      </w:r>
      <w:r w:rsidR="00C37C06">
        <w:rPr>
          <w:rFonts w:ascii="Times New Roman" w:hAnsi="Times New Roman" w:cs="Times New Roman"/>
          <w:sz w:val="24"/>
        </w:rPr>
        <w:t>онеров ПАО «НК «Роснефть»;</w:t>
      </w:r>
    </w:p>
    <w:p w:rsidR="001350BC" w:rsidRPr="00810667" w:rsidRDefault="001350BC" w:rsidP="00810667">
      <w:pPr>
        <w:pStyle w:val="a6"/>
        <w:numPr>
          <w:ilvl w:val="1"/>
          <w:numId w:val="3"/>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и др.</w:t>
      </w:r>
    </w:p>
    <w:p w:rsidR="00810667" w:rsidRPr="00311284" w:rsidRDefault="00810667" w:rsidP="00810667">
      <w:pPr>
        <w:pStyle w:val="rvps26"/>
        <w:shd w:val="clear" w:color="FFFFFF" w:fill="FFFFFF"/>
        <w:spacing w:before="0" w:beforeAutospacing="0" w:after="0" w:afterAutospacing="0"/>
        <w:ind w:firstLine="709"/>
        <w:jc w:val="both"/>
        <w:rPr>
          <w:b/>
          <w:sz w:val="20"/>
        </w:rPr>
      </w:pPr>
    </w:p>
    <w:p w:rsidR="000607F4" w:rsidRPr="00810667" w:rsidRDefault="00BD4970" w:rsidP="00810667">
      <w:pPr>
        <w:spacing w:after="0" w:line="240" w:lineRule="auto"/>
        <w:jc w:val="center"/>
        <w:rPr>
          <w:rFonts w:ascii="Times New Roman" w:hAnsi="Times New Roman" w:cs="Times New Roman"/>
          <w:sz w:val="24"/>
        </w:rPr>
      </w:pPr>
      <w:r>
        <w:rPr>
          <w:rFonts w:ascii="Times New Roman" w:hAnsi="Times New Roman" w:cs="Times New Roman"/>
          <w:sz w:val="24"/>
        </w:rPr>
        <w:t xml:space="preserve">Таблица 1 – </w:t>
      </w:r>
      <w:r w:rsidR="00810667" w:rsidRPr="00810667">
        <w:rPr>
          <w:rFonts w:ascii="Times New Roman" w:hAnsi="Times New Roman" w:cs="Times New Roman"/>
          <w:color w:val="000000" w:themeColor="text1"/>
          <w:sz w:val="24"/>
          <w:szCs w:val="28"/>
        </w:rPr>
        <w:t>Фактическое</w:t>
      </w:r>
      <w:r>
        <w:rPr>
          <w:rFonts w:ascii="Times New Roman" w:hAnsi="Times New Roman" w:cs="Times New Roman"/>
          <w:color w:val="000000" w:themeColor="text1"/>
          <w:sz w:val="24"/>
          <w:szCs w:val="28"/>
        </w:rPr>
        <w:t xml:space="preserve"> </w:t>
      </w:r>
      <w:r w:rsidR="00810667" w:rsidRPr="00810667">
        <w:rPr>
          <w:rFonts w:ascii="Times New Roman" w:hAnsi="Times New Roman" w:cs="Times New Roman"/>
          <w:color w:val="000000" w:themeColor="text1"/>
          <w:sz w:val="24"/>
          <w:szCs w:val="28"/>
        </w:rPr>
        <w:t>выполнение ключевых показателей эффективности Компании и Главного исполнительного директора в 2019–2020 годах</w:t>
      </w:r>
    </w:p>
    <w:tbl>
      <w:tblPr>
        <w:tblStyle w:val="a7"/>
        <w:tblW w:w="0" w:type="auto"/>
        <w:tblLook w:val="04A0" w:firstRow="1" w:lastRow="0" w:firstColumn="1" w:lastColumn="0" w:noHBand="0" w:noVBand="1"/>
      </w:tblPr>
      <w:tblGrid>
        <w:gridCol w:w="3106"/>
        <w:gridCol w:w="1567"/>
        <w:gridCol w:w="2693"/>
        <w:gridCol w:w="2262"/>
      </w:tblGrid>
      <w:tr w:rsidR="00810667" w:rsidRPr="00810667" w:rsidTr="00BD4970">
        <w:tc>
          <w:tcPr>
            <w:tcW w:w="3106" w:type="dxa"/>
            <w:vAlign w:val="center"/>
          </w:tcPr>
          <w:p w:rsidR="00810667" w:rsidRPr="00810667" w:rsidRDefault="00810667" w:rsidP="001350BC">
            <w:pPr>
              <w:jc w:val="center"/>
              <w:rPr>
                <w:rFonts w:ascii="Arial" w:hAnsi="Arial" w:cs="Arial"/>
                <w:b/>
                <w:sz w:val="18"/>
                <w:szCs w:val="24"/>
              </w:rPr>
            </w:pPr>
            <w:r w:rsidRPr="00810667">
              <w:rPr>
                <w:rFonts w:ascii="Arial" w:hAnsi="Arial" w:cs="Arial"/>
                <w:b/>
                <w:sz w:val="18"/>
                <w:szCs w:val="24"/>
              </w:rPr>
              <w:t>Показатель</w:t>
            </w:r>
          </w:p>
        </w:tc>
        <w:tc>
          <w:tcPr>
            <w:tcW w:w="1567" w:type="dxa"/>
            <w:vAlign w:val="center"/>
          </w:tcPr>
          <w:p w:rsidR="00810667" w:rsidRPr="00810667" w:rsidRDefault="00810667" w:rsidP="001350BC">
            <w:pPr>
              <w:jc w:val="center"/>
              <w:rPr>
                <w:rFonts w:ascii="Arial" w:hAnsi="Arial" w:cs="Arial"/>
                <w:b/>
                <w:sz w:val="18"/>
                <w:szCs w:val="24"/>
              </w:rPr>
            </w:pPr>
            <w:r w:rsidRPr="00810667">
              <w:rPr>
                <w:rFonts w:ascii="Arial" w:hAnsi="Arial" w:cs="Arial"/>
                <w:b/>
                <w:sz w:val="18"/>
                <w:szCs w:val="24"/>
              </w:rPr>
              <w:t>2020 год (факт)</w:t>
            </w:r>
          </w:p>
        </w:tc>
        <w:tc>
          <w:tcPr>
            <w:tcW w:w="2693" w:type="dxa"/>
            <w:vAlign w:val="center"/>
          </w:tcPr>
          <w:p w:rsidR="00810667" w:rsidRPr="00810667" w:rsidRDefault="00810667" w:rsidP="001350BC">
            <w:pPr>
              <w:jc w:val="center"/>
              <w:rPr>
                <w:rFonts w:ascii="Arial" w:hAnsi="Arial" w:cs="Arial"/>
                <w:b/>
                <w:sz w:val="18"/>
                <w:szCs w:val="24"/>
              </w:rPr>
            </w:pPr>
            <w:r w:rsidRPr="00810667">
              <w:rPr>
                <w:rFonts w:ascii="Arial" w:hAnsi="Arial" w:cs="Arial"/>
                <w:b/>
                <w:sz w:val="18"/>
                <w:szCs w:val="24"/>
              </w:rPr>
              <w:t>Степень достижения планового значения в 2020 году</w:t>
            </w:r>
          </w:p>
        </w:tc>
        <w:tc>
          <w:tcPr>
            <w:tcW w:w="2262" w:type="dxa"/>
            <w:vAlign w:val="center"/>
          </w:tcPr>
          <w:p w:rsidR="00810667" w:rsidRPr="00810667" w:rsidRDefault="00810667" w:rsidP="001350BC">
            <w:pPr>
              <w:jc w:val="center"/>
              <w:rPr>
                <w:rFonts w:ascii="Arial" w:hAnsi="Arial" w:cs="Arial"/>
                <w:b/>
                <w:sz w:val="18"/>
                <w:szCs w:val="24"/>
              </w:rPr>
            </w:pPr>
            <w:r w:rsidRPr="00810667">
              <w:rPr>
                <w:rFonts w:ascii="Arial" w:hAnsi="Arial" w:cs="Arial"/>
                <w:b/>
                <w:sz w:val="18"/>
                <w:szCs w:val="24"/>
              </w:rPr>
              <w:t>Степень достижения планового значения в 2019 году</w:t>
            </w:r>
          </w:p>
        </w:tc>
      </w:tr>
      <w:tr w:rsidR="00810667" w:rsidRPr="00810667" w:rsidTr="00BD4970">
        <w:tc>
          <w:tcPr>
            <w:tcW w:w="3106" w:type="dxa"/>
            <w:vAlign w:val="center"/>
          </w:tcPr>
          <w:p w:rsidR="00810667" w:rsidRPr="00810667" w:rsidRDefault="00810667" w:rsidP="001350BC">
            <w:pPr>
              <w:jc w:val="center"/>
              <w:rPr>
                <w:rFonts w:ascii="Arial" w:hAnsi="Arial" w:cs="Arial"/>
                <w:sz w:val="18"/>
                <w:szCs w:val="24"/>
              </w:rPr>
            </w:pPr>
            <w:r w:rsidRPr="00810667">
              <w:rPr>
                <w:rFonts w:ascii="Arial" w:hAnsi="Arial" w:cs="Arial"/>
                <w:sz w:val="18"/>
                <w:szCs w:val="24"/>
              </w:rPr>
              <w:t>Доходность на средний задействованный капитал (ROACE), %</w:t>
            </w:r>
          </w:p>
        </w:tc>
        <w:tc>
          <w:tcPr>
            <w:tcW w:w="1567" w:type="dxa"/>
            <w:vAlign w:val="center"/>
          </w:tcPr>
          <w:p w:rsidR="00810667" w:rsidRPr="00810667" w:rsidRDefault="00810667" w:rsidP="001350BC">
            <w:pPr>
              <w:jc w:val="center"/>
              <w:rPr>
                <w:rFonts w:ascii="Arial" w:hAnsi="Arial" w:cs="Arial"/>
                <w:sz w:val="18"/>
                <w:szCs w:val="24"/>
              </w:rPr>
            </w:pPr>
            <w:r w:rsidRPr="00810667">
              <w:rPr>
                <w:rFonts w:ascii="Arial" w:hAnsi="Arial" w:cs="Arial"/>
                <w:sz w:val="18"/>
                <w:szCs w:val="24"/>
              </w:rPr>
              <w:t>6,9</w:t>
            </w:r>
          </w:p>
        </w:tc>
        <w:tc>
          <w:tcPr>
            <w:tcW w:w="2693" w:type="dxa"/>
            <w:vAlign w:val="center"/>
          </w:tcPr>
          <w:p w:rsidR="00810667" w:rsidRPr="00810667" w:rsidRDefault="00810667" w:rsidP="001350BC">
            <w:pPr>
              <w:jc w:val="center"/>
              <w:rPr>
                <w:rFonts w:ascii="Arial" w:hAnsi="Arial" w:cs="Arial"/>
                <w:sz w:val="18"/>
                <w:szCs w:val="24"/>
              </w:rPr>
            </w:pPr>
            <w:r w:rsidRPr="00810667">
              <w:rPr>
                <w:rFonts w:ascii="Arial" w:hAnsi="Arial" w:cs="Arial"/>
                <w:sz w:val="18"/>
                <w:szCs w:val="24"/>
              </w:rPr>
              <w:t>Лучше плана</w:t>
            </w:r>
          </w:p>
        </w:tc>
        <w:tc>
          <w:tcPr>
            <w:tcW w:w="2262" w:type="dxa"/>
            <w:vAlign w:val="center"/>
          </w:tcPr>
          <w:p w:rsidR="00810667" w:rsidRPr="00810667" w:rsidRDefault="00810667" w:rsidP="001350BC">
            <w:pPr>
              <w:jc w:val="center"/>
              <w:rPr>
                <w:rFonts w:ascii="Arial" w:hAnsi="Arial" w:cs="Arial"/>
                <w:sz w:val="18"/>
                <w:szCs w:val="24"/>
              </w:rPr>
            </w:pPr>
            <w:r w:rsidRPr="00810667">
              <w:rPr>
                <w:rFonts w:ascii="Arial" w:hAnsi="Arial" w:cs="Arial"/>
                <w:sz w:val="18"/>
                <w:szCs w:val="24"/>
              </w:rPr>
              <w:t>Лучше плана</w:t>
            </w:r>
          </w:p>
        </w:tc>
      </w:tr>
      <w:tr w:rsidR="00810667" w:rsidRPr="00810667" w:rsidTr="00BD4970">
        <w:tc>
          <w:tcPr>
            <w:tcW w:w="3106" w:type="dxa"/>
            <w:vAlign w:val="center"/>
          </w:tcPr>
          <w:p w:rsidR="00810667" w:rsidRPr="00810667" w:rsidRDefault="00810667" w:rsidP="001350BC">
            <w:pPr>
              <w:jc w:val="center"/>
              <w:rPr>
                <w:rFonts w:ascii="Arial" w:hAnsi="Arial" w:cs="Arial"/>
                <w:sz w:val="18"/>
                <w:szCs w:val="24"/>
              </w:rPr>
            </w:pPr>
            <w:r w:rsidRPr="00810667">
              <w:rPr>
                <w:rFonts w:ascii="Arial" w:hAnsi="Arial" w:cs="Arial"/>
                <w:sz w:val="18"/>
                <w:szCs w:val="24"/>
              </w:rPr>
              <w:t>Коэффициент долговой нагрузки (Чистый долг / EBITDA)</w:t>
            </w:r>
          </w:p>
        </w:tc>
        <w:tc>
          <w:tcPr>
            <w:tcW w:w="1567" w:type="dxa"/>
            <w:vAlign w:val="center"/>
          </w:tcPr>
          <w:p w:rsidR="00810667" w:rsidRPr="00810667" w:rsidRDefault="00810667" w:rsidP="001350BC">
            <w:pPr>
              <w:jc w:val="center"/>
              <w:rPr>
                <w:rFonts w:ascii="Arial" w:hAnsi="Arial" w:cs="Arial"/>
                <w:sz w:val="18"/>
                <w:szCs w:val="24"/>
              </w:rPr>
            </w:pPr>
            <w:r w:rsidRPr="00810667">
              <w:rPr>
                <w:rFonts w:ascii="Arial" w:hAnsi="Arial" w:cs="Arial"/>
                <w:sz w:val="18"/>
                <w:szCs w:val="24"/>
              </w:rPr>
              <w:t>2,4</w:t>
            </w:r>
          </w:p>
        </w:tc>
        <w:tc>
          <w:tcPr>
            <w:tcW w:w="2693" w:type="dxa"/>
            <w:vAlign w:val="center"/>
          </w:tcPr>
          <w:p w:rsidR="00810667" w:rsidRPr="00810667" w:rsidRDefault="00810667" w:rsidP="001350BC">
            <w:pPr>
              <w:jc w:val="center"/>
              <w:rPr>
                <w:rFonts w:ascii="Arial" w:hAnsi="Arial" w:cs="Arial"/>
                <w:sz w:val="18"/>
                <w:szCs w:val="24"/>
              </w:rPr>
            </w:pPr>
            <w:r w:rsidRPr="00810667">
              <w:rPr>
                <w:rFonts w:ascii="Arial" w:hAnsi="Arial" w:cs="Arial"/>
                <w:sz w:val="18"/>
                <w:szCs w:val="24"/>
              </w:rPr>
              <w:t>Лучше плана</w:t>
            </w:r>
          </w:p>
        </w:tc>
        <w:tc>
          <w:tcPr>
            <w:tcW w:w="2262" w:type="dxa"/>
            <w:vAlign w:val="center"/>
          </w:tcPr>
          <w:p w:rsidR="00810667" w:rsidRPr="00810667" w:rsidRDefault="00810667" w:rsidP="001350BC">
            <w:pPr>
              <w:jc w:val="center"/>
              <w:rPr>
                <w:rFonts w:ascii="Arial" w:hAnsi="Arial" w:cs="Arial"/>
                <w:sz w:val="18"/>
                <w:szCs w:val="24"/>
              </w:rPr>
            </w:pPr>
            <w:r w:rsidRPr="00810667">
              <w:rPr>
                <w:rFonts w:ascii="Arial" w:hAnsi="Arial" w:cs="Arial"/>
                <w:sz w:val="18"/>
                <w:szCs w:val="24"/>
              </w:rPr>
              <w:t>Лучше плана</w:t>
            </w:r>
          </w:p>
        </w:tc>
      </w:tr>
      <w:tr w:rsidR="00810667" w:rsidRPr="00810667" w:rsidTr="00BD4970">
        <w:tc>
          <w:tcPr>
            <w:tcW w:w="3106" w:type="dxa"/>
            <w:vAlign w:val="center"/>
          </w:tcPr>
          <w:p w:rsidR="00810667" w:rsidRPr="00810667" w:rsidRDefault="00810667" w:rsidP="001350BC">
            <w:pPr>
              <w:jc w:val="center"/>
              <w:rPr>
                <w:rFonts w:ascii="Arial" w:hAnsi="Arial" w:cs="Arial"/>
                <w:sz w:val="18"/>
                <w:szCs w:val="24"/>
              </w:rPr>
            </w:pPr>
            <w:r w:rsidRPr="00810667">
              <w:rPr>
                <w:rFonts w:ascii="Arial" w:hAnsi="Arial" w:cs="Arial"/>
                <w:sz w:val="18"/>
                <w:szCs w:val="24"/>
              </w:rPr>
              <w:t>Показатель травматизма по Компании, %</w:t>
            </w:r>
          </w:p>
        </w:tc>
        <w:tc>
          <w:tcPr>
            <w:tcW w:w="1567" w:type="dxa"/>
            <w:vAlign w:val="center"/>
          </w:tcPr>
          <w:p w:rsidR="00810667" w:rsidRPr="00810667" w:rsidRDefault="00810667" w:rsidP="001350BC">
            <w:pPr>
              <w:jc w:val="center"/>
              <w:rPr>
                <w:rFonts w:ascii="Arial" w:hAnsi="Arial" w:cs="Arial"/>
                <w:sz w:val="18"/>
                <w:szCs w:val="24"/>
              </w:rPr>
            </w:pPr>
            <w:r w:rsidRPr="00810667">
              <w:rPr>
                <w:rFonts w:ascii="Arial" w:hAnsi="Arial" w:cs="Arial"/>
                <w:sz w:val="18"/>
                <w:szCs w:val="24"/>
              </w:rPr>
              <w:t>93</w:t>
            </w:r>
          </w:p>
        </w:tc>
        <w:tc>
          <w:tcPr>
            <w:tcW w:w="2693" w:type="dxa"/>
            <w:vAlign w:val="center"/>
          </w:tcPr>
          <w:p w:rsidR="00810667" w:rsidRPr="00810667" w:rsidRDefault="00810667" w:rsidP="001350BC">
            <w:pPr>
              <w:jc w:val="center"/>
              <w:rPr>
                <w:rFonts w:ascii="Arial" w:hAnsi="Arial" w:cs="Arial"/>
                <w:sz w:val="18"/>
                <w:szCs w:val="24"/>
              </w:rPr>
            </w:pPr>
            <w:r w:rsidRPr="00810667">
              <w:rPr>
                <w:rFonts w:ascii="Arial" w:hAnsi="Arial" w:cs="Arial"/>
                <w:sz w:val="18"/>
                <w:szCs w:val="24"/>
              </w:rPr>
              <w:t>Лучше плана</w:t>
            </w:r>
          </w:p>
        </w:tc>
        <w:tc>
          <w:tcPr>
            <w:tcW w:w="2262" w:type="dxa"/>
            <w:vAlign w:val="center"/>
          </w:tcPr>
          <w:p w:rsidR="00810667" w:rsidRPr="00810667" w:rsidRDefault="00810667" w:rsidP="001350BC">
            <w:pPr>
              <w:jc w:val="center"/>
              <w:rPr>
                <w:rFonts w:ascii="Arial" w:hAnsi="Arial" w:cs="Arial"/>
                <w:sz w:val="18"/>
                <w:szCs w:val="24"/>
              </w:rPr>
            </w:pPr>
            <w:r w:rsidRPr="00810667">
              <w:rPr>
                <w:rFonts w:ascii="Arial" w:hAnsi="Arial" w:cs="Arial"/>
                <w:sz w:val="18"/>
                <w:szCs w:val="24"/>
              </w:rPr>
              <w:t>Лучше плана</w:t>
            </w:r>
          </w:p>
        </w:tc>
      </w:tr>
      <w:tr w:rsidR="00810667" w:rsidRPr="00810667" w:rsidTr="00BD4970">
        <w:tc>
          <w:tcPr>
            <w:tcW w:w="3106" w:type="dxa"/>
            <w:vAlign w:val="center"/>
          </w:tcPr>
          <w:p w:rsidR="00810667" w:rsidRPr="00810667" w:rsidRDefault="00810667" w:rsidP="001350BC">
            <w:pPr>
              <w:jc w:val="center"/>
              <w:rPr>
                <w:rFonts w:ascii="Arial" w:hAnsi="Arial" w:cs="Arial"/>
                <w:sz w:val="18"/>
                <w:szCs w:val="24"/>
              </w:rPr>
            </w:pPr>
            <w:r w:rsidRPr="00810667">
              <w:rPr>
                <w:rFonts w:ascii="Arial" w:hAnsi="Arial" w:cs="Arial"/>
                <w:sz w:val="18"/>
                <w:szCs w:val="24"/>
              </w:rPr>
              <w:t>Интегральный КПЭ инновационной деятельности, %</w:t>
            </w:r>
          </w:p>
        </w:tc>
        <w:tc>
          <w:tcPr>
            <w:tcW w:w="1567" w:type="dxa"/>
            <w:vAlign w:val="center"/>
          </w:tcPr>
          <w:p w:rsidR="00810667" w:rsidRPr="00810667" w:rsidRDefault="00810667" w:rsidP="001350BC">
            <w:pPr>
              <w:jc w:val="center"/>
              <w:rPr>
                <w:rFonts w:ascii="Arial" w:hAnsi="Arial" w:cs="Arial"/>
                <w:sz w:val="18"/>
                <w:szCs w:val="24"/>
              </w:rPr>
            </w:pPr>
            <w:r w:rsidRPr="00810667">
              <w:rPr>
                <w:rFonts w:ascii="Arial" w:hAnsi="Arial" w:cs="Arial"/>
                <w:sz w:val="18"/>
                <w:szCs w:val="24"/>
              </w:rPr>
              <w:t>100</w:t>
            </w:r>
          </w:p>
        </w:tc>
        <w:tc>
          <w:tcPr>
            <w:tcW w:w="2693" w:type="dxa"/>
            <w:vAlign w:val="center"/>
          </w:tcPr>
          <w:p w:rsidR="00810667" w:rsidRPr="00810667" w:rsidRDefault="00810667" w:rsidP="001350BC">
            <w:pPr>
              <w:jc w:val="center"/>
              <w:rPr>
                <w:rFonts w:ascii="Arial" w:hAnsi="Arial" w:cs="Arial"/>
                <w:sz w:val="18"/>
                <w:szCs w:val="24"/>
              </w:rPr>
            </w:pPr>
            <w:r w:rsidRPr="00810667">
              <w:rPr>
                <w:rFonts w:ascii="Arial" w:hAnsi="Arial" w:cs="Arial"/>
                <w:sz w:val="18"/>
                <w:szCs w:val="24"/>
              </w:rPr>
              <w:t>План выполнен</w:t>
            </w:r>
          </w:p>
        </w:tc>
        <w:tc>
          <w:tcPr>
            <w:tcW w:w="2262" w:type="dxa"/>
            <w:vAlign w:val="center"/>
          </w:tcPr>
          <w:p w:rsidR="00810667" w:rsidRPr="00810667" w:rsidRDefault="00810667" w:rsidP="001350BC">
            <w:pPr>
              <w:jc w:val="center"/>
              <w:rPr>
                <w:rFonts w:ascii="Arial" w:hAnsi="Arial" w:cs="Arial"/>
                <w:sz w:val="18"/>
                <w:szCs w:val="24"/>
              </w:rPr>
            </w:pPr>
            <w:r w:rsidRPr="00810667">
              <w:rPr>
                <w:rFonts w:ascii="Arial" w:hAnsi="Arial" w:cs="Arial"/>
                <w:sz w:val="18"/>
                <w:szCs w:val="24"/>
              </w:rPr>
              <w:t>План выполнен</w:t>
            </w:r>
          </w:p>
        </w:tc>
      </w:tr>
    </w:tbl>
    <w:p w:rsidR="003C1FF3" w:rsidRPr="003C1FF3" w:rsidRDefault="008C1045" w:rsidP="00316F4E">
      <w:pPr>
        <w:pStyle w:val="a6"/>
        <w:spacing w:after="0" w:line="240" w:lineRule="auto"/>
        <w:ind w:left="0"/>
        <w:jc w:val="both"/>
        <w:rPr>
          <w:rFonts w:ascii="Times New Roman" w:hAnsi="Times New Roman" w:cs="Times New Roman"/>
          <w:sz w:val="24"/>
          <w:szCs w:val="24"/>
        </w:rPr>
      </w:pPr>
      <w:r w:rsidRPr="008A4ED6">
        <w:rPr>
          <w:rFonts w:ascii="Times New Roman" w:hAnsi="Times New Roman" w:cs="Times New Roman"/>
          <w:sz w:val="24"/>
          <w:szCs w:val="24"/>
        </w:rPr>
        <w:t xml:space="preserve">Годовой отчёт ПАО «НК «Роснефть» 2020 [Электронный ресурс]. – Режим доступа: </w:t>
      </w:r>
      <w:hyperlink r:id="rId8" w:history="1">
        <w:r w:rsidRPr="008A4ED6">
          <w:rPr>
            <w:rStyle w:val="aa"/>
            <w:rFonts w:ascii="Times New Roman" w:hAnsi="Times New Roman" w:cs="Times New Roman"/>
            <w:sz w:val="24"/>
            <w:szCs w:val="24"/>
          </w:rPr>
          <w:t>https://www.rosneft.ru/upload/site1/document_file/a_report_2020.pdf</w:t>
        </w:r>
      </w:hyperlink>
    </w:p>
    <w:p w:rsidR="00810667" w:rsidRPr="00810667" w:rsidRDefault="00810667" w:rsidP="00204AEB">
      <w:pPr>
        <w:pStyle w:val="a8"/>
        <w:spacing w:after="0" w:line="240" w:lineRule="auto"/>
        <w:ind w:left="0" w:firstLine="709"/>
        <w:jc w:val="both"/>
        <w:rPr>
          <w:rFonts w:ascii="Times New Roman" w:hAnsi="Times New Roman" w:cs="Times New Roman"/>
          <w:color w:val="000000" w:themeColor="text1"/>
          <w:sz w:val="24"/>
          <w:szCs w:val="28"/>
        </w:rPr>
      </w:pPr>
      <w:r w:rsidRPr="003C1FF3">
        <w:rPr>
          <w:rFonts w:ascii="Times New Roman" w:hAnsi="Times New Roman" w:cs="Times New Roman"/>
          <w:color w:val="000000" w:themeColor="text1"/>
          <w:sz w:val="24"/>
          <w:szCs w:val="24"/>
        </w:rPr>
        <w:lastRenderedPageBreak/>
        <w:t>Деятельность ПАО «НК «Роснефть» в области</w:t>
      </w:r>
      <w:r w:rsidR="00EB1765">
        <w:rPr>
          <w:rFonts w:ascii="Times New Roman" w:hAnsi="Times New Roman" w:cs="Times New Roman"/>
          <w:color w:val="000000" w:themeColor="text1"/>
          <w:sz w:val="24"/>
          <w:szCs w:val="28"/>
        </w:rPr>
        <w:t xml:space="preserve"> экспорта</w:t>
      </w:r>
      <w:r w:rsidRPr="00810667">
        <w:rPr>
          <w:rFonts w:ascii="Times New Roman" w:hAnsi="Times New Roman" w:cs="Times New Roman"/>
          <w:color w:val="000000" w:themeColor="text1"/>
          <w:sz w:val="24"/>
          <w:szCs w:val="28"/>
        </w:rPr>
        <w:t xml:space="preserve"> сырой нефти и нефтепродуктов направлена на обеспечение максим</w:t>
      </w:r>
      <w:r w:rsidR="00EB1765">
        <w:rPr>
          <w:rFonts w:ascii="Times New Roman" w:hAnsi="Times New Roman" w:cs="Times New Roman"/>
          <w:color w:val="000000" w:themeColor="text1"/>
          <w:sz w:val="24"/>
          <w:szCs w:val="28"/>
        </w:rPr>
        <w:t>альной доходности поставок</w:t>
      </w:r>
      <w:r w:rsidRPr="00810667">
        <w:rPr>
          <w:rFonts w:ascii="Times New Roman" w:hAnsi="Times New Roman" w:cs="Times New Roman"/>
          <w:color w:val="000000" w:themeColor="text1"/>
          <w:sz w:val="24"/>
          <w:szCs w:val="28"/>
        </w:rPr>
        <w:t xml:space="preserve"> за счет оптимизации использования различных логистических направлений, доступных компании.</w:t>
      </w:r>
      <w:r w:rsidR="00204AEB">
        <w:rPr>
          <w:rFonts w:ascii="Times New Roman" w:hAnsi="Times New Roman" w:cs="Times New Roman"/>
          <w:color w:val="000000" w:themeColor="text1"/>
          <w:sz w:val="24"/>
          <w:szCs w:val="28"/>
        </w:rPr>
        <w:t xml:space="preserve"> </w:t>
      </w:r>
      <w:r w:rsidR="00EB1765">
        <w:rPr>
          <w:rFonts w:ascii="Times New Roman" w:hAnsi="Times New Roman" w:cs="Times New Roman"/>
          <w:color w:val="000000" w:themeColor="text1"/>
          <w:sz w:val="24"/>
          <w:szCs w:val="28"/>
        </w:rPr>
        <w:t>Компания увеличивает</w:t>
      </w:r>
      <w:r w:rsidRPr="00810667">
        <w:rPr>
          <w:rFonts w:ascii="Times New Roman" w:hAnsi="Times New Roman" w:cs="Times New Roman"/>
          <w:color w:val="000000" w:themeColor="text1"/>
          <w:sz w:val="24"/>
          <w:szCs w:val="28"/>
        </w:rPr>
        <w:t xml:space="preserve"> эффективность поставок нефти, гибко реагируя на изменения конъюнктуры рынка нефти и нефтепродуктов</w:t>
      </w:r>
      <w:r w:rsidR="00EB1765">
        <w:rPr>
          <w:rFonts w:ascii="Times New Roman" w:hAnsi="Times New Roman" w:cs="Times New Roman"/>
          <w:color w:val="000000" w:themeColor="text1"/>
          <w:sz w:val="24"/>
          <w:szCs w:val="28"/>
        </w:rPr>
        <w:t>. Так</w:t>
      </w:r>
      <w:r w:rsidRPr="00810667">
        <w:rPr>
          <w:rFonts w:ascii="Times New Roman" w:hAnsi="Times New Roman" w:cs="Times New Roman"/>
          <w:color w:val="000000" w:themeColor="text1"/>
          <w:sz w:val="24"/>
          <w:szCs w:val="28"/>
        </w:rPr>
        <w:t>же достижением «НК «Роснефть» в развитии международного газового бизнеса является то, что в феврале 2016 г. она подписала с венесуэльской государственной нефтегазовой компанией PDVSA соглашение об Основных условиях создания совместного предприятия для реализации крупного проекта по добыче, подготовке и монетизации природного газа на базе месторождений Патао, Мехильонес и потенциально — Рио Карибе на шельфе Венесуэлы.</w:t>
      </w:r>
    </w:p>
    <w:p w:rsidR="004D6FB6" w:rsidRPr="004D6FB6" w:rsidRDefault="004D6FB6" w:rsidP="004D6FB6">
      <w:pPr>
        <w:spacing w:after="0" w:line="240" w:lineRule="auto"/>
        <w:ind w:firstLine="709"/>
        <w:jc w:val="both"/>
        <w:rPr>
          <w:rFonts w:ascii="Times New Roman" w:hAnsi="Times New Roman" w:cs="Times New Roman"/>
          <w:sz w:val="24"/>
        </w:rPr>
      </w:pPr>
      <w:r w:rsidRPr="004D6FB6">
        <w:rPr>
          <w:rFonts w:ascii="Times New Roman" w:hAnsi="Times New Roman" w:cs="Times New Roman"/>
          <w:sz w:val="24"/>
        </w:rPr>
        <w:t>Чтобы определить количественную оценку эффективности финансово-хозяйственной деятельности ПАО «НК «Роснефть» необходимо проанализировать показатели, которые характеризуют эффективность использования трудовых, финансовых и минеральных ресурсов(Табл.2).</w:t>
      </w:r>
    </w:p>
    <w:p w:rsidR="00810667" w:rsidRDefault="00810667" w:rsidP="00810667">
      <w:pPr>
        <w:spacing w:after="0" w:line="240" w:lineRule="auto"/>
        <w:ind w:firstLine="709"/>
        <w:jc w:val="both"/>
        <w:rPr>
          <w:rFonts w:ascii="Times New Roman" w:hAnsi="Times New Roman" w:cs="Times New Roman"/>
          <w:sz w:val="24"/>
          <w:szCs w:val="28"/>
        </w:rPr>
      </w:pPr>
    </w:p>
    <w:p w:rsidR="00810667" w:rsidRPr="00810667" w:rsidRDefault="00BD4970" w:rsidP="00810667">
      <w:pPr>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t xml:space="preserve">Таблица 2 – </w:t>
      </w:r>
      <w:r w:rsidR="00810667" w:rsidRPr="00810667">
        <w:rPr>
          <w:rFonts w:ascii="Times New Roman" w:hAnsi="Times New Roman" w:cs="Times New Roman"/>
          <w:sz w:val="24"/>
          <w:szCs w:val="28"/>
        </w:rPr>
        <w:t>Основные</w:t>
      </w:r>
      <w:r>
        <w:rPr>
          <w:rFonts w:ascii="Times New Roman" w:hAnsi="Times New Roman" w:cs="Times New Roman"/>
          <w:sz w:val="24"/>
          <w:szCs w:val="28"/>
        </w:rPr>
        <w:t xml:space="preserve"> </w:t>
      </w:r>
      <w:r w:rsidR="00810667" w:rsidRPr="00810667">
        <w:rPr>
          <w:rFonts w:ascii="Times New Roman" w:hAnsi="Times New Roman" w:cs="Times New Roman"/>
          <w:sz w:val="24"/>
          <w:szCs w:val="28"/>
        </w:rPr>
        <w:t>финансовые показатели ПАО «НК «Роснефть</w:t>
      </w:r>
      <w:r w:rsidR="00810667" w:rsidRPr="00810667">
        <w:rPr>
          <w:rFonts w:ascii="Times New Roman" w:hAnsi="Times New Roman" w:cs="Times New Roman"/>
          <w:sz w:val="24"/>
          <w:szCs w:val="28"/>
        </w:rPr>
        <w:t>» 2020</w:t>
      </w:r>
      <w:r w:rsidR="00810667">
        <w:rPr>
          <w:rFonts w:ascii="Times New Roman" w:hAnsi="Times New Roman" w:cs="Times New Roman"/>
          <w:sz w:val="24"/>
          <w:szCs w:val="28"/>
        </w:rPr>
        <w:t xml:space="preserve"> </w:t>
      </w:r>
      <w:r w:rsidR="00810667" w:rsidRPr="00810667">
        <w:rPr>
          <w:rFonts w:ascii="Times New Roman" w:hAnsi="Times New Roman" w:cs="Times New Roman"/>
          <w:sz w:val="24"/>
          <w:szCs w:val="28"/>
        </w:rPr>
        <w:t>г</w:t>
      </w:r>
      <w:r w:rsidR="00810667">
        <w:rPr>
          <w:rFonts w:ascii="Times New Roman" w:hAnsi="Times New Roman" w:cs="Times New Roman"/>
          <w:sz w:val="24"/>
          <w:szCs w:val="28"/>
        </w:rPr>
        <w:t>.</w:t>
      </w:r>
    </w:p>
    <w:tbl>
      <w:tblPr>
        <w:tblStyle w:val="a7"/>
        <w:tblW w:w="0" w:type="auto"/>
        <w:tblLook w:val="04A0" w:firstRow="1" w:lastRow="0" w:firstColumn="1" w:lastColumn="0" w:noHBand="0" w:noVBand="1"/>
      </w:tblPr>
      <w:tblGrid>
        <w:gridCol w:w="2658"/>
        <w:gridCol w:w="1690"/>
        <w:gridCol w:w="1690"/>
        <w:gridCol w:w="1630"/>
        <w:gridCol w:w="1867"/>
      </w:tblGrid>
      <w:tr w:rsidR="003C1FF3" w:rsidRPr="003C1FF3" w:rsidTr="003C1FF3">
        <w:tc>
          <w:tcPr>
            <w:tcW w:w="2658" w:type="dxa"/>
          </w:tcPr>
          <w:p w:rsidR="003C1FF3" w:rsidRPr="003C1FF3" w:rsidRDefault="003C1FF3" w:rsidP="004F63D1">
            <w:pPr>
              <w:spacing w:line="360" w:lineRule="auto"/>
              <w:jc w:val="center"/>
              <w:rPr>
                <w:rFonts w:ascii="Arial" w:hAnsi="Arial" w:cs="Arial"/>
                <w:b/>
                <w:sz w:val="18"/>
                <w:szCs w:val="18"/>
              </w:rPr>
            </w:pPr>
            <w:r w:rsidRPr="003C1FF3">
              <w:rPr>
                <w:rFonts w:ascii="Arial" w:hAnsi="Arial" w:cs="Arial"/>
                <w:b/>
                <w:sz w:val="18"/>
                <w:szCs w:val="18"/>
              </w:rPr>
              <w:t>Показатель</w:t>
            </w:r>
          </w:p>
        </w:tc>
        <w:tc>
          <w:tcPr>
            <w:tcW w:w="1690" w:type="dxa"/>
          </w:tcPr>
          <w:p w:rsidR="003C1FF3" w:rsidRPr="003C1FF3" w:rsidRDefault="003C1FF3" w:rsidP="004F63D1">
            <w:pPr>
              <w:spacing w:line="360" w:lineRule="auto"/>
              <w:jc w:val="center"/>
              <w:rPr>
                <w:rFonts w:ascii="Arial" w:hAnsi="Arial" w:cs="Arial"/>
                <w:b/>
                <w:sz w:val="18"/>
                <w:szCs w:val="18"/>
              </w:rPr>
            </w:pPr>
            <w:r w:rsidRPr="003C1FF3">
              <w:rPr>
                <w:rFonts w:ascii="Arial" w:hAnsi="Arial" w:cs="Arial"/>
                <w:b/>
                <w:sz w:val="18"/>
                <w:szCs w:val="18"/>
              </w:rPr>
              <w:t>2020</w:t>
            </w:r>
          </w:p>
        </w:tc>
        <w:tc>
          <w:tcPr>
            <w:tcW w:w="1690" w:type="dxa"/>
          </w:tcPr>
          <w:p w:rsidR="003C1FF3" w:rsidRPr="003C1FF3" w:rsidRDefault="003C1FF3" w:rsidP="004F63D1">
            <w:pPr>
              <w:spacing w:line="360" w:lineRule="auto"/>
              <w:jc w:val="center"/>
              <w:rPr>
                <w:rFonts w:ascii="Arial" w:hAnsi="Arial" w:cs="Arial"/>
                <w:b/>
                <w:sz w:val="18"/>
                <w:szCs w:val="18"/>
              </w:rPr>
            </w:pPr>
            <w:r w:rsidRPr="003C1FF3">
              <w:rPr>
                <w:rFonts w:ascii="Arial" w:hAnsi="Arial" w:cs="Arial"/>
                <w:b/>
                <w:sz w:val="18"/>
                <w:szCs w:val="18"/>
              </w:rPr>
              <w:t>2019</w:t>
            </w:r>
          </w:p>
        </w:tc>
        <w:tc>
          <w:tcPr>
            <w:tcW w:w="1630" w:type="dxa"/>
          </w:tcPr>
          <w:p w:rsidR="003C1FF3" w:rsidRPr="003C1FF3" w:rsidRDefault="003C1FF3" w:rsidP="004F63D1">
            <w:pPr>
              <w:spacing w:line="360" w:lineRule="auto"/>
              <w:jc w:val="center"/>
              <w:rPr>
                <w:rFonts w:ascii="Arial" w:hAnsi="Arial" w:cs="Arial"/>
                <w:b/>
                <w:sz w:val="18"/>
                <w:szCs w:val="18"/>
              </w:rPr>
            </w:pPr>
            <w:r w:rsidRPr="003C1FF3">
              <w:rPr>
                <w:rFonts w:ascii="Arial" w:hAnsi="Arial" w:cs="Arial"/>
                <w:b/>
                <w:sz w:val="18"/>
                <w:szCs w:val="18"/>
              </w:rPr>
              <w:t>Δ</w:t>
            </w:r>
          </w:p>
        </w:tc>
        <w:tc>
          <w:tcPr>
            <w:tcW w:w="1867" w:type="dxa"/>
          </w:tcPr>
          <w:p w:rsidR="003C1FF3" w:rsidRPr="003C1FF3" w:rsidRDefault="003C1FF3" w:rsidP="004F63D1">
            <w:pPr>
              <w:spacing w:line="360" w:lineRule="auto"/>
              <w:jc w:val="center"/>
              <w:rPr>
                <w:rFonts w:ascii="Arial" w:hAnsi="Arial" w:cs="Arial"/>
                <w:b/>
                <w:sz w:val="18"/>
                <w:szCs w:val="18"/>
              </w:rPr>
            </w:pPr>
            <w:r w:rsidRPr="003C1FF3">
              <w:rPr>
                <w:rFonts w:ascii="Arial" w:hAnsi="Arial" w:cs="Arial"/>
                <w:b/>
                <w:sz w:val="18"/>
                <w:szCs w:val="18"/>
              </w:rPr>
              <w:t>2018</w:t>
            </w:r>
          </w:p>
        </w:tc>
      </w:tr>
      <w:tr w:rsidR="003C1FF3" w:rsidRPr="003C1FF3" w:rsidTr="003C1FF3">
        <w:trPr>
          <w:trHeight w:val="998"/>
        </w:trPr>
        <w:tc>
          <w:tcPr>
            <w:tcW w:w="2658" w:type="dxa"/>
            <w:vAlign w:val="center"/>
          </w:tcPr>
          <w:p w:rsidR="003C1FF3" w:rsidRPr="00204AEB" w:rsidRDefault="003C1FF3" w:rsidP="003C1FF3">
            <w:pPr>
              <w:jc w:val="center"/>
              <w:rPr>
                <w:rFonts w:ascii="Arial" w:hAnsi="Arial" w:cs="Arial"/>
                <w:color w:val="000000" w:themeColor="text1"/>
                <w:sz w:val="18"/>
                <w:szCs w:val="18"/>
              </w:rPr>
            </w:pPr>
            <w:r w:rsidRPr="00204AEB">
              <w:rPr>
                <w:rFonts w:ascii="Arial" w:hAnsi="Arial" w:cs="Arial"/>
                <w:color w:val="000000" w:themeColor="text1"/>
                <w:sz w:val="18"/>
                <w:szCs w:val="18"/>
              </w:rPr>
              <w:t>Выручка от реализации и доход от ассоциированных организаций и совместных предприятий, млрд руб.</w:t>
            </w:r>
          </w:p>
        </w:tc>
        <w:tc>
          <w:tcPr>
            <w:tcW w:w="1690"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5757</w:t>
            </w:r>
          </w:p>
        </w:tc>
        <w:tc>
          <w:tcPr>
            <w:tcW w:w="1690"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8676</w:t>
            </w:r>
          </w:p>
        </w:tc>
        <w:tc>
          <w:tcPr>
            <w:tcW w:w="1630"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-34%</w:t>
            </w:r>
          </w:p>
        </w:tc>
        <w:tc>
          <w:tcPr>
            <w:tcW w:w="1867"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8238</w:t>
            </w:r>
          </w:p>
        </w:tc>
      </w:tr>
      <w:tr w:rsidR="003C1FF3" w:rsidRPr="003C1FF3" w:rsidTr="003C1FF3">
        <w:tc>
          <w:tcPr>
            <w:tcW w:w="2658" w:type="dxa"/>
            <w:vAlign w:val="center"/>
          </w:tcPr>
          <w:p w:rsidR="003C1FF3" w:rsidRPr="00204AEB" w:rsidRDefault="003C1FF3" w:rsidP="003C1FF3">
            <w:pPr>
              <w:jc w:val="center"/>
              <w:rPr>
                <w:rFonts w:ascii="Arial" w:hAnsi="Arial" w:cs="Arial"/>
                <w:color w:val="000000" w:themeColor="text1"/>
                <w:sz w:val="18"/>
                <w:szCs w:val="18"/>
              </w:rPr>
            </w:pPr>
            <w:r w:rsidRPr="00204AEB">
              <w:rPr>
                <w:rFonts w:ascii="Arial" w:hAnsi="Arial" w:cs="Arial"/>
                <w:color w:val="000000" w:themeColor="text1"/>
                <w:sz w:val="18"/>
                <w:szCs w:val="18"/>
              </w:rPr>
              <w:t>EBITDA1 , млрд руб.</w:t>
            </w:r>
          </w:p>
        </w:tc>
        <w:tc>
          <w:tcPr>
            <w:tcW w:w="1690"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1209</w:t>
            </w:r>
          </w:p>
        </w:tc>
        <w:tc>
          <w:tcPr>
            <w:tcW w:w="1690"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2105</w:t>
            </w:r>
          </w:p>
        </w:tc>
        <w:tc>
          <w:tcPr>
            <w:tcW w:w="1630"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-43%</w:t>
            </w:r>
          </w:p>
        </w:tc>
        <w:tc>
          <w:tcPr>
            <w:tcW w:w="1867"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2081</w:t>
            </w:r>
          </w:p>
        </w:tc>
      </w:tr>
      <w:tr w:rsidR="003C1FF3" w:rsidRPr="003C1FF3" w:rsidTr="003C1FF3">
        <w:tc>
          <w:tcPr>
            <w:tcW w:w="2658" w:type="dxa"/>
            <w:vAlign w:val="center"/>
          </w:tcPr>
          <w:p w:rsidR="003C1FF3" w:rsidRPr="00204AEB" w:rsidRDefault="003C1FF3" w:rsidP="003C1FF3">
            <w:pPr>
              <w:jc w:val="center"/>
              <w:rPr>
                <w:rFonts w:ascii="Arial" w:hAnsi="Arial" w:cs="Arial"/>
                <w:color w:val="000000" w:themeColor="text1"/>
                <w:sz w:val="18"/>
                <w:szCs w:val="18"/>
              </w:rPr>
            </w:pPr>
            <w:r w:rsidRPr="00204AEB">
              <w:rPr>
                <w:rFonts w:ascii="Arial" w:hAnsi="Arial" w:cs="Arial"/>
                <w:color w:val="000000" w:themeColor="text1"/>
                <w:sz w:val="18"/>
                <w:szCs w:val="18"/>
              </w:rPr>
              <w:t>Маржа EBITDA2</w:t>
            </w:r>
          </w:p>
        </w:tc>
        <w:tc>
          <w:tcPr>
            <w:tcW w:w="1690"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20,4%</w:t>
            </w:r>
          </w:p>
        </w:tc>
        <w:tc>
          <w:tcPr>
            <w:tcW w:w="1690"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24,0%</w:t>
            </w:r>
          </w:p>
        </w:tc>
        <w:tc>
          <w:tcPr>
            <w:tcW w:w="1630"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-3,6 п.п.</w:t>
            </w:r>
          </w:p>
        </w:tc>
        <w:tc>
          <w:tcPr>
            <w:tcW w:w="1867"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24,8%</w:t>
            </w:r>
          </w:p>
        </w:tc>
      </w:tr>
      <w:tr w:rsidR="003C1FF3" w:rsidRPr="003C1FF3" w:rsidTr="003C1FF3">
        <w:trPr>
          <w:trHeight w:val="483"/>
        </w:trPr>
        <w:tc>
          <w:tcPr>
            <w:tcW w:w="2658" w:type="dxa"/>
            <w:vAlign w:val="center"/>
          </w:tcPr>
          <w:p w:rsidR="003C1FF3" w:rsidRPr="00204AEB" w:rsidRDefault="003C1FF3" w:rsidP="003C1FF3">
            <w:pPr>
              <w:jc w:val="center"/>
              <w:rPr>
                <w:rFonts w:ascii="Arial" w:hAnsi="Arial" w:cs="Arial"/>
                <w:color w:val="000000" w:themeColor="text1"/>
                <w:sz w:val="18"/>
                <w:szCs w:val="18"/>
              </w:rPr>
            </w:pPr>
            <w:r w:rsidRPr="00204AEB">
              <w:rPr>
                <w:rFonts w:ascii="Arial" w:hAnsi="Arial" w:cs="Arial"/>
                <w:color w:val="000000" w:themeColor="text1"/>
                <w:sz w:val="18"/>
                <w:szCs w:val="18"/>
              </w:rPr>
              <w:t>Налоги и таможенные пошлины, трлн руб.</w:t>
            </w:r>
          </w:p>
        </w:tc>
        <w:tc>
          <w:tcPr>
            <w:tcW w:w="1690"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2,4</w:t>
            </w:r>
          </w:p>
        </w:tc>
        <w:tc>
          <w:tcPr>
            <w:tcW w:w="1690"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3,7</w:t>
            </w:r>
          </w:p>
        </w:tc>
        <w:tc>
          <w:tcPr>
            <w:tcW w:w="1630"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-34%</w:t>
            </w:r>
          </w:p>
        </w:tc>
        <w:tc>
          <w:tcPr>
            <w:tcW w:w="1867"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4,0</w:t>
            </w:r>
          </w:p>
        </w:tc>
      </w:tr>
      <w:tr w:rsidR="003C1FF3" w:rsidRPr="003C1FF3" w:rsidTr="003C1FF3">
        <w:tc>
          <w:tcPr>
            <w:tcW w:w="2658" w:type="dxa"/>
            <w:vAlign w:val="center"/>
          </w:tcPr>
          <w:p w:rsidR="003C1FF3" w:rsidRPr="00204AEB" w:rsidRDefault="003C1FF3" w:rsidP="003C1FF3">
            <w:pPr>
              <w:jc w:val="center"/>
              <w:rPr>
                <w:rFonts w:ascii="Arial" w:hAnsi="Arial" w:cs="Arial"/>
                <w:color w:val="000000" w:themeColor="text1"/>
                <w:sz w:val="18"/>
                <w:szCs w:val="18"/>
              </w:rPr>
            </w:pPr>
            <w:r w:rsidRPr="00204AEB">
              <w:rPr>
                <w:rFonts w:ascii="Arial" w:hAnsi="Arial" w:cs="Arial"/>
                <w:color w:val="000000" w:themeColor="text1"/>
                <w:sz w:val="18"/>
                <w:szCs w:val="18"/>
              </w:rPr>
              <w:t>Чистая прибыль, млрд руб.</w:t>
            </w:r>
          </w:p>
        </w:tc>
        <w:tc>
          <w:tcPr>
            <w:tcW w:w="1690"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181</w:t>
            </w:r>
          </w:p>
        </w:tc>
        <w:tc>
          <w:tcPr>
            <w:tcW w:w="1690"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802</w:t>
            </w:r>
          </w:p>
        </w:tc>
        <w:tc>
          <w:tcPr>
            <w:tcW w:w="1630"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-77%</w:t>
            </w:r>
          </w:p>
        </w:tc>
        <w:tc>
          <w:tcPr>
            <w:tcW w:w="1867"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649</w:t>
            </w:r>
          </w:p>
        </w:tc>
      </w:tr>
      <w:tr w:rsidR="003C1FF3" w:rsidRPr="003C1FF3" w:rsidTr="003C1FF3">
        <w:tc>
          <w:tcPr>
            <w:tcW w:w="2658" w:type="dxa"/>
            <w:vAlign w:val="center"/>
          </w:tcPr>
          <w:p w:rsidR="003C1FF3" w:rsidRPr="00204AEB" w:rsidRDefault="003C1FF3" w:rsidP="003C1FF3">
            <w:pPr>
              <w:jc w:val="center"/>
              <w:rPr>
                <w:rFonts w:ascii="Arial" w:hAnsi="Arial" w:cs="Arial"/>
                <w:color w:val="000000" w:themeColor="text1"/>
                <w:sz w:val="18"/>
                <w:szCs w:val="18"/>
              </w:rPr>
            </w:pPr>
            <w:r w:rsidRPr="00204AEB">
              <w:rPr>
                <w:rFonts w:ascii="Arial" w:hAnsi="Arial" w:cs="Arial"/>
                <w:color w:val="000000" w:themeColor="text1"/>
                <w:sz w:val="18"/>
                <w:szCs w:val="18"/>
              </w:rPr>
              <w:t>Маржа чистой прибыли</w:t>
            </w:r>
          </w:p>
        </w:tc>
        <w:tc>
          <w:tcPr>
            <w:tcW w:w="1690"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3,1%</w:t>
            </w:r>
          </w:p>
        </w:tc>
        <w:tc>
          <w:tcPr>
            <w:tcW w:w="1690"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9,2%</w:t>
            </w:r>
          </w:p>
        </w:tc>
        <w:tc>
          <w:tcPr>
            <w:tcW w:w="1630"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-6,1 п.п.</w:t>
            </w:r>
          </w:p>
        </w:tc>
        <w:tc>
          <w:tcPr>
            <w:tcW w:w="1867"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7,9%</w:t>
            </w:r>
          </w:p>
        </w:tc>
      </w:tr>
      <w:tr w:rsidR="003C1FF3" w:rsidRPr="003C1FF3" w:rsidTr="003C1FF3">
        <w:tc>
          <w:tcPr>
            <w:tcW w:w="2658" w:type="dxa"/>
            <w:vAlign w:val="center"/>
          </w:tcPr>
          <w:p w:rsidR="003C1FF3" w:rsidRPr="00204AEB" w:rsidRDefault="003C1FF3" w:rsidP="003C1FF3">
            <w:pPr>
              <w:jc w:val="center"/>
              <w:rPr>
                <w:rFonts w:ascii="Arial" w:hAnsi="Arial" w:cs="Arial"/>
                <w:color w:val="000000" w:themeColor="text1"/>
                <w:sz w:val="18"/>
                <w:szCs w:val="18"/>
              </w:rPr>
            </w:pPr>
            <w:r w:rsidRPr="00204AEB">
              <w:rPr>
                <w:rFonts w:ascii="Arial" w:hAnsi="Arial" w:cs="Arial"/>
                <w:color w:val="000000" w:themeColor="text1"/>
                <w:sz w:val="18"/>
                <w:szCs w:val="18"/>
              </w:rPr>
              <w:t>ROACE</w:t>
            </w:r>
          </w:p>
        </w:tc>
        <w:tc>
          <w:tcPr>
            <w:tcW w:w="1690"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6,9%</w:t>
            </w:r>
          </w:p>
        </w:tc>
        <w:tc>
          <w:tcPr>
            <w:tcW w:w="1690"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15,7%</w:t>
            </w:r>
          </w:p>
        </w:tc>
        <w:tc>
          <w:tcPr>
            <w:tcW w:w="1630"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-8,8 п.п.</w:t>
            </w:r>
          </w:p>
        </w:tc>
        <w:tc>
          <w:tcPr>
            <w:tcW w:w="1867"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17,4%</w:t>
            </w:r>
          </w:p>
        </w:tc>
      </w:tr>
      <w:tr w:rsidR="003C1FF3" w:rsidRPr="003C1FF3" w:rsidTr="003C1FF3">
        <w:tc>
          <w:tcPr>
            <w:tcW w:w="2658" w:type="dxa"/>
            <w:vAlign w:val="center"/>
          </w:tcPr>
          <w:p w:rsidR="003C1FF3" w:rsidRPr="00204AEB" w:rsidRDefault="003C1FF3" w:rsidP="003C1FF3">
            <w:pPr>
              <w:jc w:val="center"/>
              <w:rPr>
                <w:rFonts w:ascii="Arial" w:hAnsi="Arial" w:cs="Arial"/>
                <w:color w:val="000000" w:themeColor="text1"/>
                <w:sz w:val="18"/>
                <w:szCs w:val="18"/>
              </w:rPr>
            </w:pPr>
            <w:r w:rsidRPr="00204AEB">
              <w:rPr>
                <w:rFonts w:ascii="Arial" w:hAnsi="Arial" w:cs="Arial"/>
                <w:color w:val="000000" w:themeColor="text1"/>
                <w:sz w:val="18"/>
                <w:szCs w:val="18"/>
              </w:rPr>
              <w:t>ROAE</w:t>
            </w:r>
          </w:p>
        </w:tc>
        <w:tc>
          <w:tcPr>
            <w:tcW w:w="1690"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3,0%</w:t>
            </w:r>
          </w:p>
        </w:tc>
        <w:tc>
          <w:tcPr>
            <w:tcW w:w="1690"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14,3%</w:t>
            </w:r>
          </w:p>
        </w:tc>
        <w:tc>
          <w:tcPr>
            <w:tcW w:w="1630"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-11,3 п.п.</w:t>
            </w:r>
          </w:p>
        </w:tc>
        <w:tc>
          <w:tcPr>
            <w:tcW w:w="1867"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12,3%</w:t>
            </w:r>
          </w:p>
        </w:tc>
      </w:tr>
      <w:tr w:rsidR="003C1FF3" w:rsidRPr="003C1FF3" w:rsidTr="003C1FF3">
        <w:trPr>
          <w:trHeight w:val="505"/>
        </w:trPr>
        <w:tc>
          <w:tcPr>
            <w:tcW w:w="2658" w:type="dxa"/>
            <w:vAlign w:val="center"/>
          </w:tcPr>
          <w:p w:rsidR="003C1FF3" w:rsidRPr="00204AEB" w:rsidRDefault="003C1FF3" w:rsidP="003C1FF3">
            <w:pPr>
              <w:jc w:val="center"/>
              <w:rPr>
                <w:rFonts w:ascii="Arial" w:hAnsi="Arial" w:cs="Arial"/>
                <w:color w:val="000000" w:themeColor="text1"/>
                <w:sz w:val="18"/>
                <w:szCs w:val="18"/>
              </w:rPr>
            </w:pPr>
            <w:r w:rsidRPr="00204AEB">
              <w:rPr>
                <w:rFonts w:ascii="Arial" w:hAnsi="Arial" w:cs="Arial"/>
                <w:color w:val="000000" w:themeColor="text1"/>
                <w:sz w:val="18"/>
                <w:szCs w:val="18"/>
              </w:rPr>
              <w:t>Капитальные затраты, млрд руб.</w:t>
            </w:r>
          </w:p>
        </w:tc>
        <w:tc>
          <w:tcPr>
            <w:tcW w:w="1690"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785,0</w:t>
            </w:r>
          </w:p>
        </w:tc>
        <w:tc>
          <w:tcPr>
            <w:tcW w:w="1690"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854,0</w:t>
            </w:r>
          </w:p>
        </w:tc>
        <w:tc>
          <w:tcPr>
            <w:tcW w:w="1630"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-8%</w:t>
            </w:r>
          </w:p>
        </w:tc>
        <w:tc>
          <w:tcPr>
            <w:tcW w:w="1867" w:type="dxa"/>
            <w:vAlign w:val="center"/>
          </w:tcPr>
          <w:p w:rsidR="003C1FF3" w:rsidRPr="00204AEB" w:rsidRDefault="003C1FF3" w:rsidP="003C1FF3">
            <w:pPr>
              <w:spacing w:line="360" w:lineRule="auto"/>
              <w:jc w:val="center"/>
              <w:rPr>
                <w:rFonts w:ascii="Arial" w:hAnsi="Arial" w:cs="Arial"/>
                <w:color w:val="000000" w:themeColor="text1"/>
                <w:sz w:val="18"/>
                <w:szCs w:val="18"/>
              </w:rPr>
            </w:pPr>
            <w:r w:rsidRPr="00204AEB">
              <w:rPr>
                <w:rFonts w:ascii="Arial" w:hAnsi="Arial" w:cs="Arial"/>
                <w:color w:val="000000" w:themeColor="text1"/>
                <w:sz w:val="18"/>
                <w:szCs w:val="18"/>
              </w:rPr>
              <w:t>936,0</w:t>
            </w:r>
          </w:p>
        </w:tc>
      </w:tr>
    </w:tbl>
    <w:p w:rsidR="00810667" w:rsidRPr="008C1045" w:rsidRDefault="008C1045" w:rsidP="008C1045">
      <w:pPr>
        <w:pStyle w:val="a6"/>
        <w:spacing w:after="0" w:line="240" w:lineRule="auto"/>
        <w:ind w:left="0"/>
        <w:jc w:val="both"/>
        <w:rPr>
          <w:rFonts w:ascii="Times New Roman" w:hAnsi="Times New Roman" w:cs="Times New Roman"/>
          <w:sz w:val="24"/>
          <w:szCs w:val="24"/>
        </w:rPr>
      </w:pPr>
      <w:r w:rsidRPr="008A4ED6">
        <w:rPr>
          <w:rFonts w:ascii="Times New Roman" w:hAnsi="Times New Roman" w:cs="Times New Roman"/>
          <w:sz w:val="24"/>
          <w:szCs w:val="24"/>
        </w:rPr>
        <w:t xml:space="preserve">Годовой отчёт ПАО «НК «Роснефть» 2020 [Электронный ресурс]. – Режим доступа: </w:t>
      </w:r>
      <w:hyperlink r:id="rId9" w:history="1">
        <w:r w:rsidRPr="008A4ED6">
          <w:rPr>
            <w:rStyle w:val="aa"/>
            <w:rFonts w:ascii="Times New Roman" w:hAnsi="Times New Roman" w:cs="Times New Roman"/>
            <w:sz w:val="24"/>
            <w:szCs w:val="24"/>
          </w:rPr>
          <w:t>https://www.rosneft.ru/upload/site1/document_file/a_report_2020.pdf</w:t>
        </w:r>
      </w:hyperlink>
    </w:p>
    <w:p w:rsidR="003C1FF3" w:rsidRPr="00963B20" w:rsidRDefault="003C1FF3" w:rsidP="00963B20">
      <w:pPr>
        <w:spacing w:after="0" w:line="240" w:lineRule="auto"/>
        <w:ind w:firstLine="709"/>
        <w:jc w:val="both"/>
        <w:rPr>
          <w:rFonts w:ascii="Times New Roman" w:hAnsi="Times New Roman" w:cs="Times New Roman"/>
          <w:sz w:val="20"/>
          <w:szCs w:val="24"/>
        </w:rPr>
      </w:pPr>
    </w:p>
    <w:p w:rsidR="00963B20" w:rsidRPr="00963B20" w:rsidRDefault="00963B20" w:rsidP="001350BC">
      <w:pPr>
        <w:spacing w:after="0" w:line="240" w:lineRule="auto"/>
        <w:ind w:firstLine="709"/>
        <w:jc w:val="both"/>
        <w:rPr>
          <w:rFonts w:ascii="Times New Roman" w:hAnsi="Times New Roman" w:cs="Times New Roman"/>
          <w:color w:val="000000" w:themeColor="text1"/>
          <w:sz w:val="24"/>
          <w:szCs w:val="28"/>
        </w:rPr>
      </w:pPr>
      <w:r w:rsidRPr="00963B20">
        <w:rPr>
          <w:rFonts w:ascii="Times New Roman" w:hAnsi="Times New Roman" w:cs="Times New Roman"/>
          <w:color w:val="000000" w:themeColor="text1"/>
          <w:sz w:val="24"/>
          <w:szCs w:val="28"/>
        </w:rPr>
        <w:t xml:space="preserve">Проведя анализ и ключевых финансовых показателей хозяйственной деятельности данного предприятия, можно заметить, что </w:t>
      </w:r>
      <w:r w:rsidR="001350BC">
        <w:rPr>
          <w:rFonts w:ascii="Times New Roman" w:hAnsi="Times New Roman" w:cs="Times New Roman"/>
          <w:color w:val="000000" w:themeColor="text1"/>
          <w:sz w:val="24"/>
          <w:szCs w:val="28"/>
        </w:rPr>
        <w:t>с</w:t>
      </w:r>
      <w:r w:rsidRPr="00963B20">
        <w:rPr>
          <w:rFonts w:ascii="Times New Roman" w:hAnsi="Times New Roman" w:cs="Times New Roman"/>
          <w:color w:val="000000" w:themeColor="text1"/>
          <w:sz w:val="24"/>
          <w:szCs w:val="28"/>
        </w:rPr>
        <w:t xml:space="preserve">нижение показателя EBITDA в годовом выражении, помимо снижения выручки, обусловлено отрицательным влиянием демпфера в составе обратного акциза, что было частично скомпенсировано снижением общехозяйственных и административных расходов на 9,3 %. </w:t>
      </w:r>
    </w:p>
    <w:p w:rsidR="003C1FF3" w:rsidRDefault="00DC1555" w:rsidP="00DC1555">
      <w:pPr>
        <w:spacing w:after="0" w:line="240" w:lineRule="auto"/>
        <w:ind w:firstLine="709"/>
        <w:jc w:val="both"/>
        <w:rPr>
          <w:rFonts w:ascii="Times New Roman" w:hAnsi="Times New Roman" w:cs="Times New Roman"/>
          <w:color w:val="000000" w:themeColor="text1"/>
          <w:sz w:val="24"/>
          <w:szCs w:val="24"/>
        </w:rPr>
      </w:pPr>
      <w:r w:rsidRPr="00DC1555">
        <w:rPr>
          <w:rFonts w:ascii="Times New Roman" w:hAnsi="Times New Roman" w:cs="Times New Roman"/>
          <w:sz w:val="24"/>
          <w:szCs w:val="24"/>
        </w:rPr>
        <w:t xml:space="preserve">Что касается выручки, то по результатам 2020 года она снизилась к уровню предыдущего года на 33,6% - до 5,7 млрд. руб., </w:t>
      </w:r>
      <w:r w:rsidR="00963B20" w:rsidRPr="00DC1555">
        <w:rPr>
          <w:rFonts w:ascii="Times New Roman" w:hAnsi="Times New Roman" w:cs="Times New Roman"/>
          <w:color w:val="000000" w:themeColor="text1"/>
          <w:sz w:val="24"/>
          <w:szCs w:val="24"/>
        </w:rPr>
        <w:t>под влиянием падения мировых цен на нефть и сокращения объемов добычи и реализации нефти, связанного с ограничениями в рамках Соглашения ОПЕК+, а также со снижением спроса на мировом рынке из-за пандемии COVID-19</w:t>
      </w:r>
      <w:r w:rsidR="00963B20" w:rsidRPr="00DC1555">
        <w:rPr>
          <w:rFonts w:ascii="Times New Roman" w:hAnsi="Times New Roman" w:cs="Times New Roman"/>
          <w:color w:val="000000" w:themeColor="text1"/>
          <w:sz w:val="24"/>
          <w:szCs w:val="24"/>
        </w:rPr>
        <w:t>.</w:t>
      </w:r>
    </w:p>
    <w:p w:rsidR="009F7B14" w:rsidRPr="009F7B14" w:rsidRDefault="009F7B14" w:rsidP="009F7B14">
      <w:pPr>
        <w:spacing w:after="0" w:line="240" w:lineRule="auto"/>
        <w:ind w:firstLine="709"/>
        <w:jc w:val="both"/>
        <w:rPr>
          <w:rFonts w:ascii="Times New Roman" w:hAnsi="Times New Roman" w:cs="Times New Roman"/>
          <w:color w:val="000000" w:themeColor="text1"/>
          <w:sz w:val="24"/>
        </w:rPr>
      </w:pPr>
      <w:r w:rsidRPr="009F7B14">
        <w:rPr>
          <w:rFonts w:ascii="Times New Roman" w:hAnsi="Times New Roman" w:cs="Times New Roman"/>
          <w:color w:val="000000" w:themeColor="text1"/>
          <w:sz w:val="24"/>
        </w:rPr>
        <w:t>«Роснефть» осуществляет политику, которая направлена на сбалансирование каналов сбыта нефти, в том числе переработки на личных мощностях в России, Индии, Германии, реализации на экспорт по долгосрочным контрактам и на основе спот-продаж на тендерах, а также реализации на отечественном рынке(Рис.2).</w:t>
      </w:r>
    </w:p>
    <w:p w:rsidR="003C1FF3" w:rsidRPr="00C4334C" w:rsidRDefault="00963B20" w:rsidP="00C4334C">
      <w:pPr>
        <w:spacing w:after="0" w:line="240" w:lineRule="auto"/>
        <w:jc w:val="center"/>
        <w:rPr>
          <w:rFonts w:ascii="Times New Roman" w:hAnsi="Times New Roman" w:cs="Times New Roman"/>
          <w:color w:val="000000" w:themeColor="text1"/>
          <w:szCs w:val="28"/>
        </w:rPr>
      </w:pPr>
      <w:r>
        <w:rPr>
          <w:noProof/>
          <w:lang w:eastAsia="ru-RU"/>
        </w:rPr>
        <w:lastRenderedPageBreak/>
        <w:drawing>
          <wp:anchor distT="0" distB="0" distL="114300" distR="114300" simplePos="0" relativeHeight="251660288" behindDoc="0" locked="0" layoutInCell="1" allowOverlap="1">
            <wp:simplePos x="0" y="0"/>
            <wp:positionH relativeFrom="margin">
              <wp:posOffset>27305</wp:posOffset>
            </wp:positionH>
            <wp:positionV relativeFrom="paragraph">
              <wp:posOffset>3175</wp:posOffset>
            </wp:positionV>
            <wp:extent cx="6054090" cy="2189480"/>
            <wp:effectExtent l="0" t="0" r="3810" b="1270"/>
            <wp:wrapTopAndBottom/>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76191A">
        <w:rPr>
          <w:rFonts w:ascii="Times New Roman" w:hAnsi="Times New Roman" w:cs="Times New Roman"/>
          <w:sz w:val="24"/>
        </w:rPr>
        <w:t xml:space="preserve">Рис.2 – </w:t>
      </w:r>
      <w:r w:rsidRPr="005A4E28">
        <w:rPr>
          <w:rFonts w:ascii="Times New Roman" w:hAnsi="Times New Roman" w:cs="Times New Roman"/>
          <w:sz w:val="24"/>
        </w:rPr>
        <w:t>Каналы реализации нефти за рубежом 2020г.,</w:t>
      </w:r>
      <w:r w:rsidR="003950EF">
        <w:rPr>
          <w:rFonts w:ascii="Times New Roman" w:hAnsi="Times New Roman" w:cs="Times New Roman"/>
          <w:sz w:val="24"/>
        </w:rPr>
        <w:t xml:space="preserve"> </w:t>
      </w:r>
      <w:r w:rsidRPr="005A4E28">
        <w:rPr>
          <w:rFonts w:ascii="Times New Roman" w:hAnsi="Times New Roman" w:cs="Times New Roman"/>
          <w:sz w:val="24"/>
        </w:rPr>
        <w:t>%</w:t>
      </w:r>
    </w:p>
    <w:p w:rsidR="008C1045" w:rsidRPr="008A4ED6" w:rsidRDefault="008C1045" w:rsidP="008C1045">
      <w:pPr>
        <w:pStyle w:val="a6"/>
        <w:spacing w:after="0" w:line="240" w:lineRule="auto"/>
        <w:ind w:left="0"/>
        <w:jc w:val="both"/>
        <w:rPr>
          <w:rFonts w:ascii="Times New Roman" w:hAnsi="Times New Roman" w:cs="Times New Roman"/>
          <w:sz w:val="24"/>
          <w:szCs w:val="24"/>
        </w:rPr>
      </w:pPr>
      <w:r w:rsidRPr="008A4ED6">
        <w:rPr>
          <w:rFonts w:ascii="Times New Roman" w:hAnsi="Times New Roman" w:cs="Times New Roman"/>
          <w:sz w:val="24"/>
          <w:szCs w:val="24"/>
        </w:rPr>
        <w:t xml:space="preserve">Годовой отчёт ПАО «НК «Роснефть» 2020 [Электронный ресурс]. – Режим доступа: </w:t>
      </w:r>
      <w:hyperlink r:id="rId11" w:history="1">
        <w:r w:rsidRPr="008A4ED6">
          <w:rPr>
            <w:rStyle w:val="aa"/>
            <w:rFonts w:ascii="Times New Roman" w:hAnsi="Times New Roman" w:cs="Times New Roman"/>
            <w:sz w:val="24"/>
            <w:szCs w:val="24"/>
          </w:rPr>
          <w:t>https://www.rosneft.ru/upload/site1/document_file/a_report_2020.pdf</w:t>
        </w:r>
      </w:hyperlink>
    </w:p>
    <w:p w:rsidR="008C1045" w:rsidRPr="005A4E28" w:rsidRDefault="008C1045" w:rsidP="008C1045">
      <w:pPr>
        <w:spacing w:after="0" w:line="240" w:lineRule="auto"/>
        <w:jc w:val="center"/>
        <w:rPr>
          <w:rFonts w:ascii="Times New Roman" w:hAnsi="Times New Roman" w:cs="Times New Roman"/>
          <w:sz w:val="24"/>
        </w:rPr>
      </w:pPr>
    </w:p>
    <w:p w:rsidR="00EB1765" w:rsidRPr="00EB1765" w:rsidRDefault="00EB1765" w:rsidP="00EB1765">
      <w:pPr>
        <w:spacing w:after="0" w:line="240" w:lineRule="auto"/>
        <w:ind w:firstLine="709"/>
        <w:jc w:val="both"/>
        <w:rPr>
          <w:rFonts w:ascii="Times New Roman" w:hAnsi="Times New Roman" w:cs="Times New Roman"/>
          <w:sz w:val="24"/>
          <w:szCs w:val="24"/>
        </w:rPr>
      </w:pPr>
      <w:r w:rsidRPr="00EB1765">
        <w:rPr>
          <w:rFonts w:ascii="Times New Roman" w:hAnsi="Times New Roman" w:cs="Times New Roman"/>
          <w:sz w:val="24"/>
          <w:szCs w:val="24"/>
        </w:rPr>
        <w:t>В результате проведённого анализа внешнеэкономической деятельности данной компании можно сделать вывод, что на предприятии экспортная деятельность осуществляется на мировом уровне, что подтверждается разнообразием контрагентов – импортёров нефти и нефтепродуктов.</w:t>
      </w:r>
    </w:p>
    <w:p w:rsidR="00FA5C8E" w:rsidRPr="00FA5C8E" w:rsidRDefault="00FA5C8E" w:rsidP="004D6FB6">
      <w:pPr>
        <w:spacing w:after="0" w:line="240" w:lineRule="auto"/>
        <w:ind w:firstLine="709"/>
        <w:jc w:val="both"/>
        <w:rPr>
          <w:rFonts w:ascii="Times New Roman" w:hAnsi="Times New Roman" w:cs="Times New Roman"/>
          <w:sz w:val="24"/>
          <w:szCs w:val="24"/>
        </w:rPr>
      </w:pPr>
      <w:r w:rsidRPr="00FA5C8E">
        <w:rPr>
          <w:rFonts w:ascii="Times New Roman" w:hAnsi="Times New Roman" w:cs="Times New Roman"/>
          <w:sz w:val="24"/>
          <w:szCs w:val="24"/>
        </w:rPr>
        <w:t xml:space="preserve">Также в компании реализуется на высоком уровне программа </w:t>
      </w:r>
      <w:r w:rsidRPr="00FA5C8E">
        <w:rPr>
          <w:rFonts w:ascii="Times New Roman" w:hAnsi="Times New Roman" w:cs="Times New Roman"/>
          <w:noProof/>
          <w:sz w:val="24"/>
          <w:szCs w:val="24"/>
        </w:rPr>
        <w:t>импортозамещения.</w:t>
      </w:r>
      <w:r w:rsidRPr="00FA5C8E">
        <w:rPr>
          <w:rFonts w:ascii="Times New Roman" w:hAnsi="Times New Roman" w:cs="Times New Roman"/>
          <w:sz w:val="24"/>
          <w:szCs w:val="24"/>
        </w:rPr>
        <w:t xml:space="preserve"> Уже начаты работы с отечественными и иностранными партнёрами на предмет локализации инновационных зарубежных технологий на территории России. Предприятие нацелено обеспечить к 2025 году 70%-ю локализацию по всем своим проектам.</w:t>
      </w:r>
    </w:p>
    <w:p w:rsidR="00833569" w:rsidRDefault="00833569" w:rsidP="002B021A">
      <w:pPr>
        <w:spacing w:after="0" w:line="240" w:lineRule="auto"/>
        <w:ind w:firstLine="709"/>
        <w:jc w:val="both"/>
        <w:rPr>
          <w:rFonts w:ascii="Times New Roman" w:hAnsi="Times New Roman" w:cs="Times New Roman"/>
          <w:color w:val="000000" w:themeColor="text1"/>
          <w:sz w:val="24"/>
          <w:szCs w:val="28"/>
          <w:shd w:val="clear" w:color="auto" w:fill="FFFFFF"/>
        </w:rPr>
      </w:pPr>
    </w:p>
    <w:p w:rsidR="00833569" w:rsidRDefault="00833569" w:rsidP="00833569">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Список литературы на русском языке</w:t>
      </w:r>
    </w:p>
    <w:p w:rsidR="008A4ED6" w:rsidRPr="008A4ED6" w:rsidRDefault="008A4ED6" w:rsidP="00923B94">
      <w:pPr>
        <w:pStyle w:val="a6"/>
        <w:spacing w:after="0" w:line="240" w:lineRule="auto"/>
        <w:ind w:left="0" w:firstLine="709"/>
        <w:jc w:val="both"/>
        <w:rPr>
          <w:rFonts w:ascii="Times New Roman" w:hAnsi="Times New Roman" w:cs="Times New Roman"/>
          <w:sz w:val="24"/>
          <w:szCs w:val="24"/>
        </w:rPr>
      </w:pPr>
      <w:bookmarkStart w:id="0" w:name="_Ref71607582"/>
      <w:r w:rsidRPr="008A4ED6">
        <w:rPr>
          <w:rFonts w:ascii="Times New Roman" w:hAnsi="Times New Roman" w:cs="Times New Roman"/>
          <w:sz w:val="24"/>
          <w:szCs w:val="24"/>
        </w:rPr>
        <w:t xml:space="preserve">Стратегия развития ПАО «НК «Роснефть» на международных рынках [Электронный ресурс]. – Режим доступа: </w:t>
      </w:r>
      <w:hyperlink r:id="rId12" w:history="1">
        <w:r w:rsidRPr="008A4ED6">
          <w:rPr>
            <w:rStyle w:val="aa"/>
            <w:rFonts w:ascii="Times New Roman" w:hAnsi="Times New Roman" w:cs="Times New Roman"/>
            <w:sz w:val="24"/>
            <w:szCs w:val="24"/>
          </w:rPr>
          <w:t>file:///C:/Users/Dmitriy/Downloads/strategiya-razvitiya-pao-nk-rosneft-na-mezhdunarodnyh-rynkah%20(1).pdf</w:t>
        </w:r>
      </w:hyperlink>
      <w:bookmarkEnd w:id="0"/>
    </w:p>
    <w:p w:rsidR="008A4ED6" w:rsidRPr="008A4ED6" w:rsidRDefault="008A4ED6" w:rsidP="00923B94">
      <w:pPr>
        <w:pStyle w:val="a6"/>
        <w:spacing w:after="0" w:line="240" w:lineRule="auto"/>
        <w:ind w:left="0" w:firstLine="709"/>
        <w:jc w:val="both"/>
        <w:rPr>
          <w:rFonts w:ascii="Times New Roman" w:hAnsi="Times New Roman" w:cs="Times New Roman"/>
          <w:sz w:val="24"/>
          <w:szCs w:val="24"/>
        </w:rPr>
      </w:pPr>
      <w:bookmarkStart w:id="1" w:name="_Ref71607600"/>
      <w:r w:rsidRPr="008A4ED6">
        <w:rPr>
          <w:rFonts w:ascii="Times New Roman" w:hAnsi="Times New Roman" w:cs="Times New Roman"/>
          <w:sz w:val="24"/>
          <w:szCs w:val="24"/>
        </w:rPr>
        <w:t xml:space="preserve">Годовой отчёт ПАО «НК «Роснефть» 2020 [Электронный ресурс]. – Режим доступа: </w:t>
      </w:r>
      <w:hyperlink r:id="rId13" w:history="1">
        <w:r w:rsidRPr="008A4ED6">
          <w:rPr>
            <w:rStyle w:val="aa"/>
            <w:rFonts w:ascii="Times New Roman" w:hAnsi="Times New Roman" w:cs="Times New Roman"/>
            <w:sz w:val="24"/>
            <w:szCs w:val="24"/>
          </w:rPr>
          <w:t>https://www.rosneft.ru/upload/site1/document_file/a_report_2020.pdf</w:t>
        </w:r>
      </w:hyperlink>
      <w:bookmarkEnd w:id="1"/>
    </w:p>
    <w:p w:rsidR="008A4ED6" w:rsidRPr="008A4ED6" w:rsidRDefault="008A4ED6" w:rsidP="00923B94">
      <w:pPr>
        <w:pStyle w:val="a6"/>
        <w:spacing w:after="0" w:line="240" w:lineRule="auto"/>
        <w:ind w:left="0" w:firstLine="709"/>
        <w:jc w:val="both"/>
        <w:rPr>
          <w:rFonts w:ascii="Times New Roman" w:hAnsi="Times New Roman" w:cs="Times New Roman"/>
          <w:sz w:val="24"/>
          <w:szCs w:val="24"/>
        </w:rPr>
      </w:pPr>
      <w:bookmarkStart w:id="2" w:name="_Ref71608320"/>
      <w:r w:rsidRPr="008A4ED6">
        <w:rPr>
          <w:rFonts w:ascii="Times New Roman" w:hAnsi="Times New Roman" w:cs="Times New Roman"/>
          <w:sz w:val="24"/>
          <w:szCs w:val="24"/>
        </w:rPr>
        <w:t xml:space="preserve">Годовой отчёт ПАО «НК «Роснефть» 2019 [Электронный ресурс]. – Режим доступа: </w:t>
      </w:r>
      <w:hyperlink r:id="rId14" w:history="1">
        <w:r w:rsidRPr="008A4ED6">
          <w:rPr>
            <w:rStyle w:val="aa"/>
            <w:rFonts w:ascii="Times New Roman" w:hAnsi="Times New Roman" w:cs="Times New Roman"/>
            <w:sz w:val="24"/>
            <w:szCs w:val="24"/>
          </w:rPr>
          <w:t>https://www.rosneft.ru/upload/site1/document_file/a_report_2019.pdf</w:t>
        </w:r>
      </w:hyperlink>
      <w:bookmarkEnd w:id="2"/>
    </w:p>
    <w:p w:rsidR="00833569" w:rsidRPr="008A4ED6" w:rsidRDefault="008A4ED6" w:rsidP="00923B94">
      <w:pPr>
        <w:pStyle w:val="a6"/>
        <w:spacing w:after="0" w:line="240" w:lineRule="auto"/>
        <w:ind w:left="0" w:firstLine="709"/>
        <w:jc w:val="both"/>
        <w:rPr>
          <w:rFonts w:ascii="Times New Roman" w:eastAsia="Times New Roman" w:hAnsi="Times New Roman" w:cs="Times New Roman"/>
          <w:sz w:val="24"/>
          <w:szCs w:val="24"/>
          <w:lang w:eastAsia="ru-RU"/>
        </w:rPr>
      </w:pPr>
      <w:bookmarkStart w:id="3" w:name="_Ref71607670"/>
      <w:r w:rsidRPr="008A4ED6">
        <w:rPr>
          <w:rFonts w:ascii="Times New Roman" w:hAnsi="Times New Roman" w:cs="Times New Roman"/>
          <w:sz w:val="24"/>
          <w:szCs w:val="24"/>
        </w:rPr>
        <w:t>Остроухова Н.Г. Рынки отраслей топливно-энергетического комплекса России: состояние и тенденции развития // Известия ВУЗов. Поволжский регион. Общественные науки. – 2016. – №3 (35). – С. 124-134.</w:t>
      </w:r>
      <w:bookmarkEnd w:id="3"/>
    </w:p>
    <w:p w:rsidR="008A4ED6" w:rsidRPr="008A4ED6" w:rsidRDefault="008A4ED6" w:rsidP="00923B94">
      <w:pPr>
        <w:pStyle w:val="a6"/>
        <w:spacing w:after="0" w:line="240" w:lineRule="auto"/>
        <w:ind w:left="0" w:firstLine="709"/>
        <w:jc w:val="both"/>
        <w:rPr>
          <w:rFonts w:ascii="Times New Roman" w:hAnsi="Times New Roman" w:cs="Times New Roman"/>
          <w:b/>
          <w:sz w:val="24"/>
          <w:szCs w:val="24"/>
        </w:rPr>
      </w:pPr>
      <w:bookmarkStart w:id="4" w:name="_Ref43483333"/>
      <w:r w:rsidRPr="008A4ED6">
        <w:rPr>
          <w:rStyle w:val="ab"/>
          <w:rFonts w:ascii="Times New Roman" w:hAnsi="Times New Roman" w:cs="Times New Roman"/>
          <w:b w:val="0"/>
          <w:color w:val="000000"/>
          <w:sz w:val="24"/>
          <w:szCs w:val="24"/>
          <w:shd w:val="clear" w:color="auto" w:fill="FFFFFF"/>
        </w:rPr>
        <w:t>Консолидированная финансовая отчетность ПАО «НК «Роснефть» по международным стандартам</w:t>
      </w:r>
      <w:r w:rsidRPr="008A4ED6">
        <w:rPr>
          <w:rStyle w:val="ab"/>
          <w:rFonts w:ascii="Times New Roman" w:hAnsi="Times New Roman" w:cs="Times New Roman"/>
          <w:color w:val="000000"/>
          <w:sz w:val="24"/>
          <w:szCs w:val="24"/>
          <w:shd w:val="clear" w:color="auto" w:fill="FFFFFF"/>
        </w:rPr>
        <w:t xml:space="preserve"> </w:t>
      </w:r>
      <w:r w:rsidRPr="008A4ED6">
        <w:rPr>
          <w:rFonts w:ascii="Times New Roman" w:hAnsi="Times New Roman" w:cs="Times New Roman"/>
          <w:sz w:val="24"/>
          <w:szCs w:val="24"/>
        </w:rPr>
        <w:t>[Электронный ресу</w:t>
      </w:r>
      <w:r>
        <w:rPr>
          <w:rFonts w:ascii="Times New Roman" w:hAnsi="Times New Roman" w:cs="Times New Roman"/>
          <w:sz w:val="24"/>
          <w:szCs w:val="24"/>
        </w:rPr>
        <w:t xml:space="preserve">рс] / rosneft. – Режим доступа: </w:t>
      </w:r>
      <w:hyperlink r:id="rId15" w:history="1">
        <w:r w:rsidRPr="008A4ED6">
          <w:rPr>
            <w:rStyle w:val="aa"/>
            <w:rFonts w:ascii="Times New Roman" w:hAnsi="Times New Roman" w:cs="Times New Roman"/>
            <w:sz w:val="24"/>
            <w:szCs w:val="24"/>
          </w:rPr>
          <w:t>https://www.rosneft.ru/Investors/statements_and_presentations/Statements/</w:t>
        </w:r>
      </w:hyperlink>
      <w:bookmarkEnd w:id="4"/>
    </w:p>
    <w:p w:rsidR="008A4ED6" w:rsidRPr="008A4ED6" w:rsidRDefault="008A4ED6" w:rsidP="00923B94">
      <w:pPr>
        <w:pStyle w:val="a6"/>
        <w:spacing w:after="0" w:line="240" w:lineRule="auto"/>
        <w:ind w:left="0" w:firstLine="709"/>
        <w:jc w:val="both"/>
        <w:rPr>
          <w:rFonts w:ascii="Times New Roman" w:hAnsi="Times New Roman" w:cs="Times New Roman"/>
          <w:sz w:val="24"/>
          <w:szCs w:val="24"/>
        </w:rPr>
      </w:pPr>
      <w:bookmarkStart w:id="5" w:name="_Ref43483264"/>
      <w:r w:rsidRPr="008A4ED6">
        <w:rPr>
          <w:rFonts w:ascii="Times New Roman" w:hAnsi="Times New Roman" w:cs="Times New Roman"/>
          <w:sz w:val="24"/>
          <w:szCs w:val="24"/>
        </w:rPr>
        <w:t>Импортозамещение и локализация [Электронный ресу</w:t>
      </w:r>
      <w:r>
        <w:rPr>
          <w:rFonts w:ascii="Times New Roman" w:hAnsi="Times New Roman" w:cs="Times New Roman"/>
          <w:sz w:val="24"/>
          <w:szCs w:val="24"/>
        </w:rPr>
        <w:t>рс] / rosneft. – Режим доступа:</w:t>
      </w:r>
      <w:hyperlink r:id="rId16" w:history="1">
        <w:r w:rsidRPr="008A4ED6">
          <w:rPr>
            <w:rStyle w:val="aa"/>
            <w:rFonts w:ascii="Times New Roman" w:hAnsi="Times New Roman" w:cs="Times New Roman"/>
            <w:sz w:val="24"/>
            <w:szCs w:val="24"/>
          </w:rPr>
          <w:t>https://www.rosneft.ru/Development/sci_and_innov/Innovacionnaja_dejatelnost/Importozameshhenie_i_lokalizacija/</w:t>
        </w:r>
      </w:hyperlink>
      <w:bookmarkEnd w:id="5"/>
    </w:p>
    <w:p w:rsidR="008A4ED6" w:rsidRPr="008A4ED6" w:rsidRDefault="008A4ED6" w:rsidP="008A4ED6">
      <w:pPr>
        <w:pStyle w:val="a6"/>
        <w:spacing w:after="0" w:line="240" w:lineRule="auto"/>
        <w:ind w:left="1287"/>
        <w:jc w:val="both"/>
        <w:rPr>
          <w:rFonts w:ascii="Times New Roman" w:eastAsia="Times New Roman" w:hAnsi="Times New Roman" w:cs="Times New Roman"/>
          <w:sz w:val="24"/>
          <w:szCs w:val="24"/>
          <w:lang w:eastAsia="ru-RU"/>
        </w:rPr>
      </w:pPr>
    </w:p>
    <w:p w:rsidR="00833569" w:rsidRDefault="00833569" w:rsidP="00833569">
      <w:pPr>
        <w:spacing w:after="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Информация об авторе (-ах) на русском языке</w:t>
      </w:r>
    </w:p>
    <w:p w:rsidR="008A4ED6" w:rsidRDefault="008A4ED6" w:rsidP="00766295">
      <w:pPr>
        <w:spacing w:after="0" w:line="240" w:lineRule="auto"/>
        <w:ind w:firstLine="709"/>
        <w:jc w:val="both"/>
        <w:rPr>
          <w:rFonts w:ascii="Times New Roman" w:eastAsia="Calibri" w:hAnsi="Times New Roman" w:cs="Times New Roman"/>
          <w:sz w:val="24"/>
          <w:szCs w:val="24"/>
        </w:rPr>
      </w:pPr>
      <w:r w:rsidRPr="00766295">
        <w:rPr>
          <w:rFonts w:ascii="Times New Roman" w:eastAsia="Calibri" w:hAnsi="Times New Roman" w:cs="Times New Roman"/>
          <w:sz w:val="24"/>
          <w:szCs w:val="24"/>
        </w:rPr>
        <w:t xml:space="preserve">Демьяненко Дмитрий Александрович (Донецкая Народная Республика, г. Донецк) – студент 3 курса Донецкого Национального университета, экономического факультета, кафедры международная экономика </w:t>
      </w:r>
      <w:r w:rsidR="00766295" w:rsidRPr="00766295">
        <w:rPr>
          <w:rFonts w:ascii="Times New Roman" w:eastAsia="Calibri" w:hAnsi="Times New Roman" w:cs="Times New Roman"/>
          <w:sz w:val="24"/>
          <w:szCs w:val="24"/>
        </w:rPr>
        <w:t xml:space="preserve">(ул. Университетская, 24, Донецк, 283001, ДНР, </w:t>
      </w:r>
      <w:hyperlink r:id="rId17" w:history="1">
        <w:r w:rsidR="00766295" w:rsidRPr="00766295">
          <w:rPr>
            <w:rStyle w:val="aa"/>
            <w:rFonts w:ascii="Times New Roman" w:hAnsi="Times New Roman" w:cs="Times New Roman"/>
            <w:sz w:val="24"/>
            <w:szCs w:val="24"/>
            <w:shd w:val="clear" w:color="auto" w:fill="FFFFFF"/>
          </w:rPr>
          <w:t>rector@donnu.ru</w:t>
        </w:r>
      </w:hyperlink>
      <w:r w:rsidR="00766295" w:rsidRPr="00766295">
        <w:rPr>
          <w:rFonts w:ascii="Times New Roman" w:hAnsi="Times New Roman" w:cs="Times New Roman"/>
          <w:color w:val="000000"/>
          <w:sz w:val="24"/>
          <w:szCs w:val="24"/>
          <w:shd w:val="clear" w:color="auto" w:fill="FFFFFF"/>
        </w:rPr>
        <w:t>; </w:t>
      </w:r>
      <w:hyperlink r:id="rId18" w:history="1">
        <w:r w:rsidR="00766295" w:rsidRPr="00766295">
          <w:rPr>
            <w:rStyle w:val="aa"/>
            <w:rFonts w:ascii="Times New Roman" w:hAnsi="Times New Roman" w:cs="Times New Roman"/>
            <w:sz w:val="24"/>
            <w:szCs w:val="24"/>
            <w:shd w:val="clear" w:color="auto" w:fill="FFFFFF"/>
          </w:rPr>
          <w:t>canc@donnu.ru</w:t>
        </w:r>
      </w:hyperlink>
      <w:r w:rsidR="00766295">
        <w:rPr>
          <w:rFonts w:ascii="Times New Roman" w:eastAsia="Calibri" w:hAnsi="Times New Roman" w:cs="Times New Roman"/>
          <w:sz w:val="24"/>
          <w:szCs w:val="24"/>
        </w:rPr>
        <w:t>).</w:t>
      </w:r>
    </w:p>
    <w:p w:rsidR="00C55554" w:rsidRDefault="00766295" w:rsidP="00D47671">
      <w:pPr>
        <w:spacing w:after="0" w:line="240" w:lineRule="auto"/>
        <w:ind w:firstLine="709"/>
        <w:jc w:val="both"/>
        <w:rPr>
          <w:rFonts w:ascii="Times New Roman" w:eastAsia="Calibri" w:hAnsi="Times New Roman" w:cs="Times New Roman"/>
          <w:sz w:val="24"/>
          <w:szCs w:val="24"/>
        </w:rPr>
      </w:pPr>
      <w:r w:rsidRPr="00766295">
        <w:rPr>
          <w:rFonts w:ascii="Times New Roman" w:eastAsia="Calibri" w:hAnsi="Times New Roman" w:cs="Times New Roman"/>
          <w:sz w:val="24"/>
          <w:szCs w:val="24"/>
        </w:rPr>
        <w:t xml:space="preserve">Юничева Наиля Шамильевна (Донецкая Народная Республика, г. Донецк) - </w:t>
      </w:r>
      <w:r w:rsidRPr="00766295">
        <w:rPr>
          <w:rFonts w:ascii="Times New Roman" w:hAnsi="Times New Roman" w:cs="Times New Roman"/>
          <w:color w:val="000000" w:themeColor="text1"/>
          <w:sz w:val="24"/>
          <w:szCs w:val="24"/>
          <w:shd w:val="clear" w:color="auto" w:fill="FFFFFF"/>
        </w:rPr>
        <w:t>старший преподаватель кафедры международной экономики</w:t>
      </w:r>
      <w:r w:rsidRPr="00766295">
        <w:rPr>
          <w:rFonts w:ascii="Times New Roman" w:hAnsi="Times New Roman" w:cs="Times New Roman"/>
          <w:color w:val="000000" w:themeColor="text1"/>
          <w:sz w:val="24"/>
          <w:szCs w:val="24"/>
          <w:shd w:val="clear" w:color="auto" w:fill="FFFFFF"/>
        </w:rPr>
        <w:t xml:space="preserve">, Донецкий Национальный университет </w:t>
      </w:r>
      <w:r w:rsidRPr="00766295">
        <w:rPr>
          <w:rFonts w:ascii="Times New Roman" w:eastAsia="Calibri" w:hAnsi="Times New Roman" w:cs="Times New Roman"/>
          <w:sz w:val="24"/>
          <w:szCs w:val="24"/>
        </w:rPr>
        <w:t xml:space="preserve">(ул. Университетская, 24, Донецк, 283001, ДНР, </w:t>
      </w:r>
      <w:hyperlink r:id="rId19" w:history="1">
        <w:r w:rsidRPr="00766295">
          <w:rPr>
            <w:rStyle w:val="aa"/>
            <w:rFonts w:ascii="Times New Roman" w:hAnsi="Times New Roman" w:cs="Times New Roman"/>
            <w:sz w:val="24"/>
            <w:szCs w:val="24"/>
            <w:shd w:val="clear" w:color="auto" w:fill="FFFFFF"/>
          </w:rPr>
          <w:t>rector@donnu.ru</w:t>
        </w:r>
      </w:hyperlink>
      <w:r w:rsidRPr="00766295">
        <w:rPr>
          <w:rFonts w:ascii="Times New Roman" w:hAnsi="Times New Roman" w:cs="Times New Roman"/>
          <w:color w:val="000000"/>
          <w:sz w:val="24"/>
          <w:szCs w:val="24"/>
          <w:shd w:val="clear" w:color="auto" w:fill="FFFFFF"/>
        </w:rPr>
        <w:t>; </w:t>
      </w:r>
      <w:hyperlink r:id="rId20" w:history="1">
        <w:r w:rsidRPr="00766295">
          <w:rPr>
            <w:rStyle w:val="aa"/>
            <w:rFonts w:ascii="Times New Roman" w:hAnsi="Times New Roman" w:cs="Times New Roman"/>
            <w:sz w:val="24"/>
            <w:szCs w:val="24"/>
            <w:shd w:val="clear" w:color="auto" w:fill="FFFFFF"/>
          </w:rPr>
          <w:t>canc@donnu.ru</w:t>
        </w:r>
      </w:hyperlink>
      <w:r w:rsidRPr="00766295">
        <w:rPr>
          <w:rFonts w:ascii="Times New Roman" w:eastAsia="Calibri" w:hAnsi="Times New Roman" w:cs="Times New Roman"/>
          <w:sz w:val="24"/>
          <w:szCs w:val="24"/>
        </w:rPr>
        <w:t>).</w:t>
      </w:r>
    </w:p>
    <w:p w:rsidR="001837F8" w:rsidRDefault="001837F8" w:rsidP="0055449A">
      <w:pPr>
        <w:spacing w:after="0" w:line="240" w:lineRule="auto"/>
        <w:ind w:firstLine="709"/>
        <w:jc w:val="right"/>
        <w:rPr>
          <w:rFonts w:ascii="Times New Roman" w:eastAsia="Calibri" w:hAnsi="Times New Roman" w:cs="Times New Roman"/>
          <w:b/>
          <w:noProof/>
          <w:sz w:val="24"/>
          <w:szCs w:val="24"/>
          <w:lang w:val="en-US"/>
        </w:rPr>
      </w:pPr>
    </w:p>
    <w:p w:rsidR="00B350AF" w:rsidRDefault="00B350AF" w:rsidP="0055449A">
      <w:pPr>
        <w:spacing w:after="0" w:line="240" w:lineRule="auto"/>
        <w:ind w:firstLine="709"/>
        <w:jc w:val="right"/>
        <w:rPr>
          <w:rFonts w:ascii="Times New Roman" w:eastAsia="Calibri" w:hAnsi="Times New Roman" w:cs="Times New Roman"/>
          <w:b/>
          <w:noProof/>
          <w:sz w:val="24"/>
          <w:szCs w:val="24"/>
          <w:lang w:val="en-US"/>
        </w:rPr>
      </w:pPr>
      <w:bookmarkStart w:id="6" w:name="_GoBack"/>
      <w:bookmarkEnd w:id="6"/>
      <w:r w:rsidRPr="00B350AF">
        <w:rPr>
          <w:rFonts w:ascii="Times New Roman" w:eastAsia="Calibri" w:hAnsi="Times New Roman" w:cs="Times New Roman"/>
          <w:b/>
          <w:noProof/>
          <w:sz w:val="24"/>
          <w:szCs w:val="24"/>
          <w:lang w:val="en-US"/>
        </w:rPr>
        <w:lastRenderedPageBreak/>
        <w:t>Demyanenko D.A.</w:t>
      </w:r>
    </w:p>
    <w:p w:rsidR="00B350AF" w:rsidRPr="00B350AF" w:rsidRDefault="00B350AF" w:rsidP="0055449A">
      <w:pPr>
        <w:spacing w:after="0" w:line="240" w:lineRule="auto"/>
        <w:ind w:firstLine="709"/>
        <w:jc w:val="center"/>
        <w:rPr>
          <w:rFonts w:ascii="Times New Roman" w:hAnsi="Times New Roman" w:cs="Times New Roman"/>
          <w:b/>
          <w:noProof/>
          <w:sz w:val="24"/>
          <w:szCs w:val="24"/>
          <w:lang w:val="en-US"/>
        </w:rPr>
      </w:pPr>
    </w:p>
    <w:p w:rsidR="002B021A" w:rsidRDefault="00B350AF" w:rsidP="0055449A">
      <w:pPr>
        <w:spacing w:after="0" w:line="360" w:lineRule="auto"/>
        <w:jc w:val="center"/>
        <w:rPr>
          <w:rFonts w:ascii="Times New Roman" w:hAnsi="Times New Roman" w:cs="Times New Roman"/>
          <w:b/>
          <w:sz w:val="24"/>
          <w:szCs w:val="24"/>
          <w:lang w:val="en-US"/>
        </w:rPr>
      </w:pPr>
      <w:r w:rsidRPr="00B350AF">
        <w:rPr>
          <w:rFonts w:ascii="Times New Roman" w:hAnsi="Times New Roman" w:cs="Times New Roman"/>
          <w:b/>
          <w:sz w:val="24"/>
          <w:szCs w:val="24"/>
          <w:lang w:val="en-US"/>
        </w:rPr>
        <w:t>FOREIGN ECONOMIC STRATEGY AND ACTIVITIES OF THE COMPANY PJSC «ROSNEFT»</w:t>
      </w:r>
    </w:p>
    <w:p w:rsidR="00B350AF" w:rsidRDefault="00B350AF" w:rsidP="0055449A">
      <w:pPr>
        <w:spacing w:after="0" w:line="360" w:lineRule="auto"/>
        <w:jc w:val="center"/>
        <w:rPr>
          <w:rFonts w:ascii="Times New Roman" w:hAnsi="Times New Roman" w:cs="Times New Roman"/>
          <w:b/>
          <w:sz w:val="24"/>
          <w:szCs w:val="24"/>
          <w:lang w:val="en-US"/>
        </w:rPr>
      </w:pPr>
    </w:p>
    <w:p w:rsidR="00B350AF" w:rsidRPr="00923B94" w:rsidRDefault="00923B94" w:rsidP="0055449A">
      <w:pPr>
        <w:spacing w:after="0" w:line="360" w:lineRule="auto"/>
        <w:ind w:firstLine="709"/>
        <w:jc w:val="both"/>
        <w:rPr>
          <w:rFonts w:ascii="Times New Roman" w:hAnsi="Times New Roman" w:cs="Times New Roman"/>
          <w:b/>
          <w:sz w:val="24"/>
          <w:szCs w:val="24"/>
          <w:lang w:val="en-US"/>
        </w:rPr>
      </w:pPr>
      <w:r w:rsidRPr="00923B94">
        <w:rPr>
          <w:rFonts w:ascii="Times New Roman" w:hAnsi="Times New Roman" w:cs="Times New Roman"/>
          <w:b/>
          <w:sz w:val="24"/>
          <w:szCs w:val="24"/>
          <w:lang w:val="en-US"/>
        </w:rPr>
        <w:t>Abstract.</w:t>
      </w:r>
      <w:r w:rsidRPr="00923B94">
        <w:rPr>
          <w:rFonts w:ascii="Times New Roman" w:hAnsi="Times New Roman" w:cs="Times New Roman"/>
          <w:b/>
          <w:sz w:val="24"/>
          <w:szCs w:val="24"/>
          <w:lang w:val="en-US"/>
        </w:rPr>
        <w:t xml:space="preserve"> </w:t>
      </w:r>
      <w:r w:rsidRPr="00923B94">
        <w:rPr>
          <w:rFonts w:ascii="Times New Roman" w:hAnsi="Times New Roman" w:cs="Times New Roman"/>
          <w:i/>
          <w:sz w:val="24"/>
          <w:szCs w:val="24"/>
          <w:lang w:val="en-US"/>
        </w:rPr>
        <w:t>This article is devoted to the study of the foreign economic strategy of the enterp</w:t>
      </w:r>
      <w:r>
        <w:rPr>
          <w:rFonts w:ascii="Times New Roman" w:hAnsi="Times New Roman" w:cs="Times New Roman"/>
          <w:i/>
          <w:sz w:val="24"/>
          <w:szCs w:val="24"/>
          <w:lang w:val="en-US"/>
        </w:rPr>
        <w:t>rise on the example of PJSC "</w:t>
      </w:r>
      <w:r w:rsidRPr="00923B94">
        <w:rPr>
          <w:rFonts w:ascii="Times New Roman" w:hAnsi="Times New Roman" w:cs="Times New Roman"/>
          <w:i/>
          <w:sz w:val="24"/>
          <w:szCs w:val="24"/>
          <w:lang w:val="en-US"/>
        </w:rPr>
        <w:t>Rosneft ". What are the main functions of the strategy, how does it affect the indicators of foreign economic activity of the enterprise. The article also presents an analysis of the foreign</w:t>
      </w:r>
      <w:r>
        <w:rPr>
          <w:rFonts w:ascii="Times New Roman" w:hAnsi="Times New Roman" w:cs="Times New Roman"/>
          <w:i/>
          <w:sz w:val="24"/>
          <w:szCs w:val="24"/>
          <w:lang w:val="en-US"/>
        </w:rPr>
        <w:t xml:space="preserve"> economic activity of PJSC "</w:t>
      </w:r>
      <w:r w:rsidRPr="00923B94">
        <w:rPr>
          <w:rFonts w:ascii="Times New Roman" w:hAnsi="Times New Roman" w:cs="Times New Roman"/>
          <w:i/>
          <w:sz w:val="24"/>
          <w:szCs w:val="24"/>
          <w:lang w:val="en-US"/>
        </w:rPr>
        <w:t>Rosneft ".</w:t>
      </w:r>
    </w:p>
    <w:p w:rsidR="00923B94" w:rsidRDefault="00923B94" w:rsidP="0055449A">
      <w:pPr>
        <w:spacing w:after="0" w:line="360" w:lineRule="auto"/>
        <w:ind w:firstLine="709"/>
        <w:jc w:val="both"/>
        <w:rPr>
          <w:rFonts w:ascii="Times New Roman" w:hAnsi="Times New Roman" w:cs="Times New Roman"/>
          <w:i/>
          <w:sz w:val="24"/>
          <w:szCs w:val="24"/>
          <w:lang w:val="en-US"/>
        </w:rPr>
      </w:pPr>
    </w:p>
    <w:p w:rsidR="00923B94" w:rsidRDefault="00923B94" w:rsidP="0055449A">
      <w:pPr>
        <w:spacing w:after="0" w:line="360" w:lineRule="auto"/>
        <w:ind w:firstLine="709"/>
        <w:jc w:val="both"/>
        <w:rPr>
          <w:rFonts w:ascii="Times New Roman" w:hAnsi="Times New Roman" w:cs="Times New Roman"/>
          <w:i/>
          <w:color w:val="000000" w:themeColor="text1"/>
          <w:sz w:val="24"/>
          <w:lang w:val="en-US"/>
        </w:rPr>
      </w:pPr>
      <w:r w:rsidRPr="00923B94">
        <w:rPr>
          <w:rFonts w:ascii="Times New Roman" w:hAnsi="Times New Roman" w:cs="Times New Roman"/>
          <w:b/>
          <w:color w:val="000000" w:themeColor="text1"/>
          <w:sz w:val="24"/>
          <w:lang w:val="en-US"/>
        </w:rPr>
        <w:t>Key words</w:t>
      </w:r>
      <w:r w:rsidRPr="00923B94">
        <w:rPr>
          <w:rFonts w:ascii="Times New Roman" w:hAnsi="Times New Roman" w:cs="Times New Roman"/>
          <w:b/>
          <w:color w:val="000000" w:themeColor="text1"/>
          <w:sz w:val="24"/>
          <w:lang w:val="en-US"/>
        </w:rPr>
        <w:t xml:space="preserve">. </w:t>
      </w:r>
      <w:r w:rsidRPr="00923B94">
        <w:rPr>
          <w:rFonts w:ascii="Times New Roman" w:hAnsi="Times New Roman" w:cs="Times New Roman"/>
          <w:i/>
          <w:color w:val="000000" w:themeColor="text1"/>
          <w:sz w:val="24"/>
          <w:lang w:val="en-US"/>
        </w:rPr>
        <w:t>Strategy, activity, Rosneft, indicators, market, enterprise.</w:t>
      </w:r>
    </w:p>
    <w:p w:rsidR="00923B94" w:rsidRDefault="00923B94" w:rsidP="0055449A">
      <w:pPr>
        <w:spacing w:after="0" w:line="360" w:lineRule="auto"/>
        <w:ind w:firstLine="709"/>
        <w:jc w:val="both"/>
        <w:rPr>
          <w:rFonts w:ascii="Times New Roman" w:hAnsi="Times New Roman" w:cs="Times New Roman"/>
          <w:i/>
          <w:color w:val="000000" w:themeColor="text1"/>
          <w:sz w:val="24"/>
          <w:lang w:val="en-US"/>
        </w:rPr>
      </w:pPr>
    </w:p>
    <w:p w:rsidR="00923B94" w:rsidRPr="0055449A" w:rsidRDefault="00923B94" w:rsidP="00204AEB">
      <w:pPr>
        <w:spacing w:after="0" w:line="360" w:lineRule="auto"/>
        <w:jc w:val="center"/>
        <w:rPr>
          <w:rFonts w:ascii="Times New Roman" w:hAnsi="Times New Roman" w:cs="Times New Roman"/>
          <w:b/>
          <w:color w:val="000000" w:themeColor="text1"/>
          <w:sz w:val="24"/>
          <w:szCs w:val="24"/>
          <w:lang w:val="en-US"/>
        </w:rPr>
      </w:pPr>
      <w:r w:rsidRPr="0055449A">
        <w:rPr>
          <w:rFonts w:ascii="Times New Roman" w:hAnsi="Times New Roman" w:cs="Times New Roman"/>
          <w:b/>
          <w:color w:val="000000" w:themeColor="text1"/>
          <w:sz w:val="24"/>
          <w:szCs w:val="24"/>
          <w:lang w:val="en-US"/>
        </w:rPr>
        <w:t>Bibliography</w:t>
      </w:r>
    </w:p>
    <w:p w:rsidR="00923B94" w:rsidRPr="0055449A" w:rsidRDefault="00923B94" w:rsidP="0055449A">
      <w:pPr>
        <w:spacing w:after="0" w:line="360" w:lineRule="auto"/>
        <w:ind w:firstLine="709"/>
        <w:jc w:val="both"/>
        <w:rPr>
          <w:rFonts w:ascii="Times New Roman" w:hAnsi="Times New Roman" w:cs="Times New Roman"/>
          <w:noProof/>
          <w:sz w:val="24"/>
          <w:szCs w:val="24"/>
          <w:lang w:val="en-US"/>
        </w:rPr>
      </w:pPr>
      <w:r w:rsidRPr="0055449A">
        <w:rPr>
          <w:rFonts w:ascii="Times New Roman" w:hAnsi="Times New Roman" w:cs="Times New Roman"/>
          <w:noProof/>
          <w:sz w:val="24"/>
          <w:szCs w:val="24"/>
          <w:lang w:val="en-US"/>
        </w:rPr>
        <w:t>Development strategy of PJSC "NK" Rosneft "in international markets [Electronic resource]. - Access mode: file: /// C: / Users / Dmitriy / Downloads / strategiya-razvitiya-pao-nk-rosneft-na-mezhdunarodnyh-rynkah% 20 (1) .pdf</w:t>
      </w:r>
    </w:p>
    <w:p w:rsidR="00923B94" w:rsidRPr="0055449A" w:rsidRDefault="00923B94" w:rsidP="0055449A">
      <w:pPr>
        <w:spacing w:after="0" w:line="360" w:lineRule="auto"/>
        <w:ind w:firstLine="709"/>
        <w:jc w:val="both"/>
        <w:rPr>
          <w:rFonts w:ascii="Times New Roman" w:hAnsi="Times New Roman" w:cs="Times New Roman"/>
          <w:noProof/>
          <w:sz w:val="24"/>
          <w:szCs w:val="24"/>
          <w:lang w:val="en-US"/>
        </w:rPr>
      </w:pPr>
      <w:r w:rsidRPr="0055449A">
        <w:rPr>
          <w:rFonts w:ascii="Times New Roman" w:hAnsi="Times New Roman" w:cs="Times New Roman"/>
          <w:noProof/>
          <w:sz w:val="24"/>
          <w:szCs w:val="24"/>
          <w:lang w:val="en-US"/>
        </w:rPr>
        <w:t>Annual report of PJSC "NK" Rosneft "2020 [Electronic resource]. - Access mode: https://www.rosneft.ru/upload/site1/document_file/a_report_2020.pdf</w:t>
      </w:r>
    </w:p>
    <w:p w:rsidR="00923B94" w:rsidRPr="0055449A" w:rsidRDefault="00923B94" w:rsidP="0055449A">
      <w:pPr>
        <w:spacing w:after="0" w:line="360" w:lineRule="auto"/>
        <w:ind w:firstLine="709"/>
        <w:jc w:val="both"/>
        <w:rPr>
          <w:rFonts w:ascii="Times New Roman" w:hAnsi="Times New Roman" w:cs="Times New Roman"/>
          <w:noProof/>
          <w:sz w:val="24"/>
          <w:szCs w:val="24"/>
          <w:lang w:val="en-US"/>
        </w:rPr>
      </w:pPr>
      <w:r w:rsidRPr="0055449A">
        <w:rPr>
          <w:rFonts w:ascii="Times New Roman" w:hAnsi="Times New Roman" w:cs="Times New Roman"/>
          <w:noProof/>
          <w:sz w:val="24"/>
          <w:szCs w:val="24"/>
          <w:lang w:val="en-US"/>
        </w:rPr>
        <w:t>Rosneft Annual Report 2019 [Electronic resource]. - Access mode: https://www.rosneft.ru/upload/site1/document_file/a_report_2019.pdf</w:t>
      </w:r>
    </w:p>
    <w:p w:rsidR="00923B94" w:rsidRPr="0055449A" w:rsidRDefault="00923B94" w:rsidP="0055449A">
      <w:pPr>
        <w:spacing w:after="0" w:line="360" w:lineRule="auto"/>
        <w:ind w:firstLine="709"/>
        <w:jc w:val="both"/>
        <w:rPr>
          <w:rFonts w:ascii="Times New Roman" w:hAnsi="Times New Roman" w:cs="Times New Roman"/>
          <w:noProof/>
          <w:sz w:val="24"/>
          <w:szCs w:val="24"/>
          <w:lang w:val="en-US"/>
        </w:rPr>
      </w:pPr>
      <w:r w:rsidRPr="0055449A">
        <w:rPr>
          <w:rFonts w:ascii="Times New Roman" w:hAnsi="Times New Roman" w:cs="Times New Roman"/>
          <w:noProof/>
          <w:sz w:val="24"/>
          <w:szCs w:val="24"/>
          <w:lang w:val="en-US"/>
        </w:rPr>
        <w:t>Ostroukhova N.G. Markets of branches of the fuel and energy complex of Russia: state and development trends // Izvestiya VUZov. Volga region. Social Sciences. - 2016. - No. 3 (35). - S. 124-134.</w:t>
      </w:r>
    </w:p>
    <w:p w:rsidR="00923B94" w:rsidRPr="0055449A" w:rsidRDefault="00923B94" w:rsidP="0055449A">
      <w:pPr>
        <w:spacing w:after="0" w:line="360" w:lineRule="auto"/>
        <w:ind w:firstLine="709"/>
        <w:jc w:val="both"/>
        <w:rPr>
          <w:rFonts w:ascii="Times New Roman" w:hAnsi="Times New Roman" w:cs="Times New Roman"/>
          <w:noProof/>
          <w:sz w:val="24"/>
          <w:szCs w:val="24"/>
          <w:lang w:val="en-US"/>
        </w:rPr>
      </w:pPr>
      <w:r w:rsidRPr="0055449A">
        <w:rPr>
          <w:rFonts w:ascii="Times New Roman" w:hAnsi="Times New Roman" w:cs="Times New Roman"/>
          <w:noProof/>
          <w:sz w:val="24"/>
          <w:szCs w:val="24"/>
          <w:lang w:val="en-US"/>
        </w:rPr>
        <w:t>Consolidated financial statements of PJSC NK Rosneft in accordance with international standards [Electronic resource] / rosneft. - Access mode: https://www.rosneft.ru/Investors/statements_and_presentations/Statements/</w:t>
      </w:r>
    </w:p>
    <w:p w:rsidR="00923B94" w:rsidRPr="0055449A" w:rsidRDefault="00923B94" w:rsidP="001350BC">
      <w:pPr>
        <w:spacing w:after="0" w:line="360" w:lineRule="auto"/>
        <w:ind w:firstLine="709"/>
        <w:jc w:val="both"/>
        <w:rPr>
          <w:rFonts w:ascii="Times New Roman" w:hAnsi="Times New Roman" w:cs="Times New Roman"/>
          <w:noProof/>
          <w:sz w:val="24"/>
          <w:szCs w:val="24"/>
          <w:lang w:val="en-US"/>
        </w:rPr>
      </w:pPr>
      <w:r w:rsidRPr="0055449A">
        <w:rPr>
          <w:rFonts w:ascii="Times New Roman" w:hAnsi="Times New Roman" w:cs="Times New Roman"/>
          <w:noProof/>
          <w:sz w:val="24"/>
          <w:szCs w:val="24"/>
          <w:lang w:val="en-US"/>
        </w:rPr>
        <w:t>Import substitution and localization [Electronic resource] / rosneft. - Access mode: https: //www.rosneft.ru/Development/sci_and_innov/Innovacionnaja_dejatelnost/Importozameshhenie_i_lokalizacija/</w:t>
      </w:r>
    </w:p>
    <w:p w:rsidR="00923B94" w:rsidRDefault="00923B94" w:rsidP="001350BC">
      <w:pPr>
        <w:spacing w:after="0" w:line="360" w:lineRule="auto"/>
        <w:ind w:firstLine="709"/>
        <w:jc w:val="both"/>
        <w:rPr>
          <w:rFonts w:ascii="Times New Roman" w:hAnsi="Times New Roman" w:cs="Times New Roman"/>
          <w:sz w:val="24"/>
          <w:szCs w:val="24"/>
          <w:lang w:val="en-US"/>
        </w:rPr>
      </w:pPr>
    </w:p>
    <w:p w:rsidR="00923B94" w:rsidRPr="00923B94" w:rsidRDefault="00923B94" w:rsidP="001350BC">
      <w:pPr>
        <w:spacing w:after="0" w:line="240" w:lineRule="auto"/>
        <w:ind w:firstLine="709"/>
        <w:jc w:val="center"/>
        <w:rPr>
          <w:rFonts w:ascii="Times New Roman" w:hAnsi="Times New Roman" w:cs="Times New Roman"/>
          <w:b/>
          <w:sz w:val="24"/>
          <w:szCs w:val="24"/>
          <w:lang w:val="en-US"/>
        </w:rPr>
      </w:pPr>
      <w:r w:rsidRPr="00923B94">
        <w:rPr>
          <w:rFonts w:ascii="Times New Roman" w:hAnsi="Times New Roman" w:cs="Times New Roman"/>
          <w:b/>
          <w:sz w:val="24"/>
          <w:szCs w:val="24"/>
          <w:lang w:val="en-US"/>
        </w:rPr>
        <w:t>Information about the author</w:t>
      </w:r>
    </w:p>
    <w:p w:rsidR="00923B94" w:rsidRPr="00923B94" w:rsidRDefault="00923B94" w:rsidP="0055449A">
      <w:pPr>
        <w:spacing w:after="0" w:line="240" w:lineRule="auto"/>
        <w:ind w:firstLine="709"/>
        <w:jc w:val="both"/>
        <w:rPr>
          <w:rFonts w:ascii="Times New Roman" w:hAnsi="Times New Roman" w:cs="Times New Roman"/>
          <w:noProof/>
          <w:sz w:val="24"/>
          <w:szCs w:val="24"/>
          <w:lang w:val="en-US"/>
        </w:rPr>
      </w:pPr>
      <w:r w:rsidRPr="00923B94">
        <w:rPr>
          <w:rFonts w:ascii="Times New Roman" w:hAnsi="Times New Roman" w:cs="Times New Roman"/>
          <w:noProof/>
          <w:sz w:val="24"/>
          <w:szCs w:val="24"/>
          <w:lang w:val="en-US"/>
        </w:rPr>
        <w:t>Demyanenko Dmitry Alexandrovich (Donetsk People's Republic, Donetsk) - 3rd year student of the Donetsk National University, Faculty of Economics, Department of International Economics (Universitetskaya St., 24, Donets</w:t>
      </w:r>
      <w:r w:rsidR="0098321D">
        <w:rPr>
          <w:rFonts w:ascii="Times New Roman" w:hAnsi="Times New Roman" w:cs="Times New Roman"/>
          <w:noProof/>
          <w:sz w:val="24"/>
          <w:szCs w:val="24"/>
          <w:lang w:val="en-US"/>
        </w:rPr>
        <w:t xml:space="preserve">k, 283001, DPR, </w:t>
      </w:r>
      <w:hyperlink r:id="rId21" w:history="1">
        <w:r w:rsidR="0098321D" w:rsidRPr="000B58D6">
          <w:rPr>
            <w:rStyle w:val="aa"/>
            <w:rFonts w:ascii="Times New Roman" w:hAnsi="Times New Roman" w:cs="Times New Roman"/>
            <w:noProof/>
            <w:sz w:val="24"/>
            <w:szCs w:val="24"/>
            <w:lang w:val="en-US"/>
          </w:rPr>
          <w:t>rector@donnu.ru</w:t>
        </w:r>
      </w:hyperlink>
      <w:r w:rsidR="0098321D">
        <w:rPr>
          <w:rFonts w:ascii="Times New Roman" w:hAnsi="Times New Roman" w:cs="Times New Roman"/>
          <w:noProof/>
          <w:sz w:val="24"/>
          <w:szCs w:val="24"/>
        </w:rPr>
        <w:t xml:space="preserve">, </w:t>
      </w:r>
      <w:hyperlink r:id="rId22" w:history="1">
        <w:r w:rsidR="0098321D" w:rsidRPr="000B58D6">
          <w:rPr>
            <w:rStyle w:val="aa"/>
            <w:rFonts w:ascii="Times New Roman" w:hAnsi="Times New Roman" w:cs="Times New Roman"/>
            <w:noProof/>
            <w:sz w:val="24"/>
            <w:szCs w:val="24"/>
            <w:lang w:val="en-US"/>
          </w:rPr>
          <w:t>canc@donnu.ru</w:t>
        </w:r>
      </w:hyperlink>
      <w:r w:rsidR="0098321D">
        <w:rPr>
          <w:rFonts w:ascii="Times New Roman" w:hAnsi="Times New Roman" w:cs="Times New Roman"/>
          <w:noProof/>
          <w:sz w:val="24"/>
          <w:szCs w:val="24"/>
        </w:rPr>
        <w:t xml:space="preserve">, </w:t>
      </w:r>
      <w:hyperlink r:id="rId23" w:history="1">
        <w:r w:rsidR="0098321D" w:rsidRPr="000B58D6">
          <w:rPr>
            <w:rStyle w:val="aa"/>
            <w:rFonts w:ascii="Times New Roman" w:hAnsi="Times New Roman" w:cs="Times New Roman"/>
            <w:noProof/>
            <w:sz w:val="24"/>
            <w:szCs w:val="24"/>
            <w:lang w:val="en-US"/>
          </w:rPr>
          <w:t>demyanenko-dmitriy@list.ru</w:t>
        </w:r>
      </w:hyperlink>
      <w:r w:rsidRPr="00923B94">
        <w:rPr>
          <w:rFonts w:ascii="Times New Roman" w:hAnsi="Times New Roman" w:cs="Times New Roman"/>
          <w:noProof/>
          <w:sz w:val="24"/>
          <w:szCs w:val="24"/>
          <w:lang w:val="en-US"/>
        </w:rPr>
        <w:t>).</w:t>
      </w:r>
    </w:p>
    <w:p w:rsidR="00923B94" w:rsidRPr="00923B94" w:rsidRDefault="00923B94" w:rsidP="0055449A">
      <w:pPr>
        <w:spacing w:after="0" w:line="240" w:lineRule="auto"/>
        <w:ind w:firstLine="709"/>
        <w:jc w:val="both"/>
        <w:rPr>
          <w:rFonts w:ascii="Times New Roman" w:hAnsi="Times New Roman" w:cs="Times New Roman"/>
          <w:noProof/>
          <w:sz w:val="24"/>
          <w:szCs w:val="24"/>
          <w:lang w:val="en-US"/>
        </w:rPr>
      </w:pPr>
      <w:r w:rsidRPr="00923B94">
        <w:rPr>
          <w:rFonts w:ascii="Times New Roman" w:hAnsi="Times New Roman" w:cs="Times New Roman"/>
          <w:noProof/>
          <w:sz w:val="24"/>
          <w:szCs w:val="24"/>
          <w:lang w:val="en-US"/>
        </w:rPr>
        <w:t xml:space="preserve">Yunicheva Nailya Shamilievna (Donetsk People's Republic, Donetsk) - Senior Lecturer of the Department of International Economics, Donetsk National University (Universitetskaya St., 24, Donetsk, 283001, DPR, </w:t>
      </w:r>
      <w:hyperlink r:id="rId24" w:history="1">
        <w:r w:rsidR="0098321D" w:rsidRPr="000B58D6">
          <w:rPr>
            <w:rStyle w:val="aa"/>
            <w:rFonts w:ascii="Times New Roman" w:hAnsi="Times New Roman" w:cs="Times New Roman"/>
            <w:noProof/>
            <w:sz w:val="24"/>
            <w:szCs w:val="24"/>
            <w:lang w:val="en-US"/>
          </w:rPr>
          <w:t>rector@donnu.ru</w:t>
        </w:r>
      </w:hyperlink>
      <w:r w:rsidR="0098321D">
        <w:rPr>
          <w:rFonts w:ascii="Times New Roman" w:hAnsi="Times New Roman" w:cs="Times New Roman"/>
          <w:noProof/>
          <w:sz w:val="24"/>
          <w:szCs w:val="24"/>
        </w:rPr>
        <w:t>,</w:t>
      </w:r>
      <w:r w:rsidRPr="00923B94">
        <w:rPr>
          <w:rFonts w:ascii="Times New Roman" w:hAnsi="Times New Roman" w:cs="Times New Roman"/>
          <w:noProof/>
          <w:sz w:val="24"/>
          <w:szCs w:val="24"/>
          <w:lang w:val="en-US"/>
        </w:rPr>
        <w:t xml:space="preserve"> </w:t>
      </w:r>
      <w:hyperlink r:id="rId25" w:history="1">
        <w:r w:rsidR="0098321D" w:rsidRPr="000B58D6">
          <w:rPr>
            <w:rStyle w:val="aa"/>
            <w:rFonts w:ascii="Times New Roman" w:hAnsi="Times New Roman" w:cs="Times New Roman"/>
            <w:noProof/>
            <w:sz w:val="24"/>
            <w:szCs w:val="24"/>
            <w:lang w:val="en-US"/>
          </w:rPr>
          <w:t>canc@donnu.ru</w:t>
        </w:r>
      </w:hyperlink>
      <w:r w:rsidR="0098321D">
        <w:rPr>
          <w:rFonts w:ascii="Times New Roman" w:hAnsi="Times New Roman" w:cs="Times New Roman"/>
          <w:noProof/>
          <w:sz w:val="24"/>
          <w:szCs w:val="24"/>
        </w:rPr>
        <w:t>,</w:t>
      </w:r>
      <w:r w:rsidR="0098321D" w:rsidRPr="0098321D">
        <w:rPr>
          <w:rFonts w:ascii="Times New Roman" w:hAnsi="Times New Roman" w:cs="Times New Roman"/>
          <w:noProof/>
          <w:sz w:val="24"/>
          <w:szCs w:val="24"/>
        </w:rPr>
        <w:t xml:space="preserve"> </w:t>
      </w:r>
      <w:hyperlink r:id="rId26" w:history="1">
        <w:r w:rsidR="0098321D" w:rsidRPr="0098321D">
          <w:rPr>
            <w:rStyle w:val="aa"/>
            <w:rFonts w:ascii="Times New Roman" w:hAnsi="Times New Roman" w:cs="Times New Roman"/>
            <w:sz w:val="24"/>
            <w:szCs w:val="24"/>
            <w:shd w:val="clear" w:color="auto" w:fill="FFFFFF"/>
          </w:rPr>
          <w:t>n.yunicheva@donnu.ru</w:t>
        </w:r>
      </w:hyperlink>
      <w:r w:rsidRPr="00923B94">
        <w:rPr>
          <w:rFonts w:ascii="Times New Roman" w:hAnsi="Times New Roman" w:cs="Times New Roman"/>
          <w:noProof/>
          <w:sz w:val="24"/>
          <w:szCs w:val="24"/>
          <w:lang w:val="en-US"/>
        </w:rPr>
        <w:t>).</w:t>
      </w:r>
    </w:p>
    <w:sectPr w:rsidR="00923B94" w:rsidRPr="00923B94" w:rsidSect="00F32BC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D4A" w:rsidRDefault="009A5D4A" w:rsidP="00963B20">
      <w:pPr>
        <w:spacing w:after="0" w:line="240" w:lineRule="auto"/>
      </w:pPr>
      <w:r>
        <w:separator/>
      </w:r>
    </w:p>
  </w:endnote>
  <w:endnote w:type="continuationSeparator" w:id="0">
    <w:p w:rsidR="009A5D4A" w:rsidRDefault="009A5D4A" w:rsidP="00963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D4A" w:rsidRDefault="009A5D4A" w:rsidP="00963B20">
      <w:pPr>
        <w:spacing w:after="0" w:line="240" w:lineRule="auto"/>
      </w:pPr>
      <w:r>
        <w:separator/>
      </w:r>
    </w:p>
  </w:footnote>
  <w:footnote w:type="continuationSeparator" w:id="0">
    <w:p w:rsidR="009A5D4A" w:rsidRDefault="009A5D4A" w:rsidP="00963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58E0"/>
    <w:multiLevelType w:val="hybridMultilevel"/>
    <w:tmpl w:val="8C062B12"/>
    <w:lvl w:ilvl="0" w:tplc="CE30C58A">
      <w:start w:val="1"/>
      <w:numFmt w:val="bullet"/>
      <w:lvlText w:val=""/>
      <w:lvlJc w:val="left"/>
      <w:pPr>
        <w:ind w:left="720" w:hanging="360"/>
      </w:pPr>
      <w:rPr>
        <w:rFonts w:ascii="Symbol" w:hAnsi="Symbol" w:hint="default"/>
      </w:rPr>
    </w:lvl>
    <w:lvl w:ilvl="1" w:tplc="CE30C58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3B48FC"/>
    <w:multiLevelType w:val="hybridMultilevel"/>
    <w:tmpl w:val="20108F6C"/>
    <w:lvl w:ilvl="0" w:tplc="C6880974">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5B7B2C"/>
    <w:multiLevelType w:val="hybridMultilevel"/>
    <w:tmpl w:val="D324CDC0"/>
    <w:lvl w:ilvl="0" w:tplc="D40C6B5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AE67F6F"/>
    <w:multiLevelType w:val="multilevel"/>
    <w:tmpl w:val="5AE69012"/>
    <w:lvl w:ilvl="0">
      <w:start w:val="1"/>
      <w:numFmt w:val="decimal"/>
      <w:lvlText w:val="%1."/>
      <w:lvlJc w:val="left"/>
      <w:pPr>
        <w:ind w:left="450" w:hanging="450"/>
      </w:pPr>
      <w:rPr>
        <w:rFonts w:hint="default"/>
        <w:sz w:val="24"/>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F9D18E3"/>
    <w:multiLevelType w:val="hybridMultilevel"/>
    <w:tmpl w:val="D324CDC0"/>
    <w:lvl w:ilvl="0" w:tplc="D40C6B5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D24311F"/>
    <w:multiLevelType w:val="multilevel"/>
    <w:tmpl w:val="8140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3C"/>
    <w:rsid w:val="000607F4"/>
    <w:rsid w:val="00091B2B"/>
    <w:rsid w:val="001350BC"/>
    <w:rsid w:val="0013683C"/>
    <w:rsid w:val="0015246E"/>
    <w:rsid w:val="001837F8"/>
    <w:rsid w:val="00204AEB"/>
    <w:rsid w:val="002B021A"/>
    <w:rsid w:val="00311284"/>
    <w:rsid w:val="00316F4E"/>
    <w:rsid w:val="0036477F"/>
    <w:rsid w:val="003950EF"/>
    <w:rsid w:val="003C1FF3"/>
    <w:rsid w:val="004D6FB6"/>
    <w:rsid w:val="0055449A"/>
    <w:rsid w:val="005A4E28"/>
    <w:rsid w:val="005C2B9C"/>
    <w:rsid w:val="007109F8"/>
    <w:rsid w:val="0076191A"/>
    <w:rsid w:val="00766295"/>
    <w:rsid w:val="00810667"/>
    <w:rsid w:val="00833569"/>
    <w:rsid w:val="008A4ED6"/>
    <w:rsid w:val="008C1045"/>
    <w:rsid w:val="00923B94"/>
    <w:rsid w:val="0094189A"/>
    <w:rsid w:val="00951DA7"/>
    <w:rsid w:val="00963B20"/>
    <w:rsid w:val="0098321D"/>
    <w:rsid w:val="009A58A2"/>
    <w:rsid w:val="009A5D4A"/>
    <w:rsid w:val="009F7B14"/>
    <w:rsid w:val="00AD31DC"/>
    <w:rsid w:val="00B12463"/>
    <w:rsid w:val="00B350AF"/>
    <w:rsid w:val="00BD3C8D"/>
    <w:rsid w:val="00BD4970"/>
    <w:rsid w:val="00C240A7"/>
    <w:rsid w:val="00C37C06"/>
    <w:rsid w:val="00C4334C"/>
    <w:rsid w:val="00C55554"/>
    <w:rsid w:val="00C564EE"/>
    <w:rsid w:val="00C7233F"/>
    <w:rsid w:val="00D1761E"/>
    <w:rsid w:val="00D47671"/>
    <w:rsid w:val="00DC1555"/>
    <w:rsid w:val="00EB1765"/>
    <w:rsid w:val="00F32BCD"/>
    <w:rsid w:val="00FA5C8E"/>
    <w:rsid w:val="00FB1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782F"/>
  <w15:chartTrackingRefBased/>
  <w15:docId w15:val="{AEBD1EB1-CAF5-40F9-9805-E66390B3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3647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6">
    <w:name w:val="rvps26"/>
    <w:basedOn w:val="a"/>
    <w:rsid w:val="00136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13683C"/>
  </w:style>
  <w:style w:type="paragraph" w:styleId="a3">
    <w:name w:val="footer"/>
    <w:basedOn w:val="a"/>
    <w:link w:val="a4"/>
    <w:uiPriority w:val="99"/>
    <w:unhideWhenUsed/>
    <w:rsid w:val="0036477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6477F"/>
  </w:style>
  <w:style w:type="paragraph" w:styleId="a5">
    <w:name w:val="Normal (Web)"/>
    <w:basedOn w:val="a"/>
    <w:uiPriority w:val="99"/>
    <w:unhideWhenUsed/>
    <w:rsid w:val="003647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6477F"/>
    <w:rPr>
      <w:rFonts w:asciiTheme="majorHAnsi" w:eastAsiaTheme="majorEastAsia" w:hAnsiTheme="majorHAnsi" w:cstheme="majorBidi"/>
      <w:color w:val="2E74B5" w:themeColor="accent1" w:themeShade="BF"/>
      <w:sz w:val="26"/>
      <w:szCs w:val="26"/>
    </w:rPr>
  </w:style>
  <w:style w:type="paragraph" w:styleId="a6">
    <w:name w:val="List Paragraph"/>
    <w:basedOn w:val="a"/>
    <w:uiPriority w:val="34"/>
    <w:qFormat/>
    <w:rsid w:val="0036477F"/>
    <w:pPr>
      <w:ind w:left="720"/>
      <w:contextualSpacing/>
    </w:pPr>
  </w:style>
  <w:style w:type="table" w:styleId="a7">
    <w:name w:val="Table Grid"/>
    <w:basedOn w:val="a1"/>
    <w:uiPriority w:val="39"/>
    <w:rsid w:val="00810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810667"/>
    <w:pPr>
      <w:spacing w:after="120"/>
      <w:ind w:left="283"/>
    </w:pPr>
  </w:style>
  <w:style w:type="character" w:customStyle="1" w:styleId="a9">
    <w:name w:val="Основной текст с отступом Знак"/>
    <w:basedOn w:val="a0"/>
    <w:link w:val="a8"/>
    <w:uiPriority w:val="99"/>
    <w:semiHidden/>
    <w:rsid w:val="00810667"/>
  </w:style>
  <w:style w:type="character" w:styleId="aa">
    <w:name w:val="Hyperlink"/>
    <w:basedOn w:val="a0"/>
    <w:uiPriority w:val="99"/>
    <w:unhideWhenUsed/>
    <w:rsid w:val="008A4ED6"/>
    <w:rPr>
      <w:color w:val="0563C1" w:themeColor="hyperlink"/>
      <w:u w:val="single"/>
    </w:rPr>
  </w:style>
  <w:style w:type="character" w:styleId="ab">
    <w:name w:val="Strong"/>
    <w:basedOn w:val="a0"/>
    <w:uiPriority w:val="22"/>
    <w:qFormat/>
    <w:rsid w:val="008A4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neft.ru/upload/site1/document_file/a_report_2020.pdf" TargetMode="External"/><Relationship Id="rId13" Type="http://schemas.openxmlformats.org/officeDocument/2006/relationships/hyperlink" Target="https://www.rosneft.ru/upload/site1/document_file/a_report_2020.pdf" TargetMode="External"/><Relationship Id="rId18" Type="http://schemas.openxmlformats.org/officeDocument/2006/relationships/hyperlink" Target="mailto:canc@donnu.ru" TargetMode="External"/><Relationship Id="rId26" Type="http://schemas.openxmlformats.org/officeDocument/2006/relationships/hyperlink" Target="mailto:n.yunicheva@donnu.ru" TargetMode="External"/><Relationship Id="rId3" Type="http://schemas.openxmlformats.org/officeDocument/2006/relationships/settings" Target="settings.xml"/><Relationship Id="rId21" Type="http://schemas.openxmlformats.org/officeDocument/2006/relationships/hyperlink" Target="mailto:rector@donnu.ru" TargetMode="External"/><Relationship Id="rId7" Type="http://schemas.openxmlformats.org/officeDocument/2006/relationships/hyperlink" Target="https://www.rosneft.ru/upload/site1/document_file/a_report_2020.pdf" TargetMode="External"/><Relationship Id="rId12" Type="http://schemas.openxmlformats.org/officeDocument/2006/relationships/hyperlink" Target="file:///C:/Users/Dmitriy/Downloads/strategiya-razvitiya-pao-nk-rosneft-na-mezhdunarodnyh-rynkah%20(1).pdf" TargetMode="External"/><Relationship Id="rId17" Type="http://schemas.openxmlformats.org/officeDocument/2006/relationships/hyperlink" Target="mailto:rector@donnu.ru" TargetMode="External"/><Relationship Id="rId25" Type="http://schemas.openxmlformats.org/officeDocument/2006/relationships/hyperlink" Target="mailto:canc@donnu.ru" TargetMode="External"/><Relationship Id="rId2" Type="http://schemas.openxmlformats.org/officeDocument/2006/relationships/styles" Target="styles.xml"/><Relationship Id="rId16" Type="http://schemas.openxmlformats.org/officeDocument/2006/relationships/hyperlink" Target="https://www.rosneft.ru/Development/sci_and_innov/Innovacionnaja_dejatelnost/Importozameshhenie_i_lokalizacija/" TargetMode="External"/><Relationship Id="rId20" Type="http://schemas.openxmlformats.org/officeDocument/2006/relationships/hyperlink" Target="mailto:canc@donn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sneft.ru/upload/site1/document_file/a_report_2020.pdf" TargetMode="External"/><Relationship Id="rId24" Type="http://schemas.openxmlformats.org/officeDocument/2006/relationships/hyperlink" Target="mailto:rector@donnu.ru" TargetMode="External"/><Relationship Id="rId5" Type="http://schemas.openxmlformats.org/officeDocument/2006/relationships/footnotes" Target="footnotes.xml"/><Relationship Id="rId15" Type="http://schemas.openxmlformats.org/officeDocument/2006/relationships/hyperlink" Target="https://www.rosneft.ru/Investors/statements_and_presentations/Statements/" TargetMode="External"/><Relationship Id="rId23" Type="http://schemas.openxmlformats.org/officeDocument/2006/relationships/hyperlink" Target="mailto:demyanenko-dmitriy@list.ru"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mailto:rector@donnu.ru" TargetMode="External"/><Relationship Id="rId4" Type="http://schemas.openxmlformats.org/officeDocument/2006/relationships/webSettings" Target="webSettings.xml"/><Relationship Id="rId9" Type="http://schemas.openxmlformats.org/officeDocument/2006/relationships/hyperlink" Target="https://www.rosneft.ru/upload/site1/document_file/a_report_2020.pdf" TargetMode="External"/><Relationship Id="rId14" Type="http://schemas.openxmlformats.org/officeDocument/2006/relationships/hyperlink" Target="https://www.rosneft.ru/upload/site1/document_file/a_report_2019.pdf" TargetMode="External"/><Relationship Id="rId22" Type="http://schemas.openxmlformats.org/officeDocument/2006/relationships/hyperlink" Target="mailto:canc@donnu.ru"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50146842878120423"/>
          <c:y val="0.10615079365079365"/>
          <c:w val="0.41640444724145165"/>
          <c:h val="0.78769841269841268"/>
        </c:manualLayout>
      </c:layout>
      <c:doughnutChart>
        <c:varyColors val="1"/>
        <c:ser>
          <c:idx val="0"/>
          <c:order val="0"/>
          <c:tx>
            <c:strRef>
              <c:f>Лист1!$B$1</c:f>
              <c:strCache>
                <c:ptCount val="1"/>
                <c:pt idx="0">
                  <c:v>Столбец1</c:v>
                </c:pt>
              </c:strCache>
            </c:strRef>
          </c:tx>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E837-4221-B751-83420AF1048E}"/>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E837-4221-B751-83420AF1048E}"/>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E837-4221-B751-83420AF1048E}"/>
              </c:ext>
            </c:extLst>
          </c:dPt>
          <c:dPt>
            <c:idx val="3"/>
            <c:bubble3D val="0"/>
            <c:spPr>
              <a:solidFill>
                <a:schemeClr val="dk1">
                  <a:tint val="98500"/>
                </a:schemeClr>
              </a:solidFill>
              <a:ln w="19050">
                <a:solidFill>
                  <a:schemeClr val="lt1"/>
                </a:solidFill>
              </a:ln>
              <a:effectLst/>
            </c:spPr>
            <c:extLst>
              <c:ext xmlns:c16="http://schemas.microsoft.com/office/drawing/2014/chart" uri="{C3380CC4-5D6E-409C-BE32-E72D297353CC}">
                <c16:uniqueId val="{00000007-E837-4221-B751-83420AF1048E}"/>
              </c:ext>
            </c:extLst>
          </c:dPt>
          <c:dPt>
            <c:idx val="4"/>
            <c:bubble3D val="0"/>
            <c:spPr>
              <a:solidFill>
                <a:schemeClr val="dk1">
                  <a:tint val="30000"/>
                </a:schemeClr>
              </a:solidFill>
              <a:ln w="19050">
                <a:solidFill>
                  <a:schemeClr val="lt1"/>
                </a:solidFill>
              </a:ln>
              <a:effectLst/>
            </c:spPr>
            <c:extLst>
              <c:ext xmlns:c16="http://schemas.microsoft.com/office/drawing/2014/chart" uri="{C3380CC4-5D6E-409C-BE32-E72D297353CC}">
                <c16:uniqueId val="{00000009-E837-4221-B751-83420AF1048E}"/>
              </c:ext>
            </c:extLst>
          </c:dPt>
          <c:dPt>
            <c:idx val="5"/>
            <c:bubble3D val="0"/>
            <c:spPr>
              <a:solidFill>
                <a:schemeClr val="dk1">
                  <a:tint val="60000"/>
                </a:schemeClr>
              </a:solidFill>
              <a:ln w="19050">
                <a:solidFill>
                  <a:schemeClr val="lt1"/>
                </a:solidFill>
              </a:ln>
              <a:effectLst/>
            </c:spPr>
            <c:extLst>
              <c:ext xmlns:c16="http://schemas.microsoft.com/office/drawing/2014/chart" uri="{C3380CC4-5D6E-409C-BE32-E72D297353CC}">
                <c16:uniqueId val="{0000000B-E837-4221-B751-83420AF1048E}"/>
              </c:ext>
            </c:extLst>
          </c:dPt>
          <c:dPt>
            <c:idx val="6"/>
            <c:bubble3D val="0"/>
            <c:spPr>
              <a:solidFill>
                <a:schemeClr val="dk1">
                  <a:tint val="80000"/>
                </a:schemeClr>
              </a:solidFill>
              <a:ln w="19050">
                <a:solidFill>
                  <a:schemeClr val="lt1"/>
                </a:solidFill>
              </a:ln>
              <a:effectLst/>
            </c:spPr>
            <c:extLst>
              <c:ext xmlns:c16="http://schemas.microsoft.com/office/drawing/2014/chart" uri="{C3380CC4-5D6E-409C-BE32-E72D297353CC}">
                <c16:uniqueId val="{0000000D-E837-4221-B751-83420AF1048E}"/>
              </c:ext>
            </c:extLst>
          </c:dPt>
          <c:dPt>
            <c:idx val="7"/>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F-E837-4221-B751-83420AF1048E}"/>
              </c:ext>
            </c:extLst>
          </c:dPt>
          <c:dPt>
            <c:idx val="8"/>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11-E837-4221-B751-83420AF1048E}"/>
              </c:ext>
            </c:extLst>
          </c:dPt>
          <c:dPt>
            <c:idx val="9"/>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13-E837-4221-B751-83420AF1048E}"/>
              </c:ext>
            </c:extLst>
          </c:dPt>
          <c:dPt>
            <c:idx val="10"/>
            <c:bubble3D val="0"/>
            <c:spPr>
              <a:solidFill>
                <a:schemeClr val="dk1">
                  <a:tint val="98500"/>
                </a:schemeClr>
              </a:solidFill>
              <a:ln w="19050">
                <a:solidFill>
                  <a:schemeClr val="lt1"/>
                </a:solidFill>
              </a:ln>
              <a:effectLst/>
            </c:spPr>
            <c:extLst>
              <c:ext xmlns:c16="http://schemas.microsoft.com/office/drawing/2014/chart" uri="{C3380CC4-5D6E-409C-BE32-E72D297353CC}">
                <c16:uniqueId val="{00000015-E837-4221-B751-83420AF1048E}"/>
              </c:ext>
            </c:extLst>
          </c:dPt>
          <c:dLbls>
            <c:dLbl>
              <c:idx val="0"/>
              <c:layout>
                <c:manualLayout>
                  <c:x val="7.2665099380209291E-2"/>
                  <c:y val="-9.12698412698412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37-4221-B751-83420AF1048E}"/>
                </c:ext>
              </c:extLst>
            </c:dLbl>
            <c:dLbl>
              <c:idx val="1"/>
              <c:layout>
                <c:manualLayout>
                  <c:x val="4.7018593716605953E-2"/>
                  <c:y val="8.3333333333333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837-4221-B751-83420AF1048E}"/>
                </c:ext>
              </c:extLst>
            </c:dLbl>
            <c:dLbl>
              <c:idx val="2"/>
              <c:layout>
                <c:manualLayout>
                  <c:x val="-4.4881384911305916E-2"/>
                  <c:y val="6.3492063492063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837-4221-B751-83420AF1048E}"/>
                </c:ext>
              </c:extLst>
            </c:dLbl>
            <c:dLbl>
              <c:idx val="3"/>
              <c:layout>
                <c:manualLayout>
                  <c:x val="-5.3430220132506943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837-4221-B751-83420AF1048E}"/>
                </c:ext>
              </c:extLst>
            </c:dLbl>
            <c:dLbl>
              <c:idx val="4"/>
              <c:layout>
                <c:manualLayout>
                  <c:x val="-6.1979055353708137E-2"/>
                  <c:y val="-7.93650793650800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837-4221-B751-83420AF1048E}"/>
                </c:ext>
              </c:extLst>
            </c:dLbl>
            <c:dLbl>
              <c:idx val="5"/>
              <c:layout>
                <c:manualLayout>
                  <c:x val="-6.411626415900841E-2"/>
                  <c:y val="-5.55555555555555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837-4221-B751-83420AF1048E}"/>
                </c:ext>
              </c:extLst>
            </c:dLbl>
            <c:dLbl>
              <c:idx val="6"/>
              <c:layout>
                <c:manualLayout>
                  <c:x val="-4.9155802521906392E-2"/>
                  <c:y val="-9.92063492063492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837-4221-B751-83420AF1048E}"/>
                </c:ext>
              </c:extLst>
            </c:dLbl>
            <c:dLbl>
              <c:idx val="7"/>
              <c:layout>
                <c:manualLayout>
                  <c:x val="-5.3430220132506943E-2"/>
                  <c:y val="-0.119047619047619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837-4221-B751-83420AF1048E}"/>
                </c:ext>
              </c:extLst>
            </c:dLbl>
            <c:dLbl>
              <c:idx val="8"/>
              <c:layout>
                <c:manualLayout>
                  <c:x val="-1.7334397077017356E-2"/>
                  <c:y val="-0.1078165700985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837-4221-B751-83420AF1048E}"/>
                </c:ext>
              </c:extLst>
            </c:dLbl>
            <c:dLbl>
              <c:idx val="9"/>
              <c:layout>
                <c:manualLayout>
                  <c:x val="8.1543221194266251E-3"/>
                  <c:y val="-9.98801564898727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837-4221-B751-83420AF1048E}"/>
                </c:ext>
              </c:extLst>
            </c:dLbl>
            <c:dLbl>
              <c:idx val="10"/>
              <c:layout>
                <c:manualLayout>
                  <c:x val="5.0819528616191698E-2"/>
                  <c:y val="-0.102718763928093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837-4221-B751-83420AF1048E}"/>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Лист1!$A$2:$A$12</c:f>
              <c:strCache>
                <c:ptCount val="11"/>
                <c:pt idx="0">
                  <c:v>Китай 35%</c:v>
                </c:pt>
                <c:pt idx="1">
                  <c:v>Центральная и Восточная Европа 15%</c:v>
                </c:pt>
                <c:pt idx="2">
                  <c:v>Международный трейдинг 12%</c:v>
                </c:pt>
                <c:pt idx="3">
                  <c:v>Приморск 9%</c:v>
                </c:pt>
                <c:pt idx="4">
                  <c:v>Козьмино 9%</c:v>
                </c:pt>
                <c:pt idx="5">
                  <c:v>Усть-Луга 7%</c:v>
                </c:pt>
                <c:pt idx="6">
                  <c:v>Республика Беларусь 5%</c:v>
                </c:pt>
                <c:pt idx="7">
                  <c:v>Новороссийск 4%</c:v>
                </c:pt>
                <c:pt idx="8">
                  <c:v>Де-кастри 2%</c:v>
                </c:pt>
                <c:pt idx="9">
                  <c:v>Железнодорожный 2%</c:v>
                </c:pt>
                <c:pt idx="10">
                  <c:v>Варандей 1%</c:v>
                </c:pt>
              </c:strCache>
            </c:strRef>
          </c:cat>
          <c:val>
            <c:numRef>
              <c:f>Лист1!$B$2:$B$12</c:f>
              <c:numCache>
                <c:formatCode>0.0%</c:formatCode>
                <c:ptCount val="11"/>
                <c:pt idx="0">
                  <c:v>0.35</c:v>
                </c:pt>
                <c:pt idx="1">
                  <c:v>0.15</c:v>
                </c:pt>
                <c:pt idx="2">
                  <c:v>0.12</c:v>
                </c:pt>
                <c:pt idx="3">
                  <c:v>0.09</c:v>
                </c:pt>
                <c:pt idx="4">
                  <c:v>0.09</c:v>
                </c:pt>
                <c:pt idx="5">
                  <c:v>7.0000000000000007E-2</c:v>
                </c:pt>
                <c:pt idx="6">
                  <c:v>0.05</c:v>
                </c:pt>
                <c:pt idx="7">
                  <c:v>0.04</c:v>
                </c:pt>
                <c:pt idx="8">
                  <c:v>0.02</c:v>
                </c:pt>
                <c:pt idx="9">
                  <c:v>0.02</c:v>
                </c:pt>
                <c:pt idx="10">
                  <c:v>0.01</c:v>
                </c:pt>
              </c:numCache>
            </c:numRef>
          </c:val>
          <c:extLst>
            <c:ext xmlns:c16="http://schemas.microsoft.com/office/drawing/2014/chart" uri="{C3380CC4-5D6E-409C-BE32-E72D297353CC}">
              <c16:uniqueId val="{00000016-E837-4221-B751-83420AF1048E}"/>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l"/>
      <c:layout>
        <c:manualLayout>
          <c:xMode val="edge"/>
          <c:yMode val="edge"/>
          <c:x val="1.2586532410320957E-2"/>
          <c:y val="5.1192038495188101E-2"/>
          <c:w val="0.4445143696245018"/>
          <c:h val="0.89761592300962378"/>
        </c:manualLayout>
      </c:layout>
      <c:overlay val="0"/>
      <c:spPr>
        <a:noFill/>
        <a:ln>
          <a:noFill/>
        </a:ln>
        <a:effectLst/>
      </c:spPr>
      <c:txPr>
        <a:bodyPr rot="0" spcFirstLastPara="1" vertOverflow="ellipsis" vert="horz" wrap="square" anchor="ctr" anchorCtr="1"/>
        <a:lstStyle/>
        <a:p>
          <a:pPr algn="just">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0.63436</cdr:x>
      <cdr:y>0.39436</cdr:y>
    </cdr:from>
    <cdr:to>
      <cdr:x>0.78979</cdr:x>
      <cdr:y>0.54137</cdr:y>
    </cdr:to>
    <cdr:sp macro="" textlink="">
      <cdr:nvSpPr>
        <cdr:cNvPr id="2" name="Надпись 12"/>
        <cdr:cNvSpPr txBox="1"/>
      </cdr:nvSpPr>
      <cdr:spPr>
        <a:xfrm xmlns:a="http://schemas.openxmlformats.org/drawingml/2006/main">
          <a:off x="3840479" y="796332"/>
          <a:ext cx="940986" cy="296859"/>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lnSpc>
              <a:spcPct val="107000"/>
            </a:lnSpc>
            <a:spcAft>
              <a:spcPts val="800"/>
            </a:spcAft>
          </a:pPr>
          <a:r>
            <a:rPr lang="ru-RU" sz="1800" b="1">
              <a:effectLst/>
              <a:latin typeface="Times New Roman" panose="02020603050405020304" pitchFamily="18" charset="0"/>
              <a:ea typeface="Calibri" panose="020F0502020204030204" pitchFamily="34" charset="0"/>
              <a:cs typeface="Times New Roman" panose="02020603050405020304" pitchFamily="18" charset="0"/>
            </a:rPr>
            <a:t>115,4</a:t>
          </a:r>
          <a:endParaRPr lang="ru-RU" sz="10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2087</Words>
  <Characters>11896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Dmitriy</cp:lastModifiedBy>
  <cp:revision>40</cp:revision>
  <dcterms:created xsi:type="dcterms:W3CDTF">2021-05-14T00:51:00Z</dcterms:created>
  <dcterms:modified xsi:type="dcterms:W3CDTF">2021-05-17T16:57:00Z</dcterms:modified>
</cp:coreProperties>
</file>