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17E2DDC" w14:textId="77777777" w:rsidR="002E5881" w:rsidRPr="005D5A5A" w:rsidRDefault="002E5881" w:rsidP="005D5A5A">
      <w:pPr>
        <w:spacing w:after="0" w:line="240" w:lineRule="auto"/>
        <w:rPr>
          <w:rFonts w:ascii="Times New Roman" w:hAnsi="Times New Roman" w:cs="Times New Roman"/>
          <w:b/>
          <w:sz w:val="24"/>
          <w:szCs w:val="24"/>
        </w:rPr>
      </w:pPr>
      <w:r w:rsidRPr="005D5A5A">
        <w:rPr>
          <w:rFonts w:ascii="Times New Roman" w:hAnsi="Times New Roman" w:cs="Times New Roman"/>
          <w:b/>
          <w:sz w:val="24"/>
          <w:szCs w:val="24"/>
        </w:rPr>
        <w:t xml:space="preserve">Индекс УДК 338.242.2 /ББК 65.30-551 </w:t>
      </w:r>
    </w:p>
    <w:p w14:paraId="3FD204E1" w14:textId="381AA6CF" w:rsidR="005A35B3" w:rsidRPr="005D5A5A" w:rsidRDefault="005A35B3" w:rsidP="005D5A5A">
      <w:pPr>
        <w:spacing w:after="0" w:line="240" w:lineRule="auto"/>
        <w:jc w:val="right"/>
        <w:rPr>
          <w:rFonts w:ascii="Times New Roman" w:hAnsi="Times New Roman" w:cs="Times New Roman"/>
          <w:b/>
          <w:sz w:val="24"/>
          <w:szCs w:val="24"/>
        </w:rPr>
      </w:pPr>
      <w:r w:rsidRPr="005D5A5A">
        <w:rPr>
          <w:rFonts w:ascii="Times New Roman" w:hAnsi="Times New Roman" w:cs="Times New Roman"/>
          <w:b/>
          <w:sz w:val="24"/>
          <w:szCs w:val="24"/>
        </w:rPr>
        <w:t>Кремин А.Е.</w:t>
      </w:r>
    </w:p>
    <w:p w14:paraId="7712142F" w14:textId="240F419C" w:rsidR="000072C8" w:rsidRPr="005D5A5A" w:rsidRDefault="0038200E" w:rsidP="005D5A5A">
      <w:pPr>
        <w:spacing w:after="0" w:line="240" w:lineRule="auto"/>
        <w:jc w:val="center"/>
        <w:rPr>
          <w:rFonts w:ascii="Times New Roman" w:hAnsi="Times New Roman" w:cs="Times New Roman"/>
          <w:b/>
          <w:sz w:val="24"/>
          <w:szCs w:val="24"/>
        </w:rPr>
      </w:pPr>
      <w:r w:rsidRPr="005D5A5A">
        <w:rPr>
          <w:rFonts w:ascii="Times New Roman" w:hAnsi="Times New Roman" w:cs="Times New Roman"/>
          <w:b/>
          <w:sz w:val="24"/>
          <w:szCs w:val="24"/>
        </w:rPr>
        <w:t xml:space="preserve">СТАДИИ РАЗВИТИЯ МАЛОГО И СРЕДНЕГО </w:t>
      </w:r>
      <w:r w:rsidRPr="005D5A5A">
        <w:rPr>
          <w:rFonts w:ascii="Times New Roman" w:hAnsi="Times New Roman" w:cs="Times New Roman"/>
          <w:b/>
          <w:sz w:val="24"/>
          <w:szCs w:val="24"/>
        </w:rPr>
        <w:br/>
        <w:t>ПРЕДПРИНИМАТЕЛЬСТВА В РЕГИОНЕ</w:t>
      </w:r>
      <w:r w:rsidR="00BE185A">
        <w:rPr>
          <w:rFonts w:ascii="Times New Roman" w:hAnsi="Times New Roman" w:cs="Times New Roman"/>
          <w:b/>
          <w:sz w:val="24"/>
          <w:szCs w:val="24"/>
        </w:rPr>
        <w:t>: АНАЛИЗ ТЕНДЕНЦИЙ И ПРОГНОЗ</w:t>
      </w:r>
      <w:r w:rsidR="00BE185A" w:rsidRPr="005D5A5A">
        <w:rPr>
          <w:rStyle w:val="a6"/>
          <w:rFonts w:ascii="Times New Roman" w:hAnsi="Times New Roman" w:cs="Times New Roman"/>
          <w:b/>
          <w:sz w:val="24"/>
          <w:szCs w:val="24"/>
          <w:vertAlign w:val="baseline"/>
        </w:rPr>
        <w:t xml:space="preserve"> </w:t>
      </w:r>
      <w:r w:rsidR="00A700D3" w:rsidRPr="005D5A5A">
        <w:rPr>
          <w:rStyle w:val="a6"/>
          <w:rFonts w:ascii="Times New Roman" w:hAnsi="Times New Roman" w:cs="Times New Roman"/>
          <w:b/>
          <w:sz w:val="24"/>
          <w:szCs w:val="24"/>
        </w:rPr>
        <w:footnoteReference w:id="1"/>
      </w:r>
    </w:p>
    <w:p w14:paraId="0B9D5739" w14:textId="77777777" w:rsidR="005A35B3" w:rsidRPr="005D5A5A" w:rsidRDefault="005A35B3" w:rsidP="005D5A5A">
      <w:pPr>
        <w:spacing w:after="0" w:line="240" w:lineRule="auto"/>
        <w:jc w:val="center"/>
        <w:rPr>
          <w:rFonts w:ascii="Times New Roman" w:hAnsi="Times New Roman" w:cs="Times New Roman"/>
          <w:b/>
          <w:sz w:val="24"/>
          <w:szCs w:val="24"/>
        </w:rPr>
      </w:pPr>
    </w:p>
    <w:p w14:paraId="175B4DF4" w14:textId="06A116A2" w:rsidR="0038200E" w:rsidRPr="005D5A5A" w:rsidRDefault="000E52F0" w:rsidP="005D5A5A">
      <w:pPr>
        <w:spacing w:after="0" w:line="240" w:lineRule="auto"/>
        <w:ind w:firstLine="709"/>
        <w:jc w:val="both"/>
        <w:rPr>
          <w:rFonts w:ascii="Times New Roman" w:hAnsi="Times New Roman" w:cs="Times New Roman"/>
          <w:bCs/>
          <w:sz w:val="24"/>
          <w:szCs w:val="24"/>
        </w:rPr>
      </w:pPr>
      <w:r w:rsidRPr="005D5A5A">
        <w:rPr>
          <w:rFonts w:ascii="Times New Roman" w:hAnsi="Times New Roman" w:cs="Times New Roman"/>
          <w:b/>
          <w:sz w:val="24"/>
          <w:szCs w:val="24"/>
        </w:rPr>
        <w:t>Аннотация статьи на русском языке</w:t>
      </w:r>
      <w:r w:rsidR="00171D76" w:rsidRPr="005D5A5A">
        <w:rPr>
          <w:rFonts w:ascii="Times New Roman" w:hAnsi="Times New Roman" w:cs="Times New Roman"/>
          <w:b/>
          <w:sz w:val="24"/>
          <w:szCs w:val="24"/>
        </w:rPr>
        <w:t xml:space="preserve">: </w:t>
      </w:r>
      <w:r w:rsidR="00DA65CB">
        <w:rPr>
          <w:rFonts w:ascii="Times New Roman" w:hAnsi="Times New Roman" w:cs="Times New Roman"/>
          <w:bCs/>
          <w:sz w:val="24"/>
          <w:szCs w:val="24"/>
        </w:rPr>
        <w:t>м</w:t>
      </w:r>
      <w:r w:rsidR="0038200E" w:rsidRPr="005D5A5A">
        <w:rPr>
          <w:rFonts w:ascii="Times New Roman" w:hAnsi="Times New Roman" w:cs="Times New Roman"/>
          <w:bCs/>
          <w:sz w:val="24"/>
          <w:szCs w:val="24"/>
        </w:rPr>
        <w:t>атериалы статьи посвящены исследованию стадий развития малого и среднего предпринимательства (МСП) в регион</w:t>
      </w:r>
      <w:r w:rsidR="00DA65CB">
        <w:rPr>
          <w:rFonts w:ascii="Times New Roman" w:hAnsi="Times New Roman" w:cs="Times New Roman"/>
          <w:bCs/>
          <w:sz w:val="24"/>
          <w:szCs w:val="24"/>
        </w:rPr>
        <w:t>е</w:t>
      </w:r>
      <w:r w:rsidR="0038200E" w:rsidRPr="005D5A5A">
        <w:rPr>
          <w:rFonts w:ascii="Times New Roman" w:hAnsi="Times New Roman" w:cs="Times New Roman"/>
          <w:bCs/>
          <w:sz w:val="24"/>
          <w:szCs w:val="24"/>
        </w:rPr>
        <w:t xml:space="preserve"> с целью разработки приоритетных мер его стимулирования. В ходе проведенного исследования с целью апробации полученных результатов были использованы материалы самоанализа субъектов МСП Вологодской области. Разработанная классификация стадий развития исследуемого сектора экономики может быть использована органами государственной власти как РФ, так и других зарубежных стран. </w:t>
      </w:r>
    </w:p>
    <w:p w14:paraId="4A02EEE7" w14:textId="7EFB26ED" w:rsidR="000E52F0" w:rsidRPr="005D5A5A" w:rsidRDefault="000E52F0" w:rsidP="005D5A5A">
      <w:pPr>
        <w:spacing w:after="0" w:line="240" w:lineRule="auto"/>
        <w:ind w:firstLine="709"/>
        <w:jc w:val="both"/>
        <w:rPr>
          <w:rFonts w:ascii="Times New Roman" w:hAnsi="Times New Roman" w:cs="Times New Roman"/>
          <w:b/>
          <w:sz w:val="24"/>
          <w:szCs w:val="24"/>
        </w:rPr>
      </w:pPr>
      <w:r w:rsidRPr="005D5A5A">
        <w:rPr>
          <w:rFonts w:ascii="Times New Roman" w:hAnsi="Times New Roman" w:cs="Times New Roman"/>
          <w:b/>
          <w:sz w:val="24"/>
          <w:szCs w:val="24"/>
        </w:rPr>
        <w:t>Ключевые слова на русском языке</w:t>
      </w:r>
      <w:r w:rsidR="00171D76" w:rsidRPr="005D5A5A">
        <w:rPr>
          <w:rFonts w:ascii="Times New Roman" w:hAnsi="Times New Roman" w:cs="Times New Roman"/>
          <w:b/>
          <w:sz w:val="24"/>
          <w:szCs w:val="24"/>
        </w:rPr>
        <w:t xml:space="preserve">: </w:t>
      </w:r>
      <w:r w:rsidR="0038200E" w:rsidRPr="005D5A5A">
        <w:rPr>
          <w:rFonts w:ascii="Times New Roman" w:hAnsi="Times New Roman" w:cs="Times New Roman"/>
          <w:bCs/>
          <w:sz w:val="24"/>
          <w:szCs w:val="24"/>
        </w:rPr>
        <w:t xml:space="preserve">малое и среднее предпринимательство, опрос, </w:t>
      </w:r>
      <w:r w:rsidR="00514B45">
        <w:rPr>
          <w:rFonts w:ascii="Times New Roman" w:hAnsi="Times New Roman" w:cs="Times New Roman"/>
          <w:bCs/>
          <w:sz w:val="24"/>
          <w:szCs w:val="24"/>
        </w:rPr>
        <w:t>региональное</w:t>
      </w:r>
      <w:r w:rsidR="0038200E" w:rsidRPr="005D5A5A">
        <w:rPr>
          <w:rFonts w:ascii="Times New Roman" w:hAnsi="Times New Roman" w:cs="Times New Roman"/>
          <w:bCs/>
          <w:sz w:val="24"/>
          <w:szCs w:val="24"/>
        </w:rPr>
        <w:t xml:space="preserve"> развитие, условия развития</w:t>
      </w:r>
      <w:r w:rsidR="00514B45">
        <w:rPr>
          <w:rFonts w:ascii="Times New Roman" w:hAnsi="Times New Roman" w:cs="Times New Roman"/>
          <w:bCs/>
          <w:sz w:val="24"/>
          <w:szCs w:val="24"/>
        </w:rPr>
        <w:t>, прогноз.</w:t>
      </w:r>
    </w:p>
    <w:p w14:paraId="6D93DF5E" w14:textId="77777777" w:rsidR="000E52F0" w:rsidRPr="005D5A5A" w:rsidRDefault="000E52F0" w:rsidP="005D5A5A">
      <w:pPr>
        <w:spacing w:after="0" w:line="240" w:lineRule="auto"/>
        <w:ind w:firstLine="709"/>
        <w:jc w:val="both"/>
        <w:rPr>
          <w:rFonts w:ascii="Times New Roman" w:hAnsi="Times New Roman" w:cs="Times New Roman"/>
          <w:sz w:val="24"/>
          <w:szCs w:val="24"/>
        </w:rPr>
      </w:pPr>
    </w:p>
    <w:p w14:paraId="413F2DF6" w14:textId="77777777" w:rsidR="0038200E" w:rsidRPr="005D5A5A" w:rsidRDefault="0038200E" w:rsidP="005D5A5A">
      <w:pPr>
        <w:spacing w:after="0" w:line="240" w:lineRule="auto"/>
        <w:ind w:firstLine="709"/>
        <w:jc w:val="both"/>
        <w:rPr>
          <w:rFonts w:ascii="Times New Roman" w:hAnsi="Times New Roman" w:cs="Times New Roman"/>
          <w:spacing w:val="-4"/>
          <w:sz w:val="24"/>
          <w:szCs w:val="24"/>
        </w:rPr>
      </w:pPr>
      <w:r w:rsidRPr="005D5A5A">
        <w:rPr>
          <w:rFonts w:ascii="Times New Roman" w:hAnsi="Times New Roman" w:cs="Times New Roman"/>
          <w:spacing w:val="-4"/>
          <w:sz w:val="24"/>
          <w:szCs w:val="24"/>
        </w:rPr>
        <w:t>Научным сообществом, а также органами государственной власти неоднократно подтверждался тезис о том, что основными источниками инновационного развития экономики регионов являются субъекты малого и среднего предпринимательства (МСП) [9]. Ввиду своей адаптивности и гибкости к изменяющимся условиям функционирования, данный сектор экономики способен обеспечить высокую скорость внедрения инноваций в реальный сектор экономики, обеспечив этим ее динамичное развитие.</w:t>
      </w:r>
    </w:p>
    <w:p w14:paraId="7B7E3A7B" w14:textId="7110DF69" w:rsidR="007F669A" w:rsidRPr="005D5A5A" w:rsidRDefault="0038200E" w:rsidP="005D5A5A">
      <w:pPr>
        <w:spacing w:after="0" w:line="240" w:lineRule="auto"/>
        <w:ind w:firstLine="709"/>
        <w:jc w:val="both"/>
        <w:rPr>
          <w:rFonts w:ascii="Times New Roman" w:hAnsi="Times New Roman" w:cs="Times New Roman"/>
          <w:spacing w:val="-4"/>
          <w:sz w:val="24"/>
          <w:szCs w:val="24"/>
        </w:rPr>
      </w:pPr>
      <w:r w:rsidRPr="005D5A5A">
        <w:rPr>
          <w:rFonts w:ascii="Times New Roman" w:hAnsi="Times New Roman" w:cs="Times New Roman"/>
          <w:spacing w:val="-4"/>
          <w:sz w:val="24"/>
          <w:szCs w:val="24"/>
        </w:rPr>
        <w:t>Однако данным предприятия также, как и остальные участники рынка, в процессе функционирования испытывают влияние внешних факторов. Условия развития субъектов МСП становятся основным фактором, влияющим на достижимость запланированных результатов экономического роста [1</w:t>
      </w:r>
      <w:r w:rsidR="003602F8">
        <w:rPr>
          <w:rFonts w:ascii="Times New Roman" w:hAnsi="Times New Roman" w:cs="Times New Roman"/>
          <w:spacing w:val="-4"/>
          <w:sz w:val="24"/>
          <w:szCs w:val="24"/>
        </w:rPr>
        <w:t>1</w:t>
      </w:r>
      <w:r w:rsidRPr="005D5A5A">
        <w:rPr>
          <w:rFonts w:ascii="Times New Roman" w:hAnsi="Times New Roman" w:cs="Times New Roman"/>
          <w:spacing w:val="-4"/>
          <w:sz w:val="24"/>
          <w:szCs w:val="24"/>
        </w:rPr>
        <w:t>]. Поэтому создание благоприятного климата для развития к субъектов исследуемого сектора экономики, является главной задачей государственных субъектов управления [1].</w:t>
      </w:r>
    </w:p>
    <w:p w14:paraId="0E105C49" w14:textId="412AB74F" w:rsidR="005D5A5A" w:rsidRPr="005D5A5A" w:rsidRDefault="005D5A5A" w:rsidP="005D5A5A">
      <w:pPr>
        <w:spacing w:after="0" w:line="240" w:lineRule="auto"/>
        <w:ind w:firstLine="709"/>
        <w:jc w:val="both"/>
        <w:rPr>
          <w:rFonts w:ascii="Times New Roman" w:eastAsia="Times New Roman" w:hAnsi="Times New Roman" w:cs="Times New Roman"/>
          <w:sz w:val="24"/>
          <w:szCs w:val="24"/>
          <w:lang w:eastAsia="ru-RU"/>
        </w:rPr>
      </w:pPr>
      <w:r w:rsidRPr="005D5A5A">
        <w:rPr>
          <w:rFonts w:ascii="Times New Roman" w:eastAsia="Courier New" w:hAnsi="Times New Roman" w:cs="Courier New"/>
          <w:color w:val="000000"/>
          <w:spacing w:val="-4"/>
          <w:sz w:val="24"/>
          <w:szCs w:val="24"/>
          <w:lang w:eastAsia="ru-RU"/>
        </w:rPr>
        <w:t xml:space="preserve">Для осуществления качественного управления развитием сектора МСП со стороны государственных органов власти представляется необходимым осуществить оценку состояния его структурных элементом. </w:t>
      </w:r>
      <w:r w:rsidRPr="005D5A5A">
        <w:rPr>
          <w:rFonts w:ascii="Times New Roman" w:eastAsia="Times New Roman" w:hAnsi="Times New Roman" w:cs="Times New Roman"/>
          <w:sz w:val="24"/>
          <w:szCs w:val="24"/>
          <w:lang w:eastAsia="ru-RU"/>
        </w:rPr>
        <w:t>Для этого были проанализированы теоретические подходы к описанию отдельных стадий развития хозяйствующих субъектов и определены приоритетные меры государственного воздействия на активность функционирования исследуемого сектора экономики.</w:t>
      </w:r>
    </w:p>
    <w:p w14:paraId="688494C0" w14:textId="53DBD082" w:rsidR="005D5A5A" w:rsidRPr="005D5A5A" w:rsidRDefault="005D5A5A" w:rsidP="005D5A5A">
      <w:pPr>
        <w:spacing w:after="0" w:line="240" w:lineRule="auto"/>
        <w:ind w:firstLine="709"/>
        <w:jc w:val="both"/>
        <w:rPr>
          <w:rFonts w:ascii="Times New Roman" w:eastAsia="Times New Roman" w:hAnsi="Times New Roman" w:cs="Times New Roman"/>
          <w:sz w:val="24"/>
          <w:szCs w:val="24"/>
          <w:lang w:eastAsia="ru-RU"/>
        </w:rPr>
      </w:pPr>
      <w:r w:rsidRPr="005D5A5A">
        <w:rPr>
          <w:rFonts w:ascii="Times New Roman" w:eastAsia="Times New Roman" w:hAnsi="Times New Roman" w:cs="Times New Roman"/>
          <w:sz w:val="24"/>
          <w:szCs w:val="24"/>
          <w:lang w:eastAsia="ru-RU"/>
        </w:rPr>
        <w:t>Исследованию стадий развития социально-экономических систем посвящены работы как зарубежных (К. Перес, М. Хирука, Дж. Гольдштейн, Г. Менш и др. [7; 1</w:t>
      </w:r>
      <w:r w:rsidR="003602F8">
        <w:rPr>
          <w:rFonts w:ascii="Times New Roman" w:eastAsia="Times New Roman" w:hAnsi="Times New Roman" w:cs="Times New Roman"/>
          <w:sz w:val="24"/>
          <w:szCs w:val="24"/>
          <w:lang w:eastAsia="ru-RU"/>
        </w:rPr>
        <w:t>0</w:t>
      </w:r>
      <w:r w:rsidRPr="005D5A5A">
        <w:rPr>
          <w:rFonts w:ascii="Times New Roman" w:eastAsia="Times New Roman" w:hAnsi="Times New Roman" w:cs="Times New Roman"/>
          <w:sz w:val="24"/>
          <w:szCs w:val="24"/>
          <w:lang w:eastAsia="ru-RU"/>
        </w:rPr>
        <w:t xml:space="preserve">]), так и российских исследователей (С. Глазьев, Л. Гринин, А. Коротаев, И.Э. Фролов, Ю. Яковец и др. [3; 8]). Однако учитывая, что малый бизнес характеризуется функциями создания новых секторов (отраслей, сфер деятельности) в экономике регионов, которые существенно изменяют ее структуру состояние, стоит отметить подход к определению отдельных фаз развития К. Переса. Им были выделены 6 фаз развития (зарождение, внедрение, агрессия, синергия, зрелость, распространение на периферию (глобализация)), которые также характеризуют отдельные этапы прохождения длинных волн Кондратьева. </w:t>
      </w:r>
    </w:p>
    <w:p w14:paraId="08AD9630" w14:textId="36BA6B94" w:rsidR="005D5A5A" w:rsidRPr="005D5A5A" w:rsidRDefault="005D5A5A" w:rsidP="005D5A5A">
      <w:pPr>
        <w:spacing w:after="0" w:line="240" w:lineRule="auto"/>
        <w:ind w:firstLine="709"/>
        <w:jc w:val="both"/>
        <w:rPr>
          <w:rFonts w:ascii="Times New Roman" w:eastAsia="Times New Roman" w:hAnsi="Times New Roman" w:cs="Times New Roman"/>
          <w:spacing w:val="-4"/>
          <w:sz w:val="24"/>
          <w:szCs w:val="24"/>
          <w:lang w:eastAsia="ru-RU"/>
        </w:rPr>
      </w:pPr>
      <w:r w:rsidRPr="005D5A5A">
        <w:rPr>
          <w:rFonts w:ascii="Times New Roman" w:eastAsia="Times New Roman" w:hAnsi="Times New Roman" w:cs="Times New Roman"/>
          <w:sz w:val="24"/>
          <w:szCs w:val="24"/>
          <w:lang w:eastAsia="ru-RU"/>
        </w:rPr>
        <w:t xml:space="preserve">Так, стоит отметить, что на этапе зарождения и внедрения субъекты предпринимательства </w:t>
      </w:r>
      <w:r w:rsidR="00353DDD" w:rsidRPr="005D5A5A">
        <w:rPr>
          <w:rFonts w:ascii="Times New Roman" w:eastAsia="Times New Roman" w:hAnsi="Times New Roman" w:cs="Times New Roman"/>
          <w:sz w:val="24"/>
          <w:szCs w:val="24"/>
          <w:lang w:eastAsia="ru-RU"/>
        </w:rPr>
        <w:t>придерживаться</w:t>
      </w:r>
      <w:r w:rsidRPr="005D5A5A">
        <w:rPr>
          <w:rFonts w:ascii="Times New Roman" w:eastAsia="Times New Roman" w:hAnsi="Times New Roman" w:cs="Times New Roman"/>
          <w:sz w:val="24"/>
          <w:szCs w:val="24"/>
          <w:lang w:eastAsia="ru-RU"/>
        </w:rPr>
        <w:t xml:space="preserve"> стратегии выживания предприятия за счет закрепления в определенной нише товаров и услуг. </w:t>
      </w:r>
      <w:r w:rsidRPr="005D5A5A">
        <w:rPr>
          <w:rFonts w:ascii="Times New Roman" w:eastAsia="Times New Roman" w:hAnsi="Times New Roman" w:cs="Times New Roman"/>
          <w:spacing w:val="-4"/>
          <w:sz w:val="24"/>
          <w:szCs w:val="24"/>
          <w:lang w:eastAsia="ru-RU"/>
        </w:rPr>
        <w:t xml:space="preserve">Дальнейшее развития и выживаемость субъектов исследуемого сектора экономики зависит от размеров. Исследователями было доказано, что угроза ухода с рынка обратно пропорциональна размеру предприятий. Поэтому важным условием развития будет являться установление тесных связей с крупными предприятиями (например, посредством франчайзинга, долгосрочных контрактов, слияний и поглощений) с целью получения доступа к новым </w:t>
      </w:r>
      <w:r w:rsidRPr="005D5A5A">
        <w:rPr>
          <w:rFonts w:ascii="Times New Roman" w:eastAsia="Times New Roman" w:hAnsi="Times New Roman" w:cs="Times New Roman"/>
          <w:spacing w:val="-4"/>
          <w:sz w:val="24"/>
          <w:szCs w:val="24"/>
          <w:lang w:eastAsia="ru-RU"/>
        </w:rPr>
        <w:lastRenderedPageBreak/>
        <w:t>ресурсам. Также на данной стадии развития негативным фактором для субъектов МСП будет являться угроза новизны, что ставит перед ними необходимость использования определенных стратегий по увеличению доверия и репутации новых фирм [7].</w:t>
      </w:r>
    </w:p>
    <w:p w14:paraId="4941860C" w14:textId="77777777" w:rsidR="005D5A5A" w:rsidRPr="005D5A5A" w:rsidRDefault="005D5A5A" w:rsidP="005D5A5A">
      <w:pPr>
        <w:spacing w:after="0" w:line="240" w:lineRule="auto"/>
        <w:ind w:firstLine="709"/>
        <w:jc w:val="both"/>
        <w:rPr>
          <w:rFonts w:ascii="Times New Roman" w:eastAsia="Times New Roman" w:hAnsi="Times New Roman" w:cs="Times New Roman"/>
          <w:sz w:val="24"/>
          <w:szCs w:val="24"/>
          <w:lang w:eastAsia="ru-RU"/>
        </w:rPr>
      </w:pPr>
      <w:r w:rsidRPr="005D5A5A">
        <w:rPr>
          <w:rFonts w:ascii="Times New Roman" w:eastAsia="Times New Roman" w:hAnsi="Times New Roman" w:cs="Times New Roman"/>
          <w:sz w:val="24"/>
          <w:szCs w:val="24"/>
          <w:lang w:eastAsia="ru-RU"/>
        </w:rPr>
        <w:t>Используя данную классификацию, становится возможным оценить состояния развития МСП в каждом отдельном регионе с целью разработки и применения персонализированных мер и методов поддержки МСП с целью достижения их наибольшей эффективности. Оценка стадии развития получена на основе материалов самооценки МСП Вологодской области.</w:t>
      </w:r>
    </w:p>
    <w:p w14:paraId="09F9D79B" w14:textId="539E4C8B" w:rsidR="005D5A5A" w:rsidRPr="003602F8" w:rsidRDefault="005D5A5A" w:rsidP="005D5A5A">
      <w:pPr>
        <w:spacing w:after="0" w:line="240" w:lineRule="auto"/>
        <w:ind w:firstLine="709"/>
        <w:jc w:val="both"/>
        <w:rPr>
          <w:rFonts w:ascii="Times New Roman" w:eastAsia="Times New Roman" w:hAnsi="Times New Roman" w:cs="Times New Roman"/>
          <w:spacing w:val="-2"/>
          <w:sz w:val="24"/>
          <w:szCs w:val="24"/>
          <w:lang w:eastAsia="ru-RU"/>
        </w:rPr>
      </w:pPr>
      <w:r w:rsidRPr="003602F8">
        <w:rPr>
          <w:rFonts w:ascii="Times New Roman" w:eastAsia="Times New Roman" w:hAnsi="Times New Roman" w:cs="Times New Roman"/>
          <w:spacing w:val="-2"/>
          <w:sz w:val="24"/>
          <w:szCs w:val="24"/>
          <w:lang w:eastAsia="ru-RU"/>
        </w:rPr>
        <w:t>Для проведения самооценки исследуемого сектора экономики в регионе сотрудниками Вологодского научного центра Российской академии наук (ВолНЦ РАН) ежегодно проводится мониторинг состояния МСП, позволяющий оценить динамику развития субъектов данного сектора экономики, а также выявить приоритетные направления государственного воздействия на данный процесс. Объём выборки для анкетирования составил 300 предпринимателей Вологодской области. Репрезентативность выборки обеспечивается соблюдением следующих условий: пропорцией между количеством представителей отдельных категорий субъектов малого бизнеса; пропорциями между видами деятельности представителей исследуемого сектора экономики. При доверительной вероятности в 95% погрешность выборки не превышает 5%.</w:t>
      </w:r>
    </w:p>
    <w:p w14:paraId="6E912EB5" w14:textId="03DAF46B" w:rsidR="005D5A5A" w:rsidRDefault="005D5A5A" w:rsidP="005D5A5A">
      <w:pPr>
        <w:spacing w:after="0" w:line="240" w:lineRule="auto"/>
        <w:ind w:firstLine="709"/>
        <w:jc w:val="both"/>
        <w:rPr>
          <w:rFonts w:ascii="Times New Roman" w:eastAsia="Times New Roman" w:hAnsi="Times New Roman" w:cs="Times New Roman"/>
          <w:sz w:val="24"/>
          <w:szCs w:val="24"/>
          <w:lang w:eastAsia="ru-RU"/>
        </w:rPr>
      </w:pPr>
      <w:r w:rsidRPr="005D5A5A">
        <w:rPr>
          <w:rFonts w:ascii="Times New Roman" w:eastAsia="Times New Roman" w:hAnsi="Times New Roman" w:cs="Times New Roman"/>
          <w:sz w:val="24"/>
          <w:szCs w:val="24"/>
          <w:lang w:eastAsia="ru-RU"/>
        </w:rPr>
        <w:t>В данном исследовании б</w:t>
      </w:r>
      <w:r>
        <w:rPr>
          <w:rFonts w:ascii="Times New Roman" w:eastAsia="Times New Roman" w:hAnsi="Times New Roman" w:cs="Times New Roman"/>
          <w:sz w:val="24"/>
          <w:szCs w:val="24"/>
          <w:lang w:eastAsia="ru-RU"/>
        </w:rPr>
        <w:t>ыли</w:t>
      </w:r>
      <w:r w:rsidRPr="005D5A5A">
        <w:rPr>
          <w:rFonts w:ascii="Times New Roman" w:eastAsia="Times New Roman" w:hAnsi="Times New Roman" w:cs="Times New Roman"/>
          <w:sz w:val="24"/>
          <w:szCs w:val="24"/>
          <w:lang w:eastAsia="ru-RU"/>
        </w:rPr>
        <w:t xml:space="preserve"> использованы результаты опроса, позволяющие проанализировать условие и состояние развития МСП в России до кризисов и после (2007, 2009, 2012, 2018 г.), что в конечном итоге позволи</w:t>
      </w:r>
      <w:r>
        <w:rPr>
          <w:rFonts w:ascii="Times New Roman" w:eastAsia="Times New Roman" w:hAnsi="Times New Roman" w:cs="Times New Roman"/>
          <w:sz w:val="24"/>
          <w:szCs w:val="24"/>
          <w:lang w:eastAsia="ru-RU"/>
        </w:rPr>
        <w:t>ло</w:t>
      </w:r>
      <w:r w:rsidRPr="005D5A5A">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сделать вывод о том, что </w:t>
      </w:r>
      <w:r w:rsidR="00F3341A" w:rsidRPr="00F3341A">
        <w:rPr>
          <w:rFonts w:ascii="Times New Roman" w:eastAsia="Times New Roman" w:hAnsi="Times New Roman" w:cs="Times New Roman"/>
          <w:sz w:val="24"/>
          <w:szCs w:val="24"/>
          <w:lang w:eastAsia="ru-RU"/>
        </w:rPr>
        <w:t xml:space="preserve">МСП в Вологодской области </w:t>
      </w:r>
      <w:r w:rsidR="00F3341A">
        <w:rPr>
          <w:rFonts w:ascii="Times New Roman" w:eastAsia="Times New Roman" w:hAnsi="Times New Roman" w:cs="Times New Roman"/>
          <w:sz w:val="24"/>
          <w:szCs w:val="24"/>
          <w:lang w:eastAsia="ru-RU"/>
        </w:rPr>
        <w:t xml:space="preserve">переходит в </w:t>
      </w:r>
      <w:r w:rsidR="00F3341A" w:rsidRPr="00F3341A">
        <w:rPr>
          <w:rFonts w:ascii="Times New Roman" w:eastAsia="Times New Roman" w:hAnsi="Times New Roman" w:cs="Times New Roman"/>
          <w:sz w:val="24"/>
          <w:szCs w:val="24"/>
          <w:lang w:eastAsia="ru-RU"/>
        </w:rPr>
        <w:t>стадию зрелости, характеризующу</w:t>
      </w:r>
      <w:r w:rsidR="00F3341A">
        <w:rPr>
          <w:rFonts w:ascii="Times New Roman" w:eastAsia="Times New Roman" w:hAnsi="Times New Roman" w:cs="Times New Roman"/>
          <w:sz w:val="24"/>
          <w:szCs w:val="24"/>
          <w:lang w:eastAsia="ru-RU"/>
        </w:rPr>
        <w:t>юся</w:t>
      </w:r>
      <w:r w:rsidR="00F3341A" w:rsidRPr="00F3341A">
        <w:rPr>
          <w:rFonts w:ascii="Times New Roman" w:eastAsia="Times New Roman" w:hAnsi="Times New Roman" w:cs="Times New Roman"/>
          <w:sz w:val="24"/>
          <w:szCs w:val="24"/>
          <w:lang w:eastAsia="ru-RU"/>
        </w:rPr>
        <w:t xml:space="preserve"> устойчивым развитием исследуемого сектора экономики. </w:t>
      </w:r>
      <w:r w:rsidR="00A31705">
        <w:rPr>
          <w:rFonts w:ascii="Times New Roman" w:eastAsia="Times New Roman" w:hAnsi="Times New Roman" w:cs="Times New Roman"/>
          <w:sz w:val="24"/>
          <w:szCs w:val="24"/>
          <w:lang w:eastAsia="ru-RU"/>
        </w:rPr>
        <w:t>Об этом свидетельствует и прогноз развития исследуемых субъектов экономики региона.</w:t>
      </w:r>
    </w:p>
    <w:p w14:paraId="6678BA32" w14:textId="77777777" w:rsidR="007D702C" w:rsidRPr="007D702C" w:rsidRDefault="007D702C" w:rsidP="007D702C">
      <w:pPr>
        <w:widowControl w:val="0"/>
        <w:spacing w:after="0" w:line="240" w:lineRule="auto"/>
        <w:ind w:firstLine="709"/>
        <w:jc w:val="both"/>
        <w:rPr>
          <w:rFonts w:ascii="Times New Roman" w:eastAsia="Courier New" w:hAnsi="Times New Roman" w:cs="Courier New"/>
          <w:color w:val="000000"/>
          <w:spacing w:val="-4"/>
          <w:sz w:val="24"/>
          <w:lang w:eastAsia="ru-RU"/>
        </w:rPr>
      </w:pPr>
      <w:r w:rsidRPr="007D702C">
        <w:rPr>
          <w:rFonts w:ascii="Times New Roman" w:eastAsia="Courier New" w:hAnsi="Times New Roman" w:cs="Courier New"/>
          <w:color w:val="000000"/>
          <w:spacing w:val="-4"/>
          <w:sz w:val="24"/>
          <w:szCs w:val="24"/>
          <w:lang w:eastAsia="ru-RU"/>
        </w:rPr>
        <w:t xml:space="preserve">Для начала представляется целесообразным остановиться на оценке результатов функционирования МСП за исследуемые периоды. Так, за 2007 – 2018 гг. динамика роста объемов производства (продаж), работ, услуг субъектов МСП снизилась. Увеличилась доля респондентов отмечающих, что объемы деятельности остались на том же уровне, более чем на 12 п.п. Также более чем на 6 п.п. увеличилась доля опрошенных организаций, руководители которых отмечают снижение данного показателя. Стоит отметить, что увеличение динамики значительного роста не наблюдалось респондентами с 2007 г., что свидетельствует о том, что субъекты исследуемого сектора экономики по истечению 10 лет так и не вернули прежние темпы развития. </w:t>
      </w:r>
      <w:r w:rsidRPr="007D702C">
        <w:rPr>
          <w:rFonts w:ascii="Times New Roman" w:eastAsia="Courier New" w:hAnsi="Times New Roman" w:cs="Courier New"/>
          <w:color w:val="000000"/>
          <w:spacing w:val="-4"/>
          <w:sz w:val="24"/>
          <w:lang w:eastAsia="ru-RU"/>
        </w:rPr>
        <w:t xml:space="preserve">Однако при общем снижении динамики роста объемов производства и оказанных услуг руководители опрошенных МСП отмечают учащение случаев незначительного роста количества работников исследуемых организаций. При этом условия, созданные в 2018 г., позволили достичь наилучшего результата данных изменений за исследуемый период. </w:t>
      </w:r>
    </w:p>
    <w:p w14:paraId="56688E52" w14:textId="6BC6E1A7" w:rsidR="007D702C" w:rsidRDefault="007D702C" w:rsidP="007D702C">
      <w:pPr>
        <w:widowControl w:val="0"/>
        <w:spacing w:after="0" w:line="240" w:lineRule="auto"/>
        <w:ind w:firstLine="709"/>
        <w:jc w:val="both"/>
        <w:rPr>
          <w:rFonts w:ascii="Times New Roman" w:eastAsia="Courier New" w:hAnsi="Times New Roman" w:cs="Courier New"/>
          <w:color w:val="000000"/>
          <w:spacing w:val="-4"/>
          <w:sz w:val="24"/>
          <w:szCs w:val="24"/>
          <w:lang w:eastAsia="ru-RU"/>
        </w:rPr>
      </w:pPr>
      <w:r w:rsidRPr="007D702C">
        <w:rPr>
          <w:rFonts w:ascii="Times New Roman" w:eastAsia="Courier New" w:hAnsi="Times New Roman" w:cs="Courier New"/>
          <w:color w:val="000000"/>
          <w:spacing w:val="-4"/>
          <w:sz w:val="24"/>
          <w:szCs w:val="24"/>
          <w:lang w:eastAsia="ru-RU"/>
        </w:rPr>
        <w:t xml:space="preserve">В общем итоге рентабельность данных субъектов экономики также претерпела негативные изменения. Доля респондентов, отметивших наличие значительного роста данного показателя, сократилась на 10 п.п., что сказалось на ее увеличении в категории «незначительный рост» </w:t>
      </w:r>
      <w:r>
        <w:rPr>
          <w:rFonts w:ascii="Times New Roman" w:eastAsia="Courier New" w:hAnsi="Times New Roman" w:cs="Courier New"/>
          <w:color w:val="000000"/>
          <w:spacing w:val="-4"/>
          <w:sz w:val="24"/>
          <w:szCs w:val="24"/>
          <w:lang w:eastAsia="ru-RU"/>
        </w:rPr>
        <w:br/>
      </w:r>
      <w:r w:rsidRPr="007D702C">
        <w:rPr>
          <w:rFonts w:ascii="Times New Roman" w:eastAsia="Courier New" w:hAnsi="Times New Roman" w:cs="Courier New"/>
          <w:color w:val="000000"/>
          <w:spacing w:val="-4"/>
          <w:sz w:val="24"/>
          <w:szCs w:val="24"/>
          <w:lang w:eastAsia="ru-RU"/>
        </w:rPr>
        <w:t xml:space="preserve">(на 7,1 %). Дополнительно к этому выросла доля субъектов, характеризующихся незначительным снижением рентабельности их деятельности к 2018 г., что также свидетельствует об ухудшении состояния исследуемого сектора экономики. При этом, стоит отметить, что предприниматели в 2018 г. стали больше задумываться о дальнейших перспективах развития в краткосрочный период </w:t>
      </w:r>
      <w:r>
        <w:rPr>
          <w:rFonts w:ascii="Times New Roman" w:eastAsia="Courier New" w:hAnsi="Times New Roman" w:cs="Courier New"/>
          <w:color w:val="000000"/>
          <w:spacing w:val="-4"/>
          <w:sz w:val="24"/>
          <w:szCs w:val="24"/>
          <w:lang w:eastAsia="ru-RU"/>
        </w:rPr>
        <w:br/>
      </w:r>
      <w:r w:rsidRPr="007D702C">
        <w:rPr>
          <w:rFonts w:ascii="Times New Roman" w:eastAsia="Courier New" w:hAnsi="Times New Roman" w:cs="Courier New"/>
          <w:color w:val="000000"/>
          <w:spacing w:val="-4"/>
          <w:sz w:val="24"/>
          <w:szCs w:val="24"/>
          <w:lang w:eastAsia="ru-RU"/>
        </w:rPr>
        <w:t>(+ 6,3 п.п.), но также произошло увеличение доли респондентов, которые не рассчитывают дальнейшее развитие своего бизнеса на срок более 3 лет (-3.1 п.п.), что свидетельствует о росте их неуверенности и количестве рисков ведения предпринимательской деятельности. Об этом также свидетельствует сокращение доли респондентов, тратящих свою прибыль на развитие собственного бизнеса в размерах более 30% (табл.).</w:t>
      </w:r>
    </w:p>
    <w:p w14:paraId="74E82DE7" w14:textId="0A35FD7E" w:rsidR="003602F8" w:rsidRDefault="003602F8" w:rsidP="007D702C">
      <w:pPr>
        <w:widowControl w:val="0"/>
        <w:spacing w:after="0" w:line="240" w:lineRule="auto"/>
        <w:ind w:firstLine="709"/>
        <w:jc w:val="both"/>
        <w:rPr>
          <w:rFonts w:ascii="Times New Roman" w:eastAsia="Courier New" w:hAnsi="Times New Roman" w:cs="Courier New"/>
          <w:color w:val="000000"/>
          <w:spacing w:val="-4"/>
          <w:sz w:val="24"/>
          <w:szCs w:val="24"/>
          <w:lang w:eastAsia="ru-RU"/>
        </w:rPr>
      </w:pPr>
    </w:p>
    <w:p w14:paraId="544A86F1" w14:textId="4A279FEB" w:rsidR="003602F8" w:rsidRDefault="003602F8" w:rsidP="007D702C">
      <w:pPr>
        <w:widowControl w:val="0"/>
        <w:spacing w:after="0" w:line="240" w:lineRule="auto"/>
        <w:ind w:firstLine="709"/>
        <w:jc w:val="both"/>
        <w:rPr>
          <w:rFonts w:ascii="Times New Roman" w:eastAsia="Courier New" w:hAnsi="Times New Roman" w:cs="Courier New"/>
          <w:color w:val="000000"/>
          <w:spacing w:val="-4"/>
          <w:sz w:val="24"/>
          <w:szCs w:val="24"/>
          <w:lang w:eastAsia="ru-RU"/>
        </w:rPr>
      </w:pPr>
    </w:p>
    <w:p w14:paraId="6D2EE870" w14:textId="3B980A5F" w:rsidR="003602F8" w:rsidRDefault="003602F8" w:rsidP="007D702C">
      <w:pPr>
        <w:widowControl w:val="0"/>
        <w:spacing w:after="0" w:line="240" w:lineRule="auto"/>
        <w:ind w:firstLine="709"/>
        <w:jc w:val="both"/>
        <w:rPr>
          <w:rFonts w:ascii="Times New Roman" w:eastAsia="Courier New" w:hAnsi="Times New Roman" w:cs="Courier New"/>
          <w:color w:val="000000"/>
          <w:spacing w:val="-4"/>
          <w:sz w:val="24"/>
          <w:szCs w:val="24"/>
          <w:lang w:eastAsia="ru-RU"/>
        </w:rPr>
      </w:pPr>
    </w:p>
    <w:p w14:paraId="52D2B7C0" w14:textId="32DAFF37" w:rsidR="003602F8" w:rsidRDefault="003602F8" w:rsidP="007D702C">
      <w:pPr>
        <w:widowControl w:val="0"/>
        <w:spacing w:after="0" w:line="240" w:lineRule="auto"/>
        <w:ind w:firstLine="709"/>
        <w:jc w:val="both"/>
        <w:rPr>
          <w:rFonts w:ascii="Times New Roman" w:eastAsia="Courier New" w:hAnsi="Times New Roman" w:cs="Courier New"/>
          <w:color w:val="000000"/>
          <w:spacing w:val="-4"/>
          <w:sz w:val="24"/>
          <w:szCs w:val="24"/>
          <w:lang w:eastAsia="ru-RU"/>
        </w:rPr>
      </w:pPr>
    </w:p>
    <w:p w14:paraId="167DC1B7" w14:textId="77777777" w:rsidR="003602F8" w:rsidRPr="007D702C" w:rsidRDefault="003602F8" w:rsidP="007D702C">
      <w:pPr>
        <w:widowControl w:val="0"/>
        <w:spacing w:after="0" w:line="240" w:lineRule="auto"/>
        <w:ind w:firstLine="709"/>
        <w:jc w:val="both"/>
        <w:rPr>
          <w:rFonts w:ascii="Times New Roman" w:eastAsia="Courier New" w:hAnsi="Times New Roman" w:cs="Courier New"/>
          <w:color w:val="000000"/>
          <w:spacing w:val="-4"/>
          <w:sz w:val="24"/>
          <w:szCs w:val="24"/>
          <w:lang w:eastAsia="ru-RU"/>
        </w:rPr>
      </w:pPr>
    </w:p>
    <w:p w14:paraId="0428D3B5" w14:textId="79C52B17" w:rsidR="007D702C" w:rsidRPr="007D702C" w:rsidRDefault="007D702C" w:rsidP="007D702C">
      <w:pPr>
        <w:widowControl w:val="0"/>
        <w:spacing w:after="0" w:line="240" w:lineRule="auto"/>
        <w:jc w:val="center"/>
        <w:rPr>
          <w:rFonts w:ascii="Times New Roman" w:eastAsia="Courier New" w:hAnsi="Times New Roman" w:cs="Courier New"/>
          <w:color w:val="000000"/>
          <w:spacing w:val="-4"/>
          <w:sz w:val="24"/>
          <w:szCs w:val="24"/>
          <w:lang w:eastAsia="ru-RU"/>
        </w:rPr>
      </w:pPr>
      <w:r w:rsidRPr="007D702C">
        <w:rPr>
          <w:rFonts w:ascii="Times New Roman" w:eastAsia="Courier New" w:hAnsi="Times New Roman" w:cs="Courier New"/>
          <w:color w:val="000000"/>
          <w:spacing w:val="-4"/>
          <w:sz w:val="24"/>
          <w:szCs w:val="24"/>
          <w:lang w:eastAsia="ru-RU"/>
        </w:rPr>
        <w:lastRenderedPageBreak/>
        <w:t>Таблица. Распределение респондентов по доле затрат на развитие, %</w:t>
      </w:r>
    </w:p>
    <w:tbl>
      <w:tblPr>
        <w:tblW w:w="96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3158"/>
        <w:gridCol w:w="1202"/>
        <w:gridCol w:w="1202"/>
        <w:gridCol w:w="1202"/>
        <w:gridCol w:w="1202"/>
        <w:gridCol w:w="1715"/>
      </w:tblGrid>
      <w:tr w:rsidR="007D702C" w:rsidRPr="007D702C" w14:paraId="655F27DA" w14:textId="77777777" w:rsidTr="007D702C">
        <w:trPr>
          <w:trHeight w:val="220"/>
          <w:tblHeader/>
        </w:trPr>
        <w:tc>
          <w:tcPr>
            <w:tcW w:w="3158" w:type="dxa"/>
            <w:vAlign w:val="center"/>
          </w:tcPr>
          <w:p w14:paraId="2D4E7A28"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Доля затрат на развитие от прибыли</w:t>
            </w:r>
          </w:p>
        </w:tc>
        <w:tc>
          <w:tcPr>
            <w:tcW w:w="1202" w:type="dxa"/>
            <w:vAlign w:val="center"/>
          </w:tcPr>
          <w:p w14:paraId="36B11B3C"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2007 г.</w:t>
            </w:r>
          </w:p>
        </w:tc>
        <w:tc>
          <w:tcPr>
            <w:tcW w:w="1202" w:type="dxa"/>
            <w:vAlign w:val="center"/>
          </w:tcPr>
          <w:p w14:paraId="436EAA4F"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2009 г.</w:t>
            </w:r>
          </w:p>
        </w:tc>
        <w:tc>
          <w:tcPr>
            <w:tcW w:w="1202" w:type="dxa"/>
            <w:vAlign w:val="center"/>
          </w:tcPr>
          <w:p w14:paraId="0788668E"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2012 г.</w:t>
            </w:r>
          </w:p>
        </w:tc>
        <w:tc>
          <w:tcPr>
            <w:tcW w:w="1202" w:type="dxa"/>
            <w:vAlign w:val="center"/>
          </w:tcPr>
          <w:p w14:paraId="16D2FE80"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2018 г.</w:t>
            </w:r>
          </w:p>
        </w:tc>
        <w:tc>
          <w:tcPr>
            <w:tcW w:w="1715" w:type="dxa"/>
          </w:tcPr>
          <w:p w14:paraId="377A2EB8"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Изменение за 2007-2018 гг., п.п.</w:t>
            </w:r>
          </w:p>
        </w:tc>
      </w:tr>
      <w:tr w:rsidR="007D702C" w:rsidRPr="007D702C" w14:paraId="202BA275" w14:textId="77777777" w:rsidTr="00952916">
        <w:trPr>
          <w:trHeight w:val="220"/>
        </w:trPr>
        <w:tc>
          <w:tcPr>
            <w:tcW w:w="3158" w:type="dxa"/>
            <w:vAlign w:val="center"/>
          </w:tcPr>
          <w:p w14:paraId="0E88BC53"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0%</w:t>
            </w:r>
          </w:p>
        </w:tc>
        <w:tc>
          <w:tcPr>
            <w:tcW w:w="1202" w:type="dxa"/>
            <w:shd w:val="clear" w:color="auto" w:fill="auto"/>
            <w:vAlign w:val="bottom"/>
          </w:tcPr>
          <w:p w14:paraId="2EAD85BC"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1,8</w:t>
            </w:r>
          </w:p>
        </w:tc>
        <w:tc>
          <w:tcPr>
            <w:tcW w:w="1202" w:type="dxa"/>
            <w:vAlign w:val="center"/>
          </w:tcPr>
          <w:p w14:paraId="51F03F02"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6,6</w:t>
            </w:r>
          </w:p>
        </w:tc>
        <w:tc>
          <w:tcPr>
            <w:tcW w:w="1202" w:type="dxa"/>
            <w:vAlign w:val="center"/>
          </w:tcPr>
          <w:p w14:paraId="08AE1509"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6,6</w:t>
            </w:r>
          </w:p>
        </w:tc>
        <w:tc>
          <w:tcPr>
            <w:tcW w:w="1202" w:type="dxa"/>
          </w:tcPr>
          <w:p w14:paraId="19699D90" w14:textId="77777777" w:rsidR="007D702C" w:rsidRPr="007D702C" w:rsidRDefault="007D702C" w:rsidP="007D702C">
            <w:pPr>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3,0</w:t>
            </w:r>
          </w:p>
        </w:tc>
        <w:tc>
          <w:tcPr>
            <w:tcW w:w="1715" w:type="dxa"/>
            <w:shd w:val="clear" w:color="auto" w:fill="auto"/>
            <w:vAlign w:val="center"/>
          </w:tcPr>
          <w:p w14:paraId="03CE65FF" w14:textId="77777777" w:rsidR="007D702C" w:rsidRPr="007D702C" w:rsidRDefault="007D702C" w:rsidP="007D702C">
            <w:pPr>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1,2</w:t>
            </w:r>
          </w:p>
        </w:tc>
      </w:tr>
      <w:tr w:rsidR="007D702C" w:rsidRPr="007D702C" w14:paraId="6409F36B" w14:textId="77777777" w:rsidTr="00952916">
        <w:trPr>
          <w:trHeight w:val="220"/>
        </w:trPr>
        <w:tc>
          <w:tcPr>
            <w:tcW w:w="3158" w:type="dxa"/>
            <w:vAlign w:val="center"/>
          </w:tcPr>
          <w:p w14:paraId="45042C88"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До 10%</w:t>
            </w:r>
          </w:p>
        </w:tc>
        <w:tc>
          <w:tcPr>
            <w:tcW w:w="1202" w:type="dxa"/>
            <w:shd w:val="clear" w:color="auto" w:fill="auto"/>
            <w:vAlign w:val="center"/>
          </w:tcPr>
          <w:p w14:paraId="4C2D48EE" w14:textId="77777777" w:rsidR="007D702C" w:rsidRPr="007D702C" w:rsidRDefault="007D702C" w:rsidP="007D702C">
            <w:pPr>
              <w:tabs>
                <w:tab w:val="left" w:pos="4536"/>
              </w:tabs>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9,7</w:t>
            </w:r>
          </w:p>
        </w:tc>
        <w:tc>
          <w:tcPr>
            <w:tcW w:w="1202" w:type="dxa"/>
            <w:vAlign w:val="center"/>
          </w:tcPr>
          <w:p w14:paraId="00539F0B"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17,0</w:t>
            </w:r>
          </w:p>
        </w:tc>
        <w:tc>
          <w:tcPr>
            <w:tcW w:w="1202" w:type="dxa"/>
            <w:vAlign w:val="center"/>
          </w:tcPr>
          <w:p w14:paraId="23090E8A"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20,2</w:t>
            </w:r>
          </w:p>
        </w:tc>
        <w:tc>
          <w:tcPr>
            <w:tcW w:w="1202" w:type="dxa"/>
          </w:tcPr>
          <w:p w14:paraId="2D7F77B0" w14:textId="77777777" w:rsidR="007D702C" w:rsidRPr="007D702C" w:rsidRDefault="007D702C" w:rsidP="007D702C">
            <w:pPr>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15,2</w:t>
            </w:r>
          </w:p>
        </w:tc>
        <w:tc>
          <w:tcPr>
            <w:tcW w:w="1715" w:type="dxa"/>
            <w:shd w:val="clear" w:color="auto" w:fill="auto"/>
            <w:vAlign w:val="center"/>
          </w:tcPr>
          <w:p w14:paraId="0E1F5B9B" w14:textId="77777777" w:rsidR="007D702C" w:rsidRPr="007D702C" w:rsidRDefault="007D702C" w:rsidP="007D702C">
            <w:pPr>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5,5</w:t>
            </w:r>
          </w:p>
        </w:tc>
      </w:tr>
      <w:tr w:rsidR="007D702C" w:rsidRPr="007D702C" w14:paraId="15E8D1B6" w14:textId="77777777" w:rsidTr="00952916">
        <w:trPr>
          <w:trHeight w:val="220"/>
        </w:trPr>
        <w:tc>
          <w:tcPr>
            <w:tcW w:w="3158" w:type="dxa"/>
            <w:vAlign w:val="center"/>
          </w:tcPr>
          <w:p w14:paraId="6CCC2CDB"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10 – 30%</w:t>
            </w:r>
          </w:p>
        </w:tc>
        <w:tc>
          <w:tcPr>
            <w:tcW w:w="1202" w:type="dxa"/>
            <w:shd w:val="clear" w:color="auto" w:fill="auto"/>
            <w:vAlign w:val="center"/>
          </w:tcPr>
          <w:p w14:paraId="6FE1B75B" w14:textId="77777777" w:rsidR="007D702C" w:rsidRPr="007D702C" w:rsidRDefault="007D702C" w:rsidP="007D702C">
            <w:pPr>
              <w:tabs>
                <w:tab w:val="left" w:pos="4536"/>
              </w:tabs>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21,8</w:t>
            </w:r>
          </w:p>
        </w:tc>
        <w:tc>
          <w:tcPr>
            <w:tcW w:w="1202" w:type="dxa"/>
            <w:vAlign w:val="center"/>
          </w:tcPr>
          <w:p w14:paraId="41440A2E"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28,2</w:t>
            </w:r>
          </w:p>
        </w:tc>
        <w:tc>
          <w:tcPr>
            <w:tcW w:w="1202" w:type="dxa"/>
            <w:vAlign w:val="center"/>
          </w:tcPr>
          <w:p w14:paraId="6A4764BE"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22,7</w:t>
            </w:r>
          </w:p>
        </w:tc>
        <w:tc>
          <w:tcPr>
            <w:tcW w:w="1202" w:type="dxa"/>
          </w:tcPr>
          <w:p w14:paraId="4FF0CBA7" w14:textId="77777777" w:rsidR="007D702C" w:rsidRPr="007D702C" w:rsidRDefault="007D702C" w:rsidP="007D702C">
            <w:pPr>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47,0</w:t>
            </w:r>
          </w:p>
        </w:tc>
        <w:tc>
          <w:tcPr>
            <w:tcW w:w="1715" w:type="dxa"/>
            <w:shd w:val="clear" w:color="auto" w:fill="auto"/>
            <w:vAlign w:val="center"/>
          </w:tcPr>
          <w:p w14:paraId="63C19E75" w14:textId="77777777" w:rsidR="007D702C" w:rsidRPr="007D702C" w:rsidRDefault="007D702C" w:rsidP="007D702C">
            <w:pPr>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25,2</w:t>
            </w:r>
          </w:p>
        </w:tc>
      </w:tr>
      <w:tr w:rsidR="007D702C" w:rsidRPr="007D702C" w14:paraId="5815EE1B" w14:textId="77777777" w:rsidTr="00952916">
        <w:trPr>
          <w:trHeight w:val="220"/>
        </w:trPr>
        <w:tc>
          <w:tcPr>
            <w:tcW w:w="3158" w:type="dxa"/>
            <w:vAlign w:val="center"/>
          </w:tcPr>
          <w:p w14:paraId="1FC1F97A"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30 – 50%</w:t>
            </w:r>
          </w:p>
        </w:tc>
        <w:tc>
          <w:tcPr>
            <w:tcW w:w="1202" w:type="dxa"/>
            <w:shd w:val="clear" w:color="auto" w:fill="auto"/>
            <w:vAlign w:val="center"/>
          </w:tcPr>
          <w:p w14:paraId="6F8C864C" w14:textId="77777777" w:rsidR="007D702C" w:rsidRPr="007D702C" w:rsidRDefault="007D702C" w:rsidP="007D702C">
            <w:pPr>
              <w:tabs>
                <w:tab w:val="left" w:pos="4536"/>
              </w:tabs>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27,8</w:t>
            </w:r>
          </w:p>
        </w:tc>
        <w:tc>
          <w:tcPr>
            <w:tcW w:w="1202" w:type="dxa"/>
            <w:vAlign w:val="center"/>
          </w:tcPr>
          <w:p w14:paraId="7D090EA9"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21,6</w:t>
            </w:r>
          </w:p>
        </w:tc>
        <w:tc>
          <w:tcPr>
            <w:tcW w:w="1202" w:type="dxa"/>
            <w:vAlign w:val="center"/>
          </w:tcPr>
          <w:p w14:paraId="5F846FBD"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28,9</w:t>
            </w:r>
          </w:p>
        </w:tc>
        <w:tc>
          <w:tcPr>
            <w:tcW w:w="1202" w:type="dxa"/>
          </w:tcPr>
          <w:p w14:paraId="76BF99B9" w14:textId="77777777" w:rsidR="007D702C" w:rsidRPr="007D702C" w:rsidRDefault="007D702C" w:rsidP="007D702C">
            <w:pPr>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27,3</w:t>
            </w:r>
          </w:p>
        </w:tc>
        <w:tc>
          <w:tcPr>
            <w:tcW w:w="1715" w:type="dxa"/>
            <w:shd w:val="clear" w:color="auto" w:fill="auto"/>
            <w:vAlign w:val="center"/>
          </w:tcPr>
          <w:p w14:paraId="2F7935E9" w14:textId="77777777" w:rsidR="007D702C" w:rsidRPr="007D702C" w:rsidRDefault="007D702C" w:rsidP="007D702C">
            <w:pPr>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-0,5</w:t>
            </w:r>
          </w:p>
        </w:tc>
      </w:tr>
      <w:tr w:rsidR="007D702C" w:rsidRPr="007D702C" w14:paraId="7E552491" w14:textId="77777777" w:rsidTr="00952916">
        <w:trPr>
          <w:trHeight w:val="220"/>
        </w:trPr>
        <w:tc>
          <w:tcPr>
            <w:tcW w:w="3158" w:type="dxa"/>
            <w:vAlign w:val="center"/>
          </w:tcPr>
          <w:p w14:paraId="5C5C6011"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50 – 70%</w:t>
            </w:r>
          </w:p>
        </w:tc>
        <w:tc>
          <w:tcPr>
            <w:tcW w:w="1202" w:type="dxa"/>
            <w:shd w:val="clear" w:color="auto" w:fill="auto"/>
            <w:vAlign w:val="center"/>
          </w:tcPr>
          <w:p w14:paraId="5EDE5958" w14:textId="77777777" w:rsidR="007D702C" w:rsidRPr="007D702C" w:rsidRDefault="007D702C" w:rsidP="007D702C">
            <w:pPr>
              <w:tabs>
                <w:tab w:val="left" w:pos="4536"/>
              </w:tabs>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19,1</w:t>
            </w:r>
          </w:p>
        </w:tc>
        <w:tc>
          <w:tcPr>
            <w:tcW w:w="1202" w:type="dxa"/>
            <w:vAlign w:val="center"/>
          </w:tcPr>
          <w:p w14:paraId="131677C3"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14,1</w:t>
            </w:r>
          </w:p>
        </w:tc>
        <w:tc>
          <w:tcPr>
            <w:tcW w:w="1202" w:type="dxa"/>
            <w:vAlign w:val="center"/>
          </w:tcPr>
          <w:p w14:paraId="5FFD31CE"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12,8</w:t>
            </w:r>
          </w:p>
        </w:tc>
        <w:tc>
          <w:tcPr>
            <w:tcW w:w="1202" w:type="dxa"/>
          </w:tcPr>
          <w:p w14:paraId="0F6C8DFF" w14:textId="77777777" w:rsidR="007D702C" w:rsidRPr="007D702C" w:rsidRDefault="007D702C" w:rsidP="007D702C">
            <w:pPr>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4,5</w:t>
            </w:r>
          </w:p>
        </w:tc>
        <w:tc>
          <w:tcPr>
            <w:tcW w:w="1715" w:type="dxa"/>
            <w:shd w:val="clear" w:color="auto" w:fill="auto"/>
            <w:vAlign w:val="center"/>
          </w:tcPr>
          <w:p w14:paraId="5290212A" w14:textId="77777777" w:rsidR="007D702C" w:rsidRPr="007D702C" w:rsidRDefault="007D702C" w:rsidP="007D702C">
            <w:pPr>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-14,6</w:t>
            </w:r>
          </w:p>
        </w:tc>
      </w:tr>
      <w:tr w:rsidR="007D702C" w:rsidRPr="007D702C" w14:paraId="7F5D3DD2" w14:textId="77777777" w:rsidTr="00952916">
        <w:trPr>
          <w:trHeight w:val="220"/>
        </w:trPr>
        <w:tc>
          <w:tcPr>
            <w:tcW w:w="3158" w:type="dxa"/>
            <w:vAlign w:val="center"/>
          </w:tcPr>
          <w:p w14:paraId="2368C67D"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70 – 100%</w:t>
            </w:r>
          </w:p>
        </w:tc>
        <w:tc>
          <w:tcPr>
            <w:tcW w:w="1202" w:type="dxa"/>
            <w:shd w:val="clear" w:color="auto" w:fill="auto"/>
            <w:vAlign w:val="center"/>
          </w:tcPr>
          <w:p w14:paraId="05936DF9" w14:textId="77777777" w:rsidR="007D702C" w:rsidRPr="007D702C" w:rsidRDefault="007D702C" w:rsidP="007D702C">
            <w:pPr>
              <w:tabs>
                <w:tab w:val="left" w:pos="4536"/>
              </w:tabs>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19,8</w:t>
            </w:r>
          </w:p>
        </w:tc>
        <w:tc>
          <w:tcPr>
            <w:tcW w:w="1202" w:type="dxa"/>
            <w:vAlign w:val="center"/>
          </w:tcPr>
          <w:p w14:paraId="03EEA4A8"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11,2</w:t>
            </w:r>
          </w:p>
        </w:tc>
        <w:tc>
          <w:tcPr>
            <w:tcW w:w="1202" w:type="dxa"/>
            <w:vAlign w:val="center"/>
          </w:tcPr>
          <w:p w14:paraId="752F612C" w14:textId="77777777" w:rsidR="007D702C" w:rsidRPr="007D702C" w:rsidRDefault="007D702C" w:rsidP="007D702C">
            <w:pPr>
              <w:autoSpaceDE w:val="0"/>
              <w:autoSpaceDN w:val="0"/>
              <w:adjustRightInd w:val="0"/>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7,9</w:t>
            </w:r>
          </w:p>
        </w:tc>
        <w:tc>
          <w:tcPr>
            <w:tcW w:w="1202" w:type="dxa"/>
          </w:tcPr>
          <w:p w14:paraId="35AFD244" w14:textId="77777777" w:rsidR="007D702C" w:rsidRPr="007D702C" w:rsidRDefault="007D702C" w:rsidP="007D702C">
            <w:pPr>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3,0</w:t>
            </w:r>
          </w:p>
        </w:tc>
        <w:tc>
          <w:tcPr>
            <w:tcW w:w="1715" w:type="dxa"/>
            <w:shd w:val="clear" w:color="auto" w:fill="auto"/>
            <w:vAlign w:val="center"/>
          </w:tcPr>
          <w:p w14:paraId="35224927" w14:textId="77777777" w:rsidR="007D702C" w:rsidRPr="007D702C" w:rsidRDefault="007D702C" w:rsidP="007D702C">
            <w:pPr>
              <w:spacing w:after="0" w:line="240" w:lineRule="auto"/>
              <w:jc w:val="center"/>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-16,8</w:t>
            </w:r>
          </w:p>
        </w:tc>
      </w:tr>
      <w:tr w:rsidR="007D702C" w:rsidRPr="007D702C" w14:paraId="6F26DB91" w14:textId="77777777" w:rsidTr="00952916">
        <w:trPr>
          <w:trHeight w:val="220"/>
        </w:trPr>
        <w:tc>
          <w:tcPr>
            <w:tcW w:w="9681" w:type="dxa"/>
            <w:gridSpan w:val="6"/>
            <w:vAlign w:val="center"/>
          </w:tcPr>
          <w:p w14:paraId="3719ADA1" w14:textId="77777777" w:rsidR="007D702C" w:rsidRPr="007D702C" w:rsidRDefault="007D702C" w:rsidP="007D702C">
            <w:pPr>
              <w:spacing w:after="0" w:line="240" w:lineRule="auto"/>
              <w:jc w:val="both"/>
              <w:rPr>
                <w:rFonts w:ascii="Times New Roman" w:eastAsia="Times New Roman" w:hAnsi="Times New Roman" w:cs="Times New Roman"/>
                <w:color w:val="000000"/>
                <w:sz w:val="20"/>
                <w:szCs w:val="20"/>
                <w:lang w:eastAsia="ru-RU"/>
              </w:rPr>
            </w:pPr>
            <w:r w:rsidRPr="007D702C">
              <w:rPr>
                <w:rFonts w:ascii="Times New Roman" w:eastAsia="Times New Roman" w:hAnsi="Times New Roman" w:cs="Times New Roman"/>
                <w:color w:val="000000"/>
                <w:sz w:val="20"/>
                <w:szCs w:val="20"/>
                <w:lang w:eastAsia="ru-RU"/>
              </w:rPr>
              <w:t>Источник: составлено на основе результатов социологического исследования, проводимого сотрудниками ВолНЦ РАН.</w:t>
            </w:r>
          </w:p>
        </w:tc>
      </w:tr>
    </w:tbl>
    <w:p w14:paraId="40C240F6" w14:textId="77777777" w:rsidR="007D702C" w:rsidRPr="007D702C" w:rsidRDefault="007D702C" w:rsidP="00DA65CB">
      <w:pPr>
        <w:widowControl w:val="0"/>
        <w:spacing w:after="0" w:line="240" w:lineRule="auto"/>
        <w:ind w:firstLine="709"/>
        <w:jc w:val="both"/>
        <w:rPr>
          <w:rFonts w:ascii="Times New Roman" w:eastAsia="Courier New" w:hAnsi="Times New Roman" w:cs="Courier New"/>
          <w:color w:val="000000"/>
          <w:spacing w:val="-4"/>
          <w:sz w:val="20"/>
          <w:szCs w:val="20"/>
          <w:lang w:eastAsia="ru-RU"/>
        </w:rPr>
      </w:pPr>
    </w:p>
    <w:p w14:paraId="7742FDCC" w14:textId="77777777" w:rsidR="007D702C" w:rsidRPr="007D702C" w:rsidRDefault="007D702C" w:rsidP="007D702C">
      <w:pPr>
        <w:widowControl w:val="0"/>
        <w:spacing w:after="0" w:line="240" w:lineRule="auto"/>
        <w:ind w:firstLine="709"/>
        <w:jc w:val="both"/>
        <w:rPr>
          <w:rFonts w:ascii="Times New Roman" w:eastAsia="Courier New" w:hAnsi="Times New Roman" w:cs="Courier New"/>
          <w:color w:val="000000"/>
          <w:spacing w:val="-4"/>
          <w:sz w:val="24"/>
          <w:szCs w:val="24"/>
          <w:lang w:eastAsia="ru-RU"/>
        </w:rPr>
      </w:pPr>
      <w:r w:rsidRPr="007D702C">
        <w:rPr>
          <w:rFonts w:ascii="Times New Roman" w:eastAsia="Courier New" w:hAnsi="Times New Roman" w:cs="Courier New"/>
          <w:color w:val="000000"/>
          <w:spacing w:val="-4"/>
          <w:sz w:val="24"/>
          <w:szCs w:val="24"/>
          <w:lang w:eastAsia="ru-RU"/>
        </w:rPr>
        <w:t>Также предпринимателями отмечено ухудшение условий функционирования, ввиду возникновения кооперационных связей между отдельными субъектами предпринимательского сектора, и ужесточение государственного регулирования исследуемого сектора экономики, что свидетельствует о росте конкуренции и роли МСП в экономике региона.</w:t>
      </w:r>
    </w:p>
    <w:p w14:paraId="7C94127A" w14:textId="0A51FD72" w:rsidR="00A31705" w:rsidRDefault="00A31705" w:rsidP="005D5A5A">
      <w:pPr>
        <w:spacing w:after="0" w:line="240" w:lineRule="auto"/>
        <w:ind w:firstLine="709"/>
        <w:jc w:val="both"/>
        <w:rPr>
          <w:rFonts w:ascii="Times New Roman" w:eastAsia="Times New Roman" w:hAnsi="Times New Roman" w:cs="Times New Roman"/>
          <w:sz w:val="24"/>
          <w:szCs w:val="24"/>
          <w:lang w:eastAsia="ru-RU"/>
        </w:rPr>
      </w:pPr>
      <w:r w:rsidRPr="00A31705">
        <w:rPr>
          <w:rFonts w:ascii="Times New Roman" w:eastAsia="Times New Roman" w:hAnsi="Times New Roman" w:cs="Times New Roman"/>
          <w:sz w:val="24"/>
          <w:szCs w:val="24"/>
          <w:lang w:eastAsia="ru-RU"/>
        </w:rPr>
        <w:t xml:space="preserve">При помощи полиномиальной функции был построен прогноз на долгосрочную перспективу </w:t>
      </w:r>
      <w:r>
        <w:rPr>
          <w:rFonts w:ascii="Times New Roman" w:eastAsia="Times New Roman" w:hAnsi="Times New Roman" w:cs="Times New Roman"/>
          <w:sz w:val="24"/>
          <w:szCs w:val="24"/>
          <w:lang w:eastAsia="ru-RU"/>
        </w:rPr>
        <w:t xml:space="preserve">показателя производительности </w:t>
      </w:r>
      <w:r w:rsidRPr="00A31705">
        <w:rPr>
          <w:rFonts w:ascii="Times New Roman" w:eastAsia="Times New Roman" w:hAnsi="Times New Roman" w:cs="Times New Roman"/>
          <w:sz w:val="24"/>
          <w:szCs w:val="24"/>
          <w:lang w:eastAsia="ru-RU"/>
        </w:rPr>
        <w:t>М</w:t>
      </w:r>
      <w:r>
        <w:rPr>
          <w:rFonts w:ascii="Times New Roman" w:eastAsia="Times New Roman" w:hAnsi="Times New Roman" w:cs="Times New Roman"/>
          <w:sz w:val="24"/>
          <w:szCs w:val="24"/>
          <w:lang w:eastAsia="ru-RU"/>
        </w:rPr>
        <w:t>СП в Вологодской области</w:t>
      </w:r>
      <w:r w:rsidRPr="00A31705">
        <w:rPr>
          <w:rFonts w:ascii="Times New Roman" w:eastAsia="Times New Roman" w:hAnsi="Times New Roman" w:cs="Times New Roman"/>
          <w:sz w:val="24"/>
          <w:szCs w:val="24"/>
          <w:lang w:eastAsia="ru-RU"/>
        </w:rPr>
        <w:t xml:space="preserve"> с точностью не менее 93% (выручка субъектов М</w:t>
      </w:r>
      <w:r>
        <w:rPr>
          <w:rFonts w:ascii="Times New Roman" w:eastAsia="Times New Roman" w:hAnsi="Times New Roman" w:cs="Times New Roman"/>
          <w:sz w:val="24"/>
          <w:szCs w:val="24"/>
          <w:lang w:eastAsia="ru-RU"/>
        </w:rPr>
        <w:t>СП</w:t>
      </w:r>
      <w:r w:rsidRPr="00A31705">
        <w:rPr>
          <w:rFonts w:ascii="Times New Roman" w:eastAsia="Times New Roman" w:hAnsi="Times New Roman" w:cs="Times New Roman"/>
          <w:sz w:val="24"/>
          <w:szCs w:val="24"/>
          <w:lang w:eastAsia="ru-RU"/>
        </w:rPr>
        <w:t>/среднесписочное число занятых на субъектах М</w:t>
      </w:r>
      <w:r>
        <w:rPr>
          <w:rFonts w:ascii="Times New Roman" w:eastAsia="Times New Roman" w:hAnsi="Times New Roman" w:cs="Times New Roman"/>
          <w:sz w:val="24"/>
          <w:szCs w:val="24"/>
          <w:lang w:eastAsia="ru-RU"/>
        </w:rPr>
        <w:t>СП</w:t>
      </w:r>
      <w:r w:rsidRPr="00A31705">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Pr="00A31705">
        <w:rPr>
          <w:rFonts w:ascii="Times New Roman" w:eastAsia="Times New Roman" w:hAnsi="Times New Roman" w:cs="Times New Roman"/>
          <w:sz w:val="24"/>
          <w:szCs w:val="24"/>
          <w:lang w:eastAsia="ru-RU"/>
        </w:rPr>
        <w:t>Данный показатель включен в список ключевых показателей эффективности использования федеральных субсидий регионами РФ на развитие исследуемого сектора экономик</w:t>
      </w:r>
      <w:r>
        <w:rPr>
          <w:rFonts w:ascii="Times New Roman" w:eastAsia="Times New Roman" w:hAnsi="Times New Roman" w:cs="Times New Roman"/>
          <w:sz w:val="24"/>
          <w:szCs w:val="24"/>
          <w:lang w:eastAsia="ru-RU"/>
        </w:rPr>
        <w:t>и</w:t>
      </w:r>
      <w:r w:rsidR="003602F8">
        <w:rPr>
          <w:rFonts w:ascii="Times New Roman" w:eastAsia="Times New Roman" w:hAnsi="Times New Roman" w:cs="Times New Roman"/>
          <w:sz w:val="24"/>
          <w:szCs w:val="24"/>
          <w:lang w:eastAsia="ru-RU"/>
        </w:rPr>
        <w:t xml:space="preserve"> (рис.)</w:t>
      </w:r>
      <w:r>
        <w:rPr>
          <w:rFonts w:ascii="Times New Roman" w:eastAsia="Times New Roman" w:hAnsi="Times New Roman" w:cs="Times New Roman"/>
          <w:sz w:val="24"/>
          <w:szCs w:val="24"/>
          <w:lang w:eastAsia="ru-RU"/>
        </w:rPr>
        <w:t>.</w:t>
      </w:r>
      <w:r w:rsidRPr="00A31705">
        <w:rPr>
          <w:rFonts w:ascii="Times New Roman" w:eastAsia="Times New Roman" w:hAnsi="Times New Roman" w:cs="Times New Roman"/>
          <w:sz w:val="24"/>
          <w:szCs w:val="24"/>
          <w:lang w:eastAsia="ru-RU"/>
        </w:rPr>
        <w:t xml:space="preserve"> Таким образом, при сохранении данной динами развития М</w:t>
      </w:r>
      <w:r w:rsidR="007D702C">
        <w:rPr>
          <w:rFonts w:ascii="Times New Roman" w:eastAsia="Times New Roman" w:hAnsi="Times New Roman" w:cs="Times New Roman"/>
          <w:sz w:val="24"/>
          <w:szCs w:val="24"/>
          <w:lang w:eastAsia="ru-RU"/>
        </w:rPr>
        <w:t>С</w:t>
      </w:r>
      <w:r w:rsidRPr="00A31705">
        <w:rPr>
          <w:rFonts w:ascii="Times New Roman" w:eastAsia="Times New Roman" w:hAnsi="Times New Roman" w:cs="Times New Roman"/>
          <w:sz w:val="24"/>
          <w:szCs w:val="24"/>
          <w:lang w:eastAsia="ru-RU"/>
        </w:rPr>
        <w:t>П</w:t>
      </w:r>
      <w:r w:rsidR="007D702C">
        <w:rPr>
          <w:rFonts w:ascii="Times New Roman" w:eastAsia="Times New Roman" w:hAnsi="Times New Roman" w:cs="Times New Roman"/>
          <w:sz w:val="24"/>
          <w:szCs w:val="24"/>
          <w:lang w:eastAsia="ru-RU"/>
        </w:rPr>
        <w:t xml:space="preserve"> в регионе</w:t>
      </w:r>
      <w:r w:rsidRPr="00A31705">
        <w:rPr>
          <w:rFonts w:ascii="Times New Roman" w:eastAsia="Times New Roman" w:hAnsi="Times New Roman" w:cs="Times New Roman"/>
          <w:sz w:val="24"/>
          <w:szCs w:val="24"/>
          <w:lang w:eastAsia="ru-RU"/>
        </w:rPr>
        <w:t xml:space="preserve"> к концу 2025 г. значение данного показателя увеличится почти в полтора раза (на </w:t>
      </w:r>
      <w:r w:rsidR="007D702C">
        <w:rPr>
          <w:rFonts w:ascii="Times New Roman" w:eastAsia="Times New Roman" w:hAnsi="Times New Roman" w:cs="Times New Roman"/>
          <w:sz w:val="24"/>
          <w:szCs w:val="24"/>
          <w:lang w:eastAsia="ru-RU"/>
        </w:rPr>
        <w:t>36,2</w:t>
      </w:r>
      <w:r w:rsidRPr="00A31705">
        <w:rPr>
          <w:rFonts w:ascii="Times New Roman" w:eastAsia="Times New Roman" w:hAnsi="Times New Roman" w:cs="Times New Roman"/>
          <w:sz w:val="24"/>
          <w:szCs w:val="24"/>
          <w:lang w:eastAsia="ru-RU"/>
        </w:rPr>
        <w:t xml:space="preserve">%), что в целом </w:t>
      </w:r>
      <w:r w:rsidR="007D702C">
        <w:rPr>
          <w:rFonts w:ascii="Times New Roman" w:eastAsia="Times New Roman" w:hAnsi="Times New Roman" w:cs="Times New Roman"/>
          <w:sz w:val="24"/>
          <w:szCs w:val="24"/>
          <w:lang w:eastAsia="ru-RU"/>
        </w:rPr>
        <w:t xml:space="preserve">не </w:t>
      </w:r>
      <w:r w:rsidRPr="00A31705">
        <w:rPr>
          <w:rFonts w:ascii="Times New Roman" w:eastAsia="Times New Roman" w:hAnsi="Times New Roman" w:cs="Times New Roman"/>
          <w:sz w:val="24"/>
          <w:szCs w:val="24"/>
          <w:lang w:eastAsia="ru-RU"/>
        </w:rPr>
        <w:t>обеспечивает достижение плановых показателей национального проекта «Малое и среднее предпринимательство и поддержка индивидуальной предпринимательской инициативы».</w:t>
      </w:r>
    </w:p>
    <w:p w14:paraId="56BFE701" w14:textId="234023D6" w:rsidR="007D702C" w:rsidRPr="005D5A5A" w:rsidRDefault="007D702C" w:rsidP="007D702C">
      <w:pPr>
        <w:spacing w:after="0" w:line="240" w:lineRule="auto"/>
        <w:jc w:val="both"/>
        <w:rPr>
          <w:rFonts w:ascii="Times New Roman" w:eastAsia="Times New Roman" w:hAnsi="Times New Roman" w:cs="Times New Roman"/>
          <w:sz w:val="24"/>
          <w:szCs w:val="24"/>
          <w:lang w:eastAsia="ru-RU"/>
        </w:rPr>
      </w:pPr>
      <w:r>
        <w:rPr>
          <w:noProof/>
        </w:rPr>
        <w:drawing>
          <wp:inline distT="0" distB="0" distL="0" distR="0" wp14:anchorId="6EAB9877" wp14:editId="08605F1D">
            <wp:extent cx="6062980" cy="2155190"/>
            <wp:effectExtent l="0" t="0" r="0" b="0"/>
            <wp:docPr id="1" name="Диаграмма 1">
              <a:extLst xmlns:a="http://schemas.openxmlformats.org/drawingml/2006/main">
                <a:ext uri="{FF2B5EF4-FFF2-40B4-BE49-F238E27FC236}">
                  <a16:creationId xmlns:a16="http://schemas.microsoft.com/office/drawing/2014/main" id="{3ACD8A07-0056-4C82-90C5-CE2D1414471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4F006B1" w14:textId="21987814" w:rsidR="007D702C" w:rsidRDefault="007D702C" w:rsidP="007D702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Рисунок. Прогноз развития МП в субъектах РФ</w:t>
      </w:r>
    </w:p>
    <w:p w14:paraId="273D6E39" w14:textId="77777777" w:rsidR="007D702C" w:rsidRPr="00C91F51" w:rsidRDefault="007D702C" w:rsidP="007D702C">
      <w:pPr>
        <w:spacing w:after="0" w:line="240" w:lineRule="auto"/>
        <w:rPr>
          <w:rFonts w:ascii="Times New Roman" w:hAnsi="Times New Roman" w:cs="Times New Roman"/>
          <w:sz w:val="20"/>
          <w:szCs w:val="20"/>
        </w:rPr>
      </w:pPr>
      <w:r w:rsidRPr="00C91F51">
        <w:rPr>
          <w:rFonts w:ascii="Times New Roman" w:hAnsi="Times New Roman" w:cs="Times New Roman"/>
          <w:sz w:val="20"/>
          <w:szCs w:val="20"/>
        </w:rPr>
        <w:t>Источник: составлено автором.</w:t>
      </w:r>
    </w:p>
    <w:p w14:paraId="7ABA43D7" w14:textId="77777777" w:rsidR="007D702C" w:rsidRDefault="007D702C" w:rsidP="007D702C">
      <w:pPr>
        <w:spacing w:after="0" w:line="240" w:lineRule="auto"/>
        <w:ind w:firstLine="709"/>
        <w:jc w:val="both"/>
        <w:rPr>
          <w:rFonts w:ascii="Times New Roman" w:hAnsi="Times New Roman" w:cs="Times New Roman"/>
          <w:sz w:val="24"/>
          <w:szCs w:val="24"/>
        </w:rPr>
      </w:pPr>
    </w:p>
    <w:p w14:paraId="56C985B7" w14:textId="38DF1BA1" w:rsidR="007D702C" w:rsidRDefault="007D702C" w:rsidP="007D702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подводя итоги проведенного анализа развития малого </w:t>
      </w:r>
      <w:r w:rsidR="003602F8">
        <w:rPr>
          <w:rFonts w:ascii="Times New Roman" w:hAnsi="Times New Roman" w:cs="Times New Roman"/>
          <w:sz w:val="24"/>
          <w:szCs w:val="24"/>
        </w:rPr>
        <w:t xml:space="preserve">и среднего </w:t>
      </w:r>
      <w:r>
        <w:rPr>
          <w:rFonts w:ascii="Times New Roman" w:hAnsi="Times New Roman" w:cs="Times New Roman"/>
          <w:sz w:val="24"/>
          <w:szCs w:val="24"/>
        </w:rPr>
        <w:t xml:space="preserve">предпринимательства в </w:t>
      </w:r>
      <w:r w:rsidR="003602F8">
        <w:rPr>
          <w:rFonts w:ascii="Times New Roman" w:hAnsi="Times New Roman" w:cs="Times New Roman"/>
          <w:sz w:val="24"/>
          <w:szCs w:val="24"/>
        </w:rPr>
        <w:t>Вологодской области</w:t>
      </w:r>
      <w:r>
        <w:rPr>
          <w:rFonts w:ascii="Times New Roman" w:hAnsi="Times New Roman" w:cs="Times New Roman"/>
          <w:sz w:val="24"/>
          <w:szCs w:val="24"/>
        </w:rPr>
        <w:t>, можно отметить</w:t>
      </w:r>
      <w:r w:rsidR="003602F8">
        <w:rPr>
          <w:rFonts w:ascii="Times New Roman" w:hAnsi="Times New Roman" w:cs="Times New Roman"/>
          <w:sz w:val="24"/>
          <w:szCs w:val="24"/>
        </w:rPr>
        <w:t>, что</w:t>
      </w:r>
      <w:r w:rsidR="003602F8" w:rsidRPr="003602F8">
        <w:t xml:space="preserve"> </w:t>
      </w:r>
      <w:r w:rsidR="003602F8">
        <w:rPr>
          <w:rFonts w:ascii="Times New Roman" w:hAnsi="Times New Roman" w:cs="Times New Roman"/>
          <w:sz w:val="24"/>
          <w:szCs w:val="24"/>
        </w:rPr>
        <w:t>п</w:t>
      </w:r>
      <w:r w:rsidR="003602F8" w:rsidRPr="003602F8">
        <w:rPr>
          <w:rFonts w:ascii="Times New Roman" w:hAnsi="Times New Roman" w:cs="Times New Roman"/>
          <w:sz w:val="24"/>
          <w:szCs w:val="24"/>
        </w:rPr>
        <w:t xml:space="preserve">олученные результаты свидетельствуют о переходе МСП на стадию зрелости, характеризующуюся устойчивым развитием исследуемого сектора экономики. </w:t>
      </w:r>
      <w:r w:rsidR="003602F8">
        <w:rPr>
          <w:rFonts w:ascii="Times New Roman" w:hAnsi="Times New Roman" w:cs="Times New Roman"/>
          <w:sz w:val="24"/>
          <w:szCs w:val="24"/>
        </w:rPr>
        <w:t xml:space="preserve">Однако низкая динамика развития свидетельствует о </w:t>
      </w:r>
      <w:r>
        <w:rPr>
          <w:rFonts w:ascii="Times New Roman" w:hAnsi="Times New Roman" w:cs="Times New Roman"/>
          <w:sz w:val="24"/>
          <w:szCs w:val="24"/>
        </w:rPr>
        <w:t>наличи</w:t>
      </w:r>
      <w:r w:rsidR="003602F8">
        <w:rPr>
          <w:rFonts w:ascii="Times New Roman" w:hAnsi="Times New Roman" w:cs="Times New Roman"/>
          <w:sz w:val="24"/>
          <w:szCs w:val="24"/>
        </w:rPr>
        <w:t>и</w:t>
      </w:r>
      <w:r>
        <w:rPr>
          <w:rFonts w:ascii="Times New Roman" w:hAnsi="Times New Roman" w:cs="Times New Roman"/>
          <w:sz w:val="24"/>
          <w:szCs w:val="24"/>
        </w:rPr>
        <w:t xml:space="preserve"> необходимости корректировки существующей программы развития М</w:t>
      </w:r>
      <w:r w:rsidR="003602F8">
        <w:rPr>
          <w:rFonts w:ascii="Times New Roman" w:hAnsi="Times New Roman" w:cs="Times New Roman"/>
          <w:sz w:val="24"/>
          <w:szCs w:val="24"/>
        </w:rPr>
        <w:t>С</w:t>
      </w:r>
      <w:r>
        <w:rPr>
          <w:rFonts w:ascii="Times New Roman" w:hAnsi="Times New Roman" w:cs="Times New Roman"/>
          <w:sz w:val="24"/>
          <w:szCs w:val="24"/>
        </w:rPr>
        <w:t>П за счет разработки и внедрения региональной политики развития малого и среднего предпринимательства. Дополнительное стимулирование деятельности органов региональной и муниципальной власти по развитию исследуемого сектора экономики позволит нивелировать негативное влияние сложившейся ситуации на функционирование социально-экономической системы в целом и позволит достичь поставленные цели государственного развития.</w:t>
      </w:r>
    </w:p>
    <w:p w14:paraId="0C1BAC01" w14:textId="77777777" w:rsidR="007D702C" w:rsidRPr="00BD1E84" w:rsidRDefault="007D702C" w:rsidP="007D702C">
      <w:pPr>
        <w:spacing w:after="0" w:line="240" w:lineRule="auto"/>
        <w:ind w:firstLine="709"/>
        <w:jc w:val="both"/>
        <w:rPr>
          <w:rFonts w:ascii="Times New Roman" w:hAnsi="Times New Roman" w:cs="Times New Roman"/>
          <w:sz w:val="24"/>
          <w:szCs w:val="24"/>
        </w:rPr>
      </w:pPr>
    </w:p>
    <w:p w14:paraId="006F556A" w14:textId="77777777" w:rsidR="007D702C" w:rsidRDefault="007D702C" w:rsidP="005D5A5A">
      <w:pPr>
        <w:spacing w:after="0" w:line="240" w:lineRule="auto"/>
        <w:jc w:val="center"/>
        <w:rPr>
          <w:rFonts w:ascii="Times New Roman" w:hAnsi="Times New Roman" w:cs="Times New Roman"/>
          <w:b/>
          <w:spacing w:val="-4"/>
          <w:sz w:val="24"/>
          <w:szCs w:val="24"/>
        </w:rPr>
      </w:pPr>
    </w:p>
    <w:p w14:paraId="357C60E6" w14:textId="1BFAD2A2" w:rsidR="000072C8" w:rsidRPr="005D5A5A" w:rsidRDefault="005A35B3" w:rsidP="005D5A5A">
      <w:pPr>
        <w:spacing w:after="0" w:line="240" w:lineRule="auto"/>
        <w:jc w:val="center"/>
        <w:rPr>
          <w:rFonts w:ascii="Times New Roman" w:hAnsi="Times New Roman" w:cs="Times New Roman"/>
          <w:b/>
          <w:spacing w:val="-4"/>
          <w:sz w:val="24"/>
          <w:szCs w:val="24"/>
        </w:rPr>
      </w:pPr>
      <w:r w:rsidRPr="005D5A5A">
        <w:rPr>
          <w:rFonts w:ascii="Times New Roman" w:hAnsi="Times New Roman" w:cs="Times New Roman"/>
          <w:b/>
          <w:spacing w:val="-4"/>
          <w:sz w:val="24"/>
          <w:szCs w:val="24"/>
        </w:rPr>
        <w:t>Библиографический список на русском языке</w:t>
      </w:r>
    </w:p>
    <w:p w14:paraId="5AFDFAE7" w14:textId="77777777" w:rsidR="003602F8" w:rsidRPr="003602F8" w:rsidRDefault="003602F8" w:rsidP="003602F8">
      <w:pPr>
        <w:tabs>
          <w:tab w:val="left" w:pos="1134"/>
        </w:tabs>
        <w:spacing w:after="0" w:line="240" w:lineRule="auto"/>
        <w:ind w:firstLine="709"/>
        <w:jc w:val="both"/>
        <w:rPr>
          <w:rFonts w:ascii="Times New Roman" w:hAnsi="Times New Roman" w:cs="Times New Roman"/>
          <w:bCs/>
          <w:spacing w:val="-4"/>
          <w:sz w:val="24"/>
          <w:szCs w:val="24"/>
        </w:rPr>
      </w:pPr>
      <w:r w:rsidRPr="003602F8">
        <w:rPr>
          <w:rFonts w:ascii="Times New Roman" w:hAnsi="Times New Roman" w:cs="Times New Roman"/>
          <w:bCs/>
          <w:spacing w:val="-4"/>
          <w:sz w:val="24"/>
          <w:szCs w:val="24"/>
        </w:rPr>
        <w:lastRenderedPageBreak/>
        <w:t>1.</w:t>
      </w:r>
      <w:r w:rsidRPr="003602F8">
        <w:rPr>
          <w:rFonts w:ascii="Times New Roman" w:hAnsi="Times New Roman" w:cs="Times New Roman"/>
          <w:bCs/>
          <w:spacing w:val="-4"/>
          <w:sz w:val="24"/>
          <w:szCs w:val="24"/>
        </w:rPr>
        <w:tab/>
        <w:t>Алиев Б. X. и др. Государственное регулирование и поддержка малого бизнеса в условиях кризиса //Финансы и кредит. 2010. №. 32 (416).</w:t>
      </w:r>
    </w:p>
    <w:p w14:paraId="5C8F4FE6" w14:textId="77777777" w:rsidR="003602F8" w:rsidRPr="003602F8" w:rsidRDefault="003602F8" w:rsidP="003602F8">
      <w:pPr>
        <w:tabs>
          <w:tab w:val="left" w:pos="1134"/>
        </w:tabs>
        <w:spacing w:after="0" w:line="240" w:lineRule="auto"/>
        <w:ind w:firstLine="709"/>
        <w:jc w:val="both"/>
        <w:rPr>
          <w:rFonts w:ascii="Times New Roman" w:hAnsi="Times New Roman" w:cs="Times New Roman"/>
          <w:bCs/>
          <w:spacing w:val="-4"/>
          <w:sz w:val="24"/>
          <w:szCs w:val="24"/>
        </w:rPr>
      </w:pPr>
      <w:r w:rsidRPr="003602F8">
        <w:rPr>
          <w:rFonts w:ascii="Times New Roman" w:hAnsi="Times New Roman" w:cs="Times New Roman"/>
          <w:bCs/>
          <w:spacing w:val="-4"/>
          <w:sz w:val="24"/>
          <w:szCs w:val="24"/>
        </w:rPr>
        <w:t>2.</w:t>
      </w:r>
      <w:r w:rsidRPr="003602F8">
        <w:rPr>
          <w:rFonts w:ascii="Times New Roman" w:hAnsi="Times New Roman" w:cs="Times New Roman"/>
          <w:bCs/>
          <w:spacing w:val="-4"/>
          <w:sz w:val="24"/>
          <w:szCs w:val="24"/>
        </w:rPr>
        <w:tab/>
        <w:t>Виленский А.В. Стимулирование развития малого предпринимательства США // Экономика: вчера, сегодня, завтра. 2013. №1-2. С. 6-29.</w:t>
      </w:r>
    </w:p>
    <w:p w14:paraId="00F91E8C" w14:textId="77777777" w:rsidR="003602F8" w:rsidRPr="003602F8" w:rsidRDefault="003602F8" w:rsidP="003602F8">
      <w:pPr>
        <w:tabs>
          <w:tab w:val="left" w:pos="1134"/>
        </w:tabs>
        <w:spacing w:after="0" w:line="240" w:lineRule="auto"/>
        <w:ind w:firstLine="709"/>
        <w:jc w:val="both"/>
        <w:rPr>
          <w:rFonts w:ascii="Times New Roman" w:hAnsi="Times New Roman" w:cs="Times New Roman"/>
          <w:bCs/>
          <w:spacing w:val="-4"/>
          <w:sz w:val="24"/>
          <w:szCs w:val="24"/>
        </w:rPr>
      </w:pPr>
      <w:r w:rsidRPr="003602F8">
        <w:rPr>
          <w:rFonts w:ascii="Times New Roman" w:hAnsi="Times New Roman" w:cs="Times New Roman"/>
          <w:bCs/>
          <w:spacing w:val="-4"/>
          <w:sz w:val="24"/>
          <w:szCs w:val="24"/>
        </w:rPr>
        <w:t>3.</w:t>
      </w:r>
      <w:r w:rsidRPr="003602F8">
        <w:rPr>
          <w:rFonts w:ascii="Times New Roman" w:hAnsi="Times New Roman" w:cs="Times New Roman"/>
          <w:bCs/>
          <w:spacing w:val="-4"/>
          <w:sz w:val="24"/>
          <w:szCs w:val="24"/>
        </w:rPr>
        <w:tab/>
        <w:t>Глазьев С.Ю. Теория долгосрочного технико-экономического развития. М.: ВлаДар, 1993. 310 с.</w:t>
      </w:r>
    </w:p>
    <w:p w14:paraId="70159B3A" w14:textId="77777777" w:rsidR="003602F8" w:rsidRPr="003602F8" w:rsidRDefault="003602F8" w:rsidP="003602F8">
      <w:pPr>
        <w:tabs>
          <w:tab w:val="left" w:pos="1134"/>
        </w:tabs>
        <w:spacing w:after="0" w:line="240" w:lineRule="auto"/>
        <w:ind w:firstLine="709"/>
        <w:jc w:val="both"/>
        <w:rPr>
          <w:rFonts w:ascii="Times New Roman" w:hAnsi="Times New Roman" w:cs="Times New Roman"/>
          <w:bCs/>
          <w:spacing w:val="-4"/>
          <w:sz w:val="24"/>
          <w:szCs w:val="24"/>
        </w:rPr>
      </w:pPr>
      <w:r w:rsidRPr="003602F8">
        <w:rPr>
          <w:rFonts w:ascii="Times New Roman" w:hAnsi="Times New Roman" w:cs="Times New Roman"/>
          <w:bCs/>
          <w:spacing w:val="-4"/>
          <w:sz w:val="24"/>
          <w:szCs w:val="24"/>
        </w:rPr>
        <w:t>4.</w:t>
      </w:r>
      <w:r w:rsidRPr="003602F8">
        <w:rPr>
          <w:rFonts w:ascii="Times New Roman" w:hAnsi="Times New Roman" w:cs="Times New Roman"/>
          <w:bCs/>
          <w:spacing w:val="-4"/>
          <w:sz w:val="24"/>
          <w:szCs w:val="24"/>
        </w:rPr>
        <w:tab/>
        <w:t>Дементьев В.Е. Структура корпоративной системы и длинные волны в экономике. М: ЦЭМИ РАН, 2011. 213 с.</w:t>
      </w:r>
    </w:p>
    <w:p w14:paraId="07F0ED05" w14:textId="05B73BA7" w:rsidR="003602F8" w:rsidRPr="003602F8" w:rsidRDefault="003602F8" w:rsidP="003602F8">
      <w:pPr>
        <w:tabs>
          <w:tab w:val="left" w:pos="1134"/>
        </w:tabs>
        <w:spacing w:after="0" w:line="240" w:lineRule="auto"/>
        <w:ind w:firstLine="709"/>
        <w:jc w:val="both"/>
        <w:rPr>
          <w:rFonts w:ascii="Times New Roman" w:hAnsi="Times New Roman" w:cs="Times New Roman"/>
          <w:bCs/>
          <w:spacing w:val="-4"/>
          <w:sz w:val="24"/>
          <w:szCs w:val="24"/>
        </w:rPr>
      </w:pPr>
      <w:r w:rsidRPr="003602F8">
        <w:rPr>
          <w:rFonts w:ascii="Times New Roman" w:hAnsi="Times New Roman" w:cs="Times New Roman"/>
          <w:bCs/>
          <w:spacing w:val="-4"/>
          <w:sz w:val="24"/>
          <w:szCs w:val="24"/>
        </w:rPr>
        <w:t>5.</w:t>
      </w:r>
      <w:r w:rsidRPr="003602F8">
        <w:rPr>
          <w:rFonts w:ascii="Times New Roman" w:hAnsi="Times New Roman" w:cs="Times New Roman"/>
          <w:bCs/>
          <w:spacing w:val="-4"/>
          <w:sz w:val="24"/>
          <w:szCs w:val="24"/>
        </w:rPr>
        <w:tab/>
        <w:t>Кристенсен К.М. Дилемма инноватора. Как из-за новых технологий погибают сильные компании. М.: Альпина Паблишер, 2018. 240 с</w:t>
      </w:r>
    </w:p>
    <w:p w14:paraId="40C19BE1" w14:textId="5A229E5D" w:rsidR="003602F8" w:rsidRPr="003602F8" w:rsidRDefault="003602F8" w:rsidP="003602F8">
      <w:pPr>
        <w:tabs>
          <w:tab w:val="left" w:pos="1134"/>
        </w:tabs>
        <w:spacing w:after="0" w:line="240" w:lineRule="auto"/>
        <w:ind w:firstLine="709"/>
        <w:jc w:val="both"/>
        <w:rPr>
          <w:rFonts w:ascii="Times New Roman" w:hAnsi="Times New Roman" w:cs="Times New Roman"/>
          <w:bCs/>
          <w:spacing w:val="-4"/>
          <w:sz w:val="24"/>
          <w:szCs w:val="24"/>
        </w:rPr>
      </w:pPr>
      <w:r w:rsidRPr="003602F8">
        <w:rPr>
          <w:rFonts w:ascii="Times New Roman" w:hAnsi="Times New Roman" w:cs="Times New Roman"/>
          <w:bCs/>
          <w:spacing w:val="-4"/>
          <w:sz w:val="24"/>
          <w:szCs w:val="24"/>
        </w:rPr>
        <w:t>6.</w:t>
      </w:r>
      <w:r w:rsidRPr="003602F8">
        <w:rPr>
          <w:rFonts w:ascii="Times New Roman" w:hAnsi="Times New Roman" w:cs="Times New Roman"/>
          <w:bCs/>
          <w:spacing w:val="-4"/>
          <w:sz w:val="24"/>
          <w:szCs w:val="24"/>
        </w:rPr>
        <w:tab/>
        <w:t>Курило А.К. Влияние государственной политики на развитие малых и средних предприятий в Южной Корее на протяжении пятой длинной волны // Новая наука: проблемы и перспективы: Международное научно-периодическое издание по итогам международной научно-практической конференции / в 2 ч. Ч.1. Стерлитамак: РИЦ АМИ, 2016. С. 112-119.</w:t>
      </w:r>
    </w:p>
    <w:p w14:paraId="5E85D004" w14:textId="22CF0735" w:rsidR="003602F8" w:rsidRPr="003602F8" w:rsidRDefault="003602F8" w:rsidP="003602F8">
      <w:pPr>
        <w:tabs>
          <w:tab w:val="left" w:pos="1134"/>
        </w:tabs>
        <w:spacing w:after="0" w:line="240" w:lineRule="auto"/>
        <w:ind w:firstLine="709"/>
        <w:jc w:val="both"/>
        <w:rPr>
          <w:rFonts w:ascii="Times New Roman" w:hAnsi="Times New Roman" w:cs="Times New Roman"/>
          <w:bCs/>
          <w:spacing w:val="-4"/>
          <w:sz w:val="24"/>
          <w:szCs w:val="24"/>
        </w:rPr>
      </w:pPr>
      <w:r w:rsidRPr="003602F8">
        <w:rPr>
          <w:rFonts w:ascii="Times New Roman" w:hAnsi="Times New Roman" w:cs="Times New Roman"/>
          <w:bCs/>
          <w:spacing w:val="-4"/>
          <w:sz w:val="24"/>
          <w:szCs w:val="24"/>
        </w:rPr>
        <w:t>7.</w:t>
      </w:r>
      <w:r w:rsidRPr="003602F8">
        <w:rPr>
          <w:rFonts w:ascii="Times New Roman" w:hAnsi="Times New Roman" w:cs="Times New Roman"/>
          <w:bCs/>
          <w:spacing w:val="-4"/>
          <w:sz w:val="24"/>
          <w:szCs w:val="24"/>
        </w:rPr>
        <w:tab/>
        <w:t>Курило А.К. Развитие малого инновационного бизнеса в США на протяжении пятой длинной волны // Новая наука: стратегии и векторы развития: Международное научно-периодическое издание по итогам международной научно-практической конференции / (08 октября 2016 г, г. Челябинск) / в 2 ч. Ч.2 Стерлитамак: АМИ, 2016. С. 143-152.</w:t>
      </w:r>
    </w:p>
    <w:p w14:paraId="4E8A1C05" w14:textId="678FAC6A" w:rsidR="003602F8" w:rsidRPr="003602F8" w:rsidRDefault="003602F8" w:rsidP="003602F8">
      <w:pPr>
        <w:tabs>
          <w:tab w:val="left" w:pos="1134"/>
        </w:tabs>
        <w:spacing w:after="0" w:line="240" w:lineRule="auto"/>
        <w:ind w:firstLine="709"/>
        <w:jc w:val="both"/>
        <w:rPr>
          <w:rFonts w:ascii="Times New Roman" w:hAnsi="Times New Roman" w:cs="Times New Roman"/>
          <w:bCs/>
          <w:spacing w:val="-4"/>
          <w:sz w:val="24"/>
          <w:szCs w:val="24"/>
        </w:rPr>
      </w:pPr>
      <w:r w:rsidRPr="003602F8">
        <w:rPr>
          <w:rFonts w:ascii="Times New Roman" w:hAnsi="Times New Roman" w:cs="Times New Roman"/>
          <w:bCs/>
          <w:spacing w:val="-4"/>
          <w:sz w:val="24"/>
          <w:szCs w:val="24"/>
        </w:rPr>
        <w:t>8.</w:t>
      </w:r>
      <w:r w:rsidRPr="003602F8">
        <w:rPr>
          <w:rFonts w:ascii="Times New Roman" w:hAnsi="Times New Roman" w:cs="Times New Roman"/>
          <w:bCs/>
          <w:spacing w:val="-4"/>
          <w:sz w:val="24"/>
          <w:szCs w:val="24"/>
        </w:rPr>
        <w:tab/>
        <w:t>Современные классики теории предпринимательства. Лауреаты Международной премии за вклад в исследования предпринимательства и малого бизнеса (1996–2010) / пер. с англ. под науч. ред. А.Ю. Чепуренко; предисл. и послесл. А.Ю. Чепуренко; Нац. исслед. ун-т «Высшая школа экономики», Науч.-учеб. лаб. исследований предпринимательства. М.: Изд. дом Высшей школы экономики, 2013. 526 с.</w:t>
      </w:r>
    </w:p>
    <w:p w14:paraId="793DD152" w14:textId="0106A8D9" w:rsidR="003602F8" w:rsidRPr="003602F8" w:rsidRDefault="003602F8" w:rsidP="003602F8">
      <w:pPr>
        <w:tabs>
          <w:tab w:val="left" w:pos="1134"/>
        </w:tabs>
        <w:spacing w:after="0" w:line="240" w:lineRule="auto"/>
        <w:ind w:firstLine="709"/>
        <w:jc w:val="both"/>
        <w:rPr>
          <w:rFonts w:ascii="Times New Roman" w:hAnsi="Times New Roman" w:cs="Times New Roman"/>
          <w:bCs/>
          <w:spacing w:val="-4"/>
          <w:sz w:val="24"/>
          <w:szCs w:val="24"/>
          <w:lang w:val="en-US"/>
        </w:rPr>
      </w:pPr>
      <w:r w:rsidRPr="003602F8">
        <w:rPr>
          <w:rFonts w:ascii="Times New Roman" w:hAnsi="Times New Roman" w:cs="Times New Roman"/>
          <w:bCs/>
          <w:spacing w:val="-4"/>
          <w:sz w:val="24"/>
          <w:szCs w:val="24"/>
        </w:rPr>
        <w:t>9.</w:t>
      </w:r>
      <w:r w:rsidRPr="003602F8">
        <w:rPr>
          <w:rFonts w:ascii="Times New Roman" w:hAnsi="Times New Roman" w:cs="Times New Roman"/>
          <w:bCs/>
          <w:spacing w:val="-4"/>
          <w:sz w:val="24"/>
          <w:szCs w:val="24"/>
        </w:rPr>
        <w:tab/>
        <w:t xml:space="preserve">Kapitonov I. A. et al. </w:t>
      </w:r>
      <w:r w:rsidRPr="003602F8">
        <w:rPr>
          <w:rFonts w:ascii="Times New Roman" w:hAnsi="Times New Roman" w:cs="Times New Roman"/>
          <w:bCs/>
          <w:spacing w:val="-4"/>
          <w:sz w:val="24"/>
          <w:szCs w:val="24"/>
          <w:lang w:val="en-US"/>
        </w:rPr>
        <w:t xml:space="preserve">Small and medium-sized enterprises as a driver of innovative development of the Russian fuel and energy complex // International Journal of Energy Economics and Policy. 2017. </w:t>
      </w:r>
      <w:r w:rsidRPr="003602F8">
        <w:rPr>
          <w:rFonts w:ascii="Times New Roman" w:hAnsi="Times New Roman" w:cs="Times New Roman"/>
          <w:bCs/>
          <w:spacing w:val="-4"/>
          <w:sz w:val="24"/>
          <w:szCs w:val="24"/>
        </w:rPr>
        <w:t>Т</w:t>
      </w:r>
      <w:r w:rsidRPr="003602F8">
        <w:rPr>
          <w:rFonts w:ascii="Times New Roman" w:hAnsi="Times New Roman" w:cs="Times New Roman"/>
          <w:bCs/>
          <w:spacing w:val="-4"/>
          <w:sz w:val="24"/>
          <w:szCs w:val="24"/>
          <w:lang w:val="en-US"/>
        </w:rPr>
        <w:t xml:space="preserve">. 7. №. 3. </w:t>
      </w:r>
      <w:r w:rsidRPr="003602F8">
        <w:rPr>
          <w:rFonts w:ascii="Times New Roman" w:hAnsi="Times New Roman" w:cs="Times New Roman"/>
          <w:bCs/>
          <w:spacing w:val="-4"/>
          <w:sz w:val="24"/>
          <w:szCs w:val="24"/>
        </w:rPr>
        <w:t>С</w:t>
      </w:r>
      <w:r w:rsidRPr="003602F8">
        <w:rPr>
          <w:rFonts w:ascii="Times New Roman" w:hAnsi="Times New Roman" w:cs="Times New Roman"/>
          <w:bCs/>
          <w:spacing w:val="-4"/>
          <w:sz w:val="24"/>
          <w:szCs w:val="24"/>
          <w:lang w:val="en-US"/>
        </w:rPr>
        <w:t xml:space="preserve">. 231-239. </w:t>
      </w:r>
    </w:p>
    <w:p w14:paraId="53942096" w14:textId="3F4C0890" w:rsidR="003602F8" w:rsidRPr="003602F8" w:rsidRDefault="003602F8" w:rsidP="003602F8">
      <w:pPr>
        <w:tabs>
          <w:tab w:val="left" w:pos="1134"/>
        </w:tabs>
        <w:spacing w:after="0" w:line="240" w:lineRule="auto"/>
        <w:ind w:firstLine="709"/>
        <w:jc w:val="both"/>
        <w:rPr>
          <w:rFonts w:ascii="Times New Roman" w:hAnsi="Times New Roman" w:cs="Times New Roman"/>
          <w:bCs/>
          <w:spacing w:val="-4"/>
          <w:sz w:val="24"/>
          <w:szCs w:val="24"/>
          <w:lang w:val="en-US"/>
        </w:rPr>
      </w:pPr>
      <w:r w:rsidRPr="003602F8">
        <w:rPr>
          <w:rFonts w:ascii="Times New Roman" w:hAnsi="Times New Roman" w:cs="Times New Roman"/>
          <w:bCs/>
          <w:spacing w:val="-4"/>
          <w:sz w:val="24"/>
          <w:szCs w:val="24"/>
          <w:lang w:val="en-US"/>
        </w:rPr>
        <w:t>1</w:t>
      </w:r>
      <w:r w:rsidRPr="003602F8">
        <w:rPr>
          <w:rFonts w:ascii="Times New Roman" w:hAnsi="Times New Roman" w:cs="Times New Roman"/>
          <w:bCs/>
          <w:spacing w:val="-4"/>
          <w:sz w:val="24"/>
          <w:szCs w:val="24"/>
          <w:lang w:val="en-US"/>
        </w:rPr>
        <w:t>0</w:t>
      </w:r>
      <w:r w:rsidRPr="003602F8">
        <w:rPr>
          <w:rFonts w:ascii="Times New Roman" w:hAnsi="Times New Roman" w:cs="Times New Roman"/>
          <w:bCs/>
          <w:spacing w:val="-4"/>
          <w:sz w:val="24"/>
          <w:szCs w:val="24"/>
          <w:lang w:val="en-US"/>
        </w:rPr>
        <w:t>.</w:t>
      </w:r>
      <w:r w:rsidRPr="003602F8">
        <w:rPr>
          <w:rFonts w:ascii="Times New Roman" w:hAnsi="Times New Roman" w:cs="Times New Roman"/>
          <w:bCs/>
          <w:spacing w:val="-4"/>
          <w:sz w:val="24"/>
          <w:szCs w:val="24"/>
          <w:lang w:val="en-US"/>
        </w:rPr>
        <w:tab/>
        <w:t>Perez C. Technological Revolutions and Financial Capital: The Dynamics of bubbles and Golden Ages. Cheltenham: Elgar, 2002, 198 p.</w:t>
      </w:r>
    </w:p>
    <w:p w14:paraId="70A65AB5" w14:textId="5F496A6D" w:rsidR="005A35B3" w:rsidRPr="003602F8" w:rsidRDefault="003602F8" w:rsidP="003602F8">
      <w:pPr>
        <w:tabs>
          <w:tab w:val="left" w:pos="1134"/>
        </w:tabs>
        <w:spacing w:after="0" w:line="240" w:lineRule="auto"/>
        <w:ind w:firstLine="709"/>
        <w:jc w:val="both"/>
        <w:rPr>
          <w:rFonts w:ascii="Times New Roman" w:hAnsi="Times New Roman" w:cs="Times New Roman"/>
          <w:b/>
          <w:spacing w:val="-4"/>
          <w:sz w:val="24"/>
          <w:szCs w:val="24"/>
          <w:lang w:val="en-US"/>
        </w:rPr>
      </w:pPr>
      <w:r w:rsidRPr="003602F8">
        <w:rPr>
          <w:rFonts w:ascii="Times New Roman" w:hAnsi="Times New Roman" w:cs="Times New Roman"/>
          <w:bCs/>
          <w:spacing w:val="-4"/>
          <w:sz w:val="24"/>
          <w:szCs w:val="24"/>
          <w:lang w:val="en-US"/>
        </w:rPr>
        <w:t>1</w:t>
      </w:r>
      <w:r w:rsidRPr="003602F8">
        <w:rPr>
          <w:rFonts w:ascii="Times New Roman" w:hAnsi="Times New Roman" w:cs="Times New Roman"/>
          <w:bCs/>
          <w:spacing w:val="-4"/>
          <w:sz w:val="24"/>
          <w:szCs w:val="24"/>
          <w:lang w:val="en-US"/>
        </w:rPr>
        <w:t>1</w:t>
      </w:r>
      <w:r w:rsidRPr="003602F8">
        <w:rPr>
          <w:rFonts w:ascii="Times New Roman" w:hAnsi="Times New Roman" w:cs="Times New Roman"/>
          <w:bCs/>
          <w:spacing w:val="-4"/>
          <w:sz w:val="24"/>
          <w:szCs w:val="24"/>
          <w:lang w:val="en-US"/>
        </w:rPr>
        <w:t>.</w:t>
      </w:r>
      <w:r w:rsidRPr="003602F8">
        <w:rPr>
          <w:rFonts w:ascii="Times New Roman" w:hAnsi="Times New Roman" w:cs="Times New Roman"/>
          <w:bCs/>
          <w:spacing w:val="-4"/>
          <w:sz w:val="24"/>
          <w:szCs w:val="24"/>
          <w:lang w:val="en-US"/>
        </w:rPr>
        <w:tab/>
        <w:t xml:space="preserve">Street C. T., Cameron A. External relationships and the small business: A review of small business alliance and network research // Journal of Small Business Management. 2007. </w:t>
      </w:r>
      <w:r w:rsidRPr="003602F8">
        <w:rPr>
          <w:rFonts w:ascii="Times New Roman" w:hAnsi="Times New Roman" w:cs="Times New Roman"/>
          <w:bCs/>
          <w:spacing w:val="-4"/>
          <w:sz w:val="24"/>
          <w:szCs w:val="24"/>
        </w:rPr>
        <w:t>Т</w:t>
      </w:r>
      <w:r w:rsidRPr="003602F8">
        <w:rPr>
          <w:rFonts w:ascii="Times New Roman" w:hAnsi="Times New Roman" w:cs="Times New Roman"/>
          <w:bCs/>
          <w:spacing w:val="-4"/>
          <w:sz w:val="24"/>
          <w:szCs w:val="24"/>
          <w:lang w:val="en-US"/>
        </w:rPr>
        <w:t xml:space="preserve">. 45. №. 2. </w:t>
      </w:r>
      <w:r w:rsidRPr="003602F8">
        <w:rPr>
          <w:rFonts w:ascii="Times New Roman" w:hAnsi="Times New Roman" w:cs="Times New Roman"/>
          <w:bCs/>
          <w:spacing w:val="-4"/>
          <w:sz w:val="24"/>
          <w:szCs w:val="24"/>
        </w:rPr>
        <w:t>С</w:t>
      </w:r>
      <w:r w:rsidRPr="003602F8">
        <w:rPr>
          <w:rFonts w:ascii="Times New Roman" w:hAnsi="Times New Roman" w:cs="Times New Roman"/>
          <w:bCs/>
          <w:spacing w:val="-4"/>
          <w:sz w:val="24"/>
          <w:szCs w:val="24"/>
          <w:lang w:val="en-US"/>
        </w:rPr>
        <w:t>. 239-266.</w:t>
      </w:r>
    </w:p>
    <w:p w14:paraId="38F2D3C1" w14:textId="77777777" w:rsidR="005A35B3" w:rsidRPr="005D5A5A" w:rsidRDefault="005A35B3" w:rsidP="005D5A5A">
      <w:pPr>
        <w:spacing w:after="0" w:line="240" w:lineRule="auto"/>
        <w:ind w:hanging="142"/>
        <w:jc w:val="center"/>
        <w:rPr>
          <w:rFonts w:ascii="Times New Roman" w:hAnsi="Times New Roman" w:cs="Times New Roman"/>
          <w:b/>
          <w:spacing w:val="-4"/>
          <w:sz w:val="24"/>
          <w:szCs w:val="24"/>
        </w:rPr>
      </w:pPr>
      <w:r w:rsidRPr="005D5A5A">
        <w:rPr>
          <w:rFonts w:ascii="Times New Roman" w:hAnsi="Times New Roman" w:cs="Times New Roman"/>
          <w:b/>
          <w:spacing w:val="-4"/>
          <w:sz w:val="24"/>
          <w:szCs w:val="24"/>
        </w:rPr>
        <w:t>Информация об авторе на русском языке</w:t>
      </w:r>
    </w:p>
    <w:p w14:paraId="56B272A5" w14:textId="635F411E" w:rsidR="000072C8" w:rsidRPr="005D5A5A" w:rsidRDefault="000072C8" w:rsidP="005D5A5A">
      <w:pPr>
        <w:spacing w:after="0" w:line="240" w:lineRule="auto"/>
        <w:ind w:firstLine="709"/>
        <w:jc w:val="both"/>
        <w:rPr>
          <w:rFonts w:ascii="Times New Roman" w:hAnsi="Times New Roman" w:cs="Times New Roman"/>
          <w:spacing w:val="-4"/>
          <w:sz w:val="24"/>
          <w:szCs w:val="24"/>
        </w:rPr>
      </w:pPr>
      <w:r w:rsidRPr="005D5A5A">
        <w:rPr>
          <w:rFonts w:ascii="Times New Roman" w:hAnsi="Times New Roman" w:cs="Times New Roman"/>
          <w:spacing w:val="-4"/>
          <w:sz w:val="24"/>
          <w:szCs w:val="24"/>
        </w:rPr>
        <w:t xml:space="preserve">Кремин Александр Евгеньевич – кандидат экономических наук, научный сотрудник, Федеральное государственное бюджетное учреждение науки «Вологодский научный центр Российской академии наук» (ул. Горького, д. 56а, г. Вологда, Вологодская область, 160014); </w:t>
      </w:r>
      <w:r w:rsidR="003602F8" w:rsidRPr="005D5A5A">
        <w:rPr>
          <w:rFonts w:ascii="Times New Roman" w:hAnsi="Times New Roman" w:cs="Times New Roman"/>
          <w:spacing w:val="-4"/>
          <w:sz w:val="24"/>
          <w:szCs w:val="24"/>
        </w:rPr>
        <w:t>начальник отделения</w:t>
      </w:r>
      <w:r w:rsidR="003602F8">
        <w:rPr>
          <w:rFonts w:ascii="Times New Roman" w:hAnsi="Times New Roman" w:cs="Times New Roman"/>
          <w:spacing w:val="-4"/>
          <w:sz w:val="24"/>
          <w:szCs w:val="24"/>
        </w:rPr>
        <w:t>,</w:t>
      </w:r>
      <w:r w:rsidR="003602F8" w:rsidRPr="005D5A5A">
        <w:rPr>
          <w:rFonts w:ascii="Times New Roman" w:hAnsi="Times New Roman" w:cs="Times New Roman"/>
          <w:spacing w:val="-4"/>
          <w:sz w:val="24"/>
          <w:szCs w:val="24"/>
        </w:rPr>
        <w:t xml:space="preserve"> </w:t>
      </w:r>
      <w:r w:rsidRPr="005D5A5A">
        <w:rPr>
          <w:rFonts w:ascii="Times New Roman" w:hAnsi="Times New Roman" w:cs="Times New Roman"/>
          <w:spacing w:val="-4"/>
          <w:sz w:val="24"/>
          <w:szCs w:val="24"/>
        </w:rPr>
        <w:t>федеральное казенное образовательное учреждение высшего образования «Вологодский институт права и экономики Федеральной службы исполнения наказаний» (ул. Щетинина, д. 2, г. Вологда, Вологодская область, 160002)</w:t>
      </w:r>
      <w:r w:rsidR="005A35B3" w:rsidRPr="005D5A5A">
        <w:rPr>
          <w:rFonts w:ascii="Times New Roman" w:hAnsi="Times New Roman" w:cs="Times New Roman"/>
          <w:spacing w:val="-4"/>
          <w:sz w:val="24"/>
          <w:szCs w:val="24"/>
        </w:rPr>
        <w:t xml:space="preserve">, </w:t>
      </w:r>
      <w:hyperlink r:id="rId9" w:history="1">
        <w:r w:rsidRPr="005D5A5A">
          <w:rPr>
            <w:rStyle w:val="a3"/>
            <w:rFonts w:ascii="Times New Roman" w:hAnsi="Times New Roman" w:cs="Times New Roman"/>
            <w:spacing w:val="-4"/>
            <w:sz w:val="24"/>
            <w:szCs w:val="24"/>
            <w:lang w:val="en-US"/>
          </w:rPr>
          <w:t>akremin</w:t>
        </w:r>
        <w:r w:rsidRPr="005D5A5A">
          <w:rPr>
            <w:rStyle w:val="a3"/>
            <w:rFonts w:ascii="Times New Roman" w:hAnsi="Times New Roman" w:cs="Times New Roman"/>
            <w:spacing w:val="-4"/>
            <w:sz w:val="24"/>
            <w:szCs w:val="24"/>
          </w:rPr>
          <w:t>@</w:t>
        </w:r>
        <w:r w:rsidRPr="005D5A5A">
          <w:rPr>
            <w:rStyle w:val="a3"/>
            <w:rFonts w:ascii="Times New Roman" w:hAnsi="Times New Roman" w:cs="Times New Roman"/>
            <w:spacing w:val="-4"/>
            <w:sz w:val="24"/>
            <w:szCs w:val="24"/>
            <w:lang w:val="en-US"/>
          </w:rPr>
          <w:t>inbox</w:t>
        </w:r>
        <w:r w:rsidRPr="005D5A5A">
          <w:rPr>
            <w:rStyle w:val="a3"/>
            <w:rFonts w:ascii="Times New Roman" w:hAnsi="Times New Roman" w:cs="Times New Roman"/>
            <w:spacing w:val="-4"/>
            <w:sz w:val="24"/>
            <w:szCs w:val="24"/>
          </w:rPr>
          <w:t>.</w:t>
        </w:r>
        <w:r w:rsidRPr="005D5A5A">
          <w:rPr>
            <w:rStyle w:val="a3"/>
            <w:rFonts w:ascii="Times New Roman" w:hAnsi="Times New Roman" w:cs="Times New Roman"/>
            <w:spacing w:val="-4"/>
            <w:sz w:val="24"/>
            <w:szCs w:val="24"/>
            <w:lang w:val="en-US"/>
          </w:rPr>
          <w:t>ru</w:t>
        </w:r>
      </w:hyperlink>
    </w:p>
    <w:p w14:paraId="16E5147D" w14:textId="77777777" w:rsidR="000072C8" w:rsidRPr="005D5A5A" w:rsidRDefault="000072C8" w:rsidP="005D5A5A">
      <w:pPr>
        <w:spacing w:after="0" w:line="240" w:lineRule="auto"/>
        <w:jc w:val="right"/>
        <w:rPr>
          <w:rFonts w:ascii="Times New Roman" w:hAnsi="Times New Roman" w:cs="Times New Roman"/>
          <w:sz w:val="24"/>
          <w:szCs w:val="24"/>
        </w:rPr>
      </w:pPr>
    </w:p>
    <w:p w14:paraId="6D4FAC24" w14:textId="7E0362FD" w:rsidR="006273E9" w:rsidRDefault="006273E9" w:rsidP="005D5A5A">
      <w:pPr>
        <w:spacing w:after="0" w:line="240" w:lineRule="auto"/>
        <w:jc w:val="right"/>
        <w:rPr>
          <w:rFonts w:ascii="Times New Roman" w:hAnsi="Times New Roman" w:cs="Times New Roman"/>
          <w:b/>
          <w:sz w:val="24"/>
          <w:szCs w:val="24"/>
        </w:rPr>
      </w:pPr>
      <w:r w:rsidRPr="005D5A5A">
        <w:rPr>
          <w:rFonts w:ascii="Times New Roman" w:hAnsi="Times New Roman" w:cs="Times New Roman"/>
          <w:b/>
          <w:sz w:val="24"/>
          <w:szCs w:val="24"/>
          <w:lang w:val="en-US"/>
        </w:rPr>
        <w:t>Kremin</w:t>
      </w:r>
      <w:r w:rsidRPr="005D5A5A">
        <w:rPr>
          <w:rFonts w:ascii="Times New Roman" w:hAnsi="Times New Roman" w:cs="Times New Roman"/>
          <w:b/>
          <w:sz w:val="24"/>
          <w:szCs w:val="24"/>
        </w:rPr>
        <w:t xml:space="preserve"> </w:t>
      </w:r>
      <w:r w:rsidRPr="005D5A5A">
        <w:rPr>
          <w:rFonts w:ascii="Times New Roman" w:hAnsi="Times New Roman" w:cs="Times New Roman"/>
          <w:b/>
          <w:sz w:val="24"/>
          <w:szCs w:val="24"/>
          <w:lang w:val="en-US"/>
        </w:rPr>
        <w:t>A</w:t>
      </w:r>
      <w:r w:rsidRPr="005D5A5A">
        <w:rPr>
          <w:rFonts w:ascii="Times New Roman" w:hAnsi="Times New Roman" w:cs="Times New Roman"/>
          <w:b/>
          <w:sz w:val="24"/>
          <w:szCs w:val="24"/>
        </w:rPr>
        <w:t xml:space="preserve">. </w:t>
      </w:r>
      <w:r w:rsidRPr="005D5A5A">
        <w:rPr>
          <w:rFonts w:ascii="Times New Roman" w:hAnsi="Times New Roman" w:cs="Times New Roman"/>
          <w:b/>
          <w:sz w:val="24"/>
          <w:szCs w:val="24"/>
          <w:lang w:val="en-US"/>
        </w:rPr>
        <w:t>E</w:t>
      </w:r>
      <w:r w:rsidRPr="005D5A5A">
        <w:rPr>
          <w:rFonts w:ascii="Times New Roman" w:hAnsi="Times New Roman" w:cs="Times New Roman"/>
          <w:b/>
          <w:sz w:val="24"/>
          <w:szCs w:val="24"/>
        </w:rPr>
        <w:t>.</w:t>
      </w:r>
    </w:p>
    <w:p w14:paraId="62F97294" w14:textId="77777777" w:rsidR="00353DDD" w:rsidRPr="005D5A5A" w:rsidRDefault="00353DDD" w:rsidP="005D5A5A">
      <w:pPr>
        <w:spacing w:after="0" w:line="240" w:lineRule="auto"/>
        <w:jc w:val="right"/>
        <w:rPr>
          <w:rFonts w:ascii="Times New Roman" w:hAnsi="Times New Roman" w:cs="Times New Roman"/>
          <w:b/>
          <w:sz w:val="24"/>
          <w:szCs w:val="24"/>
        </w:rPr>
      </w:pPr>
    </w:p>
    <w:p w14:paraId="141D98F5" w14:textId="4E819EE2" w:rsidR="00BE185A" w:rsidRDefault="00BE185A" w:rsidP="00BE185A">
      <w:pPr>
        <w:spacing w:after="0" w:line="240" w:lineRule="auto"/>
        <w:jc w:val="center"/>
        <w:rPr>
          <w:rFonts w:ascii="Times New Roman" w:hAnsi="Times New Roman" w:cs="Times New Roman"/>
          <w:sz w:val="24"/>
          <w:szCs w:val="24"/>
          <w:lang w:val="en-US"/>
        </w:rPr>
      </w:pPr>
      <w:r w:rsidRPr="00BE185A">
        <w:rPr>
          <w:rFonts w:ascii="Times New Roman" w:hAnsi="Times New Roman" w:cs="Times New Roman"/>
          <w:sz w:val="24"/>
          <w:szCs w:val="24"/>
          <w:lang w:val="en-US"/>
        </w:rPr>
        <w:t>STAGES OF DEVELOPMENT OF SMALL AND MEDIUM ENTREPRENEURSHIP IN THE REGION: ANALYSIS OF TRENDS AND FORECAST</w:t>
      </w:r>
    </w:p>
    <w:p w14:paraId="328EA846" w14:textId="6F5467C3" w:rsidR="00171D76" w:rsidRPr="005D5A5A" w:rsidRDefault="006273E9" w:rsidP="00DA65CB">
      <w:pPr>
        <w:spacing w:after="0" w:line="240" w:lineRule="auto"/>
        <w:jc w:val="both"/>
        <w:rPr>
          <w:rFonts w:ascii="Times New Roman" w:hAnsi="Times New Roman" w:cs="Times New Roman"/>
          <w:bCs/>
          <w:spacing w:val="-4"/>
          <w:sz w:val="24"/>
          <w:szCs w:val="24"/>
          <w:lang w:val="en-US"/>
        </w:rPr>
      </w:pPr>
      <w:r w:rsidRPr="005D5A5A">
        <w:rPr>
          <w:rFonts w:ascii="Times New Roman" w:hAnsi="Times New Roman" w:cs="Times New Roman"/>
          <w:b/>
          <w:spacing w:val="-4"/>
          <w:sz w:val="24"/>
          <w:szCs w:val="24"/>
          <w:lang w:val="en-US"/>
        </w:rPr>
        <w:t>Abstract of the article</w:t>
      </w:r>
      <w:r w:rsidR="00171D76" w:rsidRPr="005D5A5A">
        <w:rPr>
          <w:rFonts w:ascii="Times New Roman" w:hAnsi="Times New Roman" w:cs="Times New Roman"/>
          <w:bCs/>
          <w:spacing w:val="-4"/>
          <w:sz w:val="24"/>
          <w:szCs w:val="24"/>
          <w:lang w:val="en-US"/>
        </w:rPr>
        <w:t xml:space="preserve">: </w:t>
      </w:r>
      <w:r w:rsidR="00DA65CB" w:rsidRPr="00DA65CB">
        <w:rPr>
          <w:rFonts w:ascii="Times New Roman" w:hAnsi="Times New Roman" w:cs="Times New Roman"/>
          <w:bCs/>
          <w:spacing w:val="-4"/>
          <w:sz w:val="24"/>
          <w:szCs w:val="24"/>
          <w:lang w:val="en-US"/>
        </w:rPr>
        <w:t>The materials of the article are devoted to the study of the stages of development of small and medium-sized enterprises (SMEs) in the regions in order to develop priority measures to stimulate it. In the course of the study, in order to test the results obtained, the materials of self-analysis of SMEs in the Vologda region were used. The developed classification of stages of development measures for the studied sector of the economy can be used by public authorities of both the Russian Federation and other foreign countries</w:t>
      </w:r>
      <w:r w:rsidR="00171D76" w:rsidRPr="005D5A5A">
        <w:rPr>
          <w:rFonts w:ascii="Times New Roman" w:hAnsi="Times New Roman" w:cs="Times New Roman"/>
          <w:bCs/>
          <w:spacing w:val="-4"/>
          <w:sz w:val="24"/>
          <w:szCs w:val="24"/>
          <w:lang w:val="en-US"/>
        </w:rPr>
        <w:t xml:space="preserve">. </w:t>
      </w:r>
    </w:p>
    <w:p w14:paraId="5A93D394" w14:textId="4B9D4E1D" w:rsidR="00171D76" w:rsidRPr="00514B45" w:rsidRDefault="00171D76" w:rsidP="005D5A5A">
      <w:pPr>
        <w:spacing w:after="0" w:line="240" w:lineRule="auto"/>
        <w:rPr>
          <w:rFonts w:ascii="Times New Roman" w:hAnsi="Times New Roman" w:cs="Times New Roman"/>
          <w:bCs/>
          <w:spacing w:val="-4"/>
          <w:sz w:val="24"/>
          <w:szCs w:val="24"/>
          <w:lang w:val="en-US"/>
        </w:rPr>
      </w:pPr>
      <w:r w:rsidRPr="005D5A5A">
        <w:rPr>
          <w:rFonts w:ascii="Times New Roman" w:hAnsi="Times New Roman" w:cs="Times New Roman"/>
          <w:b/>
          <w:spacing w:val="-4"/>
          <w:sz w:val="24"/>
          <w:szCs w:val="24"/>
          <w:lang w:val="en-US"/>
        </w:rPr>
        <w:t xml:space="preserve">Keywords: </w:t>
      </w:r>
      <w:r w:rsidR="00DA65CB" w:rsidRPr="00DA65CB">
        <w:rPr>
          <w:rFonts w:ascii="Times New Roman" w:hAnsi="Times New Roman" w:cs="Times New Roman"/>
          <w:bCs/>
          <w:spacing w:val="-4"/>
          <w:sz w:val="24"/>
          <w:szCs w:val="24"/>
          <w:lang w:val="en-US"/>
        </w:rPr>
        <w:t xml:space="preserve">small and medium-sized businesses, survey, </w:t>
      </w:r>
      <w:r w:rsidR="00514B45" w:rsidRPr="00514B45">
        <w:rPr>
          <w:rFonts w:ascii="Times New Roman" w:hAnsi="Times New Roman" w:cs="Times New Roman"/>
          <w:bCs/>
          <w:spacing w:val="-4"/>
          <w:sz w:val="24"/>
          <w:szCs w:val="24"/>
          <w:lang w:val="en-US"/>
        </w:rPr>
        <w:t>regional development</w:t>
      </w:r>
      <w:r w:rsidR="00DA65CB" w:rsidRPr="00DA65CB">
        <w:rPr>
          <w:rFonts w:ascii="Times New Roman" w:hAnsi="Times New Roman" w:cs="Times New Roman"/>
          <w:bCs/>
          <w:spacing w:val="-4"/>
          <w:sz w:val="24"/>
          <w:szCs w:val="24"/>
          <w:lang w:val="en-US"/>
        </w:rPr>
        <w:t>, development conditions</w:t>
      </w:r>
      <w:r w:rsidR="00514B45" w:rsidRPr="00514B45">
        <w:rPr>
          <w:rFonts w:ascii="Times New Roman" w:hAnsi="Times New Roman" w:cs="Times New Roman"/>
          <w:bCs/>
          <w:spacing w:val="-4"/>
          <w:sz w:val="24"/>
          <w:szCs w:val="24"/>
          <w:lang w:val="en-US"/>
        </w:rPr>
        <w:t xml:space="preserve">, </w:t>
      </w:r>
      <w:r w:rsidR="00514B45" w:rsidRPr="00514B45">
        <w:rPr>
          <w:rFonts w:ascii="Times New Roman" w:hAnsi="Times New Roman" w:cs="Times New Roman"/>
          <w:bCs/>
          <w:spacing w:val="-4"/>
          <w:sz w:val="24"/>
          <w:szCs w:val="24"/>
          <w:lang w:val="en-US"/>
        </w:rPr>
        <w:t>forecast</w:t>
      </w:r>
      <w:r w:rsidR="00514B45" w:rsidRPr="00514B45">
        <w:rPr>
          <w:rFonts w:ascii="Times New Roman" w:hAnsi="Times New Roman" w:cs="Times New Roman"/>
          <w:bCs/>
          <w:spacing w:val="-4"/>
          <w:sz w:val="24"/>
          <w:szCs w:val="24"/>
          <w:lang w:val="en-US"/>
        </w:rPr>
        <w:t>.</w:t>
      </w:r>
    </w:p>
    <w:p w14:paraId="28976284" w14:textId="77777777" w:rsidR="006273E9" w:rsidRPr="005D5A5A" w:rsidRDefault="006273E9" w:rsidP="005D5A5A">
      <w:pPr>
        <w:spacing w:after="0" w:line="240" w:lineRule="auto"/>
        <w:jc w:val="right"/>
        <w:rPr>
          <w:rFonts w:ascii="Times New Roman" w:hAnsi="Times New Roman" w:cs="Times New Roman"/>
          <w:spacing w:val="-4"/>
          <w:sz w:val="24"/>
          <w:szCs w:val="24"/>
          <w:lang w:val="en-US"/>
        </w:rPr>
      </w:pPr>
    </w:p>
    <w:p w14:paraId="52AB1BF2" w14:textId="77777777" w:rsidR="006273E9" w:rsidRPr="005D5A5A" w:rsidRDefault="006273E9" w:rsidP="005D5A5A">
      <w:pPr>
        <w:spacing w:after="0" w:line="240" w:lineRule="auto"/>
        <w:jc w:val="center"/>
        <w:rPr>
          <w:rFonts w:ascii="Times New Roman" w:hAnsi="Times New Roman" w:cs="Times New Roman"/>
          <w:b/>
          <w:spacing w:val="-4"/>
          <w:sz w:val="24"/>
          <w:szCs w:val="24"/>
          <w:lang w:val="en-US"/>
        </w:rPr>
      </w:pPr>
      <w:r w:rsidRPr="005D5A5A">
        <w:rPr>
          <w:rFonts w:ascii="Times New Roman" w:hAnsi="Times New Roman" w:cs="Times New Roman"/>
          <w:b/>
          <w:spacing w:val="-4"/>
          <w:sz w:val="24"/>
          <w:szCs w:val="24"/>
          <w:lang w:val="en-US"/>
        </w:rPr>
        <w:lastRenderedPageBreak/>
        <w:t>References</w:t>
      </w:r>
    </w:p>
    <w:p w14:paraId="25656D38" w14:textId="60C6C83E" w:rsidR="003602F8" w:rsidRPr="003602F8" w:rsidRDefault="00171D76" w:rsidP="003602F8">
      <w:pPr>
        <w:spacing w:after="0" w:line="240" w:lineRule="auto"/>
        <w:ind w:firstLine="709"/>
        <w:jc w:val="both"/>
        <w:rPr>
          <w:rFonts w:ascii="Times New Roman" w:hAnsi="Times New Roman" w:cs="Times New Roman"/>
          <w:spacing w:val="-4"/>
          <w:sz w:val="24"/>
          <w:szCs w:val="24"/>
          <w:lang w:val="en-US"/>
        </w:rPr>
      </w:pPr>
      <w:r w:rsidRPr="005D5A5A">
        <w:rPr>
          <w:rFonts w:ascii="Times New Roman" w:hAnsi="Times New Roman" w:cs="Times New Roman"/>
          <w:spacing w:val="-4"/>
          <w:sz w:val="24"/>
          <w:szCs w:val="24"/>
          <w:lang w:val="en-US"/>
        </w:rPr>
        <w:t>1</w:t>
      </w:r>
      <w:r w:rsidR="003602F8" w:rsidRPr="003602F8">
        <w:rPr>
          <w:rFonts w:ascii="Times New Roman" w:hAnsi="Times New Roman" w:cs="Times New Roman"/>
          <w:spacing w:val="-4"/>
          <w:sz w:val="24"/>
          <w:szCs w:val="24"/>
          <w:lang w:val="en-US"/>
        </w:rPr>
        <w:t>. Aliev B.</w:t>
      </w:r>
      <w:r w:rsidR="00DA65CB">
        <w:rPr>
          <w:rFonts w:ascii="Times New Roman" w:hAnsi="Times New Roman" w:cs="Times New Roman"/>
          <w:spacing w:val="-4"/>
          <w:sz w:val="24"/>
          <w:szCs w:val="24"/>
          <w:lang w:val="en-US"/>
        </w:rPr>
        <w:t>H</w:t>
      </w:r>
      <w:r w:rsidR="003602F8" w:rsidRPr="003602F8">
        <w:rPr>
          <w:rFonts w:ascii="Times New Roman" w:hAnsi="Times New Roman" w:cs="Times New Roman"/>
          <w:spacing w:val="-4"/>
          <w:sz w:val="24"/>
          <w:szCs w:val="24"/>
          <w:lang w:val="en-US"/>
        </w:rPr>
        <w:t>. et al. State regulation and support of small business in crisis // Finance and credit. 2010. No. 32 (416).</w:t>
      </w:r>
    </w:p>
    <w:p w14:paraId="3F1BC6D9" w14:textId="77777777" w:rsidR="003602F8" w:rsidRPr="003602F8" w:rsidRDefault="003602F8" w:rsidP="003602F8">
      <w:pPr>
        <w:spacing w:after="0" w:line="240" w:lineRule="auto"/>
        <w:ind w:firstLine="709"/>
        <w:jc w:val="both"/>
        <w:rPr>
          <w:rFonts w:ascii="Times New Roman" w:hAnsi="Times New Roman" w:cs="Times New Roman"/>
          <w:spacing w:val="-4"/>
          <w:sz w:val="24"/>
          <w:szCs w:val="24"/>
          <w:lang w:val="en-US"/>
        </w:rPr>
      </w:pPr>
      <w:r w:rsidRPr="003602F8">
        <w:rPr>
          <w:rFonts w:ascii="Times New Roman" w:hAnsi="Times New Roman" w:cs="Times New Roman"/>
          <w:spacing w:val="-4"/>
          <w:sz w:val="24"/>
          <w:szCs w:val="24"/>
          <w:lang w:val="en-US"/>
        </w:rPr>
        <w:t>2. Vilensky A.V. Stimulating the development of small business in the United States // Economy: yesterday, today, tomorrow. 2013. No. 1-2. S. 6-29.</w:t>
      </w:r>
    </w:p>
    <w:p w14:paraId="27A853F1" w14:textId="77777777" w:rsidR="003602F8" w:rsidRPr="003602F8" w:rsidRDefault="003602F8" w:rsidP="003602F8">
      <w:pPr>
        <w:spacing w:after="0" w:line="240" w:lineRule="auto"/>
        <w:ind w:firstLine="709"/>
        <w:jc w:val="both"/>
        <w:rPr>
          <w:rFonts w:ascii="Times New Roman" w:hAnsi="Times New Roman" w:cs="Times New Roman"/>
          <w:spacing w:val="-4"/>
          <w:sz w:val="24"/>
          <w:szCs w:val="24"/>
          <w:lang w:val="en-US"/>
        </w:rPr>
      </w:pPr>
      <w:r w:rsidRPr="003602F8">
        <w:rPr>
          <w:rFonts w:ascii="Times New Roman" w:hAnsi="Times New Roman" w:cs="Times New Roman"/>
          <w:spacing w:val="-4"/>
          <w:sz w:val="24"/>
          <w:szCs w:val="24"/>
          <w:lang w:val="en-US"/>
        </w:rPr>
        <w:t>3. Glazyev S.Yu. The theory of long-term technical and economic development. M .: Vla-Dar, 1993.310 p.</w:t>
      </w:r>
    </w:p>
    <w:p w14:paraId="7FA9079C" w14:textId="77777777" w:rsidR="003602F8" w:rsidRPr="003602F8" w:rsidRDefault="003602F8" w:rsidP="003602F8">
      <w:pPr>
        <w:spacing w:after="0" w:line="240" w:lineRule="auto"/>
        <w:ind w:firstLine="709"/>
        <w:jc w:val="both"/>
        <w:rPr>
          <w:rFonts w:ascii="Times New Roman" w:hAnsi="Times New Roman" w:cs="Times New Roman"/>
          <w:spacing w:val="-4"/>
          <w:sz w:val="24"/>
          <w:szCs w:val="24"/>
          <w:lang w:val="en-US"/>
        </w:rPr>
      </w:pPr>
      <w:r w:rsidRPr="003602F8">
        <w:rPr>
          <w:rFonts w:ascii="Times New Roman" w:hAnsi="Times New Roman" w:cs="Times New Roman"/>
          <w:spacing w:val="-4"/>
          <w:sz w:val="24"/>
          <w:szCs w:val="24"/>
          <w:lang w:val="en-US"/>
        </w:rPr>
        <w:t>4. Dementyev V.E. The structure of the corporate system and long waves in the economy. Moscow: TsEMI RAN, 2011.213 p.</w:t>
      </w:r>
    </w:p>
    <w:p w14:paraId="1295DB51" w14:textId="77777777" w:rsidR="003602F8" w:rsidRPr="003602F8" w:rsidRDefault="003602F8" w:rsidP="003602F8">
      <w:pPr>
        <w:spacing w:after="0" w:line="240" w:lineRule="auto"/>
        <w:ind w:firstLine="709"/>
        <w:jc w:val="both"/>
        <w:rPr>
          <w:rFonts w:ascii="Times New Roman" w:hAnsi="Times New Roman" w:cs="Times New Roman"/>
          <w:spacing w:val="-4"/>
          <w:sz w:val="24"/>
          <w:szCs w:val="24"/>
          <w:lang w:val="en-US"/>
        </w:rPr>
      </w:pPr>
      <w:r w:rsidRPr="003602F8">
        <w:rPr>
          <w:rFonts w:ascii="Times New Roman" w:hAnsi="Times New Roman" w:cs="Times New Roman"/>
          <w:spacing w:val="-4"/>
          <w:sz w:val="24"/>
          <w:szCs w:val="24"/>
          <w:lang w:val="en-US"/>
        </w:rPr>
        <w:t>5. Christensen K.M. The innovator's dilemma. How strong companies die because of new technologies. M .: Alpina Publisher, 2018.240 s</w:t>
      </w:r>
    </w:p>
    <w:p w14:paraId="1A0B7EC8" w14:textId="77777777" w:rsidR="003602F8" w:rsidRPr="003602F8" w:rsidRDefault="003602F8" w:rsidP="003602F8">
      <w:pPr>
        <w:spacing w:after="0" w:line="240" w:lineRule="auto"/>
        <w:ind w:firstLine="709"/>
        <w:jc w:val="both"/>
        <w:rPr>
          <w:rFonts w:ascii="Times New Roman" w:hAnsi="Times New Roman" w:cs="Times New Roman"/>
          <w:spacing w:val="-4"/>
          <w:sz w:val="24"/>
          <w:szCs w:val="24"/>
          <w:lang w:val="en-US"/>
        </w:rPr>
      </w:pPr>
      <w:r w:rsidRPr="003602F8">
        <w:rPr>
          <w:rFonts w:ascii="Times New Roman" w:hAnsi="Times New Roman" w:cs="Times New Roman"/>
          <w:spacing w:val="-4"/>
          <w:sz w:val="24"/>
          <w:szCs w:val="24"/>
          <w:lang w:val="en-US"/>
        </w:rPr>
        <w:t>6. Kurilo A.K. The influence of state policy on the development of small and medium-sized enterprises in South Korea during the fifth long wave // ​​New science: problems and prospects: International scientific periodical following the results of an international scientific and practical conference / in 2 hours, Part 1 ... Sterlitamak: RITs AMI, 2016.S. 112-119.</w:t>
      </w:r>
    </w:p>
    <w:p w14:paraId="460B75A7" w14:textId="4B0785F4" w:rsidR="003602F8" w:rsidRPr="003602F8" w:rsidRDefault="003602F8" w:rsidP="003602F8">
      <w:pPr>
        <w:spacing w:after="0" w:line="240" w:lineRule="auto"/>
        <w:ind w:firstLine="709"/>
        <w:jc w:val="both"/>
        <w:rPr>
          <w:rFonts w:ascii="Times New Roman" w:hAnsi="Times New Roman" w:cs="Times New Roman"/>
          <w:spacing w:val="-4"/>
          <w:sz w:val="24"/>
          <w:szCs w:val="24"/>
          <w:lang w:val="en-US"/>
        </w:rPr>
      </w:pPr>
      <w:r w:rsidRPr="003602F8">
        <w:rPr>
          <w:rFonts w:ascii="Times New Roman" w:hAnsi="Times New Roman" w:cs="Times New Roman"/>
          <w:spacing w:val="-4"/>
          <w:sz w:val="24"/>
          <w:szCs w:val="24"/>
          <w:lang w:val="en-US"/>
        </w:rPr>
        <w:t>7. Kurilo A.K. Development of small innovative business in the USA during the fifth long wave // New science: strategies and vectors of development: International scientific-periodical publication based on the results of an international scientific-practical conference / (October 08, 2016, Chelyabinsk) / 2 hours Part 2 Sterlitamak: AMI, 2016.S. 143-152.</w:t>
      </w:r>
    </w:p>
    <w:p w14:paraId="40AD6DF2" w14:textId="77777777" w:rsidR="003602F8" w:rsidRPr="003602F8" w:rsidRDefault="003602F8" w:rsidP="003602F8">
      <w:pPr>
        <w:spacing w:after="0" w:line="240" w:lineRule="auto"/>
        <w:ind w:firstLine="709"/>
        <w:jc w:val="both"/>
        <w:rPr>
          <w:rFonts w:ascii="Times New Roman" w:hAnsi="Times New Roman" w:cs="Times New Roman"/>
          <w:spacing w:val="-4"/>
          <w:sz w:val="24"/>
          <w:szCs w:val="24"/>
          <w:lang w:val="en-US"/>
        </w:rPr>
      </w:pPr>
      <w:r w:rsidRPr="003602F8">
        <w:rPr>
          <w:rFonts w:ascii="Times New Roman" w:hAnsi="Times New Roman" w:cs="Times New Roman"/>
          <w:spacing w:val="-4"/>
          <w:sz w:val="24"/>
          <w:szCs w:val="24"/>
          <w:lang w:val="en-US"/>
        </w:rPr>
        <w:t>8. Modern classics of the theory of entrepreneurship. Laureates of the International Prize for Contribution to Entrepreneurship and Small Business Research (1996–2010) / per. from English under scientific. ed. A.Yu. Chepurenko; foreword and after. A.Yu. Chepurenko; Nat. issled. un-t "Higher School of Economics", Scientific-textbook. lab. research on entrepreneurship. Moscow: Ed. House of the Higher School of Economics, 2013.526 p.</w:t>
      </w:r>
    </w:p>
    <w:p w14:paraId="585FB46E" w14:textId="77777777" w:rsidR="003602F8" w:rsidRPr="003602F8" w:rsidRDefault="003602F8" w:rsidP="003602F8">
      <w:pPr>
        <w:spacing w:after="0" w:line="240" w:lineRule="auto"/>
        <w:ind w:firstLine="709"/>
        <w:jc w:val="both"/>
        <w:rPr>
          <w:rFonts w:ascii="Times New Roman" w:hAnsi="Times New Roman" w:cs="Times New Roman"/>
          <w:spacing w:val="-4"/>
          <w:sz w:val="24"/>
          <w:szCs w:val="24"/>
          <w:lang w:val="en-US"/>
        </w:rPr>
      </w:pPr>
      <w:r w:rsidRPr="003602F8">
        <w:rPr>
          <w:rFonts w:ascii="Times New Roman" w:hAnsi="Times New Roman" w:cs="Times New Roman"/>
          <w:spacing w:val="-4"/>
          <w:sz w:val="24"/>
          <w:szCs w:val="24"/>
          <w:lang w:val="en-US"/>
        </w:rPr>
        <w:t>9. Kapitonov I. A. et al. Small and medium-sized enterprises as a driver of innovative de-development of the Russian fuel and energy complex // International Journal of Energy Economics and Policy. 2017.Vol. 7.No. 3.S. 231-239.</w:t>
      </w:r>
    </w:p>
    <w:p w14:paraId="6A99BFCB" w14:textId="77777777" w:rsidR="003602F8" w:rsidRPr="003602F8" w:rsidRDefault="003602F8" w:rsidP="003602F8">
      <w:pPr>
        <w:spacing w:after="0" w:line="240" w:lineRule="auto"/>
        <w:ind w:firstLine="709"/>
        <w:jc w:val="both"/>
        <w:rPr>
          <w:rFonts w:ascii="Times New Roman" w:hAnsi="Times New Roman" w:cs="Times New Roman"/>
          <w:spacing w:val="-4"/>
          <w:sz w:val="24"/>
          <w:szCs w:val="24"/>
          <w:lang w:val="en-US"/>
        </w:rPr>
      </w:pPr>
      <w:r w:rsidRPr="003602F8">
        <w:rPr>
          <w:rFonts w:ascii="Times New Roman" w:hAnsi="Times New Roman" w:cs="Times New Roman"/>
          <w:spacing w:val="-4"/>
          <w:sz w:val="24"/>
          <w:szCs w:val="24"/>
          <w:lang w:val="en-US"/>
        </w:rPr>
        <w:t>10. Perez C. Technological Revolutions and Financial Capital: The Dynamics of bubbles and Golden Ages. Cheltenham: Elgar, 2002, 198 p.</w:t>
      </w:r>
    </w:p>
    <w:p w14:paraId="29FA92BB" w14:textId="275FB4CD" w:rsidR="006273E9" w:rsidRPr="005D5A5A" w:rsidRDefault="003602F8" w:rsidP="003602F8">
      <w:pPr>
        <w:spacing w:after="0" w:line="240" w:lineRule="auto"/>
        <w:ind w:firstLine="709"/>
        <w:jc w:val="both"/>
        <w:rPr>
          <w:rFonts w:ascii="Times New Roman" w:hAnsi="Times New Roman" w:cs="Times New Roman"/>
          <w:spacing w:val="-4"/>
          <w:sz w:val="24"/>
          <w:szCs w:val="24"/>
          <w:lang w:val="en-US"/>
        </w:rPr>
      </w:pPr>
      <w:r w:rsidRPr="003602F8">
        <w:rPr>
          <w:rFonts w:ascii="Times New Roman" w:hAnsi="Times New Roman" w:cs="Times New Roman"/>
          <w:spacing w:val="-4"/>
          <w:sz w:val="24"/>
          <w:szCs w:val="24"/>
          <w:lang w:val="en-US"/>
        </w:rPr>
        <w:t>11. Street C. T., Cameron A. External relationships and the small business: A review of small business alliance and network research // Journal of Small Business Management. 2007.Vol. 45.No. 2.S. 239-266.</w:t>
      </w:r>
    </w:p>
    <w:p w14:paraId="0CDBD865" w14:textId="77777777" w:rsidR="006273E9" w:rsidRPr="005D5A5A" w:rsidRDefault="006273E9" w:rsidP="005D5A5A">
      <w:pPr>
        <w:spacing w:after="0" w:line="240" w:lineRule="auto"/>
        <w:jc w:val="center"/>
        <w:rPr>
          <w:rFonts w:ascii="Times New Roman" w:hAnsi="Times New Roman" w:cs="Times New Roman"/>
          <w:spacing w:val="-4"/>
          <w:sz w:val="24"/>
          <w:szCs w:val="24"/>
          <w:lang w:val="en-US"/>
        </w:rPr>
      </w:pPr>
      <w:r w:rsidRPr="005D5A5A">
        <w:rPr>
          <w:rFonts w:ascii="Times New Roman" w:hAnsi="Times New Roman" w:cs="Times New Roman"/>
          <w:b/>
          <w:spacing w:val="-4"/>
          <w:sz w:val="24"/>
          <w:szCs w:val="24"/>
          <w:lang w:val="en-US"/>
        </w:rPr>
        <w:t>Information about the author</w:t>
      </w:r>
    </w:p>
    <w:p w14:paraId="6909409A" w14:textId="41823451" w:rsidR="000072C8" w:rsidRPr="005D5A5A" w:rsidRDefault="006273E9" w:rsidP="005D5A5A">
      <w:pPr>
        <w:spacing w:after="0" w:line="240" w:lineRule="auto"/>
        <w:ind w:firstLine="709"/>
        <w:jc w:val="both"/>
        <w:rPr>
          <w:rFonts w:ascii="Times New Roman" w:hAnsi="Times New Roman" w:cs="Times New Roman"/>
          <w:spacing w:val="-4"/>
          <w:sz w:val="24"/>
          <w:szCs w:val="24"/>
          <w:lang w:val="en-US"/>
        </w:rPr>
      </w:pPr>
      <w:r w:rsidRPr="005D5A5A">
        <w:rPr>
          <w:rFonts w:ascii="Times New Roman" w:hAnsi="Times New Roman" w:cs="Times New Roman"/>
          <w:spacing w:val="-4"/>
          <w:sz w:val="24"/>
          <w:szCs w:val="24"/>
          <w:lang w:val="en-US"/>
        </w:rPr>
        <w:t xml:space="preserve">Alexander E. Kremin – candidate of economic Sciences, research associate, Federal state budgetary institution of science «Vologda scientific center of the Russian Academy of Sciences» (56a Gorkogo str., Vologda, Vologda region, 160014); </w:t>
      </w:r>
      <w:r w:rsidR="003602F8" w:rsidRPr="005D5A5A">
        <w:rPr>
          <w:rFonts w:ascii="Times New Roman" w:hAnsi="Times New Roman" w:cs="Times New Roman"/>
          <w:spacing w:val="-4"/>
          <w:sz w:val="24"/>
          <w:szCs w:val="24"/>
          <w:lang w:val="en-US"/>
        </w:rPr>
        <w:t>head of the Department</w:t>
      </w:r>
      <w:r w:rsidR="003602F8" w:rsidRPr="003602F8">
        <w:rPr>
          <w:rFonts w:ascii="Times New Roman" w:hAnsi="Times New Roman" w:cs="Times New Roman"/>
          <w:spacing w:val="-4"/>
          <w:sz w:val="24"/>
          <w:szCs w:val="24"/>
          <w:lang w:val="en-US"/>
        </w:rPr>
        <w:t>,</w:t>
      </w:r>
      <w:r w:rsidR="003602F8" w:rsidRPr="005D5A5A">
        <w:rPr>
          <w:rFonts w:ascii="Times New Roman" w:hAnsi="Times New Roman" w:cs="Times New Roman"/>
          <w:spacing w:val="-4"/>
          <w:sz w:val="24"/>
          <w:szCs w:val="24"/>
          <w:lang w:val="en-US"/>
        </w:rPr>
        <w:t xml:space="preserve"> </w:t>
      </w:r>
      <w:r w:rsidRPr="005D5A5A">
        <w:rPr>
          <w:rFonts w:ascii="Times New Roman" w:hAnsi="Times New Roman" w:cs="Times New Roman"/>
          <w:spacing w:val="-4"/>
          <w:sz w:val="24"/>
          <w:szCs w:val="24"/>
          <w:lang w:val="en-US"/>
        </w:rPr>
        <w:t>Federal state educational institution of higher education «Vologda Institute of Law and Economics of the Federal penitentiary service» (2 Shchetinina str., Vologda, Vologda region, 160002), akremin@inbox.ru</w:t>
      </w:r>
    </w:p>
    <w:sectPr w:rsidR="000072C8" w:rsidRPr="005D5A5A" w:rsidSect="005D5A5A">
      <w:headerReference w:type="default" r:id="rId10"/>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F1F40B6" w14:textId="77777777" w:rsidR="001E0482" w:rsidRDefault="001E0482" w:rsidP="00A700D3">
      <w:pPr>
        <w:spacing w:after="0" w:line="240" w:lineRule="auto"/>
      </w:pPr>
      <w:r>
        <w:separator/>
      </w:r>
    </w:p>
  </w:endnote>
  <w:endnote w:type="continuationSeparator" w:id="0">
    <w:p w14:paraId="05BF5FEA" w14:textId="77777777" w:rsidR="001E0482" w:rsidRDefault="001E0482" w:rsidP="00A700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9460A30" w14:textId="77777777" w:rsidR="001E0482" w:rsidRDefault="001E0482" w:rsidP="00A700D3">
      <w:pPr>
        <w:spacing w:after="0" w:line="240" w:lineRule="auto"/>
      </w:pPr>
      <w:r>
        <w:separator/>
      </w:r>
    </w:p>
  </w:footnote>
  <w:footnote w:type="continuationSeparator" w:id="0">
    <w:p w14:paraId="7D365BE9" w14:textId="77777777" w:rsidR="001E0482" w:rsidRDefault="001E0482" w:rsidP="00A700D3">
      <w:pPr>
        <w:spacing w:after="0" w:line="240" w:lineRule="auto"/>
      </w:pPr>
      <w:r>
        <w:continuationSeparator/>
      </w:r>
    </w:p>
  </w:footnote>
  <w:footnote w:id="1">
    <w:p w14:paraId="35E13D70" w14:textId="77777777" w:rsidR="00A700D3" w:rsidRPr="00A700D3" w:rsidRDefault="00A700D3">
      <w:pPr>
        <w:pStyle w:val="a4"/>
        <w:rPr>
          <w:rFonts w:ascii="Times New Roman" w:hAnsi="Times New Roman" w:cs="Times New Roman"/>
        </w:rPr>
      </w:pPr>
      <w:r w:rsidRPr="00A700D3">
        <w:rPr>
          <w:rStyle w:val="a6"/>
          <w:rFonts w:ascii="Times New Roman" w:hAnsi="Times New Roman" w:cs="Times New Roman"/>
        </w:rPr>
        <w:footnoteRef/>
      </w:r>
      <w:r w:rsidRPr="00A700D3">
        <w:rPr>
          <w:rFonts w:ascii="Times New Roman" w:hAnsi="Times New Roman" w:cs="Times New Roman"/>
        </w:rPr>
        <w:t xml:space="preserve"> Статья подготовлена при поддержке гранта Президента РФ (МК-2249.2020.6)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2513209"/>
      <w:docPartObj>
        <w:docPartGallery w:val="Page Numbers (Top of Page)"/>
        <w:docPartUnique/>
      </w:docPartObj>
    </w:sdtPr>
    <w:sdtEndPr>
      <w:rPr>
        <w:rFonts w:ascii="Times New Roman" w:hAnsi="Times New Roman" w:cs="Times New Roman"/>
        <w:sz w:val="20"/>
        <w:szCs w:val="20"/>
      </w:rPr>
    </w:sdtEndPr>
    <w:sdtContent>
      <w:p w14:paraId="08F9B88F" w14:textId="3AF8FDC0" w:rsidR="007418FE" w:rsidRPr="007418FE" w:rsidRDefault="007418FE">
        <w:pPr>
          <w:pStyle w:val="a9"/>
          <w:jc w:val="center"/>
          <w:rPr>
            <w:rFonts w:ascii="Times New Roman" w:hAnsi="Times New Roman" w:cs="Times New Roman"/>
            <w:sz w:val="20"/>
            <w:szCs w:val="20"/>
          </w:rPr>
        </w:pPr>
        <w:r w:rsidRPr="007418FE">
          <w:rPr>
            <w:rFonts w:ascii="Times New Roman" w:hAnsi="Times New Roman" w:cs="Times New Roman"/>
            <w:sz w:val="20"/>
            <w:szCs w:val="20"/>
          </w:rPr>
          <w:fldChar w:fldCharType="begin"/>
        </w:r>
        <w:r w:rsidRPr="007418FE">
          <w:rPr>
            <w:rFonts w:ascii="Times New Roman" w:hAnsi="Times New Roman" w:cs="Times New Roman"/>
            <w:sz w:val="20"/>
            <w:szCs w:val="20"/>
          </w:rPr>
          <w:instrText>PAGE   \* MERGEFORMAT</w:instrText>
        </w:r>
        <w:r w:rsidRPr="007418FE">
          <w:rPr>
            <w:rFonts w:ascii="Times New Roman" w:hAnsi="Times New Roman" w:cs="Times New Roman"/>
            <w:sz w:val="20"/>
            <w:szCs w:val="20"/>
          </w:rPr>
          <w:fldChar w:fldCharType="separate"/>
        </w:r>
        <w:r w:rsidRPr="007418FE">
          <w:rPr>
            <w:rFonts w:ascii="Times New Roman" w:hAnsi="Times New Roman" w:cs="Times New Roman"/>
            <w:sz w:val="20"/>
            <w:szCs w:val="20"/>
          </w:rPr>
          <w:t>2</w:t>
        </w:r>
        <w:r w:rsidRPr="007418FE">
          <w:rPr>
            <w:rFonts w:ascii="Times New Roman" w:hAnsi="Times New Roman" w:cs="Times New Roman"/>
            <w:sz w:val="20"/>
            <w:szCs w:val="20"/>
          </w:rPr>
          <w:fldChar w:fldCharType="end"/>
        </w:r>
      </w:p>
    </w:sdtContent>
  </w:sdt>
  <w:p w14:paraId="6B5F8DD8" w14:textId="77777777" w:rsidR="007418FE" w:rsidRPr="007418FE" w:rsidRDefault="007418FE">
    <w:pPr>
      <w:pStyle w:val="a9"/>
      <w:rPr>
        <w:rFonts w:ascii="Times New Roman" w:hAnsi="Times New Roman" w:cs="Times New Roman"/>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0B1334A"/>
    <w:multiLevelType w:val="hybridMultilevel"/>
    <w:tmpl w:val="965481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3747508C"/>
    <w:multiLevelType w:val="hybridMultilevel"/>
    <w:tmpl w:val="DC3EF44C"/>
    <w:lvl w:ilvl="0" w:tplc="02A6131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3E394868"/>
    <w:multiLevelType w:val="hybridMultilevel"/>
    <w:tmpl w:val="B6A6AB5A"/>
    <w:lvl w:ilvl="0" w:tplc="6B947AD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5003472E"/>
    <w:multiLevelType w:val="hybridMultilevel"/>
    <w:tmpl w:val="C46E5878"/>
    <w:lvl w:ilvl="0" w:tplc="03788C1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72C8"/>
    <w:rsid w:val="000072C8"/>
    <w:rsid w:val="00016105"/>
    <w:rsid w:val="000E52F0"/>
    <w:rsid w:val="00171D76"/>
    <w:rsid w:val="00194957"/>
    <w:rsid w:val="001B3F62"/>
    <w:rsid w:val="001C7254"/>
    <w:rsid w:val="001D71AB"/>
    <w:rsid w:val="001E0482"/>
    <w:rsid w:val="00276266"/>
    <w:rsid w:val="002A6B80"/>
    <w:rsid w:val="002E5881"/>
    <w:rsid w:val="00304B6F"/>
    <w:rsid w:val="00353DDD"/>
    <w:rsid w:val="003602F8"/>
    <w:rsid w:val="0038200E"/>
    <w:rsid w:val="00412838"/>
    <w:rsid w:val="0049533B"/>
    <w:rsid w:val="00514B45"/>
    <w:rsid w:val="005A35B3"/>
    <w:rsid w:val="005B7FD1"/>
    <w:rsid w:val="005D5A5A"/>
    <w:rsid w:val="006273E9"/>
    <w:rsid w:val="00646ABD"/>
    <w:rsid w:val="007418FE"/>
    <w:rsid w:val="007D702C"/>
    <w:rsid w:val="007F669A"/>
    <w:rsid w:val="00832907"/>
    <w:rsid w:val="008A5761"/>
    <w:rsid w:val="00911533"/>
    <w:rsid w:val="009A2BE0"/>
    <w:rsid w:val="00A31705"/>
    <w:rsid w:val="00A700D3"/>
    <w:rsid w:val="00AC6C3B"/>
    <w:rsid w:val="00B1102D"/>
    <w:rsid w:val="00B1420C"/>
    <w:rsid w:val="00B6062F"/>
    <w:rsid w:val="00B71E0B"/>
    <w:rsid w:val="00BE185A"/>
    <w:rsid w:val="00CB1EB1"/>
    <w:rsid w:val="00CD19DC"/>
    <w:rsid w:val="00CF5B69"/>
    <w:rsid w:val="00D435A4"/>
    <w:rsid w:val="00D77326"/>
    <w:rsid w:val="00D9686C"/>
    <w:rsid w:val="00DA65CB"/>
    <w:rsid w:val="00E97440"/>
    <w:rsid w:val="00F038EB"/>
    <w:rsid w:val="00F20605"/>
    <w:rsid w:val="00F3341A"/>
    <w:rsid w:val="00F924E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EF7CC1"/>
  <w15:chartTrackingRefBased/>
  <w15:docId w15:val="{71CBFB28-EF45-42B3-9EA1-7FE2D49F1A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072C8"/>
    <w:rPr>
      <w:color w:val="0563C1" w:themeColor="hyperlink"/>
      <w:u w:val="single"/>
    </w:rPr>
  </w:style>
  <w:style w:type="paragraph" w:styleId="a4">
    <w:name w:val="footnote text"/>
    <w:basedOn w:val="a"/>
    <w:link w:val="a5"/>
    <w:uiPriority w:val="99"/>
    <w:semiHidden/>
    <w:unhideWhenUsed/>
    <w:rsid w:val="00A700D3"/>
    <w:pPr>
      <w:spacing w:after="0" w:line="240" w:lineRule="auto"/>
    </w:pPr>
    <w:rPr>
      <w:sz w:val="20"/>
      <w:szCs w:val="20"/>
    </w:rPr>
  </w:style>
  <w:style w:type="character" w:customStyle="1" w:styleId="a5">
    <w:name w:val="Текст сноски Знак"/>
    <w:basedOn w:val="a0"/>
    <w:link w:val="a4"/>
    <w:uiPriority w:val="99"/>
    <w:semiHidden/>
    <w:rsid w:val="00A700D3"/>
    <w:rPr>
      <w:sz w:val="20"/>
      <w:szCs w:val="20"/>
    </w:rPr>
  </w:style>
  <w:style w:type="character" w:styleId="a6">
    <w:name w:val="footnote reference"/>
    <w:basedOn w:val="a0"/>
    <w:uiPriority w:val="99"/>
    <w:semiHidden/>
    <w:unhideWhenUsed/>
    <w:rsid w:val="00A700D3"/>
    <w:rPr>
      <w:vertAlign w:val="superscript"/>
    </w:rPr>
  </w:style>
  <w:style w:type="table" w:styleId="a7">
    <w:name w:val="Table Grid"/>
    <w:basedOn w:val="a1"/>
    <w:uiPriority w:val="39"/>
    <w:rsid w:val="008329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832907"/>
    <w:pPr>
      <w:ind w:left="720"/>
      <w:contextualSpacing/>
    </w:pPr>
  </w:style>
  <w:style w:type="paragraph" w:styleId="a9">
    <w:name w:val="header"/>
    <w:basedOn w:val="a"/>
    <w:link w:val="aa"/>
    <w:uiPriority w:val="99"/>
    <w:unhideWhenUsed/>
    <w:rsid w:val="007418FE"/>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7418FE"/>
  </w:style>
  <w:style w:type="paragraph" w:styleId="ab">
    <w:name w:val="footer"/>
    <w:basedOn w:val="a"/>
    <w:link w:val="ac"/>
    <w:uiPriority w:val="99"/>
    <w:unhideWhenUsed/>
    <w:rsid w:val="007418FE"/>
    <w:pPr>
      <w:tabs>
        <w:tab w:val="center" w:pos="4677"/>
        <w:tab w:val="right" w:pos="9355"/>
      </w:tabs>
      <w:spacing w:after="0" w:line="240" w:lineRule="auto"/>
    </w:pPr>
  </w:style>
  <w:style w:type="character" w:customStyle="1" w:styleId="ac">
    <w:name w:val="Нижний колонтитул Знак"/>
    <w:basedOn w:val="a0"/>
    <w:link w:val="ab"/>
    <w:uiPriority w:val="99"/>
    <w:rsid w:val="007418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akremin@inbox.ru"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E:\&#1048;&#1057;&#1069;&#1056;&#1058;\&#1052;&#1054;&#1045;\&#1050;&#1088;&#1077;&#1084;&#1080;&#1085;%20&#1040;.&#1045;\&#1052;&#1054;&#1045;\2020\&#1043;&#1088;&#1072;&#1085;&#1090;\&#1057;&#1090;&#1072;&#1090;&#1100;&#1080;\2021\&#1052;&#1057;&#1055;%20&#1089;&#1090;&#1072;&#1090;%20&#1085;&#1072;%202021(1).xls"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0"/>
    <c:plotArea>
      <c:layout>
        <c:manualLayout>
          <c:layoutTarget val="inner"/>
          <c:xMode val="edge"/>
          <c:yMode val="edge"/>
          <c:x val="6.9686740068657119E-2"/>
          <c:y val="4.8851682722182745E-2"/>
          <c:w val="0.90781110423385269"/>
          <c:h val="0.5731165233691693"/>
        </c:manualLayout>
      </c:layout>
      <c:lineChart>
        <c:grouping val="standard"/>
        <c:varyColors val="0"/>
        <c:ser>
          <c:idx val="0"/>
          <c:order val="0"/>
          <c:tx>
            <c:strRef>
              <c:f>ТОп!$E$39</c:f>
              <c:strCache>
                <c:ptCount val="1"/>
                <c:pt idx="0">
                  <c:v>Оборот малых и средних предприятий на работника, занятого в секторе МСП, тыс.руб./чел. (в ценах 2019 г.)</c:v>
                </c:pt>
              </c:strCache>
            </c:strRef>
          </c:tx>
          <c:spPr>
            <a:ln w="19050" cap="rnd" cmpd="sng" algn="ctr">
              <a:solidFill>
                <a:schemeClr val="accent3">
                  <a:shade val="76000"/>
                </a:schemeClr>
              </a:solidFill>
              <a:prstDash val="solid"/>
              <a:round/>
            </a:ln>
            <a:effectLst/>
          </c:spPr>
          <c:marker>
            <c:symbol val="circle"/>
            <c:size val="5"/>
            <c:spPr>
              <a:solidFill>
                <a:schemeClr val="accent3">
                  <a:shade val="76000"/>
                </a:schemeClr>
              </a:solidFill>
              <a:ln w="6350" cap="flat" cmpd="sng" algn="ctr">
                <a:solidFill>
                  <a:schemeClr val="accent3">
                    <a:shade val="76000"/>
                  </a:schemeClr>
                </a:solidFill>
                <a:prstDash val="solid"/>
                <a:round/>
              </a:ln>
              <a:effectLst/>
            </c:spPr>
          </c:marker>
          <c:dLbls>
            <c:spPr>
              <a:noFill/>
              <a:ln>
                <a:noFill/>
              </a:ln>
              <a:effectLst/>
            </c:spPr>
            <c:txPr>
              <a:bodyPr rot="0" spcFirstLastPara="1" vertOverflow="ellipsis" vert="horz" wrap="square" anchor="ctr" anchorCtr="1"/>
              <a:lstStyle/>
              <a:p>
                <a:pPr>
                  <a:defRPr sz="7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trendline>
            <c:spPr>
              <a:ln w="19050" cap="rnd" cmpd="sng" algn="ctr">
                <a:solidFill>
                  <a:schemeClr val="accent1"/>
                </a:solidFill>
                <a:prstDash val="sysDot"/>
                <a:round/>
              </a:ln>
              <a:effectLst/>
            </c:spPr>
            <c:trendlineType val="poly"/>
            <c:order val="2"/>
            <c:dispRSqr val="1"/>
            <c:dispEq val="1"/>
            <c:trendlineLbl>
              <c:layout>
                <c:manualLayout>
                  <c:x val="-0.19639880058980896"/>
                  <c:y val="-3.7066337538685684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rendlineLbl>
          </c:trendline>
          <c:trendline>
            <c:spPr>
              <a:ln w="19050" cap="rnd" cmpd="sng" algn="ctr">
                <a:solidFill>
                  <a:schemeClr val="accent1"/>
                </a:solidFill>
                <a:prstDash val="sysDot"/>
                <a:round/>
              </a:ln>
              <a:effectLst/>
            </c:spPr>
            <c:trendlineType val="poly"/>
            <c:order val="3"/>
            <c:dispRSqr val="1"/>
            <c:dispEq val="1"/>
            <c:trendlineLbl>
              <c:layout>
                <c:manualLayout>
                  <c:x val="4.5159640968632508E-2"/>
                  <c:y val="0.26087908722664815"/>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rendlineLbl>
          </c:trendline>
          <c:cat>
            <c:strRef>
              <c:f>ТОп!$F$36:$V$36</c:f>
              <c:strCache>
                <c:ptCount val="17"/>
                <c:pt idx="0">
                  <c:v>2009 г.</c:v>
                </c:pt>
                <c:pt idx="1">
                  <c:v>2010 г.</c:v>
                </c:pt>
                <c:pt idx="2">
                  <c:v>2011 г.</c:v>
                </c:pt>
                <c:pt idx="3">
                  <c:v>2012 г.</c:v>
                </c:pt>
                <c:pt idx="4">
                  <c:v>2013 г.</c:v>
                </c:pt>
                <c:pt idx="5">
                  <c:v>2014 г.</c:v>
                </c:pt>
                <c:pt idx="6">
                  <c:v>2015 г.</c:v>
                </c:pt>
                <c:pt idx="7">
                  <c:v>2016 г.</c:v>
                </c:pt>
                <c:pt idx="8">
                  <c:v>2017 г.</c:v>
                </c:pt>
                <c:pt idx="9">
                  <c:v>2018 г.</c:v>
                </c:pt>
                <c:pt idx="10">
                  <c:v>2019 г.</c:v>
                </c:pt>
                <c:pt idx="11">
                  <c:v>2020 г.</c:v>
                </c:pt>
                <c:pt idx="12">
                  <c:v>2021 г.</c:v>
                </c:pt>
                <c:pt idx="13">
                  <c:v>2022 г.</c:v>
                </c:pt>
                <c:pt idx="14">
                  <c:v>2023 г.</c:v>
                </c:pt>
                <c:pt idx="15">
                  <c:v>2024 г.</c:v>
                </c:pt>
                <c:pt idx="16">
                  <c:v>2025 г.</c:v>
                </c:pt>
              </c:strCache>
            </c:strRef>
          </c:cat>
          <c:val>
            <c:numRef>
              <c:f>ТОп!$F$39:$V$39</c:f>
              <c:numCache>
                <c:formatCode>0.0</c:formatCode>
                <c:ptCount val="17"/>
                <c:pt idx="0">
                  <c:v>1867.2129876195634</c:v>
                </c:pt>
                <c:pt idx="1">
                  <c:v>1778.2980834472032</c:v>
                </c:pt>
                <c:pt idx="2">
                  <c:v>1911.8448748284761</c:v>
                </c:pt>
                <c:pt idx="3">
                  <c:v>1911.3405712235408</c:v>
                </c:pt>
                <c:pt idx="4">
                  <c:v>1893.3993830998263</c:v>
                </c:pt>
                <c:pt idx="5">
                  <c:v>1889.0153870804259</c:v>
                </c:pt>
                <c:pt idx="6">
                  <c:v>2006.1993197849229</c:v>
                </c:pt>
                <c:pt idx="7">
                  <c:v>2186.9473055387216</c:v>
                </c:pt>
                <c:pt idx="8">
                  <c:v>2235.7275891121476</c:v>
                </c:pt>
                <c:pt idx="9">
                  <c:v>2415.6377114307484</c:v>
                </c:pt>
                <c:pt idx="10">
                  <c:v>2404.9381276960257</c:v>
                </c:pt>
              </c:numCache>
            </c:numRef>
          </c:val>
          <c:smooth val="0"/>
          <c:extLst>
            <c:ext xmlns:c16="http://schemas.microsoft.com/office/drawing/2014/chart" uri="{C3380CC4-5D6E-409C-BE32-E72D297353CC}">
              <c16:uniqueId val="{00000002-2B9C-452B-924B-B9699143A5FF}"/>
            </c:ext>
          </c:extLst>
        </c:ser>
        <c:ser>
          <c:idx val="1"/>
          <c:order val="1"/>
          <c:tx>
            <c:strRef>
              <c:f>ТОп!$E$40</c:f>
              <c:strCache>
                <c:ptCount val="1"/>
                <c:pt idx="0">
                  <c:v>Прогноз</c:v>
                </c:pt>
              </c:strCache>
            </c:strRef>
          </c:tx>
          <c:spPr>
            <a:ln w="19050" cap="rnd" cmpd="sng" algn="ctr">
              <a:solidFill>
                <a:schemeClr val="accent3">
                  <a:tint val="77000"/>
                </a:schemeClr>
              </a:solidFill>
              <a:prstDash val="solid"/>
              <a:round/>
            </a:ln>
            <a:effectLst/>
          </c:spPr>
          <c:marker>
            <c:symbol val="circle"/>
            <c:size val="5"/>
            <c:spPr>
              <a:solidFill>
                <a:schemeClr val="accent3">
                  <a:tint val="77000"/>
                </a:schemeClr>
              </a:solidFill>
              <a:ln w="6350" cap="flat" cmpd="sng" algn="ctr">
                <a:solidFill>
                  <a:schemeClr val="accent3">
                    <a:tint val="77000"/>
                  </a:schemeClr>
                </a:solidFill>
                <a:prstDash val="solid"/>
                <a:round/>
              </a:ln>
              <a:effectLst/>
            </c:spPr>
          </c:marker>
          <c:dLbls>
            <c:spPr>
              <a:noFill/>
              <a:ln>
                <a:noFill/>
              </a:ln>
              <a:effectLst/>
            </c:spPr>
            <c:txPr>
              <a:bodyPr rot="0" spcFirstLastPara="1" vertOverflow="ellipsis" vert="horz" wrap="square" anchor="ctr" anchorCtr="1"/>
              <a:lstStyle/>
              <a:p>
                <a:pPr>
                  <a:defRPr sz="7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ТОп!$F$40:$V$40</c:f>
              <c:numCache>
                <c:formatCode>General</c:formatCode>
                <c:ptCount val="17"/>
                <c:pt idx="11" formatCode="0.0">
                  <c:v>2589.0691999999999</c:v>
                </c:pt>
                <c:pt idx="12" formatCode="0.0">
                  <c:v>2721.3629000000001</c:v>
                </c:pt>
                <c:pt idx="13" formatCode="0.0">
                  <c:v>2857.7004000000002</c:v>
                </c:pt>
                <c:pt idx="14" formatCode="0.0">
                  <c:v>2996.4875000000002</c:v>
                </c:pt>
                <c:pt idx="15" formatCode="0.0">
                  <c:v>3136.13</c:v>
                </c:pt>
                <c:pt idx="16" formatCode="0.0">
                  <c:v>3275.0337000000004</c:v>
                </c:pt>
              </c:numCache>
            </c:numRef>
          </c:val>
          <c:smooth val="0"/>
          <c:extLst>
            <c:ext xmlns:c16="http://schemas.microsoft.com/office/drawing/2014/chart" uri="{C3380CC4-5D6E-409C-BE32-E72D297353CC}">
              <c16:uniqueId val="{00000003-2B9C-452B-924B-B9699143A5FF}"/>
            </c:ext>
          </c:extLst>
        </c:ser>
        <c:dLbls>
          <c:showLegendKey val="0"/>
          <c:showVal val="0"/>
          <c:showCatName val="0"/>
          <c:showSerName val="0"/>
          <c:showPercent val="0"/>
          <c:showBubbleSize val="0"/>
        </c:dLbls>
        <c:marker val="1"/>
        <c:smooth val="0"/>
        <c:axId val="248257135"/>
        <c:axId val="1"/>
      </c:lineChart>
      <c:catAx>
        <c:axId val="2482571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
        <c:crosses val="autoZero"/>
        <c:auto val="1"/>
        <c:lblAlgn val="ctr"/>
        <c:lblOffset val="100"/>
        <c:noMultiLvlLbl val="0"/>
      </c:catAx>
      <c:valAx>
        <c:axId val="1"/>
        <c:scaling>
          <c:orientation val="minMax"/>
          <c:min val="1000"/>
        </c:scaling>
        <c:delete val="0"/>
        <c:axPos val="l"/>
        <c:numFmt formatCode="0.0"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48257135"/>
        <c:crosses val="autoZero"/>
        <c:crossBetween val="between"/>
      </c:valAx>
      <c:spPr>
        <a:noFill/>
        <a:ln w="25400">
          <a:noFill/>
        </a:ln>
        <a:effectLst/>
      </c:spPr>
    </c:plotArea>
    <c:legend>
      <c:legendPos val="b"/>
      <c:layout>
        <c:manualLayout>
          <c:xMode val="edge"/>
          <c:yMode val="edge"/>
          <c:x val="0"/>
          <c:y val="0.73154107062486384"/>
          <c:w val="1"/>
          <c:h val="0.26845892937513627"/>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noFill/>
    <a:ln w="9525" cap="flat" cmpd="sng" algn="ctr">
      <a:noFill/>
      <a:prstDash val="solid"/>
      <a:round/>
    </a:ln>
    <a:effectLst/>
  </c:spPr>
  <c:txPr>
    <a:bodyPr/>
    <a:lstStyle/>
    <a:p>
      <a:pPr>
        <a:defRPr sz="900">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B3F89F-F168-4233-9C79-1416423842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5</Pages>
  <Words>2416</Words>
  <Characters>13772</Characters>
  <Application>Microsoft Office Word</Application>
  <DocSecurity>0</DocSecurity>
  <Lines>114</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Kremin</dc:creator>
  <cp:keywords/>
  <dc:description/>
  <cp:lastModifiedBy>Александр Кремин</cp:lastModifiedBy>
  <cp:revision>4</cp:revision>
  <dcterms:created xsi:type="dcterms:W3CDTF">2021-05-17T19:51:00Z</dcterms:created>
  <dcterms:modified xsi:type="dcterms:W3CDTF">2021-05-17T20:07:00Z</dcterms:modified>
</cp:coreProperties>
</file>