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82" w:rsidRDefault="0014002B" w:rsidP="0014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2B">
        <w:rPr>
          <w:rFonts w:ascii="Times New Roman" w:hAnsi="Times New Roman" w:cs="Times New Roman"/>
          <w:sz w:val="24"/>
          <w:szCs w:val="24"/>
        </w:rPr>
        <w:t xml:space="preserve">УДК 314.7 </w:t>
      </w:r>
      <w:r w:rsidR="00B50A82">
        <w:rPr>
          <w:rFonts w:ascii="Times New Roman" w:hAnsi="Times New Roman" w:cs="Times New Roman"/>
          <w:sz w:val="24"/>
          <w:szCs w:val="24"/>
        </w:rPr>
        <w:t>/ ББК 60.7</w:t>
      </w:r>
    </w:p>
    <w:p w:rsidR="00B50A82" w:rsidRDefault="00B50A82" w:rsidP="0014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02B" w:rsidRPr="0014002B" w:rsidRDefault="0014002B" w:rsidP="00B50A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02B">
        <w:rPr>
          <w:rFonts w:ascii="Times New Roman" w:hAnsi="Times New Roman" w:cs="Times New Roman"/>
          <w:sz w:val="24"/>
          <w:szCs w:val="24"/>
        </w:rPr>
        <w:t>Петракова Ю.Н.</w:t>
      </w:r>
    </w:p>
    <w:p w:rsidR="0014002B" w:rsidRPr="00B50A82" w:rsidRDefault="00B50A82" w:rsidP="00B50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82">
        <w:rPr>
          <w:rFonts w:ascii="Times New Roman" w:hAnsi="Times New Roman" w:cs="Times New Roman"/>
          <w:b/>
          <w:sz w:val="24"/>
          <w:szCs w:val="24"/>
        </w:rPr>
        <w:t xml:space="preserve">МИГРАЦИОННАЯ СИТУАЦИЯ В БЕЛАРУСИ И ЛИТВЕ: УГРОЗЫ </w:t>
      </w:r>
      <w:r w:rsidRPr="00C9309F">
        <w:rPr>
          <w:rFonts w:ascii="Times New Roman" w:hAnsi="Times New Roman" w:cs="Times New Roman"/>
          <w:b/>
          <w:sz w:val="24"/>
          <w:szCs w:val="24"/>
        </w:rPr>
        <w:t>НАЦИОНАЛЬНОЙ</w:t>
      </w:r>
      <w:r w:rsidRPr="00B50A82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 w:rsidR="003B270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4002B" w:rsidRPr="0014002B" w:rsidRDefault="0014002B" w:rsidP="0014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D0F" w:rsidRDefault="0014002B" w:rsidP="001400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82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B50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09F" w:rsidRPr="00C9309F">
        <w:rPr>
          <w:rFonts w:ascii="Times New Roman" w:hAnsi="Times New Roman" w:cs="Times New Roman"/>
          <w:i/>
          <w:sz w:val="24"/>
          <w:szCs w:val="24"/>
        </w:rPr>
        <w:t>в статье рассматриваю</w:t>
      </w:r>
      <w:r w:rsidRPr="00C9309F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C9309F" w:rsidRPr="00C9309F">
        <w:rPr>
          <w:rFonts w:ascii="Times New Roman" w:hAnsi="Times New Roman" w:cs="Times New Roman"/>
          <w:i/>
          <w:sz w:val="24"/>
          <w:szCs w:val="24"/>
        </w:rPr>
        <w:t xml:space="preserve">тенденции миграционного развития Беларуси и Литвы в постсоветский период. </w:t>
      </w:r>
      <w:r w:rsidR="00C9309F">
        <w:rPr>
          <w:rFonts w:ascii="Times New Roman" w:hAnsi="Times New Roman" w:cs="Times New Roman"/>
          <w:i/>
          <w:sz w:val="24"/>
          <w:szCs w:val="24"/>
        </w:rPr>
        <w:t>В развитии миграционных процессов в обеих странах к угрозам демографической и эконом</w:t>
      </w:r>
      <w:r w:rsidR="00725D0F">
        <w:rPr>
          <w:rFonts w:ascii="Times New Roman" w:hAnsi="Times New Roman" w:cs="Times New Roman"/>
          <w:i/>
          <w:sz w:val="24"/>
          <w:szCs w:val="24"/>
        </w:rPr>
        <w:t xml:space="preserve">ической безопасности относятся: перемещение внутренних мигрантов, </w:t>
      </w:r>
      <w:r w:rsidR="00740513">
        <w:rPr>
          <w:rFonts w:ascii="Times New Roman" w:hAnsi="Times New Roman" w:cs="Times New Roman"/>
          <w:i/>
          <w:sz w:val="24"/>
          <w:szCs w:val="24"/>
        </w:rPr>
        <w:t>которое</w:t>
      </w:r>
      <w:r w:rsidR="00725D0F">
        <w:rPr>
          <w:rFonts w:ascii="Times New Roman" w:hAnsi="Times New Roman" w:cs="Times New Roman"/>
          <w:i/>
          <w:sz w:val="24"/>
          <w:szCs w:val="24"/>
        </w:rPr>
        <w:t xml:space="preserve"> усугубляет проблемы</w:t>
      </w:r>
      <w:r w:rsidR="00C93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D0F">
        <w:rPr>
          <w:rFonts w:ascii="Times New Roman" w:hAnsi="Times New Roman" w:cs="Times New Roman"/>
          <w:i/>
          <w:sz w:val="24"/>
          <w:szCs w:val="24"/>
        </w:rPr>
        <w:t>дифференциации регионов по уровню социально-экономического и демографического развития; отток или недостаточный приток международных мигрантов, что отрицательно сказывается на стабилизации численности населения; потеря трудового потенциала страны в результате оттока молодых высококвалифицированных мигрантов.</w:t>
      </w:r>
    </w:p>
    <w:p w:rsidR="00B50A82" w:rsidRDefault="0014002B" w:rsidP="001400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82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B50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A82">
        <w:rPr>
          <w:rFonts w:ascii="Times New Roman" w:hAnsi="Times New Roman" w:cs="Times New Roman"/>
          <w:i/>
          <w:sz w:val="24"/>
          <w:szCs w:val="24"/>
        </w:rPr>
        <w:t>международная миграция, внутренняя миграция, демографическая безопасность</w:t>
      </w:r>
      <w:r w:rsidR="00725D0F">
        <w:rPr>
          <w:rFonts w:ascii="Times New Roman" w:hAnsi="Times New Roman" w:cs="Times New Roman"/>
          <w:i/>
          <w:sz w:val="24"/>
          <w:szCs w:val="24"/>
        </w:rPr>
        <w:t>, трудовой потенциал</w:t>
      </w:r>
      <w:r w:rsidR="00B50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0A82" w:rsidRDefault="00B50A82" w:rsidP="0014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8F3" w:rsidRDefault="006828F3" w:rsidP="00A41D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Миграция населения, оказывая непосредственное влияние на демографическое и социально-экономическое развитие страны и отдельных ее территорий, может выступать значимым фактором сохранения национальной безопасности государства. </w:t>
      </w:r>
      <w:r w:rsidR="00C9309F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тенденций развития миграционных процессов могут формироваться или, наоборот, </w:t>
      </w:r>
      <w:r w:rsidR="001F6A5D">
        <w:rPr>
          <w:rFonts w:ascii="Times New Roman" w:hAnsi="Times New Roman" w:cs="Times New Roman"/>
          <w:color w:val="000000"/>
          <w:sz w:val="24"/>
          <w:szCs w:val="24"/>
        </w:rPr>
        <w:t>демпфироваться</w:t>
      </w:r>
      <w:r w:rsidR="00C9309F">
        <w:rPr>
          <w:rFonts w:ascii="Times New Roman" w:hAnsi="Times New Roman" w:cs="Times New Roman"/>
          <w:color w:val="000000"/>
          <w:sz w:val="24"/>
          <w:szCs w:val="24"/>
        </w:rPr>
        <w:t xml:space="preserve"> угрозы политической, экономической, демографической и других сфер жизнедеятельности.</w:t>
      </w:r>
    </w:p>
    <w:p w:rsidR="00A41D12" w:rsidRPr="00A41D12" w:rsidRDefault="00A41D12" w:rsidP="00A41D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12">
        <w:rPr>
          <w:rFonts w:ascii="Times New Roman" w:hAnsi="Times New Roman" w:cs="Times New Roman"/>
          <w:color w:val="000000"/>
          <w:sz w:val="24"/>
          <w:szCs w:val="24"/>
        </w:rPr>
        <w:t>Миграционные процессы в Литве и Беларуси имеют ряд схожих черт, ведь долгое время обе республики существовали в рамках одного государства, к тому же схожесть традиций и устоев стран, активное развитие промышленности в советское время отразились на развитии демографических процессов. Однако социально-экономическое развитие Беларуси и Литвы после распада СССР происходило под влиянием совершенно разных, зачастую противоположных политических и экономических интеграционных образований (ЕС и СНГ), что привело к формированию персональных миграционных систем, различия между которыми довольно существенны.</w:t>
      </w:r>
    </w:p>
    <w:p w:rsidR="00A41D12" w:rsidRPr="00A41D12" w:rsidRDefault="00A41D12" w:rsidP="00A41D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12">
        <w:rPr>
          <w:rFonts w:ascii="Times New Roman" w:hAnsi="Times New Roman" w:cs="Times New Roman"/>
          <w:color w:val="000000"/>
          <w:sz w:val="24"/>
          <w:szCs w:val="24"/>
        </w:rPr>
        <w:t>Внутренняя миграция по территории обоих государств развивается в соответствии с мировыми тенденциями – население перемещается из сельской местности в городскую и из депрессивных (менее экономически развитых) регионов в экономически развитые (крупные города). В Беларуси положительный миграционный прирост в региональном плане наблюдается в Минске и Минской области, в Литве в округах, центрами которых являются наиболее экономически развитые города: Вильнюс, Каунас и Клайпеда. Внутренняя миграция характеризуется низкой мобильностью – порядка 2-3% населения перемещается по территории этих стран. В последние годы в Литве наблюдается ежегодный рост внутренней мобильности населения [</w:t>
      </w:r>
      <w:r w:rsidR="00AB7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1D12">
        <w:rPr>
          <w:rFonts w:ascii="Times New Roman" w:hAnsi="Times New Roman" w:cs="Times New Roman"/>
          <w:color w:val="000000"/>
          <w:sz w:val="24"/>
          <w:szCs w:val="24"/>
        </w:rPr>
        <w:t>]. Большинство внутренних мигрантов это молодежь в возрасте 18-30 лет, которая перемещается в крупные города, за счет чего растет дисбаланс в демографическом и экономическом развитии регионов.</w:t>
      </w:r>
    </w:p>
    <w:p w:rsidR="00A41D12" w:rsidRDefault="00A41D12" w:rsidP="00A41D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1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различия в миграционной ситуации между двумя странами наблюдаются в отношении международной миграции. По данным официальной статистики в Беларуси </w:t>
      </w:r>
      <w:r w:rsidRPr="00A41D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ежегодно численность иммигрантов на 5-7 тыс. человек превышает численность эмигрантов, а в 2014-2015 гг. миграционный прирост составил 1</w:t>
      </w:r>
      <w:r w:rsidR="007E332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41D12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7E33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41D12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 и, перекрыв отрицательный естественный прирост, привел к общему росту населения. В то же время Литва в результате международной миграции ежегодно теряет порядка 20 тыс. человек, что только усугубляет потери населения от естественной убыли (рис. 1). </w:t>
      </w:r>
    </w:p>
    <w:p w:rsidR="008451DC" w:rsidRPr="008451DC" w:rsidRDefault="008451DC" w:rsidP="008451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1DC">
        <w:rPr>
          <w:rFonts w:ascii="Times New Roman" w:hAnsi="Times New Roman" w:cs="Times New Roman"/>
          <w:color w:val="000000"/>
          <w:sz w:val="24"/>
          <w:szCs w:val="24"/>
        </w:rPr>
        <w:t>Также стоит отметить, что направления миграционных потоков в Литве и Беларуси географически имеют противоположную направленность. Основной миграционный обмен Беларуси, имеющей открытые границы со странами ЕАЭС, происходит с восточными соседями: со странами СНГ и в первую очередь с Россией, Казахстаном, Украиной. Среди стран так называемого «дальнего зарубежья» по миграционному обмену выделяются Литва и Китай. Основной миграционный обмен Литвы, население которой имеет возможность свободного передвижения по территории ЕС, происходит с западными соседями: Великобритания, Ирландия, Германия, Норвегия.</w:t>
      </w:r>
    </w:p>
    <w:p w:rsidR="008451DC" w:rsidRDefault="008451DC" w:rsidP="008451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1DC">
        <w:rPr>
          <w:rFonts w:ascii="Times New Roman" w:hAnsi="Times New Roman" w:cs="Times New Roman"/>
          <w:color w:val="000000"/>
          <w:sz w:val="24"/>
          <w:szCs w:val="24"/>
        </w:rPr>
        <w:t>Общая граница и многовековая история являются факторами тесного миграционного обмена между странами на современном этапе. По официальным данным белорусской статистики ежегодно численность населения Беларуси пополнялась литовскими мигрантами, особенно заметный миграционный прирост был в конце ХХ века, лишь в последних несколько лет направление миграционных потоков изменилось: белорусов в Литву выбывает больше, чем прибывает.</w:t>
      </w:r>
    </w:p>
    <w:p w:rsidR="00A41D12" w:rsidRPr="00A41D12" w:rsidRDefault="00A41D12" w:rsidP="00A41D1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D12">
        <w:rPr>
          <w:noProof/>
          <w:sz w:val="24"/>
          <w:szCs w:val="24"/>
          <w:lang w:eastAsia="ru-RU"/>
        </w:rPr>
        <w:drawing>
          <wp:inline distT="0" distB="0" distL="0" distR="0" wp14:anchorId="676144A7" wp14:editId="199396FB">
            <wp:extent cx="5654649" cy="2896820"/>
            <wp:effectExtent l="0" t="0" r="2286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1D12" w:rsidRPr="00AB7F1D" w:rsidRDefault="00A41D12" w:rsidP="00A41D1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D12">
        <w:rPr>
          <w:rFonts w:ascii="Times New Roman" w:hAnsi="Times New Roman" w:cs="Times New Roman"/>
          <w:color w:val="000000"/>
          <w:sz w:val="24"/>
          <w:szCs w:val="24"/>
        </w:rPr>
        <w:t>Рисунок 1. Динамика показателей международной миграции Беларуси и Литвы, человек</w:t>
      </w:r>
      <w:r w:rsidR="00AB7F1D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185172" w:rsidRPr="007E332C" w:rsidRDefault="00185172" w:rsidP="001851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два года наблюдаются негативные тенденции развития миграционных процессов в Республике Беларусь. Сокращается положительное сальдо внешней миграции: с 18,5 тысяч человек в 2015 г. до 7,9 тысяч человек в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>и 3,9 тысяч в</w:t>
      </w:r>
      <w:r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 2017 г.,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это </w:t>
      </w:r>
      <w:r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сокращения численности прибывших и роста численности выбывших,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в первую очередь обусловлено стабилизацией ситуации на Украине и ухудшением экономической ситуации в Беларуси.</w:t>
      </w:r>
    </w:p>
    <w:p w:rsidR="000A3C30" w:rsidRPr="007E332C" w:rsidRDefault="00185172" w:rsidP="000A3C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Качественный состав мигрантов в Беларуси и Литве также отрицательно сказывается на социально-экономическом и демографическом развитии стран. </w:t>
      </w:r>
      <w:r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Беларуси </w:t>
      </w:r>
      <w:r w:rsidR="000A3C30"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</w:t>
      </w:r>
      <w:r w:rsidR="000A3C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пять лет</w:t>
      </w:r>
      <w:r w:rsidR="000A3C30"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 выросла численность эмигрантов в младших трудоспособных возрастах. В 2012 г. среди эмигрантов на долю возрастной когорты 20-34 года приходилось 34,9% выбывших, в 2013 г. – 39,2%, </w:t>
      </w:r>
      <w:r w:rsidR="000A3C30">
        <w:rPr>
          <w:rFonts w:ascii="Times New Roman" w:hAnsi="Times New Roman" w:cs="Times New Roman"/>
          <w:color w:val="000000"/>
          <w:sz w:val="24"/>
          <w:szCs w:val="24"/>
        </w:rPr>
        <w:t xml:space="preserve">в 2017 г. – 42,7% </w:t>
      </w:r>
      <w:r w:rsidR="000A3C30" w:rsidRPr="007E332C">
        <w:rPr>
          <w:rFonts w:ascii="Times New Roman" w:hAnsi="Times New Roman" w:cs="Times New Roman"/>
          <w:color w:val="000000"/>
          <w:sz w:val="24"/>
          <w:szCs w:val="24"/>
        </w:rPr>
        <w:t>при сохранении численности прибывших в данной возрастной когорте (за исключением 2014-2015 гг.), происходит снижение притока</w:t>
      </w:r>
      <w:r w:rsidR="000A3C30">
        <w:rPr>
          <w:rFonts w:ascii="Times New Roman" w:hAnsi="Times New Roman" w:cs="Times New Roman"/>
          <w:color w:val="000000"/>
          <w:sz w:val="24"/>
          <w:szCs w:val="24"/>
        </w:rPr>
        <w:t xml:space="preserve">, а в 2017 г. даже убыль </w:t>
      </w:r>
      <w:r w:rsidR="000A3C30" w:rsidRPr="007E332C">
        <w:rPr>
          <w:rFonts w:ascii="Times New Roman" w:hAnsi="Times New Roman" w:cs="Times New Roman"/>
          <w:color w:val="000000"/>
          <w:sz w:val="24"/>
          <w:szCs w:val="24"/>
        </w:rPr>
        <w:t>мигрантов в данных возрастах.</w:t>
      </w:r>
      <w:r w:rsidR="000A3C30">
        <w:rPr>
          <w:rFonts w:ascii="Times New Roman" w:hAnsi="Times New Roman" w:cs="Times New Roman"/>
          <w:color w:val="000000"/>
          <w:sz w:val="24"/>
          <w:szCs w:val="24"/>
        </w:rPr>
        <w:t xml:space="preserve"> В Литве </w:t>
      </w:r>
      <w:r w:rsidR="00334931">
        <w:rPr>
          <w:rFonts w:ascii="Times New Roman" w:hAnsi="Times New Roman" w:cs="Times New Roman"/>
          <w:color w:val="000000"/>
          <w:sz w:val="24"/>
          <w:szCs w:val="24"/>
        </w:rPr>
        <w:t>более половины эмигрантов –   население</w:t>
      </w:r>
      <w:r w:rsidR="00A7173B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трудоспособного возраста. В 2017 г. 55,1% от всех выбывших составило населения в возрасте 20-34 года, соответственно практически половина миграционной убыли населения приходится на эти возрастные когорты. </w:t>
      </w:r>
    </w:p>
    <w:p w:rsidR="00185172" w:rsidRPr="00A41D12" w:rsidRDefault="00FB35F0" w:rsidP="001851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Важной характеристикой качественного состава мигрантов является уровень их образования. В Беларуси в последние годы </w:t>
      </w:r>
      <w:r w:rsidR="0018517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85172"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мигрантов с высшим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средним специальным </w:t>
      </w:r>
      <w:r w:rsidR="00185172" w:rsidRPr="007E332C">
        <w:rPr>
          <w:rFonts w:ascii="Times New Roman" w:hAnsi="Times New Roman" w:cs="Times New Roman"/>
          <w:color w:val="000000"/>
          <w:sz w:val="24"/>
          <w:szCs w:val="24"/>
        </w:rPr>
        <w:t>образованием сокращается численность прибывших и растет численность выбывших, соответственно миграционный прирост лиц с высшим образованием сократился с 3536 в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015 г. до 483 человек в 2016 г., в 2017 г. наблюдалась миграционная убыль населения с высшим (-963 чел.) и средним специальным (-981 чел.) образованием. </w:t>
      </w:r>
      <w:r w:rsidR="006F5429">
        <w:rPr>
          <w:rFonts w:ascii="Times New Roman" w:hAnsi="Times New Roman" w:cs="Times New Roman"/>
          <w:color w:val="000000"/>
          <w:sz w:val="24"/>
          <w:szCs w:val="24"/>
        </w:rPr>
        <w:t xml:space="preserve">В Литве также стоит проблема с оттоком лиц с высшим образованием, что </w:t>
      </w:r>
      <w:r w:rsidR="006F5429" w:rsidRPr="006F542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серьезную угрозу для работы </w:t>
      </w:r>
      <w:r w:rsidR="006F5429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отраслей экономики страны. </w:t>
      </w:r>
      <w:r w:rsidR="00185172"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притока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Беларуси и ежегодный отток в Литве </w:t>
      </w:r>
      <w:r w:rsidR="00185172"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молодых высококвалифицированных ресурсов негативно сказывается на сохранении </w:t>
      </w:r>
      <w:proofErr w:type="spellStart"/>
      <w:r w:rsidR="00185172" w:rsidRPr="007E332C">
        <w:rPr>
          <w:rFonts w:ascii="Times New Roman" w:hAnsi="Times New Roman" w:cs="Times New Roman"/>
          <w:color w:val="000000"/>
          <w:sz w:val="24"/>
          <w:szCs w:val="24"/>
        </w:rPr>
        <w:t>демовоспроизводственного</w:t>
      </w:r>
      <w:proofErr w:type="spellEnd"/>
      <w:r w:rsidR="00185172" w:rsidRPr="007E332C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качественных характеристиках человеческого потенциала стран.</w:t>
      </w:r>
    </w:p>
    <w:p w:rsidR="008451DC" w:rsidRDefault="008451DC" w:rsidP="0084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A0">
        <w:rPr>
          <w:rFonts w:ascii="Times New Roman" w:hAnsi="Times New Roman" w:cs="Times New Roman"/>
          <w:sz w:val="24"/>
          <w:szCs w:val="24"/>
        </w:rPr>
        <w:t>Поддерживать численность трудовых ресурсов на необходимом для потребностей экономики уровне позволяет трудовая миграция. По официальным данным в Беларуси наблюдается положительное сальдо трудовой миграции, однако в последние три года показатели миграционного прироста падают за счет сокращения численности трудовых иммигрантов и увеличения численности трудовых эмигрантов. Генезис данной тенденции идентичен ситуации в долгосрочной международной миграции. Однако в трудовой миграции сильнее экономическая детерминанта, соответственно, сокращение уровня доходов населения с 2015 г. спровоцировало увеличение численности трудовых эмигрантов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D12" w:rsidRPr="00A41D12" w:rsidRDefault="00A41D12" w:rsidP="00A41D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12">
        <w:rPr>
          <w:rFonts w:ascii="Times New Roman" w:hAnsi="Times New Roman" w:cs="Times New Roman"/>
          <w:color w:val="000000"/>
          <w:sz w:val="24"/>
          <w:szCs w:val="24"/>
        </w:rPr>
        <w:t>В сфере трудовой миграции также прослеживается влияние существования стран в разных миграционных системах. Основной поток трудовых мигрантов в Литве направлен в страны ЕС. Пополняется литовский рынок труда за счет рабочей силы из соседних стран: Украины, Беларуси, России. Иностранные работники в основном работают в секторах экономики, на которые по разным причинам не претендуют граждане Литвы: судостроение (недостаток лиц необходимой квалификации среди граждан), водители (условия труда), строительство (эмиграция граждан Литвы)</w:t>
      </w:r>
      <w:r w:rsidR="009A5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D1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A59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1D12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A41D12" w:rsidRPr="00A41D12" w:rsidRDefault="00A41D12" w:rsidP="00A41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41D12">
        <w:rPr>
          <w:rFonts w:ascii="Times New Roman" w:hAnsi="Times New Roman" w:cs="Times New Roman"/>
          <w:color w:val="000000"/>
          <w:sz w:val="24"/>
          <w:szCs w:val="24"/>
        </w:rPr>
        <w:t>В Беларуси по данным официальной статистики импорт рабочей силы преобладает над экспортом. Основными странами поставщиками трудовых ресурсов являются Украина, Россия, страны бывшего СССР. В последнее десятилетие наблюдается неуклонный рост трудовых мигрантов из Китая, большинство из них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заняты на объектах, возводимых китайской стороной на основе соглашений по выделенным Китаем кредитов. </w:t>
      </w:r>
    </w:p>
    <w:p w:rsidR="00A41D12" w:rsidRPr="00A41D12" w:rsidRDefault="00A41D12" w:rsidP="00A41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 данным официальной статистики большинство трудовых мигрантов имеют рабочие специальности и заняты в низкоквалифицированных сферах. Однако в последние годы растет численность квалифицированных работников и специалистов, что отвечает требованиям экономики страны.</w:t>
      </w:r>
    </w:p>
    <w:p w:rsidR="00A41D12" w:rsidRPr="00A41D12" w:rsidRDefault="00A41D12" w:rsidP="009A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Основной страной выезда трудовых мигрантов остается Россия, по официальным данным в 2016 г. в ней зарегистрировано 97,7 тыс. иностранных работников из Беларуси. Россия остается главным экономическим и политическим партнером Беларуси, уровень зарплат в ней выше, отсутствие границ и языковых барьеров удерживают привлекательность 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данной страны для трудовых мигрантов. </w:t>
      </w:r>
      <w:r w:rsidR="009A5969">
        <w:rPr>
          <w:rFonts w:ascii="Times New Roman" w:hAnsi="Times New Roman" w:cs="Times New Roman"/>
          <w:sz w:val="24"/>
          <w:szCs w:val="24"/>
        </w:rPr>
        <w:t>К тому же</w:t>
      </w:r>
      <w:r w:rsidR="009A5969" w:rsidRPr="006828F3">
        <w:rPr>
          <w:rFonts w:ascii="Times New Roman" w:hAnsi="Times New Roman" w:cs="Times New Roman"/>
          <w:sz w:val="24"/>
          <w:szCs w:val="24"/>
        </w:rPr>
        <w:t xml:space="preserve"> ввиду открытой границы с Россией официальная статистика не позволяет учесть число мигрантов в полной мере. По данным МВД Российской Федерации за январь-декабрь 2017 г. поставлено на миграционный учет 394,4 тысячи граждан Беларуси, из них для 124,6 тысяч белорусов целью въезда была работа. Такая статистика свидетельствует о существенном занижении миграционного оттока из Беларуси.</w:t>
      </w:r>
      <w:r w:rsidR="009A5969">
        <w:rPr>
          <w:rFonts w:ascii="Times New Roman" w:hAnsi="Times New Roman" w:cs="Times New Roman"/>
          <w:sz w:val="24"/>
          <w:szCs w:val="24"/>
        </w:rPr>
        <w:t xml:space="preserve"> Таким образом, фор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мирование ЕАЭС на данном этапе не повлияло на приоритет России в сравнении с другими странами-участницами, роль которых в потоках трудовых мигрантов не значительна. </w:t>
      </w:r>
    </w:p>
    <w:p w:rsidR="00A41D12" w:rsidRPr="00A41D12" w:rsidRDefault="00A41D12" w:rsidP="00A41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Страны Евросоюза не столь привлекательны для трудовых мигрантов, поток в этом направлении незначителен, хотя в последние годы западные соседи Беларуси - Польша и Литва, ежегодно теряющие свое население в миграционном обмене со “старыми” членами ЕС, усилили свои действия по привлечению трудовых ресурсов из соседних стран. В результате 2016 г. заметно вырос поток трудовых мигрантов в эти страны. </w:t>
      </w:r>
    </w:p>
    <w:p w:rsidR="00A41D12" w:rsidRDefault="00A41D12" w:rsidP="00A41D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Одно</w:t>
      </w:r>
      <w:r w:rsidR="00B21F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 из основных проблем в сфере тр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удовой миграции </w:t>
      </w:r>
      <w:r w:rsidR="00B21F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для обоих стран 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продолжает оставаться интеллектуальная миграция. </w:t>
      </w:r>
      <w:r w:rsidR="00B21F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Так,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 90–е годы ХХ века из Беларуси эмигрировало много опытных, уже состоявшихся в своей сфере деятельности специалистов, потерявших работу в перестроечное время, </w:t>
      </w:r>
      <w:r w:rsidR="00B21F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A41D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 XXI веке преобладает миграция образованной талантливой молодежи, которая временно выезжает за рубеж для стажировки и обмена опытом. Многие из них в дальнейшем остаются в этих странах на постоянное место жительства. В последние годы к реальной «утечке умов» добавилась виртуальная, которая характеризуется виртуальной работой за рубежом так называемых фрилансеров.</w:t>
      </w:r>
      <w:r w:rsidR="00B21F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Схожие тенденции наблюдаются и в трудовой миграции Литвы.</w:t>
      </w:r>
    </w:p>
    <w:p w:rsidR="005A4C1D" w:rsidRPr="005A4C1D" w:rsidRDefault="00B21FF9" w:rsidP="00B21F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Таким образом, с</w:t>
      </w:r>
      <w:r w:rsidR="005A4C1D" w:rsidRPr="005A4C1D">
        <w:rPr>
          <w:rFonts w:ascii="Times New Roman" w:hAnsi="Times New Roman" w:cs="Times New Roman"/>
          <w:sz w:val="24"/>
          <w:szCs w:val="24"/>
        </w:rPr>
        <w:t xml:space="preserve">о стороны миграции основными вызовами для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5A4C1D" w:rsidRPr="005A4C1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Беларуси и Литвы </w:t>
      </w:r>
      <w:r w:rsidR="005A4C1D" w:rsidRPr="005A4C1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A4C1D" w:rsidRPr="005A4C1D" w:rsidRDefault="005A4C1D" w:rsidP="005A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1D">
        <w:rPr>
          <w:rFonts w:ascii="Times New Roman" w:hAnsi="Times New Roman" w:cs="Times New Roman"/>
          <w:sz w:val="24"/>
          <w:szCs w:val="24"/>
        </w:rPr>
        <w:t>- направление внутренней миграции из сельской местности и депрессивных регионов в крупные города, что усугубляет проблему диспропорций половозрастной структуры населения;</w:t>
      </w:r>
    </w:p>
    <w:p w:rsidR="005A4C1D" w:rsidRPr="00B21FF9" w:rsidRDefault="005A4C1D" w:rsidP="005A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1D">
        <w:rPr>
          <w:rFonts w:ascii="Times New Roman" w:hAnsi="Times New Roman" w:cs="Times New Roman"/>
          <w:sz w:val="24"/>
          <w:szCs w:val="24"/>
        </w:rPr>
        <w:t>- ежегодные потери населения в результате долгосрочной международной миграции</w:t>
      </w:r>
      <w:r w:rsidR="00B21FF9">
        <w:rPr>
          <w:rFonts w:ascii="Times New Roman" w:hAnsi="Times New Roman" w:cs="Times New Roman"/>
          <w:sz w:val="24"/>
          <w:szCs w:val="24"/>
        </w:rPr>
        <w:t xml:space="preserve">, в Беларуси по неофициальным наблюдается ежегодный миграционный отток населения </w:t>
      </w:r>
      <w:r w:rsidR="00B21FF9" w:rsidRPr="00B21FF9">
        <w:rPr>
          <w:rFonts w:ascii="Times New Roman" w:hAnsi="Times New Roman" w:cs="Times New Roman"/>
          <w:sz w:val="24"/>
          <w:szCs w:val="24"/>
        </w:rPr>
        <w:t>[</w:t>
      </w:r>
      <w:r w:rsidR="00740513">
        <w:rPr>
          <w:rFonts w:ascii="Times New Roman" w:hAnsi="Times New Roman" w:cs="Times New Roman"/>
          <w:sz w:val="24"/>
          <w:szCs w:val="24"/>
        </w:rPr>
        <w:t>2</w:t>
      </w:r>
      <w:r w:rsidR="00B21FF9" w:rsidRPr="00B21FF9">
        <w:rPr>
          <w:rFonts w:ascii="Times New Roman" w:hAnsi="Times New Roman" w:cs="Times New Roman"/>
          <w:sz w:val="24"/>
          <w:szCs w:val="24"/>
        </w:rPr>
        <w:t>]</w:t>
      </w:r>
      <w:r w:rsidR="00B21FF9">
        <w:rPr>
          <w:rFonts w:ascii="Times New Roman" w:hAnsi="Times New Roman" w:cs="Times New Roman"/>
          <w:sz w:val="24"/>
          <w:szCs w:val="24"/>
        </w:rPr>
        <w:t>;</w:t>
      </w:r>
    </w:p>
    <w:p w:rsidR="00B50A82" w:rsidRDefault="005A4C1D" w:rsidP="005A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1D">
        <w:rPr>
          <w:rFonts w:ascii="Times New Roman" w:hAnsi="Times New Roman" w:cs="Times New Roman"/>
          <w:sz w:val="24"/>
          <w:szCs w:val="24"/>
        </w:rPr>
        <w:t>- в результате внешней миграции происходит отток населения в наиболее активном репродуктивном и трудоспособном возрасте и приток</w:t>
      </w:r>
      <w:r w:rsidR="009A5969">
        <w:rPr>
          <w:rFonts w:ascii="Times New Roman" w:hAnsi="Times New Roman" w:cs="Times New Roman"/>
          <w:sz w:val="24"/>
          <w:szCs w:val="24"/>
        </w:rPr>
        <w:t xml:space="preserve"> населения пенсионных возрастов.</w:t>
      </w:r>
    </w:p>
    <w:p w:rsidR="009A5969" w:rsidRDefault="009A5969" w:rsidP="005A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данных проблем необходима разработка эффективной миграционной политики и непрерывное социально-экономическое развитие, соответствующие </w:t>
      </w:r>
      <w:r w:rsidR="00740513">
        <w:rPr>
          <w:rFonts w:ascii="Times New Roman" w:hAnsi="Times New Roman" w:cs="Times New Roman"/>
          <w:sz w:val="24"/>
          <w:szCs w:val="24"/>
        </w:rPr>
        <w:t>уровню развития стран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13" w:rsidRDefault="00740513" w:rsidP="00B50A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0A82" w:rsidRPr="00B50A82" w:rsidRDefault="00B50A82" w:rsidP="00B50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82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 w:rsidR="00AB7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A82" w:rsidRPr="003B270E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0A82">
        <w:rPr>
          <w:rFonts w:ascii="Times New Roman" w:hAnsi="Times New Roman" w:cs="Times New Roman"/>
          <w:sz w:val="24"/>
          <w:szCs w:val="24"/>
        </w:rPr>
        <w:t xml:space="preserve">1. </w:t>
      </w:r>
      <w:r w:rsidR="00AB7F1D" w:rsidRPr="00AB7F1D">
        <w:rPr>
          <w:rFonts w:ascii="Times New Roman" w:hAnsi="Times New Roman" w:cs="Times New Roman"/>
          <w:sz w:val="24"/>
          <w:szCs w:val="24"/>
        </w:rPr>
        <w:t>Города Литвы, из которых уехало больше всего людей [Электронный ресурс] – Режим доступа: http://ru.delfi.lt/news/live/goroda-litvy-iz-kotoryh-uehalo-bolshe-vsego-lyudej.d?id=67201050 – Дата доступа: 12.0</w:t>
      </w:r>
      <w:r w:rsidR="00AB7F1D">
        <w:rPr>
          <w:rFonts w:ascii="Times New Roman" w:hAnsi="Times New Roman" w:cs="Times New Roman"/>
          <w:sz w:val="24"/>
          <w:szCs w:val="24"/>
        </w:rPr>
        <w:t>1</w:t>
      </w:r>
      <w:r w:rsidR="00AB7F1D" w:rsidRPr="00AB7F1D">
        <w:rPr>
          <w:rFonts w:ascii="Times New Roman" w:hAnsi="Times New Roman" w:cs="Times New Roman"/>
          <w:sz w:val="24"/>
          <w:szCs w:val="24"/>
        </w:rPr>
        <w:t>.201</w:t>
      </w:r>
      <w:r w:rsidR="00AB7F1D">
        <w:rPr>
          <w:rFonts w:ascii="Times New Roman" w:hAnsi="Times New Roman" w:cs="Times New Roman"/>
          <w:sz w:val="24"/>
          <w:szCs w:val="24"/>
        </w:rPr>
        <w:t>8.</w:t>
      </w:r>
    </w:p>
    <w:p w:rsidR="009A5969" w:rsidRPr="009A5969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69">
        <w:rPr>
          <w:rFonts w:ascii="Times New Roman" w:hAnsi="Times New Roman" w:cs="Times New Roman"/>
          <w:sz w:val="24"/>
          <w:szCs w:val="24"/>
        </w:rPr>
        <w:t xml:space="preserve">2. </w:t>
      </w:r>
      <w:r w:rsidR="009A5969">
        <w:rPr>
          <w:rFonts w:ascii="Times New Roman" w:hAnsi="Times New Roman" w:cs="Times New Roman"/>
          <w:sz w:val="24"/>
          <w:szCs w:val="24"/>
        </w:rPr>
        <w:t>Елисеев А. Миграция между Беларусью и ЕС</w:t>
      </w:r>
      <w:r w:rsidR="009A5969" w:rsidRPr="009A5969">
        <w:rPr>
          <w:rFonts w:ascii="Times New Roman" w:hAnsi="Times New Roman" w:cs="Times New Roman"/>
          <w:sz w:val="24"/>
          <w:szCs w:val="24"/>
        </w:rPr>
        <w:t>: текущая ситуация и ожидаемое будущее</w:t>
      </w:r>
      <w:r w:rsidR="009A5969">
        <w:rPr>
          <w:rFonts w:ascii="Times New Roman" w:hAnsi="Times New Roman" w:cs="Times New Roman"/>
          <w:sz w:val="24"/>
          <w:szCs w:val="24"/>
        </w:rPr>
        <w:t xml:space="preserve"> </w:t>
      </w:r>
      <w:r w:rsidR="009A5969" w:rsidRPr="009A5969">
        <w:rPr>
          <w:rFonts w:ascii="Times New Roman" w:hAnsi="Times New Roman" w:cs="Times New Roman"/>
          <w:sz w:val="24"/>
          <w:szCs w:val="24"/>
        </w:rPr>
        <w:t>[Электронный ресурс] – Режим доступа:</w:t>
      </w:r>
      <w:r w:rsidR="009A596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A5969" w:rsidRPr="000A3A99">
          <w:rPr>
            <w:rStyle w:val="a9"/>
            <w:rFonts w:ascii="Times New Roman" w:hAnsi="Times New Roman" w:cs="Times New Roman"/>
            <w:sz w:val="24"/>
            <w:szCs w:val="24"/>
          </w:rPr>
          <w:t>http://belinstitute.eu/sites/biss.newmediahost.info/files/attached-files/BISS_Migration_IVF.pdf</w:t>
        </w:r>
      </w:hyperlink>
      <w:r w:rsidR="009A5969">
        <w:rPr>
          <w:rFonts w:ascii="Times New Roman" w:hAnsi="Times New Roman" w:cs="Times New Roman"/>
          <w:sz w:val="24"/>
          <w:szCs w:val="24"/>
        </w:rPr>
        <w:t xml:space="preserve"> - Дата доступа: 20.03.2018.</w:t>
      </w:r>
    </w:p>
    <w:p w:rsidR="00E0473C" w:rsidRPr="00334931" w:rsidRDefault="009A5969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96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E0473C" w:rsidRPr="00E0473C">
        <w:rPr>
          <w:rFonts w:ascii="Times New Roman" w:hAnsi="Times New Roman" w:cs="Times New Roman"/>
          <w:sz w:val="24"/>
          <w:szCs w:val="24"/>
          <w:lang w:val="en-US"/>
        </w:rPr>
        <w:t xml:space="preserve">Recent developments in international migration and migration policy in Lithuania, 2014 // OECD Expert meeting, Paris, October 12-14, 2015. - Vilnius, 2015. – </w:t>
      </w:r>
      <w:r w:rsidR="00E0473C" w:rsidRPr="00E0473C">
        <w:rPr>
          <w:rFonts w:ascii="Times New Roman" w:hAnsi="Times New Roman" w:cs="Times New Roman"/>
          <w:sz w:val="24"/>
          <w:szCs w:val="24"/>
        </w:rPr>
        <w:t>Р</w:t>
      </w:r>
      <w:r w:rsidR="00E0473C" w:rsidRPr="00E0473C">
        <w:rPr>
          <w:rFonts w:ascii="Times New Roman" w:hAnsi="Times New Roman" w:cs="Times New Roman"/>
          <w:sz w:val="24"/>
          <w:szCs w:val="24"/>
          <w:lang w:val="en-US"/>
        </w:rPr>
        <w:t>. 73.</w:t>
      </w:r>
    </w:p>
    <w:p w:rsidR="00B50A82" w:rsidRPr="00B50A82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A82" w:rsidRPr="00B50A82" w:rsidRDefault="00B50A82" w:rsidP="00B50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82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B50A82" w:rsidRPr="00B50A82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82">
        <w:rPr>
          <w:rFonts w:ascii="Times New Roman" w:hAnsi="Times New Roman" w:cs="Times New Roman"/>
          <w:sz w:val="24"/>
          <w:szCs w:val="24"/>
        </w:rPr>
        <w:t>Петракова Юлия Николаевна (Беларусь, Минск) – старший научный сотрудник, Институт экономики Национальной академии наук Беларуси (ул. Сурганова, 1 корп. 2, г. Минск, Беларусь 220072; petra13@mail.ru)</w:t>
      </w:r>
    </w:p>
    <w:p w:rsidR="00B50A82" w:rsidRPr="00B50A82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A82" w:rsidRPr="003B270E" w:rsidRDefault="00B50A82" w:rsidP="003B27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70E">
        <w:rPr>
          <w:rFonts w:ascii="Times New Roman" w:hAnsi="Times New Roman" w:cs="Times New Roman"/>
          <w:b/>
          <w:sz w:val="24"/>
          <w:szCs w:val="24"/>
        </w:rPr>
        <w:t>Petrakova</w:t>
      </w:r>
      <w:proofErr w:type="spellEnd"/>
      <w:r w:rsidRPr="003B270E">
        <w:rPr>
          <w:rFonts w:ascii="Times New Roman" w:hAnsi="Times New Roman" w:cs="Times New Roman"/>
          <w:b/>
          <w:sz w:val="24"/>
          <w:szCs w:val="24"/>
        </w:rPr>
        <w:t xml:space="preserve"> Y.N.</w:t>
      </w:r>
    </w:p>
    <w:p w:rsidR="00B50A82" w:rsidRPr="003B270E" w:rsidRDefault="003B270E" w:rsidP="003B2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70E">
        <w:rPr>
          <w:rFonts w:ascii="Times New Roman" w:hAnsi="Times New Roman" w:cs="Times New Roman"/>
          <w:b/>
          <w:sz w:val="24"/>
          <w:szCs w:val="24"/>
          <w:lang w:val="en-US"/>
        </w:rPr>
        <w:t>MIGRATION SITUATION IN BELARUS AND LITHUANIA: THREATS OF NATIONAL SECURITY</w:t>
      </w:r>
    </w:p>
    <w:p w:rsidR="00A64AF9" w:rsidRPr="00A64AF9" w:rsidRDefault="00A64AF9" w:rsidP="00A64A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Abstract: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64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tendencies of development of migration of Belarus and Lithuania in the post-Soviet period </w:t>
      </w:r>
      <w:proofErr w:type="gramStart"/>
      <w:r w:rsidRPr="00A64AF9">
        <w:rPr>
          <w:rFonts w:ascii="Times New Roman" w:hAnsi="Times New Roman" w:cs="Times New Roman"/>
          <w:i/>
          <w:sz w:val="24"/>
          <w:szCs w:val="24"/>
          <w:lang w:val="en-US"/>
        </w:rPr>
        <w:t>are considered</w:t>
      </w:r>
      <w:proofErr w:type="gramEnd"/>
      <w:r w:rsidRPr="00A64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article. </w:t>
      </w:r>
      <w:proofErr w:type="gramStart"/>
      <w:r w:rsidRPr="00A64AF9">
        <w:rPr>
          <w:rFonts w:ascii="Times New Roman" w:hAnsi="Times New Roman" w:cs="Times New Roman"/>
          <w:i/>
          <w:sz w:val="24"/>
          <w:szCs w:val="24"/>
          <w:lang w:val="en-US"/>
        </w:rPr>
        <w:t>In the process of development of migration processes in both countries, the threats of demographic and economic security are: the movement of internal migrants, which aggravates the problems of differentiation of regions in terms of socio-economic and demographic development; outflow or insufficient inflow of international migrants, which adversely affects the stabilization of the population; the loss of the country's labor potential as a result of the outflow of young highly skilled migrants.</w:t>
      </w:r>
      <w:proofErr w:type="gramEnd"/>
    </w:p>
    <w:p w:rsidR="00B50A82" w:rsidRPr="003B270E" w:rsidRDefault="00A64AF9" w:rsidP="00A64A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4AF9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A64A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64AF9">
        <w:rPr>
          <w:rFonts w:ascii="Times New Roman" w:hAnsi="Times New Roman" w:cs="Times New Roman"/>
          <w:b/>
          <w:i/>
          <w:sz w:val="24"/>
          <w:szCs w:val="24"/>
          <w:lang w:val="en-US"/>
        </w:rPr>
        <w:t>words:</w:t>
      </w:r>
      <w:r w:rsidRPr="00A64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migration, internal migration, demographic security, labor potential</w:t>
      </w:r>
      <w:r w:rsidR="00B50A82" w:rsidRPr="003B270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50A82" w:rsidRPr="00B50A82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A82" w:rsidRPr="00B50A82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A82">
        <w:rPr>
          <w:rFonts w:ascii="Times New Roman" w:hAnsi="Times New Roman" w:cs="Times New Roman"/>
          <w:sz w:val="24"/>
          <w:szCs w:val="24"/>
          <w:lang w:val="en-US"/>
        </w:rPr>
        <w:t>Petrakova</w:t>
      </w:r>
      <w:proofErr w:type="spellEnd"/>
      <w:r w:rsidRPr="00B50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A82">
        <w:rPr>
          <w:rFonts w:ascii="Times New Roman" w:hAnsi="Times New Roman" w:cs="Times New Roman"/>
          <w:sz w:val="24"/>
          <w:szCs w:val="24"/>
          <w:lang w:val="en-US"/>
        </w:rPr>
        <w:t>Yuliya</w:t>
      </w:r>
      <w:proofErr w:type="spellEnd"/>
      <w:r w:rsidRPr="00B50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A82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Pr="00B50A82">
        <w:rPr>
          <w:rFonts w:ascii="Times New Roman" w:hAnsi="Times New Roman" w:cs="Times New Roman"/>
          <w:sz w:val="24"/>
          <w:szCs w:val="24"/>
          <w:lang w:val="en-US"/>
        </w:rPr>
        <w:t xml:space="preserve"> (Belarus, Minsk) - Senior Researcher, Institute of Economics of the National Academy of Sciences of Belarus (</w:t>
      </w:r>
      <w:proofErr w:type="spellStart"/>
      <w:r w:rsidRPr="00B50A82">
        <w:rPr>
          <w:rFonts w:ascii="Times New Roman" w:hAnsi="Times New Roman" w:cs="Times New Roman"/>
          <w:sz w:val="24"/>
          <w:szCs w:val="24"/>
          <w:lang w:val="en-US"/>
        </w:rPr>
        <w:t>Surganova</w:t>
      </w:r>
      <w:proofErr w:type="spellEnd"/>
      <w:r w:rsidRPr="00B50A82">
        <w:rPr>
          <w:rFonts w:ascii="Times New Roman" w:hAnsi="Times New Roman" w:cs="Times New Roman"/>
          <w:sz w:val="24"/>
          <w:szCs w:val="24"/>
          <w:lang w:val="en-US"/>
        </w:rPr>
        <w:t xml:space="preserve"> str., 1 build. 2, Minsk, Belarus 220072; petra13@mail.ru)</w:t>
      </w:r>
    </w:p>
    <w:p w:rsidR="00B50A82" w:rsidRPr="00B50A82" w:rsidRDefault="00B50A82" w:rsidP="00B5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A82" w:rsidRDefault="00B50A82" w:rsidP="003B2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70E"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</w:p>
    <w:p w:rsidR="00A64AF9" w:rsidRPr="00A64AF9" w:rsidRDefault="00A64AF9" w:rsidP="00A6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64AF9">
        <w:rPr>
          <w:rFonts w:ascii="Times New Roman" w:hAnsi="Times New Roman" w:cs="Times New Roman"/>
          <w:sz w:val="24"/>
          <w:szCs w:val="24"/>
          <w:lang w:val="en-US"/>
        </w:rPr>
        <w:t>The cities of Lithuania, of which the most people left [Electronic resource] - Access mode: http://en.delfi.lt/news/live/goroda-litvy-iz-kotoryh-uehalo-bolshe-vsego-lyudej.d?id = 67201050 - Date of access: 12/01/2018.</w:t>
      </w:r>
    </w:p>
    <w:p w:rsidR="00A64AF9" w:rsidRDefault="00A64AF9" w:rsidP="00A6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AF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64AF9">
        <w:rPr>
          <w:rFonts w:ascii="Times New Roman" w:hAnsi="Times New Roman" w:cs="Times New Roman"/>
          <w:sz w:val="24"/>
          <w:szCs w:val="24"/>
          <w:lang w:val="en-US"/>
        </w:rPr>
        <w:t>Eliseev</w:t>
      </w:r>
      <w:proofErr w:type="spellEnd"/>
      <w:r w:rsidRPr="00A64AF9">
        <w:rPr>
          <w:rFonts w:ascii="Times New Roman" w:hAnsi="Times New Roman" w:cs="Times New Roman"/>
          <w:sz w:val="24"/>
          <w:szCs w:val="24"/>
          <w:lang w:val="en-US"/>
        </w:rPr>
        <w:t xml:space="preserve"> A. Migration between Belarus and the EU: the current situation and the expected future [Electronic resource] - Access mode: http://belinstitute.eu/sites/biss.newmediahost.info/files/attached-files/BISS_Migration_IVF.pdf - Date of access: 20.03. 2018.</w:t>
      </w:r>
    </w:p>
    <w:p w:rsidR="00A64AF9" w:rsidRPr="00A64AF9" w:rsidRDefault="00A64AF9" w:rsidP="00A6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64AF9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bookmarkEnd w:id="0"/>
      <w:r w:rsidRPr="00A64AF9">
        <w:rPr>
          <w:rFonts w:ascii="Times New Roman" w:hAnsi="Times New Roman" w:cs="Times New Roman"/>
          <w:sz w:val="24"/>
          <w:szCs w:val="24"/>
          <w:lang w:val="en-US"/>
        </w:rPr>
        <w:t>developments in international migration and migration policy in Lithuania, 2014 // OECD Expert meeting, Paris, October 12-14, 2015. - Vilnius, 2015. – Р. 73.</w:t>
      </w:r>
    </w:p>
    <w:sectPr w:rsidR="00A64AF9" w:rsidRPr="00A64AF9" w:rsidSect="001400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6E" w:rsidRDefault="00B9566E" w:rsidP="003B270E">
      <w:pPr>
        <w:spacing w:after="0" w:line="240" w:lineRule="auto"/>
      </w:pPr>
      <w:r>
        <w:separator/>
      </w:r>
    </w:p>
  </w:endnote>
  <w:endnote w:type="continuationSeparator" w:id="0">
    <w:p w:rsidR="00B9566E" w:rsidRDefault="00B9566E" w:rsidP="003B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6E" w:rsidRDefault="00B9566E" w:rsidP="003B270E">
      <w:pPr>
        <w:spacing w:after="0" w:line="240" w:lineRule="auto"/>
      </w:pPr>
      <w:r>
        <w:separator/>
      </w:r>
    </w:p>
  </w:footnote>
  <w:footnote w:type="continuationSeparator" w:id="0">
    <w:p w:rsidR="00B9566E" w:rsidRDefault="00B9566E" w:rsidP="003B270E">
      <w:pPr>
        <w:spacing w:after="0" w:line="240" w:lineRule="auto"/>
      </w:pPr>
      <w:r>
        <w:continuationSeparator/>
      </w:r>
    </w:p>
  </w:footnote>
  <w:footnote w:id="1">
    <w:p w:rsidR="003B270E" w:rsidRPr="003B270E" w:rsidRDefault="003B2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70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B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 подготовлена в рамках </w:t>
      </w:r>
      <w:r w:rsidR="006828F3">
        <w:rPr>
          <w:rFonts w:ascii="Times New Roman" w:hAnsi="Times New Roman" w:cs="Times New Roman"/>
          <w:sz w:val="24"/>
          <w:szCs w:val="24"/>
        </w:rPr>
        <w:t>НИР «</w:t>
      </w:r>
      <w:r w:rsidR="006828F3" w:rsidRPr="006828F3">
        <w:rPr>
          <w:rFonts w:ascii="Times New Roman" w:hAnsi="Times New Roman" w:cs="Times New Roman"/>
          <w:sz w:val="24"/>
          <w:szCs w:val="24"/>
        </w:rPr>
        <w:t>«Демографические проблемы Беларуси и Литвы на современном этапе: вариации, сходства и пути перехода к устойчивому развитию»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828F3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</w:rPr>
        <w:t xml:space="preserve">БРФФИ </w:t>
      </w:r>
      <w:r w:rsidRPr="003B270E">
        <w:rPr>
          <w:rFonts w:ascii="Times New Roman" w:hAnsi="Times New Roman" w:cs="Times New Roman"/>
          <w:sz w:val="24"/>
          <w:szCs w:val="24"/>
        </w:rPr>
        <w:t>№ Г17ЛИТГ-006 от 22.05.2017</w:t>
      </w:r>
    </w:p>
  </w:footnote>
  <w:footnote w:id="2">
    <w:p w:rsidR="00AB7F1D" w:rsidRPr="007E332C" w:rsidRDefault="00AB7F1D">
      <w:pPr>
        <w:pStyle w:val="a3"/>
        <w:rPr>
          <w:rFonts w:ascii="Times New Roman" w:hAnsi="Times New Roman" w:cs="Times New Roman"/>
        </w:rPr>
      </w:pPr>
      <w:r w:rsidRPr="007E332C">
        <w:rPr>
          <w:rStyle w:val="a5"/>
          <w:rFonts w:ascii="Times New Roman" w:hAnsi="Times New Roman" w:cs="Times New Roman"/>
        </w:rPr>
        <w:footnoteRef/>
      </w:r>
      <w:r w:rsidRPr="007E332C">
        <w:rPr>
          <w:rFonts w:ascii="Times New Roman" w:hAnsi="Times New Roman" w:cs="Times New Roman"/>
        </w:rPr>
        <w:t xml:space="preserve"> </w:t>
      </w:r>
      <w:r w:rsidR="007E332C">
        <w:rPr>
          <w:rFonts w:ascii="Times New Roman" w:hAnsi="Times New Roman" w:cs="Times New Roman"/>
        </w:rPr>
        <w:t>Статистические данные Департамента статистики Литвы и Национального статистического комитета Беларуси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BDB"/>
    <w:multiLevelType w:val="hybridMultilevel"/>
    <w:tmpl w:val="5AD29066"/>
    <w:lvl w:ilvl="0" w:tplc="72F45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B"/>
    <w:rsid w:val="000A3C30"/>
    <w:rsid w:val="0014002B"/>
    <w:rsid w:val="00185172"/>
    <w:rsid w:val="001C6617"/>
    <w:rsid w:val="001F6A5D"/>
    <w:rsid w:val="0023048C"/>
    <w:rsid w:val="002F2C1C"/>
    <w:rsid w:val="00334931"/>
    <w:rsid w:val="003905B8"/>
    <w:rsid w:val="003B270E"/>
    <w:rsid w:val="0042398E"/>
    <w:rsid w:val="00586985"/>
    <w:rsid w:val="005A4C1D"/>
    <w:rsid w:val="006828F3"/>
    <w:rsid w:val="006F5429"/>
    <w:rsid w:val="00725D0F"/>
    <w:rsid w:val="00740513"/>
    <w:rsid w:val="007E332C"/>
    <w:rsid w:val="008451DC"/>
    <w:rsid w:val="009A5969"/>
    <w:rsid w:val="00A41D12"/>
    <w:rsid w:val="00A64AF9"/>
    <w:rsid w:val="00A7173B"/>
    <w:rsid w:val="00AB7F1D"/>
    <w:rsid w:val="00B21FF9"/>
    <w:rsid w:val="00B50A82"/>
    <w:rsid w:val="00B9566E"/>
    <w:rsid w:val="00BE74A0"/>
    <w:rsid w:val="00C40457"/>
    <w:rsid w:val="00C61CDC"/>
    <w:rsid w:val="00C9309F"/>
    <w:rsid w:val="00D46964"/>
    <w:rsid w:val="00E0473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A483-1138-47B5-8687-35D47AB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7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7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70E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41D1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41D1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41D12"/>
    <w:rPr>
      <w:vertAlign w:val="superscript"/>
    </w:rPr>
  </w:style>
  <w:style w:type="character" w:styleId="a9">
    <w:name w:val="Hyperlink"/>
    <w:basedOn w:val="a0"/>
    <w:uiPriority w:val="99"/>
    <w:unhideWhenUsed/>
    <w:rsid w:val="00A41D1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6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institute.eu/sites/biss.newmediahost.info/files/attached-files/BISS_Migration_IVF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96046049896289"/>
          <c:y val="4.8742967651195498E-2"/>
          <c:w val="0.85733420412124606"/>
          <c:h val="0.62511489861235692"/>
        </c:manualLayout>
      </c:layout>
      <c:barChart>
        <c:barDir val="col"/>
        <c:grouping val="clustered"/>
        <c:varyColors val="0"/>
        <c:ser>
          <c:idx val="2"/>
          <c:order val="2"/>
          <c:tx>
            <c:v>Сальдо миграции в Литве</c:v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'миграция '!$A$8:$A$29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'миграция '!$D$8:$D$29</c:f>
              <c:numCache>
                <c:formatCode>General</c:formatCode>
                <c:ptCount val="22"/>
                <c:pt idx="0">
                  <c:v>-23668</c:v>
                </c:pt>
                <c:pt idx="1">
                  <c:v>-23369</c:v>
                </c:pt>
                <c:pt idx="2">
                  <c:v>-22421</c:v>
                </c:pt>
                <c:pt idx="3">
                  <c:v>-22122</c:v>
                </c:pt>
                <c:pt idx="4">
                  <c:v>-20739</c:v>
                </c:pt>
                <c:pt idx="5">
                  <c:v>-20306</c:v>
                </c:pt>
                <c:pt idx="6">
                  <c:v>-23147</c:v>
                </c:pt>
                <c:pt idx="7">
                  <c:v>-11609</c:v>
                </c:pt>
                <c:pt idx="8">
                  <c:v>-21555</c:v>
                </c:pt>
                <c:pt idx="9">
                  <c:v>-32138</c:v>
                </c:pt>
                <c:pt idx="10">
                  <c:v>-51096</c:v>
                </c:pt>
                <c:pt idx="11">
                  <c:v>-24645</c:v>
                </c:pt>
                <c:pt idx="12">
                  <c:v>-21774</c:v>
                </c:pt>
                <c:pt idx="13">
                  <c:v>-16453</c:v>
                </c:pt>
                <c:pt idx="14">
                  <c:v>-32013</c:v>
                </c:pt>
                <c:pt idx="15">
                  <c:v>-77944</c:v>
                </c:pt>
                <c:pt idx="16">
                  <c:v>-38178</c:v>
                </c:pt>
                <c:pt idx="17">
                  <c:v>-21257</c:v>
                </c:pt>
                <c:pt idx="18">
                  <c:v>-16807</c:v>
                </c:pt>
                <c:pt idx="19">
                  <c:v>-12327</c:v>
                </c:pt>
                <c:pt idx="20">
                  <c:v>-22403</c:v>
                </c:pt>
                <c:pt idx="21">
                  <c:v>-30171</c:v>
                </c:pt>
              </c:numCache>
            </c:numRef>
          </c:val>
        </c:ser>
        <c:ser>
          <c:idx val="5"/>
          <c:order val="5"/>
          <c:tx>
            <c:v>Сальдо миграции в Беларуси</c:v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'миграция '!$A$8:$A$29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'миграция '!$G$8:$G$29</c:f>
              <c:numCache>
                <c:formatCode>General</c:formatCode>
                <c:ptCount val="22"/>
                <c:pt idx="0">
                  <c:v>-205</c:v>
                </c:pt>
                <c:pt idx="1">
                  <c:v>9366</c:v>
                </c:pt>
                <c:pt idx="2">
                  <c:v>14700</c:v>
                </c:pt>
                <c:pt idx="3">
                  <c:v>19900</c:v>
                </c:pt>
                <c:pt idx="4">
                  <c:v>17551</c:v>
                </c:pt>
                <c:pt idx="5">
                  <c:v>12131</c:v>
                </c:pt>
                <c:pt idx="6">
                  <c:v>9085</c:v>
                </c:pt>
                <c:pt idx="7">
                  <c:v>5561</c:v>
                </c:pt>
                <c:pt idx="8">
                  <c:v>5160</c:v>
                </c:pt>
                <c:pt idx="9">
                  <c:v>2132</c:v>
                </c:pt>
                <c:pt idx="10">
                  <c:v>1949</c:v>
                </c:pt>
                <c:pt idx="11">
                  <c:v>5626</c:v>
                </c:pt>
                <c:pt idx="12">
                  <c:v>4676</c:v>
                </c:pt>
                <c:pt idx="13">
                  <c:v>8145</c:v>
                </c:pt>
                <c:pt idx="14">
                  <c:v>12249</c:v>
                </c:pt>
                <c:pt idx="15">
                  <c:v>10303</c:v>
                </c:pt>
                <c:pt idx="16">
                  <c:v>9900</c:v>
                </c:pt>
                <c:pt idx="17">
                  <c:v>9328</c:v>
                </c:pt>
                <c:pt idx="18">
                  <c:v>11643</c:v>
                </c:pt>
                <c:pt idx="19">
                  <c:v>15722</c:v>
                </c:pt>
                <c:pt idx="20">
                  <c:v>18494</c:v>
                </c:pt>
                <c:pt idx="21">
                  <c:v>7940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659232"/>
        <c:axId val="351663040"/>
      </c:barChart>
      <c:lineChart>
        <c:grouping val="standard"/>
        <c:varyColors val="0"/>
        <c:ser>
          <c:idx val="0"/>
          <c:order val="0"/>
          <c:tx>
            <c:v>Численность иммигрантов в Литве</c:v>
          </c:tx>
          <c:spPr>
            <a:ln w="22225">
              <a:solidFill>
                <a:schemeClr val="tx1"/>
              </a:solidFill>
              <a:prstDash val="sysDash"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cat>
            <c:numRef>
              <c:f>'миграция '!$A$8:$A$29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'миграция '!$B$8:$B$29</c:f>
              <c:numCache>
                <c:formatCode>General</c:formatCode>
                <c:ptCount val="22"/>
                <c:pt idx="0">
                  <c:v>2020</c:v>
                </c:pt>
                <c:pt idx="1">
                  <c:v>3025</c:v>
                </c:pt>
                <c:pt idx="2">
                  <c:v>2536</c:v>
                </c:pt>
                <c:pt idx="3">
                  <c:v>2706</c:v>
                </c:pt>
                <c:pt idx="4">
                  <c:v>2679</c:v>
                </c:pt>
                <c:pt idx="5">
                  <c:v>1510</c:v>
                </c:pt>
                <c:pt idx="6">
                  <c:v>4694</c:v>
                </c:pt>
                <c:pt idx="7">
                  <c:v>5110</c:v>
                </c:pt>
                <c:pt idx="8">
                  <c:v>4728</c:v>
                </c:pt>
                <c:pt idx="9">
                  <c:v>5553</c:v>
                </c:pt>
                <c:pt idx="10">
                  <c:v>6789</c:v>
                </c:pt>
                <c:pt idx="11">
                  <c:v>7745</c:v>
                </c:pt>
                <c:pt idx="12">
                  <c:v>8609</c:v>
                </c:pt>
                <c:pt idx="13">
                  <c:v>9297</c:v>
                </c:pt>
                <c:pt idx="14">
                  <c:v>6487</c:v>
                </c:pt>
                <c:pt idx="15">
                  <c:v>5213</c:v>
                </c:pt>
                <c:pt idx="16">
                  <c:v>15685</c:v>
                </c:pt>
                <c:pt idx="17">
                  <c:v>19843</c:v>
                </c:pt>
                <c:pt idx="18">
                  <c:v>22011</c:v>
                </c:pt>
                <c:pt idx="19">
                  <c:v>24294</c:v>
                </c:pt>
                <c:pt idx="20">
                  <c:v>22130</c:v>
                </c:pt>
                <c:pt idx="21">
                  <c:v>20162</c:v>
                </c:pt>
              </c:numCache>
            </c:numRef>
          </c:val>
          <c:smooth val="0"/>
        </c:ser>
        <c:ser>
          <c:idx val="1"/>
          <c:order val="1"/>
          <c:tx>
            <c:v>Численность эмигрантов в Литве</c:v>
          </c:tx>
          <c:spPr>
            <a:ln>
              <a:solidFill>
                <a:schemeClr val="tx1"/>
              </a:solidFill>
              <a:prstDash val="sysDot"/>
            </a:ln>
          </c:spPr>
          <c:marker>
            <c:spPr>
              <a:noFill/>
              <a:ln>
                <a:solidFill>
                  <a:schemeClr val="tx1"/>
                </a:solidFill>
              </a:ln>
            </c:spPr>
          </c:marker>
          <c:cat>
            <c:numRef>
              <c:f>'миграция '!$A$8:$A$29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'миграция '!$C$8:$C$29</c:f>
              <c:numCache>
                <c:formatCode>General</c:formatCode>
                <c:ptCount val="22"/>
                <c:pt idx="0">
                  <c:v>25688</c:v>
                </c:pt>
                <c:pt idx="1">
                  <c:v>26394</c:v>
                </c:pt>
                <c:pt idx="2">
                  <c:v>24957</c:v>
                </c:pt>
                <c:pt idx="3">
                  <c:v>24828</c:v>
                </c:pt>
                <c:pt idx="4">
                  <c:v>23418</c:v>
                </c:pt>
                <c:pt idx="5">
                  <c:v>21816</c:v>
                </c:pt>
                <c:pt idx="6">
                  <c:v>27841</c:v>
                </c:pt>
                <c:pt idx="7">
                  <c:v>16719</c:v>
                </c:pt>
                <c:pt idx="8">
                  <c:v>26283</c:v>
                </c:pt>
                <c:pt idx="9">
                  <c:v>37691</c:v>
                </c:pt>
                <c:pt idx="10">
                  <c:v>57885</c:v>
                </c:pt>
                <c:pt idx="11">
                  <c:v>32390</c:v>
                </c:pt>
                <c:pt idx="12">
                  <c:v>30383</c:v>
                </c:pt>
                <c:pt idx="13">
                  <c:v>25750</c:v>
                </c:pt>
                <c:pt idx="14">
                  <c:v>38500</c:v>
                </c:pt>
                <c:pt idx="15">
                  <c:v>83157</c:v>
                </c:pt>
                <c:pt idx="16">
                  <c:v>53863</c:v>
                </c:pt>
                <c:pt idx="17">
                  <c:v>41100</c:v>
                </c:pt>
                <c:pt idx="18">
                  <c:v>38818</c:v>
                </c:pt>
                <c:pt idx="19">
                  <c:v>36621</c:v>
                </c:pt>
                <c:pt idx="20">
                  <c:v>44533</c:v>
                </c:pt>
                <c:pt idx="21">
                  <c:v>50333</c:v>
                </c:pt>
              </c:numCache>
            </c:numRef>
          </c:val>
          <c:smooth val="0"/>
        </c:ser>
        <c:ser>
          <c:idx val="3"/>
          <c:order val="3"/>
          <c:tx>
            <c:v>Численность иммигрантов в Беларуси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cat>
            <c:numRef>
              <c:f>'миграция '!$A$8:$A$29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'миграция '!$E$8:$E$29</c:f>
              <c:numCache>
                <c:formatCode>General</c:formatCode>
                <c:ptCount val="22"/>
                <c:pt idx="0">
                  <c:v>34866</c:v>
                </c:pt>
                <c:pt idx="1">
                  <c:v>31944</c:v>
                </c:pt>
                <c:pt idx="2">
                  <c:v>31400</c:v>
                </c:pt>
                <c:pt idx="3">
                  <c:v>33180</c:v>
                </c:pt>
                <c:pt idx="4">
                  <c:v>30842</c:v>
                </c:pt>
                <c:pt idx="5" formatCode="#,##0">
                  <c:v>25943</c:v>
                </c:pt>
                <c:pt idx="6" formatCode="#,##0">
                  <c:v>23355</c:v>
                </c:pt>
                <c:pt idx="7" formatCode="#,##0">
                  <c:v>18939</c:v>
                </c:pt>
                <c:pt idx="8" formatCode="#,##0">
                  <c:v>18146</c:v>
                </c:pt>
                <c:pt idx="9" formatCode="#,##0">
                  <c:v>14642</c:v>
                </c:pt>
                <c:pt idx="10" formatCode="#,##0">
                  <c:v>13031</c:v>
                </c:pt>
                <c:pt idx="11" formatCode="#,##0">
                  <c:v>14124</c:v>
                </c:pt>
                <c:pt idx="12" formatCode="#,##0">
                  <c:v>14155</c:v>
                </c:pt>
                <c:pt idx="13" formatCode="#,##0">
                  <c:v>17413</c:v>
                </c:pt>
                <c:pt idx="14" formatCode="#,##0">
                  <c:v>19892</c:v>
                </c:pt>
                <c:pt idx="15" formatCode="#,##0">
                  <c:v>17169</c:v>
                </c:pt>
                <c:pt idx="16" formatCode="#,##0">
                  <c:v>17510</c:v>
                </c:pt>
                <c:pt idx="17" formatCode="#,##0">
                  <c:v>18040</c:v>
                </c:pt>
                <c:pt idx="18" formatCode="#,##0">
                  <c:v>19435</c:v>
                </c:pt>
                <c:pt idx="19" formatCode="#,##0">
                  <c:v>24941</c:v>
                </c:pt>
                <c:pt idx="20" formatCode="#,##0">
                  <c:v>28349</c:v>
                </c:pt>
                <c:pt idx="21" formatCode="#,##0">
                  <c:v>21038</c:v>
                </c:pt>
              </c:numCache>
            </c:numRef>
          </c:val>
          <c:smooth val="0"/>
        </c:ser>
        <c:ser>
          <c:idx val="4"/>
          <c:order val="4"/>
          <c:tx>
            <c:v>Численность эмигрантов в Беларуси</c:v>
          </c:tx>
          <c:spPr>
            <a:ln w="22225">
              <a:solidFill>
                <a:schemeClr val="tx1"/>
              </a:solidFill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cat>
            <c:numRef>
              <c:f>'миграция '!$A$8:$A$29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'миграция '!$F$8:$F$29</c:f>
              <c:numCache>
                <c:formatCode>General</c:formatCode>
                <c:ptCount val="22"/>
                <c:pt idx="0">
                  <c:v>35071</c:v>
                </c:pt>
                <c:pt idx="1">
                  <c:v>22578</c:v>
                </c:pt>
                <c:pt idx="2">
                  <c:v>16700</c:v>
                </c:pt>
                <c:pt idx="3">
                  <c:v>13280</c:v>
                </c:pt>
                <c:pt idx="4">
                  <c:v>13291</c:v>
                </c:pt>
                <c:pt idx="5" formatCode="#,##0">
                  <c:v>13812</c:v>
                </c:pt>
                <c:pt idx="6" formatCode="#,##0">
                  <c:v>14270</c:v>
                </c:pt>
                <c:pt idx="7" formatCode="#,##0">
                  <c:v>13378</c:v>
                </c:pt>
                <c:pt idx="8" formatCode="#,##0">
                  <c:v>12986</c:v>
                </c:pt>
                <c:pt idx="9" formatCode="#,##0">
                  <c:v>12510</c:v>
                </c:pt>
                <c:pt idx="10" formatCode="#,##0">
                  <c:v>11082</c:v>
                </c:pt>
                <c:pt idx="11" formatCode="#,##0">
                  <c:v>8498</c:v>
                </c:pt>
                <c:pt idx="12" formatCode="#,##0">
                  <c:v>9479</c:v>
                </c:pt>
                <c:pt idx="13" formatCode="#,##0">
                  <c:v>9268</c:v>
                </c:pt>
                <c:pt idx="14" formatCode="#,##0">
                  <c:v>7643</c:v>
                </c:pt>
                <c:pt idx="15" formatCode="#,##0">
                  <c:v>6866</c:v>
                </c:pt>
                <c:pt idx="16" formatCode="#,##0">
                  <c:v>7610</c:v>
                </c:pt>
                <c:pt idx="17" formatCode="#,##0">
                  <c:v>8712</c:v>
                </c:pt>
                <c:pt idx="18" formatCode="#,##0">
                  <c:v>7792</c:v>
                </c:pt>
                <c:pt idx="19" formatCode="#,##0">
                  <c:v>9219</c:v>
                </c:pt>
                <c:pt idx="20" formatCode="#,##0">
                  <c:v>9855</c:v>
                </c:pt>
                <c:pt idx="21" formatCode="#,##0">
                  <c:v>13098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659232"/>
        <c:axId val="351663040"/>
      </c:lineChart>
      <c:catAx>
        <c:axId val="351659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txPr>
          <a:bodyPr rot="-5400000" vert="horz"/>
          <a:lstStyle/>
          <a:p>
            <a:pPr>
              <a:defRPr sz="1000" baseline="0"/>
            </a:pPr>
            <a:endParaRPr lang="ru-RU"/>
          </a:p>
        </c:txPr>
        <c:crossAx val="351663040"/>
        <c:crosses val="autoZero"/>
        <c:auto val="1"/>
        <c:lblAlgn val="ctr"/>
        <c:lblOffset val="100"/>
        <c:noMultiLvlLbl val="0"/>
      </c:catAx>
      <c:valAx>
        <c:axId val="351663040"/>
        <c:scaling>
          <c:orientation val="minMax"/>
          <c:max val="85000"/>
          <c:min val="-8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351659232"/>
        <c:crosses val="autoZero"/>
        <c:crossBetween val="between"/>
        <c:majorUnit val="20000"/>
      </c:valAx>
    </c:plotArea>
    <c:legend>
      <c:legendPos val="b"/>
      <c:layout>
        <c:manualLayout>
          <c:xMode val="edge"/>
          <c:yMode val="edge"/>
          <c:x val="1.2436240281285597E-2"/>
          <c:y val="0.77292139622648026"/>
          <c:w val="0.96058765060027873"/>
          <c:h val="0.200520919853372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4857-E1BF-4329-9DFB-2FB97BBF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2018-03-16T09:10:00Z</dcterms:created>
  <dcterms:modified xsi:type="dcterms:W3CDTF">2018-03-25T20:46:00Z</dcterms:modified>
</cp:coreProperties>
</file>