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C09CDF" w14:textId="6C869886" w:rsidR="00600606" w:rsidRPr="00600606" w:rsidRDefault="00880CD0" w:rsidP="00600606">
      <w:pPr>
        <w:shd w:val="clear" w:color="auto" w:fill="FFFFFF"/>
        <w:suppressAutoHyphens/>
        <w:spacing w:after="0" w:line="240" w:lineRule="auto"/>
        <w:ind w:firstLine="567"/>
        <w:rPr>
          <w:rFonts w:ascii="Times New Roman" w:eastAsia="Times New Roman" w:hAnsi="Times New Roman" w:cs="Times New Roman"/>
          <w:sz w:val="24"/>
          <w:szCs w:val="24"/>
          <w:lang w:eastAsia="ru-RU"/>
        </w:rPr>
      </w:pPr>
      <w:bookmarkStart w:id="0" w:name="_GoBack"/>
      <w:bookmarkEnd w:id="0"/>
      <w:r w:rsidRPr="00880CD0">
        <w:rPr>
          <w:rFonts w:ascii="Times New Roman" w:eastAsia="Times New Roman" w:hAnsi="Times New Roman" w:cs="Times New Roman"/>
          <w:b/>
          <w:bCs/>
          <w:sz w:val="24"/>
          <w:szCs w:val="24"/>
          <w:lang w:eastAsia="ru-RU"/>
        </w:rPr>
        <w:t>338.2</w:t>
      </w:r>
      <w:r w:rsidR="009E2E10">
        <w:rPr>
          <w:rFonts w:ascii="Times New Roman" w:eastAsia="Times New Roman" w:hAnsi="Times New Roman" w:cs="Times New Roman"/>
          <w:b/>
          <w:bCs/>
          <w:sz w:val="24"/>
          <w:szCs w:val="24"/>
          <w:lang w:eastAsia="ru-RU"/>
        </w:rPr>
        <w:t>4</w:t>
      </w:r>
      <w:r w:rsidR="00600606" w:rsidRPr="00600606">
        <w:rPr>
          <w:rFonts w:ascii="Times New Roman" w:eastAsia="Times New Roman" w:hAnsi="Times New Roman" w:cs="Times New Roman"/>
          <w:b/>
          <w:bCs/>
          <w:sz w:val="24"/>
          <w:szCs w:val="24"/>
          <w:lang w:eastAsia="ru-RU"/>
        </w:rPr>
        <w:t>/</w:t>
      </w:r>
      <w:r w:rsidR="004A0044">
        <w:rPr>
          <w:rFonts w:ascii="Times New Roman" w:eastAsia="Times New Roman" w:hAnsi="Times New Roman" w:cs="Times New Roman"/>
          <w:b/>
          <w:bCs/>
          <w:sz w:val="24"/>
          <w:szCs w:val="24"/>
          <w:lang w:eastAsia="ru-RU"/>
        </w:rPr>
        <w:t>65.050</w:t>
      </w:r>
    </w:p>
    <w:p w14:paraId="21CE1783" w14:textId="4364D384" w:rsidR="00880CD0" w:rsidRDefault="00880CD0" w:rsidP="00600606">
      <w:pPr>
        <w:shd w:val="clear" w:color="auto" w:fill="FFFFFF"/>
        <w:suppressAutoHyphens/>
        <w:spacing w:after="0" w:line="240" w:lineRule="auto"/>
        <w:ind w:firstLine="540"/>
        <w:jc w:val="right"/>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Немцова Е.С.</w:t>
      </w:r>
    </w:p>
    <w:p w14:paraId="58359129" w14:textId="68F1DD92" w:rsidR="00600606" w:rsidRPr="00600606" w:rsidRDefault="004A0044" w:rsidP="00600606">
      <w:pPr>
        <w:shd w:val="clear" w:color="auto" w:fill="FFFFFF"/>
        <w:suppressAutoHyphens/>
        <w:spacing w:after="0" w:line="240" w:lineRule="auto"/>
        <w:ind w:firstLine="540"/>
        <w:jc w:val="right"/>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Марченко В.А.</w:t>
      </w:r>
    </w:p>
    <w:p w14:paraId="682F16D4" w14:textId="77F37A01" w:rsidR="00600606" w:rsidRPr="00600606" w:rsidRDefault="00600606" w:rsidP="00600606">
      <w:pPr>
        <w:shd w:val="clear" w:color="auto" w:fill="FFFFFF"/>
        <w:suppressAutoHyphens/>
        <w:spacing w:after="0" w:line="240" w:lineRule="auto"/>
        <w:ind w:firstLine="540"/>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ВЛИЯНИЕ ИНСТРУМЕНТОВ ДЕНЕЖНО-КРЕДИТНОЙ ПОЛИТИКИ НА ЭКОНОМИЧЕ</w:t>
      </w:r>
      <w:r w:rsidR="00077C63">
        <w:rPr>
          <w:rFonts w:ascii="Times New Roman" w:eastAsia="Times New Roman" w:hAnsi="Times New Roman" w:cs="Times New Roman"/>
          <w:b/>
          <w:bCs/>
          <w:sz w:val="24"/>
          <w:szCs w:val="24"/>
          <w:lang w:val="en-US" w:eastAsia="ru-RU"/>
        </w:rPr>
        <w:t>C</w:t>
      </w:r>
      <w:r>
        <w:rPr>
          <w:rFonts w:ascii="Times New Roman" w:eastAsia="Times New Roman" w:hAnsi="Times New Roman" w:cs="Times New Roman"/>
          <w:b/>
          <w:bCs/>
          <w:sz w:val="24"/>
          <w:szCs w:val="24"/>
          <w:lang w:eastAsia="ru-RU"/>
        </w:rPr>
        <w:t>КУЮ БЕЗОПАСНОСТЬ</w:t>
      </w:r>
    </w:p>
    <w:p w14:paraId="1604589A" w14:textId="66C5B0A2" w:rsidR="00600606" w:rsidRPr="00600606" w:rsidRDefault="00600606" w:rsidP="00600606">
      <w:pPr>
        <w:suppressAutoHyphens/>
        <w:spacing w:after="0" w:line="240" w:lineRule="auto"/>
        <w:ind w:firstLine="567"/>
        <w:jc w:val="both"/>
        <w:rPr>
          <w:rFonts w:ascii="Times New Roman" w:eastAsia="Times New Roman" w:hAnsi="Times New Roman" w:cs="Times New Roman"/>
          <w:sz w:val="24"/>
          <w:szCs w:val="24"/>
          <w:lang w:eastAsia="ru-RU"/>
        </w:rPr>
      </w:pPr>
    </w:p>
    <w:p w14:paraId="3FC7C6C4" w14:textId="2D222257" w:rsidR="00600606" w:rsidRPr="00600606" w:rsidRDefault="00600606" w:rsidP="00077C63">
      <w:pPr>
        <w:shd w:val="clear" w:color="auto" w:fill="FFFFFF"/>
        <w:suppressAutoHyphens/>
        <w:spacing w:after="0" w:line="240" w:lineRule="auto"/>
        <w:ind w:firstLine="709"/>
        <w:jc w:val="both"/>
        <w:rPr>
          <w:rFonts w:ascii="Times New Roman" w:eastAsia="Times New Roman" w:hAnsi="Times New Roman" w:cs="Times New Roman"/>
          <w:i/>
          <w:iCs/>
          <w:sz w:val="24"/>
          <w:szCs w:val="24"/>
          <w:lang w:eastAsia="ru-RU"/>
        </w:rPr>
      </w:pPr>
      <w:r w:rsidRPr="00600606">
        <w:rPr>
          <w:rFonts w:ascii="Times New Roman" w:eastAsia="Times New Roman" w:hAnsi="Times New Roman" w:cs="Times New Roman"/>
          <w:b/>
          <w:bCs/>
          <w:sz w:val="24"/>
          <w:szCs w:val="24"/>
          <w:lang w:eastAsia="ru-RU"/>
        </w:rPr>
        <w:t xml:space="preserve">Аннотация статьи на русском языке </w:t>
      </w:r>
      <w:r w:rsidR="00B63D1E" w:rsidRPr="00B63D1E">
        <w:rPr>
          <w:rFonts w:ascii="Times New Roman" w:eastAsia="Times New Roman" w:hAnsi="Times New Roman" w:cs="Times New Roman"/>
          <w:i/>
          <w:iCs/>
          <w:sz w:val="24"/>
          <w:szCs w:val="24"/>
          <w:lang w:eastAsia="ru-RU"/>
        </w:rPr>
        <w:t xml:space="preserve">Данная работа исследует влияние инструментов денежно-кредитной политики на экономическую безопасность. </w:t>
      </w:r>
      <w:r w:rsidR="00B63D1E">
        <w:rPr>
          <w:rFonts w:ascii="Times New Roman" w:eastAsia="Times New Roman" w:hAnsi="Times New Roman" w:cs="Times New Roman"/>
          <w:i/>
          <w:iCs/>
          <w:sz w:val="24"/>
          <w:szCs w:val="24"/>
          <w:lang w:eastAsia="ru-RU"/>
        </w:rPr>
        <w:t>Представлены основные методы и инструменты Монетарной политики, в рамках котор</w:t>
      </w:r>
      <w:r w:rsidR="00077C63">
        <w:rPr>
          <w:rFonts w:ascii="Times New Roman" w:eastAsia="Times New Roman" w:hAnsi="Times New Roman" w:cs="Times New Roman"/>
          <w:i/>
          <w:iCs/>
          <w:sz w:val="24"/>
          <w:szCs w:val="24"/>
          <w:lang w:eastAsia="ru-RU"/>
        </w:rPr>
        <w:t>ых</w:t>
      </w:r>
      <w:r w:rsidR="00B63D1E">
        <w:rPr>
          <w:rFonts w:ascii="Times New Roman" w:eastAsia="Times New Roman" w:hAnsi="Times New Roman" w:cs="Times New Roman"/>
          <w:i/>
          <w:iCs/>
          <w:sz w:val="24"/>
          <w:szCs w:val="24"/>
          <w:lang w:eastAsia="ru-RU"/>
        </w:rPr>
        <w:t xml:space="preserve"> государство выступает основным субъектом, обеспечивающим экономическую безопасность. </w:t>
      </w:r>
    </w:p>
    <w:p w14:paraId="31B940BF" w14:textId="14961209" w:rsidR="004E1A65" w:rsidRDefault="00600606" w:rsidP="00340080">
      <w:pPr>
        <w:shd w:val="clear" w:color="auto" w:fill="FFFFFF"/>
        <w:suppressAutoHyphens/>
        <w:spacing w:after="0" w:line="240" w:lineRule="auto"/>
        <w:ind w:firstLine="709"/>
        <w:jc w:val="both"/>
        <w:rPr>
          <w:rFonts w:ascii="Times New Roman" w:eastAsia="Times New Roman" w:hAnsi="Times New Roman" w:cs="Times New Roman"/>
          <w:sz w:val="24"/>
          <w:szCs w:val="24"/>
          <w:lang w:eastAsia="ru-RU"/>
        </w:rPr>
      </w:pPr>
      <w:r w:rsidRPr="00600606">
        <w:rPr>
          <w:rFonts w:ascii="Times New Roman" w:eastAsia="Times New Roman" w:hAnsi="Times New Roman" w:cs="Times New Roman"/>
          <w:b/>
          <w:bCs/>
          <w:sz w:val="24"/>
          <w:szCs w:val="24"/>
          <w:lang w:eastAsia="ru-RU"/>
        </w:rPr>
        <w:t>Ключевые слова на русском язык</w:t>
      </w:r>
      <w:r w:rsidR="00077C63">
        <w:rPr>
          <w:rFonts w:ascii="Times New Roman" w:eastAsia="Times New Roman" w:hAnsi="Times New Roman" w:cs="Times New Roman"/>
          <w:b/>
          <w:bCs/>
          <w:sz w:val="24"/>
          <w:szCs w:val="24"/>
          <w:lang w:eastAsia="ru-RU"/>
        </w:rPr>
        <w:t>е</w:t>
      </w:r>
      <w:r w:rsidR="009E2E10">
        <w:rPr>
          <w:rFonts w:ascii="Times New Roman" w:eastAsia="Times New Roman" w:hAnsi="Times New Roman" w:cs="Times New Roman"/>
          <w:i/>
          <w:iCs/>
          <w:sz w:val="24"/>
          <w:szCs w:val="24"/>
          <w:lang w:eastAsia="ru-RU"/>
        </w:rPr>
        <w:t xml:space="preserve"> </w:t>
      </w:r>
      <w:r w:rsidR="00077C63">
        <w:rPr>
          <w:rFonts w:ascii="Times New Roman" w:eastAsia="Times New Roman" w:hAnsi="Times New Roman" w:cs="Times New Roman"/>
          <w:i/>
          <w:iCs/>
          <w:sz w:val="24"/>
          <w:szCs w:val="24"/>
          <w:lang w:eastAsia="ru-RU"/>
        </w:rPr>
        <w:t>Д</w:t>
      </w:r>
      <w:r w:rsidR="009E2E10">
        <w:rPr>
          <w:rFonts w:ascii="Times New Roman" w:eastAsia="Times New Roman" w:hAnsi="Times New Roman" w:cs="Times New Roman"/>
          <w:i/>
          <w:iCs/>
          <w:sz w:val="24"/>
          <w:szCs w:val="24"/>
          <w:lang w:eastAsia="ru-RU"/>
        </w:rPr>
        <w:t>енежно-кредитная политика, экономическая безопасность</w:t>
      </w:r>
      <w:r w:rsidR="009807EE">
        <w:rPr>
          <w:rFonts w:ascii="Times New Roman" w:eastAsia="Times New Roman" w:hAnsi="Times New Roman" w:cs="Times New Roman"/>
          <w:i/>
          <w:iCs/>
          <w:sz w:val="24"/>
          <w:szCs w:val="24"/>
          <w:lang w:eastAsia="ru-RU"/>
        </w:rPr>
        <w:t>,</w:t>
      </w:r>
      <w:r w:rsidR="009E2E10">
        <w:rPr>
          <w:rFonts w:ascii="Times New Roman" w:eastAsia="Times New Roman" w:hAnsi="Times New Roman" w:cs="Times New Roman"/>
          <w:i/>
          <w:iCs/>
          <w:sz w:val="24"/>
          <w:szCs w:val="24"/>
          <w:lang w:eastAsia="ru-RU"/>
        </w:rPr>
        <w:t xml:space="preserve"> государство, </w:t>
      </w:r>
      <w:r w:rsidR="004D02DD">
        <w:rPr>
          <w:rFonts w:ascii="Times New Roman" w:eastAsia="Times New Roman" w:hAnsi="Times New Roman" w:cs="Times New Roman"/>
          <w:i/>
          <w:iCs/>
          <w:sz w:val="24"/>
          <w:szCs w:val="24"/>
          <w:lang w:eastAsia="ru-RU"/>
        </w:rPr>
        <w:t xml:space="preserve">управление экономикой, </w:t>
      </w:r>
      <w:r w:rsidR="00A31106">
        <w:rPr>
          <w:rFonts w:ascii="Times New Roman" w:eastAsia="Times New Roman" w:hAnsi="Times New Roman" w:cs="Times New Roman"/>
          <w:i/>
          <w:iCs/>
          <w:sz w:val="24"/>
          <w:szCs w:val="24"/>
          <w:lang w:eastAsia="ru-RU"/>
        </w:rPr>
        <w:t xml:space="preserve">Центральный Банк России, </w:t>
      </w:r>
      <w:r w:rsidR="00B63D1E">
        <w:rPr>
          <w:rFonts w:ascii="Times New Roman" w:eastAsia="Times New Roman" w:hAnsi="Times New Roman" w:cs="Times New Roman"/>
          <w:i/>
          <w:iCs/>
          <w:sz w:val="24"/>
          <w:szCs w:val="24"/>
          <w:lang w:eastAsia="ru-RU"/>
        </w:rPr>
        <w:t xml:space="preserve">денежная база, </w:t>
      </w:r>
      <w:r w:rsidR="00077C63">
        <w:rPr>
          <w:rFonts w:ascii="Times New Roman" w:eastAsia="Times New Roman" w:hAnsi="Times New Roman" w:cs="Times New Roman"/>
          <w:i/>
          <w:iCs/>
          <w:sz w:val="24"/>
          <w:szCs w:val="24"/>
          <w:lang w:eastAsia="ru-RU"/>
        </w:rPr>
        <w:t xml:space="preserve">процентная ставка. </w:t>
      </w:r>
    </w:p>
    <w:p w14:paraId="5C3EB2C4" w14:textId="77777777" w:rsidR="00340080" w:rsidRDefault="00340080" w:rsidP="00340080">
      <w:pPr>
        <w:shd w:val="clear" w:color="auto" w:fill="FFFFFF"/>
        <w:suppressAutoHyphens/>
        <w:spacing w:after="0" w:line="240" w:lineRule="auto"/>
        <w:ind w:firstLine="709"/>
        <w:jc w:val="both"/>
        <w:rPr>
          <w:rFonts w:ascii="Times New Roman" w:eastAsia="Times New Roman" w:hAnsi="Times New Roman" w:cs="Times New Roman"/>
          <w:sz w:val="24"/>
          <w:szCs w:val="24"/>
          <w:lang w:eastAsia="ru-RU"/>
        </w:rPr>
      </w:pPr>
    </w:p>
    <w:p w14:paraId="4F08CA9F" w14:textId="1A24D715" w:rsidR="00C91EDE" w:rsidRDefault="00856B9D" w:rsidP="00340080">
      <w:pPr>
        <w:suppressAutoHyphens/>
        <w:spacing w:after="0" w:line="240" w:lineRule="auto"/>
        <w:ind w:firstLine="709"/>
        <w:jc w:val="both"/>
        <w:rPr>
          <w:rFonts w:ascii="Times New Roman" w:eastAsia="Times New Roman" w:hAnsi="Times New Roman" w:cs="Times New Roman"/>
          <w:sz w:val="24"/>
          <w:szCs w:val="24"/>
          <w:lang w:eastAsia="ru-RU"/>
        </w:rPr>
      </w:pPr>
      <w:bookmarkStart w:id="1" w:name="_Hlk72156868"/>
      <w:r>
        <w:rPr>
          <w:rFonts w:ascii="Times New Roman" w:eastAsia="Times New Roman" w:hAnsi="Times New Roman" w:cs="Times New Roman"/>
          <w:sz w:val="24"/>
          <w:szCs w:val="24"/>
          <w:lang w:eastAsia="ru-RU"/>
        </w:rPr>
        <w:t>Денежно-кредитная</w:t>
      </w:r>
      <w:r w:rsidR="009807EE">
        <w:rPr>
          <w:rFonts w:ascii="Times New Roman" w:eastAsia="Times New Roman" w:hAnsi="Times New Roman" w:cs="Times New Roman"/>
          <w:sz w:val="24"/>
          <w:szCs w:val="24"/>
          <w:lang w:eastAsia="ru-RU"/>
        </w:rPr>
        <w:t xml:space="preserve"> политика</w:t>
      </w:r>
      <w:bookmarkEnd w:id="1"/>
      <w:r>
        <w:rPr>
          <w:rFonts w:ascii="Times New Roman" w:eastAsia="Times New Roman" w:hAnsi="Times New Roman" w:cs="Times New Roman"/>
          <w:sz w:val="24"/>
          <w:szCs w:val="24"/>
          <w:lang w:eastAsia="ru-RU"/>
        </w:rPr>
        <w:t>,</w:t>
      </w:r>
      <w:r w:rsidR="009807EE">
        <w:rPr>
          <w:rFonts w:ascii="Times New Roman" w:eastAsia="Times New Roman" w:hAnsi="Times New Roman" w:cs="Times New Roman"/>
          <w:sz w:val="24"/>
          <w:szCs w:val="24"/>
          <w:lang w:eastAsia="ru-RU"/>
        </w:rPr>
        <w:t xml:space="preserve"> представляет собой систему непосредственного участия государства в жизнедеятельности всех экономических процессов, связанных с банковской сферой</w:t>
      </w:r>
      <w:r>
        <w:rPr>
          <w:rFonts w:ascii="Times New Roman" w:eastAsia="Times New Roman" w:hAnsi="Times New Roman" w:cs="Times New Roman"/>
          <w:sz w:val="24"/>
          <w:szCs w:val="24"/>
          <w:lang w:eastAsia="ru-RU"/>
        </w:rPr>
        <w:t>, включает управление денежной массой и размер</w:t>
      </w:r>
      <w:r w:rsidR="001746FE">
        <w:rPr>
          <w:rFonts w:ascii="Times New Roman" w:eastAsia="Times New Roman" w:hAnsi="Times New Roman" w:cs="Times New Roman"/>
          <w:sz w:val="24"/>
          <w:szCs w:val="24"/>
          <w:lang w:eastAsia="ru-RU"/>
        </w:rPr>
        <w:t>ом</w:t>
      </w:r>
      <w:r>
        <w:rPr>
          <w:rFonts w:ascii="Times New Roman" w:eastAsia="Times New Roman" w:hAnsi="Times New Roman" w:cs="Times New Roman"/>
          <w:sz w:val="24"/>
          <w:szCs w:val="24"/>
          <w:lang w:eastAsia="ru-RU"/>
        </w:rPr>
        <w:t xml:space="preserve"> кредитных ставок.</w:t>
      </w:r>
      <w:r w:rsidR="009807EE">
        <w:rPr>
          <w:rFonts w:ascii="Times New Roman" w:eastAsia="Times New Roman" w:hAnsi="Times New Roman" w:cs="Times New Roman"/>
          <w:sz w:val="24"/>
          <w:szCs w:val="24"/>
          <w:lang w:eastAsia="ru-RU"/>
        </w:rPr>
        <w:t xml:space="preserve"> </w:t>
      </w:r>
      <w:r w:rsidR="001746FE">
        <w:rPr>
          <w:rFonts w:ascii="Times New Roman" w:eastAsia="Times New Roman" w:hAnsi="Times New Roman" w:cs="Times New Roman"/>
          <w:sz w:val="24"/>
          <w:szCs w:val="24"/>
          <w:lang w:eastAsia="ru-RU"/>
        </w:rPr>
        <w:t>Денежно-кредитная</w:t>
      </w:r>
      <w:r w:rsidR="009807EE">
        <w:rPr>
          <w:rFonts w:ascii="Times New Roman" w:eastAsia="Times New Roman" w:hAnsi="Times New Roman" w:cs="Times New Roman"/>
          <w:sz w:val="24"/>
          <w:szCs w:val="24"/>
          <w:lang w:eastAsia="ru-RU"/>
        </w:rPr>
        <w:t xml:space="preserve"> политика</w:t>
      </w:r>
      <w:r w:rsidR="00A31106">
        <w:rPr>
          <w:rFonts w:ascii="Times New Roman" w:eastAsia="Times New Roman" w:hAnsi="Times New Roman" w:cs="Times New Roman"/>
          <w:sz w:val="24"/>
          <w:szCs w:val="24"/>
          <w:lang w:eastAsia="ru-RU"/>
        </w:rPr>
        <w:t>, проводимая Центральным Банком России (далее ЦБ),</w:t>
      </w:r>
      <w:r w:rsidR="009807EE">
        <w:rPr>
          <w:rFonts w:ascii="Times New Roman" w:eastAsia="Times New Roman" w:hAnsi="Times New Roman" w:cs="Times New Roman"/>
          <w:sz w:val="24"/>
          <w:szCs w:val="24"/>
          <w:lang w:eastAsia="ru-RU"/>
        </w:rPr>
        <w:t xml:space="preserve"> преследует, первоначально, такие цели, как</w:t>
      </w:r>
      <w:r w:rsidR="00A31106">
        <w:rPr>
          <w:rFonts w:ascii="Times New Roman" w:eastAsia="Times New Roman" w:hAnsi="Times New Roman" w:cs="Times New Roman"/>
          <w:sz w:val="24"/>
          <w:szCs w:val="24"/>
          <w:lang w:eastAsia="ru-RU"/>
        </w:rPr>
        <w:t>,</w:t>
      </w:r>
      <w:r w:rsidR="009807EE">
        <w:rPr>
          <w:rFonts w:ascii="Times New Roman" w:eastAsia="Times New Roman" w:hAnsi="Times New Roman" w:cs="Times New Roman"/>
          <w:sz w:val="24"/>
          <w:szCs w:val="24"/>
          <w:lang w:eastAsia="ru-RU"/>
        </w:rPr>
        <w:t xml:space="preserve"> </w:t>
      </w:r>
      <w:r w:rsidR="00A31106">
        <w:rPr>
          <w:rFonts w:ascii="Times New Roman" w:eastAsia="Times New Roman" w:hAnsi="Times New Roman" w:cs="Times New Roman"/>
          <w:sz w:val="24"/>
          <w:szCs w:val="24"/>
          <w:lang w:eastAsia="ru-RU"/>
        </w:rPr>
        <w:t>регулирование финансового и валютного рынков, достижение достаточного уровня экономически-активного населения</w:t>
      </w:r>
      <w:r>
        <w:rPr>
          <w:rFonts w:ascii="Times New Roman" w:eastAsia="Times New Roman" w:hAnsi="Times New Roman" w:cs="Times New Roman"/>
          <w:sz w:val="24"/>
          <w:szCs w:val="24"/>
          <w:lang w:eastAsia="ru-RU"/>
        </w:rPr>
        <w:t xml:space="preserve"> и</w:t>
      </w:r>
      <w:r w:rsidR="00A31106">
        <w:rPr>
          <w:rFonts w:ascii="Times New Roman" w:eastAsia="Times New Roman" w:hAnsi="Times New Roman" w:cs="Times New Roman"/>
          <w:sz w:val="24"/>
          <w:szCs w:val="24"/>
          <w:lang w:eastAsia="ru-RU"/>
        </w:rPr>
        <w:t xml:space="preserve"> координация уровня инфляции и цен на рынке. </w:t>
      </w:r>
      <w:r w:rsidR="00C91EDE" w:rsidRPr="00C91EDE">
        <w:rPr>
          <w:rFonts w:ascii="Times New Roman" w:eastAsia="Times New Roman" w:hAnsi="Times New Roman" w:cs="Times New Roman"/>
          <w:sz w:val="24"/>
          <w:szCs w:val="24"/>
          <w:lang w:eastAsia="ru-RU"/>
        </w:rPr>
        <w:t xml:space="preserve">[2, c. </w:t>
      </w:r>
      <w:r w:rsidR="00C91EDE">
        <w:rPr>
          <w:rFonts w:ascii="Times New Roman" w:eastAsia="Times New Roman" w:hAnsi="Times New Roman" w:cs="Times New Roman"/>
          <w:sz w:val="24"/>
          <w:szCs w:val="24"/>
          <w:lang w:eastAsia="ru-RU"/>
        </w:rPr>
        <w:t>10</w:t>
      </w:r>
      <w:r w:rsidR="00C91EDE" w:rsidRPr="00C91EDE">
        <w:rPr>
          <w:rFonts w:ascii="Times New Roman" w:eastAsia="Times New Roman" w:hAnsi="Times New Roman" w:cs="Times New Roman"/>
          <w:sz w:val="24"/>
          <w:szCs w:val="24"/>
          <w:lang w:eastAsia="ru-RU"/>
        </w:rPr>
        <w:t>]</w:t>
      </w:r>
    </w:p>
    <w:p w14:paraId="286B99AF" w14:textId="29EB9D93" w:rsidR="00856B9D" w:rsidRDefault="00856B9D" w:rsidP="00340080">
      <w:pPr>
        <w:suppressAutoHyphens/>
        <w:spacing w:after="0" w:line="240" w:lineRule="auto"/>
        <w:ind w:firstLine="709"/>
        <w:jc w:val="both"/>
        <w:rPr>
          <w:rFonts w:ascii="Times New Roman" w:eastAsia="Times New Roman" w:hAnsi="Times New Roman" w:cs="Times New Roman"/>
          <w:sz w:val="24"/>
          <w:szCs w:val="24"/>
          <w:lang w:eastAsia="ru-RU"/>
        </w:rPr>
      </w:pPr>
      <w:r w:rsidRPr="00856B9D">
        <w:rPr>
          <w:rFonts w:ascii="Times New Roman" w:eastAsia="Times New Roman" w:hAnsi="Times New Roman" w:cs="Times New Roman"/>
          <w:sz w:val="24"/>
          <w:szCs w:val="24"/>
          <w:lang w:eastAsia="ru-RU"/>
        </w:rPr>
        <w:t xml:space="preserve">Экономическая безопасность выступает центральным понятием в вопросе эффективного управления экономикой государства. </w:t>
      </w:r>
    </w:p>
    <w:p w14:paraId="066CF939" w14:textId="0D6721A8" w:rsidR="001746FE" w:rsidRDefault="00856B9D" w:rsidP="001746FE">
      <w:pPr>
        <w:suppressAutoHyphens/>
        <w:spacing w:after="0" w:line="240" w:lineRule="auto"/>
        <w:ind w:firstLine="709"/>
        <w:jc w:val="both"/>
        <w:rPr>
          <w:rFonts w:ascii="Times New Roman" w:eastAsia="Times New Roman" w:hAnsi="Times New Roman" w:cs="Times New Roman"/>
          <w:sz w:val="24"/>
          <w:szCs w:val="24"/>
          <w:lang w:eastAsia="ru-RU"/>
        </w:rPr>
      </w:pPr>
      <w:r w:rsidRPr="00856B9D">
        <w:rPr>
          <w:rFonts w:ascii="Times New Roman" w:eastAsia="Times New Roman" w:hAnsi="Times New Roman" w:cs="Times New Roman"/>
          <w:sz w:val="24"/>
          <w:szCs w:val="24"/>
          <w:lang w:eastAsia="ru-RU"/>
        </w:rPr>
        <w:t>В рамках обеспечения экономической безопасности особое место занимают инструменты денежно-</w:t>
      </w:r>
      <w:r w:rsidR="001746FE" w:rsidRPr="00856B9D">
        <w:rPr>
          <w:rFonts w:ascii="Times New Roman" w:eastAsia="Times New Roman" w:hAnsi="Times New Roman" w:cs="Times New Roman"/>
          <w:sz w:val="24"/>
          <w:szCs w:val="24"/>
          <w:lang w:eastAsia="ru-RU"/>
        </w:rPr>
        <w:t>кредитной</w:t>
      </w:r>
      <w:r w:rsidR="001746FE">
        <w:rPr>
          <w:rFonts w:ascii="Times New Roman" w:eastAsia="Times New Roman" w:hAnsi="Times New Roman" w:cs="Times New Roman"/>
          <w:sz w:val="24"/>
          <w:szCs w:val="24"/>
          <w:lang w:eastAsia="ru-RU"/>
        </w:rPr>
        <w:t xml:space="preserve"> </w:t>
      </w:r>
      <w:r w:rsidR="001746FE" w:rsidRPr="00856B9D">
        <w:rPr>
          <w:rFonts w:ascii="Times New Roman" w:eastAsia="Times New Roman" w:hAnsi="Times New Roman" w:cs="Times New Roman"/>
          <w:sz w:val="24"/>
          <w:szCs w:val="24"/>
          <w:lang w:eastAsia="ru-RU"/>
        </w:rPr>
        <w:t>политики</w:t>
      </w:r>
      <w:r w:rsidRPr="00856B9D">
        <w:rPr>
          <w:rFonts w:ascii="Times New Roman" w:eastAsia="Times New Roman" w:hAnsi="Times New Roman" w:cs="Times New Roman"/>
          <w:sz w:val="24"/>
          <w:szCs w:val="24"/>
          <w:lang w:eastAsia="ru-RU"/>
        </w:rPr>
        <w:t xml:space="preserve">. </w:t>
      </w:r>
      <w:r w:rsidR="001746FE">
        <w:rPr>
          <w:rFonts w:ascii="Times New Roman" w:eastAsia="Times New Roman" w:hAnsi="Times New Roman" w:cs="Times New Roman"/>
          <w:sz w:val="24"/>
          <w:szCs w:val="24"/>
          <w:lang w:eastAsia="ru-RU"/>
        </w:rPr>
        <w:t>Необходимо отметить, что не все инструменты монетарной политики являются эффективными в обеспечении экономической безопасности страны.</w:t>
      </w:r>
      <w:r w:rsidR="000C1DAD">
        <w:rPr>
          <w:rFonts w:ascii="Times New Roman" w:eastAsia="Times New Roman" w:hAnsi="Times New Roman" w:cs="Times New Roman"/>
          <w:sz w:val="24"/>
          <w:szCs w:val="24"/>
          <w:lang w:eastAsia="ru-RU"/>
        </w:rPr>
        <w:t xml:space="preserve"> </w:t>
      </w:r>
      <w:r w:rsidR="001746FE">
        <w:rPr>
          <w:rFonts w:ascii="Times New Roman" w:eastAsia="Times New Roman" w:hAnsi="Times New Roman" w:cs="Times New Roman"/>
          <w:sz w:val="24"/>
          <w:szCs w:val="24"/>
          <w:lang w:eastAsia="ru-RU"/>
        </w:rPr>
        <w:t xml:space="preserve"> </w:t>
      </w:r>
      <w:r w:rsidRPr="00856B9D">
        <w:rPr>
          <w:rFonts w:ascii="Times New Roman" w:eastAsia="Times New Roman" w:hAnsi="Times New Roman" w:cs="Times New Roman"/>
          <w:sz w:val="24"/>
          <w:szCs w:val="24"/>
          <w:lang w:eastAsia="ru-RU"/>
        </w:rPr>
        <w:t xml:space="preserve">Для достижения вышеуказанных целей ЦБ может использовать следующие инструменты кредитно-денежной политики: </w:t>
      </w:r>
      <w:bookmarkStart w:id="2" w:name="_Hlk72154766"/>
      <w:r w:rsidRPr="00856B9D">
        <w:rPr>
          <w:rFonts w:ascii="Times New Roman" w:eastAsia="Times New Roman" w:hAnsi="Times New Roman" w:cs="Times New Roman"/>
          <w:sz w:val="24"/>
          <w:szCs w:val="24"/>
          <w:lang w:eastAsia="ru-RU"/>
        </w:rPr>
        <w:t>операции на открытом рынке, интервенции на валютном рынке, норму обязательного резервирования и ставку рефинансирования</w:t>
      </w:r>
      <w:bookmarkEnd w:id="2"/>
      <w:r w:rsidR="001746FE">
        <w:rPr>
          <w:rFonts w:ascii="Times New Roman" w:eastAsia="Times New Roman" w:hAnsi="Times New Roman" w:cs="Times New Roman"/>
          <w:sz w:val="24"/>
          <w:szCs w:val="24"/>
          <w:lang w:eastAsia="ru-RU"/>
        </w:rPr>
        <w:t xml:space="preserve">, которые представлены и кратко охарактеризованы на рис. 1. </w:t>
      </w:r>
    </w:p>
    <w:p w14:paraId="68EB9243" w14:textId="77777777" w:rsidR="00033E57" w:rsidRDefault="00033E57" w:rsidP="001746FE">
      <w:pPr>
        <w:suppressAutoHyphens/>
        <w:spacing w:after="0" w:line="240" w:lineRule="auto"/>
        <w:ind w:firstLine="709"/>
        <w:jc w:val="both"/>
        <w:rPr>
          <w:rFonts w:ascii="Times New Roman" w:eastAsia="Times New Roman" w:hAnsi="Times New Roman" w:cs="Times New Roman"/>
          <w:sz w:val="24"/>
          <w:szCs w:val="24"/>
          <w:lang w:eastAsia="ru-RU"/>
        </w:rPr>
      </w:pPr>
    </w:p>
    <w:p w14:paraId="419174A2" w14:textId="77777777" w:rsidR="001746FE" w:rsidRDefault="001746FE" w:rsidP="001746FE">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6675325D" wp14:editId="042A8B56">
            <wp:extent cx="5722620" cy="2514600"/>
            <wp:effectExtent l="38100" t="38100" r="11430" b="381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14:paraId="04345388" w14:textId="375CBF3C" w:rsidR="001746FE" w:rsidRDefault="001746FE" w:rsidP="001746FE">
      <w:pPr>
        <w:suppressAutoHyphens/>
        <w:spacing w:after="0" w:line="24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Рисунок 1 – Инструменты Денежно-кредитной политики, способные влиять на экономическую безопасность государства.</w:t>
      </w:r>
    </w:p>
    <w:p w14:paraId="7C212115" w14:textId="1DFF1CFD" w:rsidR="001746FE" w:rsidRDefault="001746FE" w:rsidP="001746FE">
      <w:pPr>
        <w:suppressAutoHyphens/>
        <w:spacing w:after="0" w:line="240" w:lineRule="auto"/>
        <w:ind w:firstLine="709"/>
        <w:jc w:val="center"/>
        <w:rPr>
          <w:rFonts w:ascii="Times New Roman" w:eastAsia="Times New Roman" w:hAnsi="Times New Roman" w:cs="Times New Roman"/>
          <w:sz w:val="24"/>
          <w:szCs w:val="24"/>
          <w:lang w:eastAsia="ru-RU"/>
        </w:rPr>
      </w:pPr>
    </w:p>
    <w:p w14:paraId="5F07E136" w14:textId="0E911F0C" w:rsidR="001746FE" w:rsidRDefault="001746FE" w:rsidP="001746FE">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Рассмотри</w:t>
      </w:r>
      <w:r w:rsidR="00D97D2D">
        <w:rPr>
          <w:rFonts w:ascii="Times New Roman" w:eastAsia="Times New Roman" w:hAnsi="Times New Roman" w:cs="Times New Roman"/>
          <w:sz w:val="24"/>
          <w:szCs w:val="24"/>
          <w:lang w:eastAsia="ru-RU"/>
        </w:rPr>
        <w:t>м</w:t>
      </w:r>
      <w:r>
        <w:rPr>
          <w:rFonts w:ascii="Times New Roman" w:eastAsia="Times New Roman" w:hAnsi="Times New Roman" w:cs="Times New Roman"/>
          <w:sz w:val="24"/>
          <w:szCs w:val="24"/>
          <w:lang w:eastAsia="ru-RU"/>
        </w:rPr>
        <w:t xml:space="preserve"> подробнее насколько каждый инструмент способен влиять на эффективность обеспечения экономической безопасности</w:t>
      </w:r>
      <w:r w:rsidR="00D97D2D">
        <w:rPr>
          <w:rFonts w:ascii="Times New Roman" w:eastAsia="Times New Roman" w:hAnsi="Times New Roman" w:cs="Times New Roman"/>
          <w:sz w:val="24"/>
          <w:szCs w:val="24"/>
          <w:lang w:eastAsia="ru-RU"/>
        </w:rPr>
        <w:t>:</w:t>
      </w:r>
    </w:p>
    <w:p w14:paraId="14DC10E3" w14:textId="2BF53830" w:rsidR="00D97D2D" w:rsidRDefault="00D97D2D" w:rsidP="00D97D2D">
      <w:pPr>
        <w:suppressAutoHyphens/>
        <w:spacing w:after="0" w:line="240" w:lineRule="auto"/>
        <w:ind w:firstLine="709"/>
        <w:jc w:val="both"/>
      </w:pPr>
      <w:r>
        <w:rPr>
          <w:rFonts w:ascii="Times New Roman" w:eastAsia="Times New Roman" w:hAnsi="Times New Roman" w:cs="Times New Roman"/>
          <w:sz w:val="24"/>
          <w:szCs w:val="24"/>
          <w:lang w:eastAsia="ru-RU"/>
        </w:rPr>
        <w:lastRenderedPageBreak/>
        <w:t xml:space="preserve">1) Задача ЦБ России содержать баланс, т.е. активы и пассивы должны соответствовать друг другу в реальной или курсовой стоимости. </w:t>
      </w:r>
      <w:r w:rsidRPr="00D97D2D">
        <w:rPr>
          <w:rFonts w:ascii="Times New Roman" w:eastAsia="Times New Roman" w:hAnsi="Times New Roman" w:cs="Times New Roman"/>
          <w:sz w:val="24"/>
          <w:szCs w:val="24"/>
          <w:lang w:eastAsia="ru-RU"/>
        </w:rPr>
        <w:t xml:space="preserve">К активам </w:t>
      </w:r>
      <w:r>
        <w:rPr>
          <w:rFonts w:ascii="Times New Roman" w:eastAsia="Times New Roman" w:hAnsi="Times New Roman" w:cs="Times New Roman"/>
          <w:sz w:val="24"/>
          <w:szCs w:val="24"/>
          <w:lang w:eastAsia="ru-RU"/>
        </w:rPr>
        <w:t>ЦБ</w:t>
      </w:r>
      <w:r w:rsidRPr="00D97D2D">
        <w:rPr>
          <w:rFonts w:ascii="Times New Roman" w:eastAsia="Times New Roman" w:hAnsi="Times New Roman" w:cs="Times New Roman"/>
          <w:sz w:val="24"/>
          <w:szCs w:val="24"/>
          <w:lang w:eastAsia="ru-RU"/>
        </w:rPr>
        <w:t xml:space="preserve"> относят золотовалютные резервы, кредиты, выдаваемые коммерческим банкам, а также имеющиеся у ЦБ государственные ценные бумаги. К пассивам относят </w:t>
      </w:r>
      <w:r>
        <w:rPr>
          <w:rFonts w:ascii="Times New Roman" w:eastAsia="Times New Roman" w:hAnsi="Times New Roman" w:cs="Times New Roman"/>
          <w:sz w:val="24"/>
          <w:szCs w:val="24"/>
          <w:lang w:eastAsia="ru-RU"/>
        </w:rPr>
        <w:t xml:space="preserve">все </w:t>
      </w:r>
      <w:r w:rsidRPr="00D97D2D">
        <w:rPr>
          <w:rFonts w:ascii="Times New Roman" w:eastAsia="Times New Roman" w:hAnsi="Times New Roman" w:cs="Times New Roman"/>
          <w:sz w:val="24"/>
          <w:szCs w:val="24"/>
          <w:lang w:eastAsia="ru-RU"/>
        </w:rPr>
        <w:t xml:space="preserve">наличные деньги в обращении, депозиты коммерческих банков и правительства на счету </w:t>
      </w:r>
      <w:r>
        <w:rPr>
          <w:rFonts w:ascii="Times New Roman" w:eastAsia="Times New Roman" w:hAnsi="Times New Roman" w:cs="Times New Roman"/>
          <w:sz w:val="24"/>
          <w:szCs w:val="24"/>
          <w:lang w:eastAsia="ru-RU"/>
        </w:rPr>
        <w:t>ЦБ</w:t>
      </w:r>
      <w:r w:rsidRPr="00D97D2D">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а также </w:t>
      </w:r>
      <w:r w:rsidRPr="00D97D2D">
        <w:rPr>
          <w:rFonts w:ascii="Times New Roman" w:eastAsia="Times New Roman" w:hAnsi="Times New Roman" w:cs="Times New Roman"/>
          <w:sz w:val="24"/>
          <w:szCs w:val="24"/>
          <w:lang w:eastAsia="ru-RU"/>
        </w:rPr>
        <w:t xml:space="preserve">собственный капитал </w:t>
      </w:r>
      <w:r>
        <w:rPr>
          <w:rFonts w:ascii="Times New Roman" w:eastAsia="Times New Roman" w:hAnsi="Times New Roman" w:cs="Times New Roman"/>
          <w:sz w:val="24"/>
          <w:szCs w:val="24"/>
          <w:lang w:eastAsia="ru-RU"/>
        </w:rPr>
        <w:t xml:space="preserve">центрального </w:t>
      </w:r>
      <w:r w:rsidRPr="00D97D2D">
        <w:rPr>
          <w:rFonts w:ascii="Times New Roman" w:eastAsia="Times New Roman" w:hAnsi="Times New Roman" w:cs="Times New Roman"/>
          <w:sz w:val="24"/>
          <w:szCs w:val="24"/>
          <w:lang w:eastAsia="ru-RU"/>
        </w:rPr>
        <w:t>банка.</w:t>
      </w:r>
      <w:r w:rsidRPr="00D97D2D">
        <w:t xml:space="preserve"> </w:t>
      </w:r>
      <w:r w:rsidR="00C91EDE" w:rsidRPr="009F3132">
        <w:rPr>
          <w:rFonts w:ascii="Times New Roman" w:eastAsia="Times New Roman" w:hAnsi="Times New Roman" w:cs="Times New Roman"/>
          <w:sz w:val="24"/>
          <w:szCs w:val="24"/>
          <w:lang w:eastAsia="ru-RU"/>
        </w:rPr>
        <w:t>[</w:t>
      </w:r>
      <w:r w:rsidR="00C91EDE">
        <w:rPr>
          <w:rFonts w:ascii="Times New Roman" w:eastAsia="Times New Roman" w:hAnsi="Times New Roman" w:cs="Times New Roman"/>
          <w:sz w:val="24"/>
          <w:szCs w:val="24"/>
          <w:lang w:eastAsia="ru-RU"/>
        </w:rPr>
        <w:t>1</w:t>
      </w:r>
      <w:r w:rsidR="00C91EDE" w:rsidRPr="009F3132">
        <w:rPr>
          <w:rFonts w:ascii="Times New Roman" w:eastAsia="Times New Roman" w:hAnsi="Times New Roman" w:cs="Times New Roman"/>
          <w:sz w:val="24"/>
          <w:szCs w:val="24"/>
          <w:lang w:eastAsia="ru-RU"/>
        </w:rPr>
        <w:t xml:space="preserve">, c. </w:t>
      </w:r>
      <w:r w:rsidR="00C91EDE">
        <w:rPr>
          <w:rFonts w:ascii="Times New Roman" w:eastAsia="Times New Roman" w:hAnsi="Times New Roman" w:cs="Times New Roman"/>
          <w:sz w:val="24"/>
          <w:szCs w:val="24"/>
          <w:lang w:eastAsia="ru-RU"/>
        </w:rPr>
        <w:t>59</w:t>
      </w:r>
      <w:r w:rsidR="00C91EDE" w:rsidRPr="009F3132">
        <w:rPr>
          <w:rFonts w:ascii="Times New Roman" w:eastAsia="Times New Roman" w:hAnsi="Times New Roman" w:cs="Times New Roman"/>
          <w:sz w:val="24"/>
          <w:szCs w:val="24"/>
          <w:lang w:eastAsia="ru-RU"/>
        </w:rPr>
        <w:t>]</w:t>
      </w:r>
    </w:p>
    <w:p w14:paraId="38D09162" w14:textId="19707685" w:rsidR="00D97D2D" w:rsidRDefault="00D97D2D" w:rsidP="00BB7887">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Например, </w:t>
      </w:r>
      <w:r>
        <w:rPr>
          <w:rFonts w:ascii="Times New Roman" w:eastAsia="Times New Roman" w:hAnsi="Times New Roman" w:cs="Times New Roman"/>
          <w:sz w:val="24"/>
          <w:szCs w:val="24"/>
          <w:lang w:eastAsia="ru-RU"/>
        </w:rPr>
        <w:t>п</w:t>
      </w:r>
      <w:r w:rsidRPr="00D97D2D">
        <w:rPr>
          <w:rFonts w:ascii="Times New Roman" w:eastAsia="Times New Roman" w:hAnsi="Times New Roman" w:cs="Times New Roman"/>
          <w:sz w:val="24"/>
          <w:szCs w:val="24"/>
          <w:lang w:eastAsia="ru-RU"/>
        </w:rPr>
        <w:t>окупка Ц</w:t>
      </w:r>
      <w:r>
        <w:rPr>
          <w:rFonts w:ascii="Times New Roman" w:eastAsia="Times New Roman" w:hAnsi="Times New Roman" w:cs="Times New Roman"/>
          <w:sz w:val="24"/>
          <w:szCs w:val="24"/>
          <w:lang w:eastAsia="ru-RU"/>
        </w:rPr>
        <w:t>Б</w:t>
      </w:r>
      <w:r w:rsidRPr="00D97D2D">
        <w:rPr>
          <w:rFonts w:ascii="Times New Roman" w:eastAsia="Times New Roman" w:hAnsi="Times New Roman" w:cs="Times New Roman"/>
          <w:sz w:val="24"/>
          <w:szCs w:val="24"/>
          <w:lang w:eastAsia="ru-RU"/>
        </w:rPr>
        <w:t xml:space="preserve"> облигаций у коммерческих банков приведет к росту его активов на соответствующую величину. </w:t>
      </w:r>
      <w:r>
        <w:rPr>
          <w:rFonts w:ascii="Times New Roman" w:eastAsia="Times New Roman" w:hAnsi="Times New Roman" w:cs="Times New Roman"/>
          <w:sz w:val="24"/>
          <w:szCs w:val="24"/>
          <w:lang w:eastAsia="ru-RU"/>
        </w:rPr>
        <w:t>Необходимо отметить, что</w:t>
      </w:r>
      <w:r w:rsidRPr="00D97D2D">
        <w:rPr>
          <w:rFonts w:ascii="Times New Roman" w:eastAsia="Times New Roman" w:hAnsi="Times New Roman" w:cs="Times New Roman"/>
          <w:sz w:val="24"/>
          <w:szCs w:val="24"/>
          <w:lang w:eastAsia="ru-RU"/>
        </w:rPr>
        <w:t xml:space="preserve"> покупка государственных облигаций </w:t>
      </w:r>
      <w:r>
        <w:rPr>
          <w:rFonts w:ascii="Times New Roman" w:eastAsia="Times New Roman" w:hAnsi="Times New Roman" w:cs="Times New Roman"/>
          <w:sz w:val="24"/>
          <w:szCs w:val="24"/>
          <w:lang w:eastAsia="ru-RU"/>
        </w:rPr>
        <w:t>ЦБ</w:t>
      </w:r>
      <w:r w:rsidRPr="00D97D2D">
        <w:rPr>
          <w:rFonts w:ascii="Times New Roman" w:eastAsia="Times New Roman" w:hAnsi="Times New Roman" w:cs="Times New Roman"/>
          <w:sz w:val="24"/>
          <w:szCs w:val="24"/>
          <w:lang w:eastAsia="ru-RU"/>
        </w:rPr>
        <w:t xml:space="preserve"> влияет не только на денежную базу, но и на </w:t>
      </w:r>
      <w:r>
        <w:rPr>
          <w:rFonts w:ascii="Times New Roman" w:eastAsia="Times New Roman" w:hAnsi="Times New Roman" w:cs="Times New Roman"/>
          <w:sz w:val="24"/>
          <w:szCs w:val="24"/>
          <w:lang w:eastAsia="ru-RU"/>
        </w:rPr>
        <w:t>размер ключевой ставки</w:t>
      </w:r>
      <w:r w:rsidRPr="00D97D2D">
        <w:rPr>
          <w:rFonts w:ascii="Times New Roman" w:eastAsia="Times New Roman" w:hAnsi="Times New Roman" w:cs="Times New Roman"/>
          <w:sz w:val="24"/>
          <w:szCs w:val="24"/>
          <w:lang w:eastAsia="ru-RU"/>
        </w:rPr>
        <w:t xml:space="preserve"> процента. </w:t>
      </w:r>
    </w:p>
    <w:p w14:paraId="0A7F89B0" w14:textId="207F4656" w:rsidR="00033E57" w:rsidRDefault="00033E57" w:rsidP="00BB7887">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Такой инструмент достаточно хорошо влияет на экономическую безопасность за счет метода монетизации государственного долга, который состоит в кредитовании правительства в случаях, когда это необходимо. </w:t>
      </w:r>
    </w:p>
    <w:p w14:paraId="5185503D" w14:textId="015ACE50" w:rsidR="00D97D2D" w:rsidRDefault="00D97D2D" w:rsidP="00D97D2D">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00C67AC8">
        <w:rPr>
          <w:rFonts w:ascii="Times New Roman" w:eastAsia="Times New Roman" w:hAnsi="Times New Roman" w:cs="Times New Roman"/>
          <w:sz w:val="24"/>
          <w:szCs w:val="24"/>
          <w:lang w:eastAsia="ru-RU"/>
        </w:rPr>
        <w:t xml:space="preserve">ЦБ может увеличивать денежную массу и соответственно денежную базу за счет приобретения иностранной валюты и вложения её в активы ЦБ либо нейтрализовать денежную базу за счет выпуска государственных облигаций на рынок для покупки её физическими или юридическими лицами. Такой прием носит название политика «стерилизации» </w:t>
      </w:r>
      <w:r w:rsidR="00C67AC8" w:rsidRPr="00C67AC8">
        <w:rPr>
          <w:rFonts w:ascii="Times New Roman" w:eastAsia="Times New Roman" w:hAnsi="Times New Roman" w:cs="Times New Roman"/>
          <w:sz w:val="24"/>
          <w:szCs w:val="24"/>
          <w:lang w:eastAsia="ru-RU"/>
        </w:rPr>
        <w:t>–</w:t>
      </w:r>
      <w:r w:rsidR="00C67AC8">
        <w:rPr>
          <w:rFonts w:ascii="Times New Roman" w:eastAsia="Times New Roman" w:hAnsi="Times New Roman" w:cs="Times New Roman"/>
          <w:sz w:val="24"/>
          <w:szCs w:val="24"/>
          <w:lang w:eastAsia="ru-RU"/>
        </w:rPr>
        <w:t xml:space="preserve"> полный контроль имущества и обязательств ЦБ за счет покупки или продажи активов. </w:t>
      </w:r>
      <w:r w:rsidR="000C1DAD" w:rsidRPr="000C1DAD">
        <w:rPr>
          <w:rFonts w:ascii="Times New Roman" w:eastAsia="Times New Roman" w:hAnsi="Times New Roman" w:cs="Times New Roman"/>
          <w:sz w:val="24"/>
          <w:szCs w:val="24"/>
          <w:lang w:eastAsia="ru-RU"/>
        </w:rPr>
        <w:t>[</w:t>
      </w:r>
      <w:r w:rsidR="000C1DAD">
        <w:rPr>
          <w:rFonts w:ascii="Times New Roman" w:eastAsia="Times New Roman" w:hAnsi="Times New Roman" w:cs="Times New Roman"/>
          <w:sz w:val="24"/>
          <w:szCs w:val="24"/>
          <w:lang w:eastAsia="ru-RU"/>
        </w:rPr>
        <w:t>4</w:t>
      </w:r>
      <w:r w:rsidR="000C1DAD" w:rsidRPr="000C1DAD">
        <w:rPr>
          <w:rFonts w:ascii="Times New Roman" w:eastAsia="Times New Roman" w:hAnsi="Times New Roman" w:cs="Times New Roman"/>
          <w:sz w:val="24"/>
          <w:szCs w:val="24"/>
          <w:lang w:eastAsia="ru-RU"/>
        </w:rPr>
        <w:t xml:space="preserve">, c. </w:t>
      </w:r>
      <w:r w:rsidR="000C1DAD">
        <w:rPr>
          <w:rFonts w:ascii="Times New Roman" w:eastAsia="Times New Roman" w:hAnsi="Times New Roman" w:cs="Times New Roman"/>
          <w:sz w:val="24"/>
          <w:szCs w:val="24"/>
          <w:lang w:eastAsia="ru-RU"/>
        </w:rPr>
        <w:t>96</w:t>
      </w:r>
      <w:r w:rsidR="000C1DAD" w:rsidRPr="000C1DAD">
        <w:rPr>
          <w:rFonts w:ascii="Times New Roman" w:eastAsia="Times New Roman" w:hAnsi="Times New Roman" w:cs="Times New Roman"/>
          <w:sz w:val="24"/>
          <w:szCs w:val="24"/>
          <w:lang w:eastAsia="ru-RU"/>
        </w:rPr>
        <w:t xml:space="preserve">] </w:t>
      </w:r>
      <w:r w:rsidR="00033E57">
        <w:rPr>
          <w:rFonts w:ascii="Times New Roman" w:eastAsia="Times New Roman" w:hAnsi="Times New Roman" w:cs="Times New Roman"/>
          <w:sz w:val="24"/>
          <w:szCs w:val="24"/>
          <w:lang w:eastAsia="ru-RU"/>
        </w:rPr>
        <w:t xml:space="preserve">Использование валютного рынка также благоприятно влияет на экономику страны, поэтому является инструментом, способным обеспечить экономическую безопасность. </w:t>
      </w:r>
    </w:p>
    <w:p w14:paraId="1D04A390" w14:textId="2E41C93F" w:rsidR="00C67AC8" w:rsidRDefault="00C67AC8" w:rsidP="00C91EDE">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005423D9">
        <w:rPr>
          <w:rFonts w:ascii="Times New Roman" w:eastAsia="Times New Roman" w:hAnsi="Times New Roman" w:cs="Times New Roman"/>
          <w:sz w:val="24"/>
          <w:szCs w:val="24"/>
          <w:lang w:eastAsia="ru-RU"/>
        </w:rPr>
        <w:t xml:space="preserve">Изменение </w:t>
      </w:r>
      <w:r w:rsidR="005423D9" w:rsidRPr="005423D9">
        <w:rPr>
          <w:rFonts w:ascii="Times New Roman" w:eastAsia="Times New Roman" w:hAnsi="Times New Roman" w:cs="Times New Roman"/>
          <w:sz w:val="24"/>
          <w:szCs w:val="24"/>
          <w:lang w:eastAsia="ru-RU"/>
        </w:rPr>
        <w:t>нормы обязательных резервов может повлиять на объемы кредитных возможностей коммерческих банков</w:t>
      </w:r>
      <w:r w:rsidR="005423D9">
        <w:rPr>
          <w:rFonts w:ascii="Times New Roman" w:eastAsia="Times New Roman" w:hAnsi="Times New Roman" w:cs="Times New Roman"/>
          <w:sz w:val="24"/>
          <w:szCs w:val="24"/>
          <w:lang w:eastAsia="ru-RU"/>
        </w:rPr>
        <w:t>, н</w:t>
      </w:r>
      <w:r w:rsidR="005423D9" w:rsidRPr="005423D9">
        <w:rPr>
          <w:rFonts w:ascii="Times New Roman" w:eastAsia="Times New Roman" w:hAnsi="Times New Roman" w:cs="Times New Roman"/>
          <w:sz w:val="24"/>
          <w:szCs w:val="24"/>
          <w:lang w:eastAsia="ru-RU"/>
        </w:rPr>
        <w:t>апример, повышение нормы резервирования может вынудить банки не только прекратить кредитование, но и требовать немедленного</w:t>
      </w:r>
      <w:r w:rsidR="005423D9" w:rsidRPr="005423D9">
        <w:t xml:space="preserve"> </w:t>
      </w:r>
      <w:r w:rsidR="005423D9" w:rsidRPr="005423D9">
        <w:rPr>
          <w:rFonts w:ascii="Times New Roman" w:eastAsia="Times New Roman" w:hAnsi="Times New Roman" w:cs="Times New Roman"/>
          <w:sz w:val="24"/>
          <w:szCs w:val="24"/>
          <w:lang w:eastAsia="ru-RU"/>
        </w:rPr>
        <w:t>возврата наличными уже представленных ссуд</w:t>
      </w:r>
      <w:bookmarkStart w:id="3" w:name="_Hlk72161852"/>
      <w:r w:rsidR="005423D9" w:rsidRPr="005423D9">
        <w:rPr>
          <w:rFonts w:ascii="Times New Roman" w:eastAsia="Times New Roman" w:hAnsi="Times New Roman" w:cs="Times New Roman"/>
          <w:sz w:val="24"/>
          <w:szCs w:val="24"/>
          <w:lang w:eastAsia="ru-RU"/>
        </w:rPr>
        <w:t xml:space="preserve">. </w:t>
      </w:r>
      <w:bookmarkStart w:id="4" w:name="_Hlk72161956"/>
      <w:r w:rsidR="00C91EDE" w:rsidRPr="00C91EDE">
        <w:rPr>
          <w:rFonts w:ascii="Times New Roman" w:eastAsia="Times New Roman" w:hAnsi="Times New Roman" w:cs="Times New Roman"/>
          <w:sz w:val="24"/>
          <w:szCs w:val="24"/>
          <w:lang w:eastAsia="ru-RU"/>
        </w:rPr>
        <w:t>[</w:t>
      </w:r>
      <w:r w:rsidR="00C91EDE">
        <w:rPr>
          <w:rFonts w:ascii="Times New Roman" w:eastAsia="Times New Roman" w:hAnsi="Times New Roman" w:cs="Times New Roman"/>
          <w:sz w:val="24"/>
          <w:szCs w:val="24"/>
          <w:lang w:eastAsia="ru-RU"/>
        </w:rPr>
        <w:t>1</w:t>
      </w:r>
      <w:r w:rsidR="00C91EDE" w:rsidRPr="00C91EDE">
        <w:rPr>
          <w:rFonts w:ascii="Times New Roman" w:eastAsia="Times New Roman" w:hAnsi="Times New Roman" w:cs="Times New Roman"/>
          <w:sz w:val="24"/>
          <w:szCs w:val="24"/>
          <w:lang w:eastAsia="ru-RU"/>
        </w:rPr>
        <w:t xml:space="preserve">, c. </w:t>
      </w:r>
      <w:r w:rsidR="00C91EDE">
        <w:rPr>
          <w:rFonts w:ascii="Times New Roman" w:eastAsia="Times New Roman" w:hAnsi="Times New Roman" w:cs="Times New Roman"/>
          <w:sz w:val="24"/>
          <w:szCs w:val="24"/>
          <w:lang w:eastAsia="ru-RU"/>
        </w:rPr>
        <w:t>63</w:t>
      </w:r>
      <w:r w:rsidR="00C91EDE" w:rsidRPr="00C91EDE">
        <w:rPr>
          <w:rFonts w:ascii="Times New Roman" w:eastAsia="Times New Roman" w:hAnsi="Times New Roman" w:cs="Times New Roman"/>
          <w:sz w:val="24"/>
          <w:szCs w:val="24"/>
          <w:lang w:eastAsia="ru-RU"/>
        </w:rPr>
        <w:t>]</w:t>
      </w:r>
      <w:r w:rsidR="00C91EDE">
        <w:rPr>
          <w:rFonts w:ascii="Times New Roman" w:eastAsia="Times New Roman" w:hAnsi="Times New Roman" w:cs="Times New Roman"/>
          <w:sz w:val="24"/>
          <w:szCs w:val="24"/>
          <w:lang w:eastAsia="ru-RU"/>
        </w:rPr>
        <w:t xml:space="preserve"> </w:t>
      </w:r>
      <w:bookmarkEnd w:id="3"/>
      <w:bookmarkEnd w:id="4"/>
      <w:r w:rsidR="005423D9">
        <w:rPr>
          <w:rFonts w:ascii="Times New Roman" w:eastAsia="Times New Roman" w:hAnsi="Times New Roman" w:cs="Times New Roman"/>
          <w:sz w:val="24"/>
          <w:szCs w:val="24"/>
          <w:lang w:eastAsia="ru-RU"/>
        </w:rPr>
        <w:t>Неоднозначный инструмент в обеспечении экономической безопасности, т.к. такая экономическая ситуация может серьезно повлиять на структуру всей банковской системы, в следствие которой можно наблюдать банкротство коммерческ</w:t>
      </w:r>
      <w:r w:rsidR="00033E57">
        <w:rPr>
          <w:rFonts w:ascii="Times New Roman" w:eastAsia="Times New Roman" w:hAnsi="Times New Roman" w:cs="Times New Roman"/>
          <w:sz w:val="24"/>
          <w:szCs w:val="24"/>
          <w:lang w:eastAsia="ru-RU"/>
        </w:rPr>
        <w:t>их</w:t>
      </w:r>
      <w:r w:rsidR="005423D9">
        <w:rPr>
          <w:rFonts w:ascii="Times New Roman" w:eastAsia="Times New Roman" w:hAnsi="Times New Roman" w:cs="Times New Roman"/>
          <w:sz w:val="24"/>
          <w:szCs w:val="24"/>
          <w:lang w:eastAsia="ru-RU"/>
        </w:rPr>
        <w:t xml:space="preserve"> банк</w:t>
      </w:r>
      <w:r w:rsidR="00033E57">
        <w:rPr>
          <w:rFonts w:ascii="Times New Roman" w:eastAsia="Times New Roman" w:hAnsi="Times New Roman" w:cs="Times New Roman"/>
          <w:sz w:val="24"/>
          <w:szCs w:val="24"/>
          <w:lang w:eastAsia="ru-RU"/>
        </w:rPr>
        <w:t>ов</w:t>
      </w:r>
      <w:r w:rsidR="005423D9">
        <w:rPr>
          <w:rFonts w:ascii="Times New Roman" w:eastAsia="Times New Roman" w:hAnsi="Times New Roman" w:cs="Times New Roman"/>
          <w:sz w:val="24"/>
          <w:szCs w:val="24"/>
          <w:lang w:eastAsia="ru-RU"/>
        </w:rPr>
        <w:t xml:space="preserve"> и в результате увеличение обязательств ЦБ. </w:t>
      </w:r>
    </w:p>
    <w:p w14:paraId="3DFA3256" w14:textId="77777777" w:rsidR="005423D9" w:rsidRDefault="005423D9" w:rsidP="005423D9">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 Пожалуй, самый эффективный инструмент ЦБ, который позволяет контролировать ставки межбанковс</w:t>
      </w:r>
      <w:r w:rsidRPr="005423D9">
        <w:rPr>
          <w:rFonts w:ascii="Times New Roman" w:eastAsia="Times New Roman" w:hAnsi="Times New Roman" w:cs="Times New Roman"/>
          <w:sz w:val="24"/>
          <w:szCs w:val="24"/>
          <w:lang w:eastAsia="ru-RU"/>
        </w:rPr>
        <w:t>кого рынка и другие процентные ставки.</w:t>
      </w:r>
      <w:r>
        <w:rPr>
          <w:rFonts w:ascii="Times New Roman" w:eastAsia="Times New Roman" w:hAnsi="Times New Roman" w:cs="Times New Roman"/>
          <w:sz w:val="24"/>
          <w:szCs w:val="24"/>
          <w:lang w:eastAsia="ru-RU"/>
        </w:rPr>
        <w:t xml:space="preserve"> Рефинансирование — это кредитование ЦБ коммерческих банков</w:t>
      </w:r>
      <w:r w:rsidRPr="005423D9">
        <w:rPr>
          <w:rFonts w:ascii="Times New Roman" w:eastAsia="Times New Roman" w:hAnsi="Times New Roman" w:cs="Times New Roman"/>
          <w:sz w:val="24"/>
          <w:szCs w:val="24"/>
          <w:lang w:eastAsia="ru-RU"/>
        </w:rPr>
        <w:t xml:space="preserve"> в случае временной нехватки финансовых ресурсов</w:t>
      </w:r>
      <w:r>
        <w:rPr>
          <w:rFonts w:ascii="Times New Roman" w:eastAsia="Times New Roman" w:hAnsi="Times New Roman" w:cs="Times New Roman"/>
          <w:sz w:val="24"/>
          <w:szCs w:val="24"/>
          <w:lang w:eastAsia="ru-RU"/>
        </w:rPr>
        <w:t>.</w:t>
      </w:r>
    </w:p>
    <w:p w14:paraId="54701B53" w14:textId="284B087B" w:rsidR="00033E57" w:rsidRDefault="005423D9" w:rsidP="00C91EDE">
      <w:pPr>
        <w:suppressAutoHyphens/>
        <w:spacing w:after="0" w:line="240" w:lineRule="auto"/>
        <w:ind w:firstLine="709"/>
        <w:jc w:val="both"/>
        <w:rPr>
          <w:rFonts w:ascii="Times New Roman" w:eastAsia="Times New Roman" w:hAnsi="Times New Roman" w:cs="Times New Roman"/>
          <w:sz w:val="24"/>
          <w:szCs w:val="24"/>
          <w:lang w:eastAsia="ru-RU"/>
        </w:rPr>
      </w:pPr>
      <w:r w:rsidRPr="005423D9">
        <w:rPr>
          <w:rFonts w:ascii="Times New Roman" w:eastAsia="Times New Roman" w:hAnsi="Times New Roman" w:cs="Times New Roman"/>
          <w:sz w:val="24"/>
          <w:szCs w:val="24"/>
          <w:lang w:eastAsia="ru-RU"/>
        </w:rPr>
        <w:t xml:space="preserve">Изменение ставки процента позволяет </w:t>
      </w:r>
      <w:r>
        <w:rPr>
          <w:rFonts w:ascii="Times New Roman" w:eastAsia="Times New Roman" w:hAnsi="Times New Roman" w:cs="Times New Roman"/>
          <w:sz w:val="24"/>
          <w:szCs w:val="24"/>
          <w:lang w:eastAsia="ru-RU"/>
        </w:rPr>
        <w:t>ЦБ</w:t>
      </w:r>
      <w:r w:rsidRPr="005423D9">
        <w:rPr>
          <w:rFonts w:ascii="Times New Roman" w:eastAsia="Times New Roman" w:hAnsi="Times New Roman" w:cs="Times New Roman"/>
          <w:sz w:val="24"/>
          <w:szCs w:val="24"/>
          <w:lang w:eastAsia="ru-RU"/>
        </w:rPr>
        <w:t xml:space="preserve"> проводить политику «дорогих» и «дешевых</w:t>
      </w:r>
      <w:r>
        <w:rPr>
          <w:rFonts w:ascii="Times New Roman" w:eastAsia="Times New Roman" w:hAnsi="Times New Roman" w:cs="Times New Roman"/>
          <w:sz w:val="24"/>
          <w:szCs w:val="24"/>
          <w:lang w:eastAsia="ru-RU"/>
        </w:rPr>
        <w:t>»</w:t>
      </w:r>
      <w:r w:rsidRPr="005423D9">
        <w:rPr>
          <w:rFonts w:ascii="Times New Roman" w:eastAsia="Times New Roman" w:hAnsi="Times New Roman" w:cs="Times New Roman"/>
          <w:sz w:val="24"/>
          <w:szCs w:val="24"/>
          <w:lang w:eastAsia="ru-RU"/>
        </w:rPr>
        <w:t xml:space="preserve"> денег. Когда ЦБ понижает эту ставку, он поощряет коммерческие банки к получению кредитов</w:t>
      </w:r>
      <w:r>
        <w:rPr>
          <w:rFonts w:ascii="Times New Roman" w:eastAsia="Times New Roman" w:hAnsi="Times New Roman" w:cs="Times New Roman"/>
          <w:sz w:val="24"/>
          <w:szCs w:val="24"/>
          <w:lang w:eastAsia="ru-RU"/>
        </w:rPr>
        <w:t>, с</w:t>
      </w:r>
      <w:r w:rsidRPr="005423D9">
        <w:rPr>
          <w:rFonts w:ascii="Times New Roman" w:eastAsia="Times New Roman" w:hAnsi="Times New Roman" w:cs="Times New Roman"/>
          <w:sz w:val="24"/>
          <w:szCs w:val="24"/>
          <w:lang w:eastAsia="ru-RU"/>
        </w:rPr>
        <w:t xml:space="preserve">оответственно, кредиты, выдаваемые коммерческими банками, увеличивают предложение денег. </w:t>
      </w:r>
    </w:p>
    <w:p w14:paraId="08E11481" w14:textId="77777777" w:rsidR="00C91EDE" w:rsidRDefault="00C91EDE" w:rsidP="0022376F">
      <w:pPr>
        <w:suppressAutoHyphens/>
        <w:spacing w:after="0" w:line="240" w:lineRule="auto"/>
        <w:ind w:firstLine="709"/>
        <w:jc w:val="center"/>
        <w:rPr>
          <w:rFonts w:ascii="Times New Roman" w:eastAsia="Times New Roman" w:hAnsi="Times New Roman" w:cs="Times New Roman"/>
          <w:sz w:val="24"/>
          <w:szCs w:val="24"/>
          <w:lang w:eastAsia="ru-RU"/>
        </w:rPr>
      </w:pPr>
    </w:p>
    <w:p w14:paraId="370CD97D" w14:textId="77777777" w:rsidR="00BB7887" w:rsidRPr="00BB7887" w:rsidRDefault="00BB7887" w:rsidP="00BB7887">
      <w:pPr>
        <w:suppressAutoHyphens/>
        <w:spacing w:after="0" w:line="240" w:lineRule="auto"/>
        <w:ind w:firstLine="709"/>
        <w:jc w:val="both"/>
        <w:rPr>
          <w:rFonts w:ascii="Times New Roman" w:eastAsia="Times New Roman" w:hAnsi="Times New Roman" w:cs="Times New Roman"/>
          <w:sz w:val="24"/>
          <w:szCs w:val="24"/>
          <w:lang w:eastAsia="ru-RU"/>
        </w:rPr>
      </w:pPr>
      <w:r w:rsidRPr="00BB7887">
        <w:rPr>
          <w:rFonts w:ascii="Times New Roman" w:eastAsia="Times New Roman" w:hAnsi="Times New Roman" w:cs="Times New Roman"/>
          <w:noProof/>
          <w:sz w:val="24"/>
          <w:szCs w:val="24"/>
          <w:lang w:eastAsia="ru-RU"/>
        </w:rPr>
        <w:drawing>
          <wp:inline distT="0" distB="0" distL="0" distR="0" wp14:anchorId="40EDA26A" wp14:editId="02253D44">
            <wp:extent cx="5676900" cy="2407920"/>
            <wp:effectExtent l="0" t="0" r="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3006349" w14:textId="3D85BBAA" w:rsidR="00BB7887" w:rsidRDefault="00BB7887" w:rsidP="00BB7887">
      <w:pPr>
        <w:suppressAutoHyphens/>
        <w:spacing w:after="0" w:line="240" w:lineRule="auto"/>
        <w:ind w:firstLine="709"/>
        <w:jc w:val="center"/>
        <w:rPr>
          <w:rFonts w:ascii="Times New Roman" w:eastAsia="Times New Roman" w:hAnsi="Times New Roman" w:cs="Times New Roman"/>
          <w:sz w:val="24"/>
          <w:szCs w:val="24"/>
          <w:lang w:eastAsia="ru-RU"/>
        </w:rPr>
      </w:pPr>
      <w:r w:rsidRPr="00BB7887">
        <w:rPr>
          <w:rFonts w:ascii="Times New Roman" w:eastAsia="Times New Roman" w:hAnsi="Times New Roman" w:cs="Times New Roman"/>
          <w:sz w:val="24"/>
          <w:szCs w:val="24"/>
          <w:lang w:eastAsia="ru-RU"/>
        </w:rPr>
        <w:t>Рисунок 2 – Изменение процентной ставки ЦБ на период 2017-2021</w:t>
      </w:r>
      <w:r w:rsidR="00033E57">
        <w:rPr>
          <w:rFonts w:ascii="Times New Roman" w:eastAsia="Times New Roman" w:hAnsi="Times New Roman" w:cs="Times New Roman"/>
          <w:sz w:val="24"/>
          <w:szCs w:val="24"/>
          <w:lang w:eastAsia="ru-RU"/>
        </w:rPr>
        <w:t>гг.</w:t>
      </w:r>
      <w:r w:rsidR="000C1DAD" w:rsidRPr="000C1DAD">
        <w:rPr>
          <w:rFonts w:ascii="Times New Roman" w:eastAsia="Times New Roman" w:hAnsi="Times New Roman" w:cs="Times New Roman"/>
          <w:sz w:val="24"/>
          <w:szCs w:val="24"/>
          <w:lang w:eastAsia="ru-RU"/>
        </w:rPr>
        <w:t xml:space="preserve"> </w:t>
      </w:r>
      <w:r w:rsidR="000C1DAD" w:rsidRPr="00C91EDE">
        <w:rPr>
          <w:rFonts w:ascii="Times New Roman" w:eastAsia="Times New Roman" w:hAnsi="Times New Roman" w:cs="Times New Roman"/>
          <w:sz w:val="24"/>
          <w:szCs w:val="24"/>
          <w:lang w:eastAsia="ru-RU"/>
        </w:rPr>
        <w:t>[</w:t>
      </w:r>
      <w:r w:rsidR="000C1DAD">
        <w:rPr>
          <w:rFonts w:ascii="Times New Roman" w:eastAsia="Times New Roman" w:hAnsi="Times New Roman" w:cs="Times New Roman"/>
          <w:sz w:val="24"/>
          <w:szCs w:val="24"/>
          <w:lang w:eastAsia="ru-RU"/>
        </w:rPr>
        <w:t>5</w:t>
      </w:r>
      <w:r w:rsidR="000C1DAD" w:rsidRPr="00C91EDE">
        <w:rPr>
          <w:rFonts w:ascii="Times New Roman" w:eastAsia="Times New Roman" w:hAnsi="Times New Roman" w:cs="Times New Roman"/>
          <w:sz w:val="24"/>
          <w:szCs w:val="24"/>
          <w:lang w:eastAsia="ru-RU"/>
        </w:rPr>
        <w:t>]</w:t>
      </w:r>
    </w:p>
    <w:p w14:paraId="04A39E4A" w14:textId="77777777" w:rsidR="00033E57" w:rsidRDefault="00033E57" w:rsidP="00BB7887">
      <w:pPr>
        <w:suppressAutoHyphens/>
        <w:spacing w:after="0" w:line="240" w:lineRule="auto"/>
        <w:ind w:firstLine="709"/>
        <w:jc w:val="center"/>
        <w:rPr>
          <w:rFonts w:ascii="Times New Roman" w:eastAsia="Times New Roman" w:hAnsi="Times New Roman" w:cs="Times New Roman"/>
          <w:sz w:val="24"/>
          <w:szCs w:val="24"/>
          <w:lang w:eastAsia="ru-RU"/>
        </w:rPr>
      </w:pPr>
    </w:p>
    <w:p w14:paraId="21A3B691" w14:textId="42B778AB" w:rsidR="00BB7887" w:rsidRPr="00BB7887" w:rsidRDefault="00C91EDE" w:rsidP="00BB7887">
      <w:pPr>
        <w:suppressAutoHyphens/>
        <w:spacing w:after="0" w:line="240" w:lineRule="auto"/>
        <w:ind w:firstLine="709"/>
        <w:jc w:val="both"/>
        <w:rPr>
          <w:rFonts w:ascii="Times New Roman" w:eastAsia="Times New Roman" w:hAnsi="Times New Roman" w:cs="Times New Roman"/>
          <w:sz w:val="24"/>
          <w:szCs w:val="24"/>
          <w:lang w:eastAsia="ru-RU"/>
        </w:rPr>
      </w:pPr>
      <w:r w:rsidRPr="00C91EDE">
        <w:rPr>
          <w:rFonts w:ascii="Times New Roman" w:eastAsia="Times New Roman" w:hAnsi="Times New Roman" w:cs="Times New Roman"/>
          <w:sz w:val="24"/>
          <w:szCs w:val="24"/>
          <w:lang w:eastAsia="ru-RU"/>
        </w:rPr>
        <w:lastRenderedPageBreak/>
        <w:t xml:space="preserve">Снижение процентных ставок стимулирует предпринимательскую деятельность, инвестиционный процесс и тем самым экономический рост. Изменение ставки рефинансирования является важным инструментом воздействия на денежную базу: в отличие от межбанковского кредита, ссуды ЦБ, попадая на счета коммерческих банков в ЦБ, увеличивают денежную базу, а следовательно, и предложение денег.  </w:t>
      </w:r>
      <w:r w:rsidR="00BB7887" w:rsidRPr="00BB7887">
        <w:rPr>
          <w:rFonts w:ascii="Times New Roman" w:eastAsia="Times New Roman" w:hAnsi="Times New Roman" w:cs="Times New Roman"/>
          <w:sz w:val="24"/>
          <w:szCs w:val="24"/>
          <w:lang w:eastAsia="ru-RU"/>
        </w:rPr>
        <w:t>Следует заметить, однако, что объем кредитов, получаемых коммерческими банками у ЦБ, составляет обычно лишь незначительную долю привлекаемых ими средств.</w:t>
      </w:r>
      <w:r w:rsidRPr="005423D9">
        <w:rPr>
          <w:rFonts w:ascii="Times New Roman" w:eastAsia="Times New Roman" w:hAnsi="Times New Roman" w:cs="Times New Roman"/>
          <w:sz w:val="24"/>
          <w:szCs w:val="24"/>
          <w:lang w:eastAsia="ru-RU"/>
        </w:rPr>
        <w:t xml:space="preserve"> </w:t>
      </w:r>
      <w:r w:rsidRPr="00C91EDE">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r w:rsidRPr="00C91EDE">
        <w:rPr>
          <w:rFonts w:ascii="Times New Roman" w:eastAsia="Times New Roman" w:hAnsi="Times New Roman" w:cs="Times New Roman"/>
          <w:sz w:val="24"/>
          <w:szCs w:val="24"/>
          <w:lang w:eastAsia="ru-RU"/>
        </w:rPr>
        <w:t xml:space="preserve">, c. </w:t>
      </w:r>
      <w:r w:rsidR="000C1DAD">
        <w:rPr>
          <w:rFonts w:ascii="Times New Roman" w:eastAsia="Times New Roman" w:hAnsi="Times New Roman" w:cs="Times New Roman"/>
          <w:sz w:val="24"/>
          <w:szCs w:val="24"/>
          <w:lang w:eastAsia="ru-RU"/>
        </w:rPr>
        <w:t>28</w:t>
      </w:r>
      <w:r w:rsidRPr="00C91EDE">
        <w:rPr>
          <w:rFonts w:ascii="Times New Roman" w:eastAsia="Times New Roman" w:hAnsi="Times New Roman" w:cs="Times New Roman"/>
          <w:sz w:val="24"/>
          <w:szCs w:val="24"/>
          <w:lang w:eastAsia="ru-RU"/>
        </w:rPr>
        <w:t>]</w:t>
      </w:r>
    </w:p>
    <w:p w14:paraId="5E5B6FA4" w14:textId="05FB1BD3" w:rsidR="001746FE" w:rsidRDefault="00BB7887" w:rsidP="001746FE">
      <w:pPr>
        <w:suppressAutoHyphens/>
        <w:spacing w:after="0" w:line="240" w:lineRule="auto"/>
        <w:ind w:firstLine="709"/>
        <w:jc w:val="both"/>
        <w:rPr>
          <w:rFonts w:ascii="Times New Roman" w:eastAsia="Times New Roman" w:hAnsi="Times New Roman" w:cs="Times New Roman"/>
          <w:sz w:val="24"/>
          <w:szCs w:val="24"/>
          <w:lang w:eastAsia="ru-RU"/>
        </w:rPr>
      </w:pPr>
      <w:r w:rsidRPr="00BB7887">
        <w:rPr>
          <w:rFonts w:ascii="Times New Roman" w:eastAsia="Times New Roman" w:hAnsi="Times New Roman" w:cs="Times New Roman"/>
          <w:sz w:val="24"/>
          <w:szCs w:val="24"/>
          <w:lang w:eastAsia="ru-RU"/>
        </w:rPr>
        <w:t>Согласно публичным данным сайта «Банк России»</w:t>
      </w:r>
      <w:r w:rsidR="000C1DAD" w:rsidRPr="000C1DAD">
        <w:t xml:space="preserve"> </w:t>
      </w:r>
      <w:r w:rsidR="000C1DAD" w:rsidRPr="000C1DAD">
        <w:rPr>
          <w:rFonts w:ascii="Times New Roman" w:eastAsia="Times New Roman" w:hAnsi="Times New Roman" w:cs="Times New Roman"/>
          <w:sz w:val="24"/>
          <w:szCs w:val="24"/>
          <w:lang w:eastAsia="ru-RU"/>
        </w:rPr>
        <w:t>[</w:t>
      </w:r>
      <w:r w:rsidR="000C1DAD">
        <w:rPr>
          <w:rFonts w:ascii="Times New Roman" w:eastAsia="Times New Roman" w:hAnsi="Times New Roman" w:cs="Times New Roman"/>
          <w:sz w:val="24"/>
          <w:szCs w:val="24"/>
          <w:lang w:eastAsia="ru-RU"/>
        </w:rPr>
        <w:t>5</w:t>
      </w:r>
      <w:r w:rsidR="000C1DAD" w:rsidRPr="000C1DAD">
        <w:rPr>
          <w:rFonts w:ascii="Times New Roman" w:eastAsia="Times New Roman" w:hAnsi="Times New Roman" w:cs="Times New Roman"/>
          <w:sz w:val="24"/>
          <w:szCs w:val="24"/>
          <w:lang w:eastAsia="ru-RU"/>
        </w:rPr>
        <w:t>]</w:t>
      </w:r>
      <w:r w:rsidRPr="00BB7887">
        <w:rPr>
          <w:rFonts w:ascii="Times New Roman" w:eastAsia="Times New Roman" w:hAnsi="Times New Roman" w:cs="Times New Roman"/>
          <w:sz w:val="24"/>
          <w:szCs w:val="24"/>
          <w:lang w:eastAsia="ru-RU"/>
        </w:rPr>
        <w:t>,</w:t>
      </w:r>
      <w:r w:rsidR="008109CF">
        <w:rPr>
          <w:rFonts w:ascii="Times New Roman" w:eastAsia="Times New Roman" w:hAnsi="Times New Roman" w:cs="Times New Roman"/>
          <w:sz w:val="24"/>
          <w:szCs w:val="24"/>
          <w:lang w:eastAsia="ru-RU"/>
        </w:rPr>
        <w:t xml:space="preserve"> исходя их которых была создана диаграмма, </w:t>
      </w:r>
      <w:r w:rsidRPr="00BB7887">
        <w:rPr>
          <w:rFonts w:ascii="Times New Roman" w:eastAsia="Times New Roman" w:hAnsi="Times New Roman" w:cs="Times New Roman"/>
          <w:sz w:val="24"/>
          <w:szCs w:val="24"/>
          <w:lang w:eastAsia="ru-RU"/>
        </w:rPr>
        <w:t>цикл ключев</w:t>
      </w:r>
      <w:r w:rsidR="008109CF">
        <w:rPr>
          <w:rFonts w:ascii="Times New Roman" w:eastAsia="Times New Roman" w:hAnsi="Times New Roman" w:cs="Times New Roman"/>
          <w:sz w:val="24"/>
          <w:szCs w:val="24"/>
          <w:lang w:eastAsia="ru-RU"/>
        </w:rPr>
        <w:t>ой</w:t>
      </w:r>
      <w:r w:rsidRPr="00BB7887">
        <w:rPr>
          <w:rFonts w:ascii="Times New Roman" w:eastAsia="Times New Roman" w:hAnsi="Times New Roman" w:cs="Times New Roman"/>
          <w:sz w:val="24"/>
          <w:szCs w:val="24"/>
          <w:lang w:eastAsia="ru-RU"/>
        </w:rPr>
        <w:t xml:space="preserve"> ставки ЦБ за последние пять лет на период с января 2017г. по январь 2021г. имеет характер «спада». Ставка была на </w:t>
      </w:r>
      <w:r w:rsidR="008109CF">
        <w:rPr>
          <w:rFonts w:ascii="Times New Roman" w:eastAsia="Times New Roman" w:hAnsi="Times New Roman" w:cs="Times New Roman"/>
          <w:sz w:val="24"/>
          <w:szCs w:val="24"/>
          <w:lang w:eastAsia="ru-RU"/>
        </w:rPr>
        <w:t>«</w:t>
      </w:r>
      <w:r w:rsidRPr="00BB7887">
        <w:rPr>
          <w:rFonts w:ascii="Times New Roman" w:eastAsia="Times New Roman" w:hAnsi="Times New Roman" w:cs="Times New Roman"/>
          <w:sz w:val="24"/>
          <w:szCs w:val="24"/>
          <w:lang w:eastAsia="ru-RU"/>
        </w:rPr>
        <w:t>пике</w:t>
      </w:r>
      <w:r w:rsidR="008109CF">
        <w:rPr>
          <w:rFonts w:ascii="Times New Roman" w:eastAsia="Times New Roman" w:hAnsi="Times New Roman" w:cs="Times New Roman"/>
          <w:sz w:val="24"/>
          <w:szCs w:val="24"/>
          <w:lang w:eastAsia="ru-RU"/>
        </w:rPr>
        <w:t>»</w:t>
      </w:r>
      <w:r w:rsidRPr="00BB7887">
        <w:rPr>
          <w:rFonts w:ascii="Times New Roman" w:eastAsia="Times New Roman" w:hAnsi="Times New Roman" w:cs="Times New Roman"/>
          <w:sz w:val="24"/>
          <w:szCs w:val="24"/>
          <w:lang w:eastAsia="ru-RU"/>
        </w:rPr>
        <w:t xml:space="preserve"> в 2015 году и составляла целых 17%, с того времени ЦБ </w:t>
      </w:r>
      <w:r>
        <w:rPr>
          <w:rFonts w:ascii="Times New Roman" w:eastAsia="Times New Roman" w:hAnsi="Times New Roman" w:cs="Times New Roman"/>
          <w:sz w:val="24"/>
          <w:szCs w:val="24"/>
          <w:lang w:eastAsia="ru-RU"/>
        </w:rPr>
        <w:t xml:space="preserve">держит ключевую ставку в фиксированном отношении, не превышающем 10%. С возрастанием ключевой ставки растет риск банкротства банка и минимизации инвестирования, </w:t>
      </w:r>
      <w:r w:rsidR="008109CF">
        <w:rPr>
          <w:rFonts w:ascii="Times New Roman" w:eastAsia="Times New Roman" w:hAnsi="Times New Roman" w:cs="Times New Roman"/>
          <w:sz w:val="24"/>
          <w:szCs w:val="24"/>
          <w:lang w:eastAsia="ru-RU"/>
        </w:rPr>
        <w:t>поэтому,</w:t>
      </w:r>
      <w:r>
        <w:rPr>
          <w:rFonts w:ascii="Times New Roman" w:eastAsia="Times New Roman" w:hAnsi="Times New Roman" w:cs="Times New Roman"/>
          <w:sz w:val="24"/>
          <w:szCs w:val="24"/>
          <w:lang w:eastAsia="ru-RU"/>
        </w:rPr>
        <w:t xml:space="preserve"> когда ключевая ставка относительно находится в своем стабильном состоянии это хорошо сказывается</w:t>
      </w:r>
      <w:r w:rsidR="008109CF">
        <w:rPr>
          <w:rFonts w:ascii="Times New Roman" w:eastAsia="Times New Roman" w:hAnsi="Times New Roman" w:cs="Times New Roman"/>
          <w:sz w:val="24"/>
          <w:szCs w:val="24"/>
          <w:lang w:eastAsia="ru-RU"/>
        </w:rPr>
        <w:t>, как</w:t>
      </w:r>
      <w:r>
        <w:rPr>
          <w:rFonts w:ascii="Times New Roman" w:eastAsia="Times New Roman" w:hAnsi="Times New Roman" w:cs="Times New Roman"/>
          <w:sz w:val="24"/>
          <w:szCs w:val="24"/>
          <w:lang w:eastAsia="ru-RU"/>
        </w:rPr>
        <w:t xml:space="preserve"> на роли ЦБ в экономике</w:t>
      </w:r>
      <w:r w:rsidR="008109CF">
        <w:rPr>
          <w:rFonts w:ascii="Times New Roman" w:eastAsia="Times New Roman" w:hAnsi="Times New Roman" w:cs="Times New Roman"/>
          <w:sz w:val="24"/>
          <w:szCs w:val="24"/>
          <w:lang w:eastAsia="ru-RU"/>
        </w:rPr>
        <w:t>, так</w:t>
      </w:r>
      <w:r>
        <w:rPr>
          <w:rFonts w:ascii="Times New Roman" w:eastAsia="Times New Roman" w:hAnsi="Times New Roman" w:cs="Times New Roman"/>
          <w:sz w:val="24"/>
          <w:szCs w:val="24"/>
          <w:lang w:eastAsia="ru-RU"/>
        </w:rPr>
        <w:t xml:space="preserve"> и соответственно в обеспечении надежного, независимого и развивающегося уровня </w:t>
      </w:r>
      <w:r w:rsidR="008109CF">
        <w:rPr>
          <w:rFonts w:ascii="Times New Roman" w:eastAsia="Times New Roman" w:hAnsi="Times New Roman" w:cs="Times New Roman"/>
          <w:sz w:val="24"/>
          <w:szCs w:val="24"/>
          <w:lang w:eastAsia="ru-RU"/>
        </w:rPr>
        <w:t xml:space="preserve">экономической системы государства, который поддерживает экономическая безопасность. </w:t>
      </w:r>
    </w:p>
    <w:p w14:paraId="5BBDB350" w14:textId="13FC365B" w:rsidR="008109CF" w:rsidRDefault="008109CF" w:rsidP="001746FE">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Для того, чтобы судить об эффективности финансовой безопасности необходимо держать в гармонии следующие показатели, обозначенные на рис. 3, которые должна выполнять денежно-кредитная политика с учетом вышеуказанных инструментов.</w:t>
      </w:r>
    </w:p>
    <w:p w14:paraId="4DBE00BF" w14:textId="77777777" w:rsidR="00033E57" w:rsidRDefault="00033E57" w:rsidP="001746FE">
      <w:pPr>
        <w:suppressAutoHyphens/>
        <w:spacing w:after="0" w:line="240" w:lineRule="auto"/>
        <w:ind w:firstLine="709"/>
        <w:jc w:val="both"/>
        <w:rPr>
          <w:rFonts w:ascii="Times New Roman" w:eastAsia="Times New Roman" w:hAnsi="Times New Roman" w:cs="Times New Roman"/>
          <w:sz w:val="24"/>
          <w:szCs w:val="24"/>
          <w:lang w:eastAsia="ru-RU"/>
        </w:rPr>
      </w:pPr>
    </w:p>
    <w:p w14:paraId="4444B958" w14:textId="085A715C" w:rsidR="00A31106" w:rsidRDefault="00EF5912" w:rsidP="00340080">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10BB85EE" wp14:editId="4FABDAD0">
            <wp:extent cx="5737860" cy="1760220"/>
            <wp:effectExtent l="0" t="38100" r="0" b="4953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822A8F3" w14:textId="0D2F885D" w:rsidR="009E2E10" w:rsidRDefault="00EF5912" w:rsidP="00033E57">
      <w:pPr>
        <w:suppressAutoHyphens/>
        <w:spacing w:after="0" w:line="24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Рисунок </w:t>
      </w:r>
      <w:r w:rsidR="00BB7887">
        <w:rPr>
          <w:rFonts w:ascii="Times New Roman" w:eastAsia="Times New Roman" w:hAnsi="Times New Roman" w:cs="Times New Roman"/>
          <w:sz w:val="24"/>
          <w:szCs w:val="24"/>
          <w:lang w:eastAsia="ru-RU"/>
        </w:rPr>
        <w:t>3</w:t>
      </w:r>
      <w:r>
        <w:rPr>
          <w:rFonts w:ascii="Times New Roman" w:eastAsia="Times New Roman" w:hAnsi="Times New Roman" w:cs="Times New Roman"/>
          <w:sz w:val="24"/>
          <w:szCs w:val="24"/>
          <w:lang w:eastAsia="ru-RU"/>
        </w:rPr>
        <w:t xml:space="preserve"> – Показатели эффективности </w:t>
      </w:r>
      <w:r w:rsidR="001746FE">
        <w:rPr>
          <w:rFonts w:ascii="Times New Roman" w:eastAsia="Times New Roman" w:hAnsi="Times New Roman" w:cs="Times New Roman"/>
          <w:sz w:val="24"/>
          <w:szCs w:val="24"/>
          <w:lang w:eastAsia="ru-RU"/>
        </w:rPr>
        <w:t>к</w:t>
      </w:r>
      <w:r>
        <w:rPr>
          <w:rFonts w:ascii="Times New Roman" w:eastAsia="Times New Roman" w:hAnsi="Times New Roman" w:cs="Times New Roman"/>
          <w:sz w:val="24"/>
          <w:szCs w:val="24"/>
          <w:lang w:eastAsia="ru-RU"/>
        </w:rPr>
        <w:t>редитно-денежной политики в отношении экономической безопасности</w:t>
      </w:r>
      <w:r w:rsidR="00856B9D">
        <w:rPr>
          <w:rFonts w:ascii="Times New Roman" w:eastAsia="Times New Roman" w:hAnsi="Times New Roman" w:cs="Times New Roman"/>
          <w:sz w:val="24"/>
          <w:szCs w:val="24"/>
          <w:lang w:eastAsia="ru-RU"/>
        </w:rPr>
        <w:t xml:space="preserve"> </w:t>
      </w:r>
      <w:r w:rsidR="00856B9D" w:rsidRPr="00856B9D">
        <w:rPr>
          <w:rFonts w:ascii="Times New Roman" w:eastAsia="Times New Roman" w:hAnsi="Times New Roman" w:cs="Times New Roman"/>
          <w:sz w:val="24"/>
          <w:szCs w:val="24"/>
          <w:lang w:eastAsia="ru-RU"/>
        </w:rPr>
        <w:t>государства</w:t>
      </w:r>
    </w:p>
    <w:p w14:paraId="4AF8E22A" w14:textId="77777777" w:rsidR="00033E57" w:rsidRDefault="00033E57" w:rsidP="00033E57">
      <w:pPr>
        <w:suppressAutoHyphens/>
        <w:spacing w:after="0" w:line="240" w:lineRule="auto"/>
        <w:ind w:firstLine="709"/>
        <w:jc w:val="center"/>
        <w:rPr>
          <w:rFonts w:ascii="Times New Roman" w:eastAsia="Times New Roman" w:hAnsi="Times New Roman" w:cs="Times New Roman"/>
          <w:sz w:val="24"/>
          <w:szCs w:val="24"/>
          <w:lang w:eastAsia="ru-RU"/>
        </w:rPr>
      </w:pPr>
    </w:p>
    <w:p w14:paraId="4620C71A" w14:textId="77777777" w:rsidR="00033E57" w:rsidRDefault="00033E57" w:rsidP="00033E57">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заключении исследования, можно сделать вывод о том, что были рассмотрены и определены важнейшие инструменты Денежно-кредитной политики, которые способны благоприятно влиять на экономическую безопасность государства, которая характеризует стабильное экономическое состояние всех рыночных механизмов. </w:t>
      </w:r>
    </w:p>
    <w:p w14:paraId="2E1D7C24" w14:textId="21B75580" w:rsidR="00077C63" w:rsidRPr="00033E57" w:rsidRDefault="00033E57" w:rsidP="00033E57">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Из всех инструментов наиболее рисковым является изменение нормы обязательных резервов, такой метод воздействие давно потерял спрос в мировом экономическом сообществе, так как может неоднозначно отразиться на уровне финансовой безопасности государства. </w:t>
      </w:r>
    </w:p>
    <w:p w14:paraId="6EC023EA" w14:textId="77777777" w:rsidR="00033E57" w:rsidRDefault="00033E57" w:rsidP="008961DF">
      <w:pPr>
        <w:suppressAutoHyphens/>
        <w:spacing w:after="0" w:line="240" w:lineRule="auto"/>
        <w:ind w:firstLine="567"/>
        <w:jc w:val="center"/>
        <w:rPr>
          <w:rFonts w:ascii="Times New Roman" w:eastAsia="Times New Roman" w:hAnsi="Times New Roman" w:cs="Times New Roman"/>
          <w:b/>
          <w:sz w:val="24"/>
          <w:szCs w:val="24"/>
          <w:lang w:eastAsia="ru-RU"/>
        </w:rPr>
      </w:pPr>
    </w:p>
    <w:p w14:paraId="0CA21089" w14:textId="1157C228" w:rsidR="00077C63" w:rsidRPr="000C0FBC" w:rsidRDefault="00077C63" w:rsidP="008961DF">
      <w:pPr>
        <w:suppressAutoHyphens/>
        <w:spacing w:after="0" w:line="24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русском языке</w:t>
      </w:r>
    </w:p>
    <w:p w14:paraId="69745977" w14:textId="39AFEE19" w:rsidR="00077C63" w:rsidRDefault="00077C63" w:rsidP="00316E35">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C91EDE">
        <w:rPr>
          <w:rFonts w:ascii="Times New Roman" w:eastAsia="Times New Roman" w:hAnsi="Times New Roman" w:cs="Times New Roman"/>
          <w:sz w:val="24"/>
          <w:szCs w:val="24"/>
          <w:lang w:eastAsia="ru-RU"/>
        </w:rPr>
        <w:t xml:space="preserve"> </w:t>
      </w:r>
      <w:r w:rsidR="00C91EDE" w:rsidRPr="00C91EDE">
        <w:rPr>
          <w:rFonts w:ascii="Times New Roman" w:eastAsia="Times New Roman" w:hAnsi="Times New Roman" w:cs="Times New Roman"/>
          <w:sz w:val="24"/>
          <w:szCs w:val="24"/>
          <w:lang w:eastAsia="ru-RU"/>
        </w:rPr>
        <w:t>Горюнов Е.Л., Дробышевский С.М., Трунин П.В. Денежно – кредитная политика Банка России: стратегия и тактика / Вопросы экономики. 2018. № 4. С. 53-85.</w:t>
      </w:r>
    </w:p>
    <w:p w14:paraId="2D4E11B2" w14:textId="32380095" w:rsidR="00C91EDE" w:rsidRDefault="00C91EDE" w:rsidP="00316E35">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Pr="00C91EDE">
        <w:rPr>
          <w:rFonts w:ascii="Times New Roman" w:eastAsia="Times New Roman" w:hAnsi="Times New Roman" w:cs="Times New Roman"/>
          <w:sz w:val="24"/>
          <w:szCs w:val="24"/>
          <w:lang w:eastAsia="ru-RU"/>
        </w:rPr>
        <w:t>Лисицын А.Ю. Финансово-правовые основы денежно-кредитной и валютной политики Европейского Союза: Автореф. Дис</w:t>
      </w:r>
      <w:r>
        <w:rPr>
          <w:rFonts w:ascii="Times New Roman" w:eastAsia="Times New Roman" w:hAnsi="Times New Roman" w:cs="Times New Roman"/>
          <w:sz w:val="24"/>
          <w:szCs w:val="24"/>
          <w:lang w:eastAsia="ru-RU"/>
        </w:rPr>
        <w:t>.</w:t>
      </w:r>
      <w:r w:rsidRPr="00C91EDE">
        <w:rPr>
          <w:rFonts w:ascii="Times New Roman" w:eastAsia="Times New Roman" w:hAnsi="Times New Roman" w:cs="Times New Roman"/>
          <w:sz w:val="24"/>
          <w:szCs w:val="24"/>
          <w:lang w:eastAsia="ru-RU"/>
        </w:rPr>
        <w:t xml:space="preserve"> канд. юрид. наук. -М., 2020. -С. 11.</w:t>
      </w:r>
    </w:p>
    <w:p w14:paraId="2031CAB1" w14:textId="00373E46" w:rsidR="00077C63" w:rsidRPr="000C1DAD" w:rsidRDefault="00C91EDE" w:rsidP="00316E35">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077C63">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C91EDE">
        <w:rPr>
          <w:rFonts w:ascii="Times New Roman" w:eastAsia="Times New Roman" w:hAnsi="Times New Roman" w:cs="Times New Roman"/>
          <w:sz w:val="24"/>
          <w:szCs w:val="24"/>
          <w:lang w:eastAsia="ru-RU"/>
        </w:rPr>
        <w:t>Солнцев О. Г., Сухарева И. О. К вопросу о целях и инструментах денежно-кредитной политики. М.: ЦМАКП, 2019.</w:t>
      </w:r>
      <w:r w:rsidR="000C1DAD">
        <w:rPr>
          <w:rFonts w:ascii="Times New Roman" w:eastAsia="Times New Roman" w:hAnsi="Times New Roman" w:cs="Times New Roman"/>
          <w:sz w:val="24"/>
          <w:szCs w:val="24"/>
          <w:lang w:eastAsia="ru-RU"/>
        </w:rPr>
        <w:t xml:space="preserve"> -</w:t>
      </w:r>
      <w:r w:rsidR="000C1DAD">
        <w:rPr>
          <w:rFonts w:ascii="Times New Roman" w:eastAsia="Times New Roman" w:hAnsi="Times New Roman" w:cs="Times New Roman"/>
          <w:sz w:val="24"/>
          <w:szCs w:val="24"/>
          <w:lang w:val="en-US" w:eastAsia="ru-RU"/>
        </w:rPr>
        <w:t>C</w:t>
      </w:r>
      <w:r w:rsidR="000C1DAD">
        <w:rPr>
          <w:rFonts w:ascii="Times New Roman" w:eastAsia="Times New Roman" w:hAnsi="Times New Roman" w:cs="Times New Roman"/>
          <w:sz w:val="24"/>
          <w:szCs w:val="24"/>
          <w:lang w:eastAsia="ru-RU"/>
        </w:rPr>
        <w:t>.</w:t>
      </w:r>
      <w:r w:rsidR="000C1DAD">
        <w:rPr>
          <w:rFonts w:ascii="Times New Roman" w:eastAsia="Times New Roman" w:hAnsi="Times New Roman" w:cs="Times New Roman"/>
          <w:sz w:val="24"/>
          <w:szCs w:val="24"/>
          <w:lang w:val="en-US" w:eastAsia="ru-RU"/>
        </w:rPr>
        <w:t xml:space="preserve"> 65</w:t>
      </w:r>
    </w:p>
    <w:p w14:paraId="3139A285" w14:textId="5BE36185" w:rsidR="00077C63" w:rsidRDefault="00077C63" w:rsidP="00316E35">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4.</w:t>
      </w:r>
      <w:r w:rsidR="00C91EDE">
        <w:rPr>
          <w:rFonts w:ascii="Times New Roman" w:eastAsia="Times New Roman" w:hAnsi="Times New Roman" w:cs="Times New Roman"/>
          <w:sz w:val="24"/>
          <w:szCs w:val="24"/>
          <w:lang w:eastAsia="ru-RU"/>
        </w:rPr>
        <w:t xml:space="preserve"> </w:t>
      </w:r>
      <w:r w:rsidR="00C91EDE" w:rsidRPr="00C91EDE">
        <w:rPr>
          <w:rFonts w:ascii="Times New Roman" w:eastAsia="Times New Roman" w:hAnsi="Times New Roman" w:cs="Times New Roman"/>
          <w:sz w:val="24"/>
          <w:szCs w:val="24"/>
          <w:lang w:eastAsia="ru-RU"/>
        </w:rPr>
        <w:t>Юдина, И.Н. Денежно – кредитная политика на современном этапе: вызовы и ограничения / в сборнике: Двадцать первые апрельские экономические чтения материалы Международной научно-практической конференции. Омский филиал Финансового университета при Правительстве РФ; под редакцией В.В. Карпова, А.И. Ковалева. 2019. С. 94-98.</w:t>
      </w:r>
    </w:p>
    <w:p w14:paraId="6B1A407C" w14:textId="16B267E1" w:rsidR="00C91EDE" w:rsidRPr="00C91EDE" w:rsidRDefault="00077C63" w:rsidP="00316E35">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C91EDE">
        <w:rPr>
          <w:rFonts w:ascii="Times New Roman" w:eastAsia="Times New Roman" w:hAnsi="Times New Roman" w:cs="Times New Roman"/>
          <w:sz w:val="24"/>
          <w:szCs w:val="24"/>
          <w:lang w:eastAsia="ru-RU"/>
        </w:rPr>
        <w:t xml:space="preserve"> Сайт Центрального Банка России </w:t>
      </w:r>
      <w:r w:rsidR="00C91EDE" w:rsidRPr="00C91EDE">
        <w:rPr>
          <w:rFonts w:ascii="Times New Roman" w:eastAsia="Times New Roman" w:hAnsi="Times New Roman" w:cs="Times New Roman"/>
          <w:sz w:val="24"/>
          <w:szCs w:val="24"/>
          <w:lang w:eastAsia="ru-RU"/>
        </w:rPr>
        <w:t>[</w:t>
      </w:r>
      <w:r w:rsidR="00C91EDE">
        <w:rPr>
          <w:rFonts w:ascii="Times New Roman" w:eastAsia="Times New Roman" w:hAnsi="Times New Roman" w:cs="Times New Roman"/>
          <w:sz w:val="24"/>
          <w:szCs w:val="24"/>
          <w:lang w:eastAsia="ru-RU"/>
        </w:rPr>
        <w:t>Электронный доступ</w:t>
      </w:r>
      <w:r w:rsidR="00C91EDE" w:rsidRPr="00C91EDE">
        <w:rPr>
          <w:rFonts w:ascii="Times New Roman" w:eastAsia="Times New Roman" w:hAnsi="Times New Roman" w:cs="Times New Roman"/>
          <w:sz w:val="24"/>
          <w:szCs w:val="24"/>
          <w:lang w:eastAsia="ru-RU"/>
        </w:rPr>
        <w:t>]</w:t>
      </w:r>
      <w:r w:rsidR="00C91EDE">
        <w:rPr>
          <w:rFonts w:ascii="Times New Roman" w:eastAsia="Times New Roman" w:hAnsi="Times New Roman" w:cs="Times New Roman"/>
          <w:sz w:val="24"/>
          <w:szCs w:val="24"/>
          <w:lang w:eastAsia="ru-RU"/>
        </w:rPr>
        <w:t xml:space="preserve"> </w:t>
      </w:r>
      <w:r w:rsidR="00C91EDE" w:rsidRPr="00C91EDE">
        <w:rPr>
          <w:rFonts w:ascii="Times New Roman" w:eastAsia="Times New Roman" w:hAnsi="Times New Roman" w:cs="Times New Roman"/>
          <w:sz w:val="24"/>
          <w:szCs w:val="24"/>
          <w:lang w:eastAsia="ru-RU"/>
        </w:rPr>
        <w:t>https://www.cbr.ru/hd_base/KeyRate/</w:t>
      </w:r>
    </w:p>
    <w:p w14:paraId="2FD9F0BD" w14:textId="327E4436" w:rsidR="00077C63" w:rsidRPr="000C0FBC" w:rsidRDefault="00077C63" w:rsidP="00077C63">
      <w:pPr>
        <w:suppressAutoHyphens/>
        <w:spacing w:after="0" w:line="240" w:lineRule="auto"/>
        <w:jc w:val="both"/>
        <w:rPr>
          <w:rFonts w:ascii="Times New Roman" w:eastAsia="Times New Roman" w:hAnsi="Times New Roman" w:cs="Times New Roman"/>
          <w:sz w:val="24"/>
          <w:szCs w:val="24"/>
          <w:lang w:eastAsia="ru-RU"/>
        </w:rPr>
      </w:pPr>
    </w:p>
    <w:p w14:paraId="56F5445F" w14:textId="77777777" w:rsidR="00077C63" w:rsidRPr="000C0FBC" w:rsidRDefault="00077C63" w:rsidP="00077C63">
      <w:pPr>
        <w:suppressAutoHyphens/>
        <w:spacing w:after="0" w:line="240" w:lineRule="auto"/>
        <w:ind w:firstLine="567"/>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авторах на русском языке</w:t>
      </w:r>
    </w:p>
    <w:p w14:paraId="1A4CD5D1" w14:textId="77777777" w:rsidR="00077C63" w:rsidRDefault="00077C63" w:rsidP="00077C63">
      <w:pPr>
        <w:suppressAutoHyphen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Немцова Елена Сергеевна </w:t>
      </w:r>
      <w:bookmarkStart w:id="5" w:name="_Hlk72149141"/>
      <w:r>
        <w:rPr>
          <w:rFonts w:ascii="Times New Roman" w:eastAsia="Calibri" w:hAnsi="Times New Roman" w:cs="Times New Roman"/>
          <w:sz w:val="24"/>
          <w:szCs w:val="24"/>
        </w:rPr>
        <w:t>(Россия, г. Ставрополь)</w:t>
      </w:r>
      <w:r w:rsidRPr="000C0FBC">
        <w:rPr>
          <w:rFonts w:ascii="Times New Roman" w:eastAsia="Calibri" w:hAnsi="Times New Roman" w:cs="Times New Roman"/>
          <w:sz w:val="24"/>
          <w:szCs w:val="24"/>
        </w:rPr>
        <w:t xml:space="preserve"> </w:t>
      </w:r>
      <w:bookmarkStart w:id="6" w:name="_Hlk72149156"/>
      <w:bookmarkEnd w:id="5"/>
      <w:r w:rsidRPr="000C0FBC">
        <w:rPr>
          <w:rFonts w:ascii="Times New Roman" w:eastAsia="Calibri" w:hAnsi="Times New Roman" w:cs="Times New Roman"/>
          <w:sz w:val="24"/>
          <w:szCs w:val="24"/>
        </w:rPr>
        <w:t>–</w:t>
      </w:r>
      <w:bookmarkEnd w:id="6"/>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доцент, к.э.н., преподаватель кафедры Экономической безопасности и аудита Института экономики и управления </w:t>
      </w:r>
      <w:bookmarkStart w:id="7" w:name="_Hlk72149454"/>
      <w:r>
        <w:rPr>
          <w:rFonts w:ascii="Times New Roman" w:eastAsia="Calibri" w:hAnsi="Times New Roman" w:cs="Times New Roman"/>
          <w:sz w:val="24"/>
          <w:szCs w:val="24"/>
        </w:rPr>
        <w:t>«Северо-Кавказского федерального университета»</w:t>
      </w:r>
      <w:r w:rsidRPr="000C0FBC">
        <w:rPr>
          <w:rFonts w:ascii="Times New Roman" w:eastAsia="Calibri" w:hAnsi="Times New Roman" w:cs="Times New Roman"/>
          <w:sz w:val="24"/>
          <w:szCs w:val="24"/>
        </w:rPr>
        <w:t xml:space="preserve"> (</w:t>
      </w:r>
      <w:r w:rsidRPr="004D02DD">
        <w:rPr>
          <w:rFonts w:ascii="Times New Roman" w:eastAsia="Calibri" w:hAnsi="Times New Roman" w:cs="Times New Roman"/>
          <w:sz w:val="24"/>
          <w:szCs w:val="24"/>
        </w:rPr>
        <w:t>355017, г. Ставрополь, ул. Пушкина, 1, корпус 21, каб. 701</w:t>
      </w:r>
      <w:r>
        <w:rPr>
          <w:rFonts w:ascii="Times New Roman" w:eastAsia="Calibri" w:hAnsi="Times New Roman" w:cs="Times New Roman"/>
          <w:sz w:val="24"/>
          <w:szCs w:val="24"/>
        </w:rPr>
        <w:t xml:space="preserve">, </w:t>
      </w:r>
      <w:r w:rsidRPr="004D02DD">
        <w:rPr>
          <w:rFonts w:ascii="Times New Roman" w:eastAsia="Calibri" w:hAnsi="Times New Roman" w:cs="Times New Roman"/>
          <w:sz w:val="24"/>
          <w:szCs w:val="24"/>
          <w:lang w:val="en-US"/>
        </w:rPr>
        <w:t>nazaregor</w:t>
      </w:r>
      <w:r w:rsidRPr="004D02DD">
        <w:rPr>
          <w:rFonts w:ascii="Times New Roman" w:eastAsia="Calibri" w:hAnsi="Times New Roman" w:cs="Times New Roman"/>
          <w:sz w:val="24"/>
          <w:szCs w:val="24"/>
        </w:rPr>
        <w:t>@</w:t>
      </w:r>
      <w:r w:rsidRPr="004D02DD">
        <w:rPr>
          <w:rFonts w:ascii="Times New Roman" w:eastAsia="Calibri" w:hAnsi="Times New Roman" w:cs="Times New Roman"/>
          <w:sz w:val="24"/>
          <w:szCs w:val="24"/>
          <w:lang w:val="en-US"/>
        </w:rPr>
        <w:t>ya</w:t>
      </w:r>
      <w:r w:rsidRPr="004D02DD">
        <w:rPr>
          <w:rFonts w:ascii="Times New Roman" w:eastAsia="Calibri" w:hAnsi="Times New Roman" w:cs="Times New Roman"/>
          <w:sz w:val="24"/>
          <w:szCs w:val="24"/>
        </w:rPr>
        <w:t>.</w:t>
      </w:r>
      <w:r w:rsidRPr="004D02DD">
        <w:rPr>
          <w:rFonts w:ascii="Times New Roman" w:eastAsia="Calibri" w:hAnsi="Times New Roman" w:cs="Times New Roman"/>
          <w:sz w:val="24"/>
          <w:szCs w:val="24"/>
          <w:lang w:val="en-US"/>
        </w:rPr>
        <w:t>ru</w:t>
      </w:r>
      <w:r w:rsidRPr="000C0FBC">
        <w:rPr>
          <w:rFonts w:ascii="Times New Roman" w:eastAsia="Calibri" w:hAnsi="Times New Roman" w:cs="Times New Roman"/>
          <w:sz w:val="24"/>
          <w:szCs w:val="24"/>
        </w:rPr>
        <w:t>).</w:t>
      </w:r>
    </w:p>
    <w:bookmarkEnd w:id="7"/>
    <w:p w14:paraId="10B37C95" w14:textId="7DD5373C" w:rsidR="00077C63" w:rsidRDefault="00077C63" w:rsidP="00077C63">
      <w:pPr>
        <w:suppressAutoHyphen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Марченко Валерия Александровна (Россия, г. Ставрополь) </w:t>
      </w:r>
      <w:r w:rsidRPr="000C0FBC">
        <w:rPr>
          <w:rFonts w:ascii="Times New Roman" w:eastAsia="Calibri" w:hAnsi="Times New Roman" w:cs="Times New Roman"/>
          <w:sz w:val="24"/>
          <w:szCs w:val="24"/>
        </w:rPr>
        <w:t>–</w:t>
      </w:r>
      <w:r>
        <w:rPr>
          <w:rFonts w:ascii="Times New Roman" w:eastAsia="Calibri" w:hAnsi="Times New Roman" w:cs="Times New Roman"/>
          <w:sz w:val="24"/>
          <w:szCs w:val="24"/>
        </w:rPr>
        <w:t xml:space="preserve"> студентка 3 курса </w:t>
      </w:r>
      <w:r w:rsidR="00C91EDE">
        <w:rPr>
          <w:rFonts w:ascii="Times New Roman" w:eastAsia="Calibri" w:hAnsi="Times New Roman" w:cs="Times New Roman"/>
          <w:sz w:val="24"/>
          <w:szCs w:val="24"/>
        </w:rPr>
        <w:t xml:space="preserve">группы ЭКБ-с-о-18-2, </w:t>
      </w:r>
      <w:r>
        <w:rPr>
          <w:rFonts w:ascii="Times New Roman" w:eastAsia="Calibri" w:hAnsi="Times New Roman" w:cs="Times New Roman"/>
          <w:sz w:val="24"/>
          <w:szCs w:val="24"/>
        </w:rPr>
        <w:t>направления экономико-правовое обеспечение экономической безопасности Института экономики и управления «Северо-Кавказского федерального университета»</w:t>
      </w:r>
      <w:r w:rsidRPr="000C0FBC">
        <w:rPr>
          <w:rFonts w:ascii="Times New Roman" w:eastAsia="Calibri" w:hAnsi="Times New Roman" w:cs="Times New Roman"/>
          <w:sz w:val="24"/>
          <w:szCs w:val="24"/>
        </w:rPr>
        <w:t xml:space="preserve"> (</w:t>
      </w:r>
      <w:r w:rsidRPr="004D02DD">
        <w:rPr>
          <w:rFonts w:ascii="Times New Roman" w:eastAsia="Calibri" w:hAnsi="Times New Roman" w:cs="Times New Roman"/>
          <w:sz w:val="24"/>
          <w:szCs w:val="24"/>
        </w:rPr>
        <w:t>355017, г. Ставрополь, ул. Пушкина, 1, корпус 21</w:t>
      </w:r>
      <w:r>
        <w:rPr>
          <w:rFonts w:ascii="Times New Roman" w:eastAsia="Calibri" w:hAnsi="Times New Roman" w:cs="Times New Roman"/>
          <w:sz w:val="24"/>
          <w:szCs w:val="24"/>
        </w:rPr>
        <w:t xml:space="preserve">, </w:t>
      </w:r>
      <w:r w:rsidRPr="004D02DD">
        <w:rPr>
          <w:rFonts w:ascii="Times New Roman" w:eastAsia="Calibri" w:hAnsi="Times New Roman" w:cs="Times New Roman"/>
          <w:sz w:val="24"/>
          <w:szCs w:val="24"/>
        </w:rPr>
        <w:t>marchenko.valeria@bk.ru</w:t>
      </w:r>
      <w:r w:rsidRPr="000C0FBC">
        <w:rPr>
          <w:rFonts w:ascii="Times New Roman" w:eastAsia="Calibri" w:hAnsi="Times New Roman" w:cs="Times New Roman"/>
          <w:sz w:val="24"/>
          <w:szCs w:val="24"/>
        </w:rPr>
        <w:t>).</w:t>
      </w:r>
    </w:p>
    <w:p w14:paraId="50BF28CF" w14:textId="77B50788" w:rsidR="00077C63" w:rsidRPr="000C0FBC" w:rsidRDefault="00077C63" w:rsidP="00077C63">
      <w:pPr>
        <w:suppressAutoHyphens/>
        <w:spacing w:after="0" w:line="240" w:lineRule="auto"/>
        <w:jc w:val="both"/>
        <w:rPr>
          <w:rFonts w:ascii="Times New Roman" w:eastAsia="Times New Roman" w:hAnsi="Times New Roman" w:cs="Times New Roman"/>
          <w:sz w:val="24"/>
          <w:szCs w:val="24"/>
          <w:lang w:eastAsia="ru-RU"/>
        </w:rPr>
      </w:pPr>
    </w:p>
    <w:p w14:paraId="50955139" w14:textId="77777777" w:rsidR="00077C63" w:rsidRDefault="00077C63" w:rsidP="00077C63">
      <w:pPr>
        <w:suppressAutoHyphens/>
        <w:spacing w:after="0" w:line="240" w:lineRule="auto"/>
        <w:jc w:val="right"/>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Nemtsova E.S.</w:t>
      </w:r>
    </w:p>
    <w:p w14:paraId="508D6E61" w14:textId="4F13DF42" w:rsidR="00077C63" w:rsidRPr="00600606" w:rsidRDefault="00077C63" w:rsidP="00077C63">
      <w:pPr>
        <w:suppressAutoHyphens/>
        <w:spacing w:after="0" w:line="240" w:lineRule="auto"/>
        <w:jc w:val="right"/>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Marchenko V.A.</w:t>
      </w:r>
      <w:r w:rsidRPr="00600606">
        <w:rPr>
          <w:rFonts w:ascii="Times New Roman" w:eastAsia="Calibri" w:hAnsi="Times New Roman" w:cs="Times New Roman"/>
          <w:b/>
          <w:sz w:val="24"/>
          <w:szCs w:val="24"/>
          <w:lang w:val="en-US"/>
        </w:rPr>
        <w:t xml:space="preserve"> </w:t>
      </w:r>
    </w:p>
    <w:p w14:paraId="321FE83C" w14:textId="35E39280" w:rsidR="00077C63" w:rsidRDefault="00077C63" w:rsidP="00C91EDE">
      <w:pPr>
        <w:suppressAutoHyphens/>
        <w:spacing w:after="0" w:line="360" w:lineRule="auto"/>
        <w:jc w:val="center"/>
        <w:rPr>
          <w:rFonts w:ascii="Times New Roman" w:eastAsia="Calibri" w:hAnsi="Times New Roman" w:cs="Times New Roman"/>
          <w:b/>
          <w:sz w:val="24"/>
          <w:szCs w:val="24"/>
          <w:lang w:val="en-US"/>
        </w:rPr>
      </w:pPr>
      <w:r w:rsidRPr="00077C63">
        <w:rPr>
          <w:rFonts w:ascii="Times New Roman" w:eastAsia="Calibri" w:hAnsi="Times New Roman" w:cs="Times New Roman"/>
          <w:b/>
          <w:sz w:val="24"/>
          <w:szCs w:val="24"/>
          <w:lang w:val="en-US"/>
        </w:rPr>
        <w:t xml:space="preserve">IMPACT OF MONETARY POLICY INSTRUMENTS ON ECONOMIC SECURITY </w:t>
      </w:r>
    </w:p>
    <w:p w14:paraId="7677F9C2" w14:textId="77777777" w:rsidR="00C91EDE" w:rsidRPr="00600606" w:rsidRDefault="00C91EDE" w:rsidP="00C91EDE">
      <w:pPr>
        <w:suppressAutoHyphens/>
        <w:spacing w:after="0" w:line="360" w:lineRule="auto"/>
        <w:jc w:val="center"/>
        <w:rPr>
          <w:rFonts w:ascii="Times New Roman" w:eastAsia="Calibri" w:hAnsi="Times New Roman" w:cs="Times New Roman"/>
          <w:b/>
          <w:sz w:val="24"/>
          <w:szCs w:val="24"/>
          <w:lang w:val="en-US"/>
        </w:rPr>
      </w:pPr>
    </w:p>
    <w:p w14:paraId="280CE606" w14:textId="590815FA" w:rsidR="00077C63" w:rsidRPr="00600606" w:rsidRDefault="00077C63" w:rsidP="00077C63">
      <w:pPr>
        <w:suppressAutoHyphens/>
        <w:spacing w:after="0" w:line="240" w:lineRule="auto"/>
        <w:ind w:firstLine="709"/>
        <w:jc w:val="both"/>
        <w:rPr>
          <w:rFonts w:ascii="Times New Roman" w:eastAsia="Times New Roman" w:hAnsi="Times New Roman" w:cs="Times New Roman"/>
          <w:i/>
          <w:sz w:val="24"/>
          <w:szCs w:val="24"/>
          <w:lang w:val="en-US" w:eastAsia="ru-RU"/>
        </w:rPr>
      </w:pPr>
      <w:r w:rsidRPr="00600606">
        <w:rPr>
          <w:rFonts w:ascii="Times New Roman" w:eastAsia="Times New Roman" w:hAnsi="Times New Roman" w:cs="Times New Roman"/>
          <w:b/>
          <w:sz w:val="24"/>
          <w:szCs w:val="24"/>
          <w:lang w:eastAsia="ru-RU"/>
        </w:rPr>
        <w:t>Аннотация</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статьи</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на</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английском</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языке</w:t>
      </w:r>
      <w:r w:rsidRPr="00600606">
        <w:rPr>
          <w:rFonts w:ascii="Times New Roman" w:eastAsia="Times New Roman" w:hAnsi="Times New Roman" w:cs="Times New Roman"/>
          <w:sz w:val="24"/>
          <w:szCs w:val="24"/>
          <w:lang w:val="en-US" w:eastAsia="ru-RU"/>
        </w:rPr>
        <w:t xml:space="preserve"> </w:t>
      </w:r>
      <w:r w:rsidRPr="00077C63">
        <w:rPr>
          <w:rFonts w:ascii="Times New Roman" w:eastAsia="Times New Roman" w:hAnsi="Times New Roman" w:cs="Times New Roman"/>
          <w:i/>
          <w:iCs/>
          <w:sz w:val="24"/>
          <w:szCs w:val="24"/>
          <w:lang w:val="en-US" w:eastAsia="ru-RU"/>
        </w:rPr>
        <w:t>This paper examines the impact of monetary policy instruments on economic security. The main methods and tools of Monetary policy are presented, within the framework of which the state acts as the main subject that ensures economic security.</w:t>
      </w:r>
    </w:p>
    <w:p w14:paraId="0B7DC75D" w14:textId="34895740" w:rsidR="00077C63" w:rsidRDefault="00077C63" w:rsidP="00077C63">
      <w:pPr>
        <w:suppressAutoHyphens/>
        <w:spacing w:after="0" w:line="240" w:lineRule="auto"/>
        <w:ind w:firstLine="709"/>
        <w:jc w:val="both"/>
        <w:rPr>
          <w:rFonts w:ascii="Times New Roman" w:eastAsia="Times New Roman" w:hAnsi="Times New Roman" w:cs="Times New Roman"/>
          <w:i/>
          <w:sz w:val="24"/>
          <w:szCs w:val="24"/>
          <w:lang w:val="en-US" w:eastAsia="ru-RU"/>
        </w:rPr>
      </w:pPr>
      <w:r w:rsidRPr="00600606">
        <w:rPr>
          <w:rFonts w:ascii="Times New Roman" w:eastAsia="Times New Roman" w:hAnsi="Times New Roman" w:cs="Times New Roman"/>
          <w:b/>
          <w:sz w:val="24"/>
          <w:szCs w:val="24"/>
          <w:lang w:eastAsia="ru-RU"/>
        </w:rPr>
        <w:t>Ключевые</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слова</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на</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английском</w:t>
      </w:r>
      <w:r w:rsidRPr="00600606">
        <w:rPr>
          <w:rFonts w:ascii="Times New Roman" w:eastAsia="Times New Roman" w:hAnsi="Times New Roman" w:cs="Times New Roman"/>
          <w:b/>
          <w:sz w:val="24"/>
          <w:szCs w:val="24"/>
          <w:lang w:val="en-US" w:eastAsia="ru-RU"/>
        </w:rPr>
        <w:t xml:space="preserve"> </w:t>
      </w:r>
      <w:r w:rsidRPr="00600606">
        <w:rPr>
          <w:rFonts w:ascii="Times New Roman" w:eastAsia="Times New Roman" w:hAnsi="Times New Roman" w:cs="Times New Roman"/>
          <w:b/>
          <w:sz w:val="24"/>
          <w:szCs w:val="24"/>
          <w:lang w:eastAsia="ru-RU"/>
        </w:rPr>
        <w:t>языке</w:t>
      </w:r>
      <w:r w:rsidRPr="00600606">
        <w:rPr>
          <w:rFonts w:ascii="Times New Roman" w:eastAsia="Times New Roman" w:hAnsi="Times New Roman" w:cs="Times New Roman"/>
          <w:sz w:val="24"/>
          <w:szCs w:val="24"/>
          <w:lang w:val="en-US" w:eastAsia="ru-RU"/>
        </w:rPr>
        <w:t xml:space="preserve"> </w:t>
      </w:r>
      <w:r w:rsidRPr="00077C63">
        <w:rPr>
          <w:rFonts w:ascii="Times New Roman" w:eastAsia="Times New Roman" w:hAnsi="Times New Roman" w:cs="Times New Roman"/>
          <w:i/>
          <w:iCs/>
          <w:sz w:val="24"/>
          <w:szCs w:val="24"/>
          <w:lang w:val="en-US" w:eastAsia="ru-RU"/>
        </w:rPr>
        <w:t>Monetary policy, economic security, state, economic management, Central Bank of Russia, monetary base, interest rate.</w:t>
      </w:r>
    </w:p>
    <w:p w14:paraId="13E506C6" w14:textId="77777777" w:rsidR="00077C63" w:rsidRPr="00600606" w:rsidRDefault="00077C63" w:rsidP="00077C63">
      <w:pPr>
        <w:suppressAutoHyphens/>
        <w:spacing w:after="0" w:line="240" w:lineRule="auto"/>
        <w:ind w:firstLine="709"/>
        <w:jc w:val="both"/>
        <w:rPr>
          <w:rFonts w:ascii="Times New Roman" w:eastAsia="Times New Roman" w:hAnsi="Times New Roman" w:cs="Times New Roman"/>
          <w:i/>
          <w:sz w:val="24"/>
          <w:szCs w:val="24"/>
          <w:lang w:val="en-US" w:eastAsia="ru-RU"/>
        </w:rPr>
      </w:pPr>
    </w:p>
    <w:p w14:paraId="7355E9B0" w14:textId="77777777" w:rsidR="00077C63" w:rsidRPr="00600606" w:rsidRDefault="00077C63" w:rsidP="00077C63">
      <w:pPr>
        <w:suppressAutoHyphens/>
        <w:spacing w:after="0" w:line="240" w:lineRule="auto"/>
        <w:jc w:val="center"/>
        <w:rPr>
          <w:rFonts w:ascii="Times New Roman" w:eastAsia="Times New Roman" w:hAnsi="Times New Roman" w:cs="Times New Roman"/>
          <w:b/>
          <w:sz w:val="24"/>
          <w:szCs w:val="24"/>
          <w:lang w:eastAsia="ru-RU"/>
        </w:rPr>
      </w:pPr>
      <w:r w:rsidRPr="00600606">
        <w:rPr>
          <w:rFonts w:ascii="Times New Roman" w:eastAsia="Times New Roman" w:hAnsi="Times New Roman" w:cs="Times New Roman"/>
          <w:b/>
          <w:sz w:val="24"/>
          <w:szCs w:val="24"/>
          <w:lang w:eastAsia="ru-RU"/>
        </w:rPr>
        <w:t>Список литературы на английском языке</w:t>
      </w:r>
    </w:p>
    <w:p w14:paraId="5538EC6A" w14:textId="143CDB51" w:rsidR="00C91EDE" w:rsidRPr="00C91EDE" w:rsidRDefault="00C91EDE" w:rsidP="00316E35">
      <w:pPr>
        <w:suppressAutoHyphens/>
        <w:spacing w:after="0" w:line="360" w:lineRule="auto"/>
        <w:ind w:firstLine="709"/>
        <w:jc w:val="both"/>
        <w:rPr>
          <w:rFonts w:ascii="Times New Roman" w:eastAsia="Times New Roman" w:hAnsi="Times New Roman" w:cs="Times New Roman"/>
          <w:sz w:val="24"/>
          <w:szCs w:val="24"/>
          <w:lang w:val="en-US" w:eastAsia="ru-RU"/>
        </w:rPr>
      </w:pPr>
      <w:r w:rsidRPr="00C91EDE">
        <w:rPr>
          <w:rFonts w:ascii="Times New Roman" w:eastAsia="Times New Roman" w:hAnsi="Times New Roman" w:cs="Times New Roman"/>
          <w:sz w:val="24"/>
          <w:szCs w:val="24"/>
          <w:lang w:val="en-US" w:eastAsia="ru-RU"/>
        </w:rPr>
        <w:t xml:space="preserve">1. Goryunov E.L., Drobyshevsky S.M., Trunin P.V. Monetary and credit policy of the Bank of Russia: strategy and tactics / Economic Issues. 2018.No. </w:t>
      </w:r>
      <w:r w:rsidR="000C1DAD" w:rsidRPr="00C91EDE">
        <w:rPr>
          <w:rFonts w:ascii="Times New Roman" w:eastAsia="Times New Roman" w:hAnsi="Times New Roman" w:cs="Times New Roman"/>
          <w:sz w:val="24"/>
          <w:szCs w:val="24"/>
          <w:lang w:val="en-US" w:eastAsia="ru-RU"/>
        </w:rPr>
        <w:t>4. P.</w:t>
      </w:r>
      <w:r w:rsidRPr="00C91EDE">
        <w:rPr>
          <w:rFonts w:ascii="Times New Roman" w:eastAsia="Times New Roman" w:hAnsi="Times New Roman" w:cs="Times New Roman"/>
          <w:sz w:val="24"/>
          <w:szCs w:val="24"/>
          <w:lang w:val="en-US" w:eastAsia="ru-RU"/>
        </w:rPr>
        <w:t xml:space="preserve"> 53-85.</w:t>
      </w:r>
    </w:p>
    <w:p w14:paraId="03D281DE" w14:textId="77777777" w:rsidR="00C91EDE" w:rsidRPr="00C91EDE" w:rsidRDefault="00C91EDE" w:rsidP="00316E35">
      <w:pPr>
        <w:suppressAutoHyphens/>
        <w:spacing w:after="0" w:line="360" w:lineRule="auto"/>
        <w:ind w:firstLine="709"/>
        <w:jc w:val="both"/>
        <w:rPr>
          <w:rFonts w:ascii="Times New Roman" w:eastAsia="Times New Roman" w:hAnsi="Times New Roman" w:cs="Times New Roman"/>
          <w:sz w:val="24"/>
          <w:szCs w:val="24"/>
          <w:lang w:val="en-US" w:eastAsia="ru-RU"/>
        </w:rPr>
      </w:pPr>
      <w:r w:rsidRPr="00C91EDE">
        <w:rPr>
          <w:rFonts w:ascii="Times New Roman" w:eastAsia="Times New Roman" w:hAnsi="Times New Roman" w:cs="Times New Roman"/>
          <w:sz w:val="24"/>
          <w:szCs w:val="24"/>
          <w:lang w:val="en-US" w:eastAsia="ru-RU"/>
        </w:rPr>
        <w:t xml:space="preserve">2. Lisitsyn A.Yu. Financial and legal foundations of the monetary and exchange rate policy of the European Union: Author's abstract. Dis. Cand. jurid. sciences. -M., 2020. </w:t>
      </w:r>
      <w:bookmarkStart w:id="8" w:name="_Hlk72161918"/>
      <w:r w:rsidRPr="00C91EDE">
        <w:rPr>
          <w:rFonts w:ascii="Times New Roman" w:eastAsia="Times New Roman" w:hAnsi="Times New Roman" w:cs="Times New Roman"/>
          <w:sz w:val="24"/>
          <w:szCs w:val="24"/>
          <w:lang w:val="en-US" w:eastAsia="ru-RU"/>
        </w:rPr>
        <w:t>-S. eleven.</w:t>
      </w:r>
      <w:bookmarkEnd w:id="8"/>
    </w:p>
    <w:p w14:paraId="3DCCCF94" w14:textId="39C4E71C" w:rsidR="00C91EDE" w:rsidRPr="000C1DAD" w:rsidRDefault="00C91EDE" w:rsidP="00316E35">
      <w:pPr>
        <w:suppressAutoHyphens/>
        <w:spacing w:after="0" w:line="360" w:lineRule="auto"/>
        <w:ind w:firstLine="709"/>
        <w:jc w:val="both"/>
        <w:rPr>
          <w:rFonts w:ascii="Times New Roman" w:eastAsia="Times New Roman" w:hAnsi="Times New Roman" w:cs="Times New Roman"/>
          <w:sz w:val="24"/>
          <w:szCs w:val="24"/>
          <w:lang w:eastAsia="ru-RU"/>
        </w:rPr>
      </w:pPr>
      <w:r w:rsidRPr="00C91EDE">
        <w:rPr>
          <w:rFonts w:ascii="Times New Roman" w:eastAsia="Times New Roman" w:hAnsi="Times New Roman" w:cs="Times New Roman"/>
          <w:sz w:val="24"/>
          <w:szCs w:val="24"/>
          <w:lang w:val="en-US" w:eastAsia="ru-RU"/>
        </w:rPr>
        <w:t>3. Solntsev OG, Sukhareva I.O. To the question of the goals and instruments of monetary policy. M.: TsMAKP, 2019.</w:t>
      </w:r>
      <w:r w:rsidR="000C1DAD">
        <w:rPr>
          <w:rFonts w:ascii="Times New Roman" w:eastAsia="Times New Roman" w:hAnsi="Times New Roman" w:cs="Times New Roman"/>
          <w:sz w:val="24"/>
          <w:szCs w:val="24"/>
          <w:lang w:eastAsia="ru-RU"/>
        </w:rPr>
        <w:t xml:space="preserve"> </w:t>
      </w:r>
      <w:r w:rsidR="000C1DAD" w:rsidRPr="00C91EDE">
        <w:rPr>
          <w:rFonts w:ascii="Times New Roman" w:eastAsia="Times New Roman" w:hAnsi="Times New Roman" w:cs="Times New Roman"/>
          <w:sz w:val="24"/>
          <w:szCs w:val="24"/>
          <w:lang w:val="en-US" w:eastAsia="ru-RU"/>
        </w:rPr>
        <w:t xml:space="preserve">-S. </w:t>
      </w:r>
      <w:r w:rsidR="0022376F" w:rsidRPr="000C1DAD">
        <w:rPr>
          <w:rFonts w:ascii="Times New Roman" w:eastAsia="Times New Roman" w:hAnsi="Times New Roman" w:cs="Times New Roman"/>
          <w:sz w:val="24"/>
          <w:szCs w:val="24"/>
          <w:lang w:val="en-US" w:eastAsia="ru-RU"/>
        </w:rPr>
        <w:t>sixty-five</w:t>
      </w:r>
      <w:r w:rsidR="000C1DAD" w:rsidRPr="00C91EDE">
        <w:rPr>
          <w:rFonts w:ascii="Times New Roman" w:eastAsia="Times New Roman" w:hAnsi="Times New Roman" w:cs="Times New Roman"/>
          <w:sz w:val="24"/>
          <w:szCs w:val="24"/>
          <w:lang w:val="en-US" w:eastAsia="ru-RU"/>
        </w:rPr>
        <w:t>.</w:t>
      </w:r>
    </w:p>
    <w:p w14:paraId="754447DD" w14:textId="77777777" w:rsidR="00C91EDE" w:rsidRPr="00C91EDE" w:rsidRDefault="00C91EDE" w:rsidP="00316E35">
      <w:pPr>
        <w:suppressAutoHyphens/>
        <w:spacing w:after="0" w:line="360" w:lineRule="auto"/>
        <w:ind w:firstLine="709"/>
        <w:jc w:val="both"/>
        <w:rPr>
          <w:rFonts w:ascii="Times New Roman" w:eastAsia="Times New Roman" w:hAnsi="Times New Roman" w:cs="Times New Roman"/>
          <w:sz w:val="24"/>
          <w:szCs w:val="24"/>
          <w:lang w:val="en-US" w:eastAsia="ru-RU"/>
        </w:rPr>
      </w:pPr>
      <w:r w:rsidRPr="00C91EDE">
        <w:rPr>
          <w:rFonts w:ascii="Times New Roman" w:eastAsia="Times New Roman" w:hAnsi="Times New Roman" w:cs="Times New Roman"/>
          <w:sz w:val="24"/>
          <w:szCs w:val="24"/>
          <w:lang w:val="en-US" w:eastAsia="ru-RU"/>
        </w:rPr>
        <w:t>4. Yudina, I.N. Monetary and credit policy at the present stage: challenges and limitations / in the collection: Twenty-first April economic readings, materials of the International Scientific and Practical Conference. Omsk branch of the Financial University under the Government of the Russian Federation; edited by V.V. Karpova, A.I. Kovalev. 2019.S. 94-98.</w:t>
      </w:r>
    </w:p>
    <w:p w14:paraId="0EB6E289" w14:textId="191D5E17" w:rsidR="00316E35" w:rsidRPr="00600606" w:rsidRDefault="00C91EDE" w:rsidP="00316E35">
      <w:pPr>
        <w:suppressAutoHyphens/>
        <w:spacing w:after="0" w:line="360" w:lineRule="auto"/>
        <w:ind w:firstLine="709"/>
        <w:jc w:val="both"/>
        <w:rPr>
          <w:rFonts w:ascii="Times New Roman" w:eastAsia="Times New Roman" w:hAnsi="Times New Roman" w:cs="Times New Roman"/>
          <w:sz w:val="24"/>
          <w:szCs w:val="24"/>
          <w:lang w:val="en-US" w:eastAsia="ru-RU"/>
        </w:rPr>
      </w:pPr>
      <w:r w:rsidRPr="00C91EDE">
        <w:rPr>
          <w:rFonts w:ascii="Times New Roman" w:eastAsia="Times New Roman" w:hAnsi="Times New Roman" w:cs="Times New Roman"/>
          <w:sz w:val="24"/>
          <w:szCs w:val="24"/>
          <w:lang w:val="en-US" w:eastAsia="ru-RU"/>
        </w:rPr>
        <w:t xml:space="preserve">5. Website of the Central Bank of Russia [Electronic access] </w:t>
      </w:r>
      <w:hyperlink r:id="rId15" w:history="1">
        <w:r w:rsidRPr="0022376F">
          <w:rPr>
            <w:rStyle w:val="a5"/>
            <w:rFonts w:ascii="Times New Roman" w:eastAsia="Times New Roman" w:hAnsi="Times New Roman" w:cs="Times New Roman"/>
            <w:color w:val="auto"/>
            <w:sz w:val="24"/>
            <w:szCs w:val="24"/>
            <w:lang w:val="en-US" w:eastAsia="ru-RU"/>
          </w:rPr>
          <w:t>https://www.cbr.ru/hd_base/KeyRate/</w:t>
        </w:r>
      </w:hyperlink>
    </w:p>
    <w:p w14:paraId="750BFE68" w14:textId="4E751F48" w:rsidR="00077C63" w:rsidRPr="00600606" w:rsidRDefault="00077C63" w:rsidP="00077C63">
      <w:pPr>
        <w:suppressAutoHyphens/>
        <w:spacing w:after="0" w:line="240" w:lineRule="auto"/>
        <w:jc w:val="center"/>
        <w:rPr>
          <w:rFonts w:ascii="Times New Roman" w:eastAsia="Calibri" w:hAnsi="Times New Roman" w:cs="Times New Roman"/>
          <w:b/>
          <w:sz w:val="24"/>
          <w:szCs w:val="24"/>
        </w:rPr>
      </w:pPr>
      <w:r w:rsidRPr="00600606">
        <w:rPr>
          <w:rFonts w:ascii="Times New Roman" w:eastAsia="Calibri" w:hAnsi="Times New Roman" w:cs="Times New Roman"/>
          <w:b/>
          <w:sz w:val="24"/>
          <w:szCs w:val="24"/>
        </w:rPr>
        <w:lastRenderedPageBreak/>
        <w:t>Информация об авторах на английском языке</w:t>
      </w:r>
    </w:p>
    <w:p w14:paraId="535A551D" w14:textId="59EAFBC3" w:rsidR="00077C63" w:rsidRDefault="00077C63" w:rsidP="00077C63">
      <w:pPr>
        <w:suppressAutoHyphens/>
        <w:spacing w:after="0" w:line="240" w:lineRule="auto"/>
        <w:ind w:firstLine="709"/>
        <w:jc w:val="both"/>
        <w:rPr>
          <w:rFonts w:ascii="Times New Roman" w:eastAsia="Calibri" w:hAnsi="Times New Roman" w:cs="Times New Roman"/>
          <w:sz w:val="24"/>
          <w:szCs w:val="24"/>
          <w:lang w:val="en-US"/>
        </w:rPr>
      </w:pPr>
      <w:r w:rsidRPr="00077C63">
        <w:rPr>
          <w:rFonts w:ascii="Times New Roman" w:eastAsia="Calibri" w:hAnsi="Times New Roman" w:cs="Times New Roman"/>
          <w:sz w:val="24"/>
          <w:szCs w:val="24"/>
          <w:lang w:val="en-US"/>
        </w:rPr>
        <w:t xml:space="preserve">Nemtsova Elena Sergeevna (Russia, Stavropol) - Associate Professor, Candidate of Economic Sciences, Lecturer of the Department of Economic Security and Audit of the Institute of Economics and Management of the «North Caucasus Federal University» (355017, Stavropol, Pushkina st., 1, building 21, room 701, nazaregor@ya.ru). </w:t>
      </w:r>
    </w:p>
    <w:p w14:paraId="26C95011" w14:textId="51E2F67C" w:rsidR="00077C63" w:rsidRDefault="00077C63" w:rsidP="00077C63">
      <w:pPr>
        <w:suppressAutoHyphens/>
        <w:spacing w:after="0" w:line="240" w:lineRule="auto"/>
        <w:ind w:firstLine="709"/>
        <w:jc w:val="both"/>
        <w:rPr>
          <w:rFonts w:ascii="Times New Roman" w:eastAsia="Calibri" w:hAnsi="Times New Roman" w:cs="Times New Roman"/>
          <w:sz w:val="24"/>
          <w:szCs w:val="24"/>
          <w:lang w:val="en-US"/>
        </w:rPr>
      </w:pPr>
      <w:r w:rsidRPr="00077C63">
        <w:rPr>
          <w:rFonts w:ascii="Times New Roman" w:eastAsia="Calibri" w:hAnsi="Times New Roman" w:cs="Times New Roman"/>
          <w:sz w:val="24"/>
          <w:szCs w:val="24"/>
          <w:lang w:val="en-US"/>
        </w:rPr>
        <w:t xml:space="preserve">Marchenko Valeria Aleksandrovna (Russia, Stavropol) - 3rd year student </w:t>
      </w:r>
      <w:r w:rsidR="00C91EDE" w:rsidRPr="00C91EDE">
        <w:rPr>
          <w:rFonts w:ascii="Times New Roman" w:eastAsia="Calibri" w:hAnsi="Times New Roman" w:cs="Times New Roman"/>
          <w:sz w:val="24"/>
          <w:szCs w:val="24"/>
          <w:lang w:val="en-US"/>
        </w:rPr>
        <w:t xml:space="preserve">EKB-s-o-18-2 groups </w:t>
      </w:r>
      <w:r w:rsidRPr="00077C63">
        <w:rPr>
          <w:rFonts w:ascii="Times New Roman" w:eastAsia="Calibri" w:hAnsi="Times New Roman" w:cs="Times New Roman"/>
          <w:sz w:val="24"/>
          <w:szCs w:val="24"/>
          <w:lang w:val="en-US"/>
        </w:rPr>
        <w:t>of the direction of economic and legal support of economic security of the Institute of Economics and Management of the «North Caucasus Federal University» (355017, Stavropol, Pushkina st., 1, building 21, marchenko.valeria@bk.ru).</w:t>
      </w:r>
    </w:p>
    <w:p w14:paraId="3A56C239" w14:textId="77777777" w:rsidR="008109CF" w:rsidRPr="00077C63" w:rsidRDefault="008109CF" w:rsidP="0022376F">
      <w:pPr>
        <w:spacing w:line="240" w:lineRule="auto"/>
        <w:jc w:val="both"/>
        <w:rPr>
          <w:rFonts w:ascii="Times New Roman" w:hAnsi="Times New Roman" w:cs="Times New Roman"/>
          <w:sz w:val="24"/>
          <w:szCs w:val="24"/>
          <w:lang w:val="en-US"/>
        </w:rPr>
      </w:pPr>
    </w:p>
    <w:sectPr w:rsidR="008109CF" w:rsidRPr="00077C63" w:rsidSect="00B63D1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840"/>
    <w:rsid w:val="00033E57"/>
    <w:rsid w:val="00077C63"/>
    <w:rsid w:val="000C1DAD"/>
    <w:rsid w:val="0017180B"/>
    <w:rsid w:val="001746FE"/>
    <w:rsid w:val="0022376F"/>
    <w:rsid w:val="00295ACE"/>
    <w:rsid w:val="002C5E4A"/>
    <w:rsid w:val="00316E35"/>
    <w:rsid w:val="00340080"/>
    <w:rsid w:val="003A4342"/>
    <w:rsid w:val="004A0044"/>
    <w:rsid w:val="004D02DD"/>
    <w:rsid w:val="004E1A65"/>
    <w:rsid w:val="005423D9"/>
    <w:rsid w:val="00600606"/>
    <w:rsid w:val="008109CF"/>
    <w:rsid w:val="00856B9D"/>
    <w:rsid w:val="00880CD0"/>
    <w:rsid w:val="008961DF"/>
    <w:rsid w:val="009807EE"/>
    <w:rsid w:val="009E2E10"/>
    <w:rsid w:val="009F3132"/>
    <w:rsid w:val="00A31106"/>
    <w:rsid w:val="00A57DBE"/>
    <w:rsid w:val="00B63D1E"/>
    <w:rsid w:val="00BB7887"/>
    <w:rsid w:val="00C15840"/>
    <w:rsid w:val="00C67AC8"/>
    <w:rsid w:val="00C861F9"/>
    <w:rsid w:val="00C91EDE"/>
    <w:rsid w:val="00D95956"/>
    <w:rsid w:val="00D97D2D"/>
    <w:rsid w:val="00EF5912"/>
    <w:rsid w:val="00F906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925DA"/>
  <w15:chartTrackingRefBased/>
  <w15:docId w15:val="{4E393707-BEF8-4E64-B8DC-84ECECF3E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3D1E"/>
  </w:style>
  <w:style w:type="paragraph" w:styleId="1">
    <w:name w:val="heading 1"/>
    <w:basedOn w:val="a"/>
    <w:next w:val="a"/>
    <w:link w:val="10"/>
    <w:uiPriority w:val="9"/>
    <w:qFormat/>
    <w:rsid w:val="00F9060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Курсовая"/>
    <w:basedOn w:val="1"/>
    <w:link w:val="a4"/>
    <w:qFormat/>
    <w:rsid w:val="00F90604"/>
    <w:pPr>
      <w:widowControl w:val="0"/>
      <w:autoSpaceDE w:val="0"/>
      <w:autoSpaceDN w:val="0"/>
      <w:adjustRightInd w:val="0"/>
      <w:spacing w:line="360" w:lineRule="auto"/>
      <w:ind w:firstLine="709"/>
      <w:jc w:val="both"/>
    </w:pPr>
    <w:rPr>
      <w:rFonts w:ascii="Times New Roman" w:eastAsiaTheme="minorEastAsia" w:hAnsi="Times New Roman"/>
      <w:color w:val="auto"/>
      <w:sz w:val="28"/>
      <w:szCs w:val="28"/>
      <w:lang w:eastAsia="ru-RU"/>
    </w:rPr>
  </w:style>
  <w:style w:type="character" w:customStyle="1" w:styleId="a4">
    <w:name w:val="Курсовая Знак"/>
    <w:basedOn w:val="a0"/>
    <w:link w:val="a3"/>
    <w:rsid w:val="00F90604"/>
    <w:rPr>
      <w:rFonts w:ascii="Times New Roman" w:eastAsiaTheme="minorEastAsia" w:hAnsi="Times New Roman" w:cstheme="majorBidi"/>
      <w:sz w:val="28"/>
      <w:szCs w:val="28"/>
      <w:lang w:eastAsia="ru-RU"/>
    </w:rPr>
  </w:style>
  <w:style w:type="character" w:customStyle="1" w:styleId="10">
    <w:name w:val="Заголовок 1 Знак"/>
    <w:basedOn w:val="a0"/>
    <w:link w:val="1"/>
    <w:uiPriority w:val="9"/>
    <w:rsid w:val="00F90604"/>
    <w:rPr>
      <w:rFonts w:asciiTheme="majorHAnsi" w:eastAsiaTheme="majorEastAsia" w:hAnsiTheme="majorHAnsi" w:cstheme="majorBidi"/>
      <w:color w:val="2F5496" w:themeColor="accent1" w:themeShade="BF"/>
      <w:sz w:val="32"/>
      <w:szCs w:val="32"/>
    </w:rPr>
  </w:style>
  <w:style w:type="character" w:styleId="a5">
    <w:name w:val="Hyperlink"/>
    <w:basedOn w:val="a0"/>
    <w:uiPriority w:val="99"/>
    <w:unhideWhenUsed/>
    <w:rsid w:val="00C91EDE"/>
    <w:rPr>
      <w:color w:val="0563C1" w:themeColor="hyperlink"/>
      <w:u w:val="single"/>
    </w:rPr>
  </w:style>
  <w:style w:type="character" w:customStyle="1" w:styleId="UnresolvedMention">
    <w:name w:val="Unresolved Mention"/>
    <w:basedOn w:val="a0"/>
    <w:uiPriority w:val="99"/>
    <w:semiHidden/>
    <w:unhideWhenUsed/>
    <w:rsid w:val="00C91E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07/relationships/diagramDrawing" Target="diagrams/drawing1.xml"/><Relationship Id="rId13" Type="http://schemas.openxmlformats.org/officeDocument/2006/relationships/diagramColors" Target="diagrams/colors2.xml"/><Relationship Id="rId3" Type="http://schemas.openxmlformats.org/officeDocument/2006/relationships/webSettings" Target="webSettings.xml"/><Relationship Id="rId7" Type="http://schemas.openxmlformats.org/officeDocument/2006/relationships/diagramColors" Target="diagrams/colors1.xml"/><Relationship Id="rId12" Type="http://schemas.openxmlformats.org/officeDocument/2006/relationships/diagramQuickStyle" Target="diagrams/quickStyle2.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diagramQuickStyle" Target="diagrams/quickStyle1.xml"/><Relationship Id="rId11" Type="http://schemas.openxmlformats.org/officeDocument/2006/relationships/diagramLayout" Target="diagrams/layout2.xml"/><Relationship Id="rId5" Type="http://schemas.openxmlformats.org/officeDocument/2006/relationships/diagramLayout" Target="diagrams/layout1.xml"/><Relationship Id="rId15" Type="http://schemas.openxmlformats.org/officeDocument/2006/relationships/hyperlink" Target="https://www.cbr.ru/hd_base/KeyRate/" TargetMode="External"/><Relationship Id="rId10" Type="http://schemas.openxmlformats.org/officeDocument/2006/relationships/diagramData" Target="diagrams/data2.xml"/><Relationship Id="rId4" Type="http://schemas.openxmlformats.org/officeDocument/2006/relationships/diagramData" Target="diagrams/data1.xml"/><Relationship Id="rId9" Type="http://schemas.openxmlformats.org/officeDocument/2006/relationships/chart" Target="charts/chart1.xml"/><Relationship Id="rId14" Type="http://schemas.microsoft.com/office/2007/relationships/diagramDrawing" Target="diagrams/drawing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Динамика изменения ключевой ставки ЦБ</a:t>
            </a:r>
            <a:br>
              <a:rPr lang="ru-RU"/>
            </a:br>
            <a:r>
              <a:rPr lang="ru-RU"/>
              <a:t>январь 2017 - январь 2021 гг.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 на кредитование</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10</c:v>
                </c:pt>
                <c:pt idx="1">
                  <c:v>7.75</c:v>
                </c:pt>
                <c:pt idx="2">
                  <c:v>7.75</c:v>
                </c:pt>
                <c:pt idx="3">
                  <c:v>6.25</c:v>
                </c:pt>
                <c:pt idx="4">
                  <c:v>6.25</c:v>
                </c:pt>
              </c:numCache>
            </c:numRef>
          </c:val>
          <c:smooth val="0"/>
          <c:extLst>
            <c:ext xmlns:c16="http://schemas.microsoft.com/office/drawing/2014/chart" uri="{C3380CC4-5D6E-409C-BE32-E72D297353CC}">
              <c16:uniqueId val="{00000000-C8C5-41AB-B711-9FA8CFA6E988}"/>
            </c:ext>
          </c:extLst>
        </c:ser>
        <c:dLbls>
          <c:showLegendKey val="0"/>
          <c:showVal val="0"/>
          <c:showCatName val="0"/>
          <c:showSerName val="0"/>
          <c:showPercent val="0"/>
          <c:showBubbleSize val="0"/>
        </c:dLbls>
        <c:marker val="1"/>
        <c:smooth val="0"/>
        <c:axId val="522340816"/>
        <c:axId val="522345736"/>
      </c:lineChart>
      <c:catAx>
        <c:axId val="52234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2345736"/>
        <c:crosses val="autoZero"/>
        <c:auto val="1"/>
        <c:lblAlgn val="ctr"/>
        <c:lblOffset val="100"/>
        <c:noMultiLvlLbl val="0"/>
      </c:catAx>
      <c:valAx>
        <c:axId val="522345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23408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EC5AF44-CED9-4AE6-A434-0D3B194D2F10}" type="doc">
      <dgm:prSet loTypeId="urn:microsoft.com/office/officeart/2005/8/layout/vList5" loCatId="list" qsTypeId="urn:microsoft.com/office/officeart/2005/8/quickstyle/simple3" qsCatId="simple" csTypeId="urn:microsoft.com/office/officeart/2005/8/colors/accent3_1" csCatId="accent3" phldr="1"/>
      <dgm:spPr/>
      <dgm:t>
        <a:bodyPr/>
        <a:lstStyle/>
        <a:p>
          <a:endParaRPr lang="ru-RU"/>
        </a:p>
      </dgm:t>
    </dgm:pt>
    <dgm:pt modelId="{8BA4AD24-2CB3-4086-9245-457DFBFDFD66}">
      <dgm:prSet phldrT="[Текст]" custT="1"/>
      <dgm:spPr>
        <a:xfrm>
          <a:off x="0" y="1908020"/>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pPr>
            <a:buNone/>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 Ставка рефинансирования</a:t>
          </a:r>
        </a:p>
      </dgm:t>
    </dgm:pt>
    <dgm:pt modelId="{F40E4DA2-A336-40CF-A910-C733FD422649}" type="parTrans" cxnId="{8C7FF5C3-FBCD-43C0-AC2A-B4809099DC03}">
      <dgm:prSet/>
      <dgm:spPr/>
      <dgm:t>
        <a:bodyPr/>
        <a:lstStyle/>
        <a:p>
          <a:endParaRPr lang="ru-RU"/>
        </a:p>
      </dgm:t>
    </dgm:pt>
    <dgm:pt modelId="{67B70B77-9907-46C8-BBB3-B4142696C8C7}" type="sibTrans" cxnId="{8C7FF5C3-FBCD-43C0-AC2A-B4809099DC03}">
      <dgm:prSet/>
      <dgm:spPr/>
      <dgm:t>
        <a:bodyPr/>
        <a:lstStyle/>
        <a:p>
          <a:endParaRPr lang="ru-RU"/>
        </a:p>
      </dgm:t>
    </dgm:pt>
    <dgm:pt modelId="{D50292CD-4895-4C23-8587-44CF99661F26}">
      <dgm:prSet phldrT="[Текст]" custT="1"/>
      <dgm:spPr>
        <a:xfrm rot="5400000">
          <a:off x="3649253" y="379442"/>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gm:spPr>
      <dgm:t>
        <a:bodyPr/>
        <a:lstStyle/>
        <a:p>
          <a:pPr>
            <a:buChar char="•"/>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Воздействие ЦБ на ставки межбанковского рынка и другие процентные ставки при помощи политики процентной ставки; </a:t>
          </a:r>
        </a:p>
      </dgm:t>
    </dgm:pt>
    <dgm:pt modelId="{563111FC-DF61-4BE9-88C3-C092E51DA703}" type="parTrans" cxnId="{190DE3F5-8F05-4639-A556-4A556288DDF3}">
      <dgm:prSet/>
      <dgm:spPr/>
      <dgm:t>
        <a:bodyPr/>
        <a:lstStyle/>
        <a:p>
          <a:endParaRPr lang="ru-RU"/>
        </a:p>
      </dgm:t>
    </dgm:pt>
    <dgm:pt modelId="{AEDB4A78-0011-429F-96A3-F7C6F548B954}" type="sibTrans" cxnId="{190DE3F5-8F05-4639-A556-4A556288DDF3}">
      <dgm:prSet/>
      <dgm:spPr/>
      <dgm:t>
        <a:bodyPr/>
        <a:lstStyle/>
        <a:p>
          <a:endParaRPr lang="ru-RU"/>
        </a:p>
      </dgm:t>
    </dgm:pt>
    <dgm:pt modelId="{38E01D48-A157-40ED-A2F5-854E181F20F5}">
      <dgm:prSet phldrT="[Текст]" custT="1"/>
      <dgm:spPr>
        <a:xfrm>
          <a:off x="0" y="1272433"/>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pPr>
            <a:buNone/>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Норма обязательных резервов</a:t>
          </a:r>
        </a:p>
      </dgm:t>
    </dgm:pt>
    <dgm:pt modelId="{4DABF613-637B-4E99-9E91-7861E61491E5}" type="parTrans" cxnId="{5739CD79-9BB7-4B2C-B159-EB8AC18D2E95}">
      <dgm:prSet/>
      <dgm:spPr/>
      <dgm:t>
        <a:bodyPr/>
        <a:lstStyle/>
        <a:p>
          <a:endParaRPr lang="ru-RU"/>
        </a:p>
      </dgm:t>
    </dgm:pt>
    <dgm:pt modelId="{D001910B-18E0-4533-B6B9-4915D40D2A4C}" type="sibTrans" cxnId="{5739CD79-9BB7-4B2C-B159-EB8AC18D2E95}">
      <dgm:prSet/>
      <dgm:spPr/>
      <dgm:t>
        <a:bodyPr/>
        <a:lstStyle/>
        <a:p>
          <a:endParaRPr lang="ru-RU"/>
        </a:p>
      </dgm:t>
    </dgm:pt>
    <dgm:pt modelId="{BFE9C122-C804-4862-A324-DC8C001E953B}">
      <dgm:prSet phldrT="[Текст]" custT="1"/>
      <dgm:spPr>
        <a:xfrm rot="5400000">
          <a:off x="3649253" y="-256144"/>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gm:spPr>
      <dgm:t>
        <a:bodyPr/>
        <a:lstStyle/>
        <a:p>
          <a:pPr>
            <a:buChar char="•"/>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Изменение объемов кредитных возможностей коммерческих банков. </a:t>
          </a:r>
        </a:p>
      </dgm:t>
    </dgm:pt>
    <dgm:pt modelId="{95EA7E05-D71E-40FB-ADA3-9FC26BBD34FC}" type="parTrans" cxnId="{6D4FF4D1-528C-4A37-A384-B7E4E6EE4683}">
      <dgm:prSet/>
      <dgm:spPr/>
      <dgm:t>
        <a:bodyPr/>
        <a:lstStyle/>
        <a:p>
          <a:endParaRPr lang="ru-RU"/>
        </a:p>
      </dgm:t>
    </dgm:pt>
    <dgm:pt modelId="{EF03A54B-B1D5-43FC-B704-E01FCAF92630}" type="sibTrans" cxnId="{6D4FF4D1-528C-4A37-A384-B7E4E6EE4683}">
      <dgm:prSet/>
      <dgm:spPr/>
      <dgm:t>
        <a:bodyPr/>
        <a:lstStyle/>
        <a:p>
          <a:endParaRPr lang="ru-RU"/>
        </a:p>
      </dgm:t>
    </dgm:pt>
    <dgm:pt modelId="{7AF72B25-589C-479C-A4B6-E162FA1C65F7}">
      <dgm:prSet phldrT="[Текст]" custT="1"/>
      <dgm:spPr>
        <a:xfrm>
          <a:off x="0" y="636845"/>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pPr>
            <a:buNone/>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Интервенции на валютном рынке</a:t>
          </a:r>
        </a:p>
      </dgm:t>
    </dgm:pt>
    <dgm:pt modelId="{34D58C0A-C614-4730-9CB1-DDDD6AA34BC4}" type="parTrans" cxnId="{F24DA305-690B-45FE-B66C-FCF4A4B2FBAD}">
      <dgm:prSet/>
      <dgm:spPr/>
      <dgm:t>
        <a:bodyPr/>
        <a:lstStyle/>
        <a:p>
          <a:endParaRPr lang="ru-RU"/>
        </a:p>
      </dgm:t>
    </dgm:pt>
    <dgm:pt modelId="{D8EB43A3-7851-4D90-BD8C-964AD9453726}" type="sibTrans" cxnId="{F24DA305-690B-45FE-B66C-FCF4A4B2FBAD}">
      <dgm:prSet/>
      <dgm:spPr/>
      <dgm:t>
        <a:bodyPr/>
        <a:lstStyle/>
        <a:p>
          <a:endParaRPr lang="ru-RU"/>
        </a:p>
      </dgm:t>
    </dgm:pt>
    <dgm:pt modelId="{06AB34B3-E15D-4233-B5D7-FC728BD8645C}">
      <dgm:prSet phldrT="[Текст]" custT="1"/>
      <dgm:spPr>
        <a:xfrm rot="5400000">
          <a:off x="3649253" y="-891732"/>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gm:spPr>
      <dgm:t>
        <a:bodyPr/>
        <a:lstStyle/>
        <a:p>
          <a:pPr>
            <a:buChar char="•"/>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Политика "стерилизации" денежной базы;</a:t>
          </a:r>
        </a:p>
      </dgm:t>
    </dgm:pt>
    <dgm:pt modelId="{856E1D53-5626-4938-A1EC-8F12D1C80117}" type="parTrans" cxnId="{D850B0CA-AA5F-40D8-B2D5-8C805252CD7C}">
      <dgm:prSet/>
      <dgm:spPr/>
      <dgm:t>
        <a:bodyPr/>
        <a:lstStyle/>
        <a:p>
          <a:endParaRPr lang="ru-RU"/>
        </a:p>
      </dgm:t>
    </dgm:pt>
    <dgm:pt modelId="{434FD108-808A-4A77-AC26-3D6C0F7AF0E7}" type="sibTrans" cxnId="{D850B0CA-AA5F-40D8-B2D5-8C805252CD7C}">
      <dgm:prSet/>
      <dgm:spPr/>
      <dgm:t>
        <a:bodyPr/>
        <a:lstStyle/>
        <a:p>
          <a:endParaRPr lang="ru-RU"/>
        </a:p>
      </dgm:t>
    </dgm:pt>
    <dgm:pt modelId="{393E82B3-D660-4B61-AF00-6E617B1FFC92}">
      <dgm:prSet phldrT="[Текст]" custT="1"/>
      <dgm:spPr>
        <a:xfrm>
          <a:off x="0" y="1258"/>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gm:spPr>
      <dgm:t>
        <a:bodyPr/>
        <a:lstStyle/>
        <a:p>
          <a:pPr>
            <a:buNone/>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Операции на открытом рынке </a:t>
          </a:r>
        </a:p>
      </dgm:t>
    </dgm:pt>
    <dgm:pt modelId="{DC90FA2F-AE27-49AB-9A55-C433C1848DAE}" type="parTrans" cxnId="{B3AC72C0-5C18-4C81-BD1D-D2C766F1D463}">
      <dgm:prSet/>
      <dgm:spPr/>
      <dgm:t>
        <a:bodyPr/>
        <a:lstStyle/>
        <a:p>
          <a:endParaRPr lang="ru-RU"/>
        </a:p>
      </dgm:t>
    </dgm:pt>
    <dgm:pt modelId="{11D3B733-241B-445A-A431-667997BEAF00}" type="sibTrans" cxnId="{B3AC72C0-5C18-4C81-BD1D-D2C766F1D463}">
      <dgm:prSet/>
      <dgm:spPr/>
      <dgm:t>
        <a:bodyPr/>
        <a:lstStyle/>
        <a:p>
          <a:endParaRPr lang="ru-RU"/>
        </a:p>
      </dgm:t>
    </dgm:pt>
    <dgm:pt modelId="{F514E127-6125-43AC-BED9-AF2E5798E0C8}">
      <dgm:prSet custT="1"/>
      <dgm:spPr>
        <a:xfrm rot="5400000">
          <a:off x="3649253" y="-1527319"/>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gm:spPr>
      <dgm:t>
        <a:bodyPr/>
        <a:lstStyle/>
        <a:p>
          <a:pPr>
            <a:buChar char="•"/>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Покупка/продажа государственных ценных бумаг для воздействия на денежную базу;</a:t>
          </a:r>
        </a:p>
      </dgm:t>
    </dgm:pt>
    <dgm:pt modelId="{8666B2C8-933F-4D9B-B8F9-843D04D7D83D}" type="parTrans" cxnId="{C19AB7EC-1185-4F27-A96E-AB494621F092}">
      <dgm:prSet/>
      <dgm:spPr/>
      <dgm:t>
        <a:bodyPr/>
        <a:lstStyle/>
        <a:p>
          <a:endParaRPr lang="ru-RU"/>
        </a:p>
      </dgm:t>
    </dgm:pt>
    <dgm:pt modelId="{F5EB008E-8BC8-4941-B168-0F96CE9D94E2}" type="sibTrans" cxnId="{C19AB7EC-1185-4F27-A96E-AB494621F092}">
      <dgm:prSet/>
      <dgm:spPr/>
      <dgm:t>
        <a:bodyPr/>
        <a:lstStyle/>
        <a:p>
          <a:endParaRPr lang="ru-RU"/>
        </a:p>
      </dgm:t>
    </dgm:pt>
    <dgm:pt modelId="{5A3E1FA3-768A-4FDC-8151-A3A7C2DF58F6}" type="pres">
      <dgm:prSet presAssocID="{CEC5AF44-CED9-4AE6-A434-0D3B194D2F10}" presName="Name0" presStyleCnt="0">
        <dgm:presLayoutVars>
          <dgm:dir/>
          <dgm:animLvl val="lvl"/>
          <dgm:resizeHandles val="exact"/>
        </dgm:presLayoutVars>
      </dgm:prSet>
      <dgm:spPr/>
      <dgm:t>
        <a:bodyPr/>
        <a:lstStyle/>
        <a:p>
          <a:endParaRPr lang="ru-RU"/>
        </a:p>
      </dgm:t>
    </dgm:pt>
    <dgm:pt modelId="{9FFF1E11-DEBF-452B-91E1-555551075E83}" type="pres">
      <dgm:prSet presAssocID="{393E82B3-D660-4B61-AF00-6E617B1FFC92}" presName="linNode" presStyleCnt="0"/>
      <dgm:spPr/>
    </dgm:pt>
    <dgm:pt modelId="{A449851A-8869-4FD2-B753-DC71C0EF444F}" type="pres">
      <dgm:prSet presAssocID="{393E82B3-D660-4B61-AF00-6E617B1FFC92}" presName="parentText" presStyleLbl="node1" presStyleIdx="0" presStyleCnt="4">
        <dgm:presLayoutVars>
          <dgm:chMax val="1"/>
          <dgm:bulletEnabled val="1"/>
        </dgm:presLayoutVars>
      </dgm:prSet>
      <dgm:spPr/>
      <dgm:t>
        <a:bodyPr/>
        <a:lstStyle/>
        <a:p>
          <a:endParaRPr lang="ru-RU"/>
        </a:p>
      </dgm:t>
    </dgm:pt>
    <dgm:pt modelId="{294C0EFF-9FC4-46B2-AE60-C9761106785A}" type="pres">
      <dgm:prSet presAssocID="{393E82B3-D660-4B61-AF00-6E617B1FFC92}" presName="descendantText" presStyleLbl="alignAccFollowNode1" presStyleIdx="0" presStyleCnt="4">
        <dgm:presLayoutVars>
          <dgm:bulletEnabled val="1"/>
        </dgm:presLayoutVars>
      </dgm:prSet>
      <dgm:spPr/>
      <dgm:t>
        <a:bodyPr/>
        <a:lstStyle/>
        <a:p>
          <a:endParaRPr lang="ru-RU"/>
        </a:p>
      </dgm:t>
    </dgm:pt>
    <dgm:pt modelId="{D4D04457-FCE2-4633-B082-D4A854A2C9CE}" type="pres">
      <dgm:prSet presAssocID="{11D3B733-241B-445A-A431-667997BEAF00}" presName="sp" presStyleCnt="0"/>
      <dgm:spPr/>
    </dgm:pt>
    <dgm:pt modelId="{B2D934CB-D457-47D2-A584-B801A3C176F9}" type="pres">
      <dgm:prSet presAssocID="{7AF72B25-589C-479C-A4B6-E162FA1C65F7}" presName="linNode" presStyleCnt="0"/>
      <dgm:spPr/>
    </dgm:pt>
    <dgm:pt modelId="{C2DB776C-B6E3-4EF3-BCF9-7F60D3757753}" type="pres">
      <dgm:prSet presAssocID="{7AF72B25-589C-479C-A4B6-E162FA1C65F7}" presName="parentText" presStyleLbl="node1" presStyleIdx="1" presStyleCnt="4">
        <dgm:presLayoutVars>
          <dgm:chMax val="1"/>
          <dgm:bulletEnabled val="1"/>
        </dgm:presLayoutVars>
      </dgm:prSet>
      <dgm:spPr/>
      <dgm:t>
        <a:bodyPr/>
        <a:lstStyle/>
        <a:p>
          <a:endParaRPr lang="ru-RU"/>
        </a:p>
      </dgm:t>
    </dgm:pt>
    <dgm:pt modelId="{8CEA2B42-5AE5-47E5-9A35-019CD2461352}" type="pres">
      <dgm:prSet presAssocID="{7AF72B25-589C-479C-A4B6-E162FA1C65F7}" presName="descendantText" presStyleLbl="alignAccFollowNode1" presStyleIdx="1" presStyleCnt="4">
        <dgm:presLayoutVars>
          <dgm:bulletEnabled val="1"/>
        </dgm:presLayoutVars>
      </dgm:prSet>
      <dgm:spPr/>
      <dgm:t>
        <a:bodyPr/>
        <a:lstStyle/>
        <a:p>
          <a:endParaRPr lang="ru-RU"/>
        </a:p>
      </dgm:t>
    </dgm:pt>
    <dgm:pt modelId="{979FF3E4-E89D-4F8A-BA2B-4EEA3DF73697}" type="pres">
      <dgm:prSet presAssocID="{D8EB43A3-7851-4D90-BD8C-964AD9453726}" presName="sp" presStyleCnt="0"/>
      <dgm:spPr/>
    </dgm:pt>
    <dgm:pt modelId="{30BA3670-5EF7-4C77-8B12-6DADA33B102B}" type="pres">
      <dgm:prSet presAssocID="{38E01D48-A157-40ED-A2F5-854E181F20F5}" presName="linNode" presStyleCnt="0"/>
      <dgm:spPr/>
    </dgm:pt>
    <dgm:pt modelId="{4693E9DA-BDF8-4EEE-B829-56E2CC33DE06}" type="pres">
      <dgm:prSet presAssocID="{38E01D48-A157-40ED-A2F5-854E181F20F5}" presName="parentText" presStyleLbl="node1" presStyleIdx="2" presStyleCnt="4">
        <dgm:presLayoutVars>
          <dgm:chMax val="1"/>
          <dgm:bulletEnabled val="1"/>
        </dgm:presLayoutVars>
      </dgm:prSet>
      <dgm:spPr/>
      <dgm:t>
        <a:bodyPr/>
        <a:lstStyle/>
        <a:p>
          <a:endParaRPr lang="ru-RU"/>
        </a:p>
      </dgm:t>
    </dgm:pt>
    <dgm:pt modelId="{0C7BB2F0-200D-4F32-AEDE-64B638C01756}" type="pres">
      <dgm:prSet presAssocID="{38E01D48-A157-40ED-A2F5-854E181F20F5}" presName="descendantText" presStyleLbl="alignAccFollowNode1" presStyleIdx="2" presStyleCnt="4">
        <dgm:presLayoutVars>
          <dgm:bulletEnabled val="1"/>
        </dgm:presLayoutVars>
      </dgm:prSet>
      <dgm:spPr/>
      <dgm:t>
        <a:bodyPr/>
        <a:lstStyle/>
        <a:p>
          <a:endParaRPr lang="ru-RU"/>
        </a:p>
      </dgm:t>
    </dgm:pt>
    <dgm:pt modelId="{AE28F5AE-3AEF-4745-B337-2C378A5BBEA5}" type="pres">
      <dgm:prSet presAssocID="{D001910B-18E0-4533-B6B9-4915D40D2A4C}" presName="sp" presStyleCnt="0"/>
      <dgm:spPr/>
    </dgm:pt>
    <dgm:pt modelId="{2898602F-7389-458D-A3BA-928B9032CB70}" type="pres">
      <dgm:prSet presAssocID="{8BA4AD24-2CB3-4086-9245-457DFBFDFD66}" presName="linNode" presStyleCnt="0"/>
      <dgm:spPr/>
    </dgm:pt>
    <dgm:pt modelId="{12E9799E-D8F9-478C-ADE4-0E464D1A5266}" type="pres">
      <dgm:prSet presAssocID="{8BA4AD24-2CB3-4086-9245-457DFBFDFD66}" presName="parentText" presStyleLbl="node1" presStyleIdx="3" presStyleCnt="4">
        <dgm:presLayoutVars>
          <dgm:chMax val="1"/>
          <dgm:bulletEnabled val="1"/>
        </dgm:presLayoutVars>
      </dgm:prSet>
      <dgm:spPr/>
      <dgm:t>
        <a:bodyPr/>
        <a:lstStyle/>
        <a:p>
          <a:endParaRPr lang="ru-RU"/>
        </a:p>
      </dgm:t>
    </dgm:pt>
    <dgm:pt modelId="{4B574665-9EE4-47D9-AFC8-FBBBD0EE41F9}" type="pres">
      <dgm:prSet presAssocID="{8BA4AD24-2CB3-4086-9245-457DFBFDFD66}" presName="descendantText" presStyleLbl="alignAccFollowNode1" presStyleIdx="3" presStyleCnt="4">
        <dgm:presLayoutVars>
          <dgm:bulletEnabled val="1"/>
        </dgm:presLayoutVars>
      </dgm:prSet>
      <dgm:spPr/>
      <dgm:t>
        <a:bodyPr/>
        <a:lstStyle/>
        <a:p>
          <a:endParaRPr lang="ru-RU"/>
        </a:p>
      </dgm:t>
    </dgm:pt>
  </dgm:ptLst>
  <dgm:cxnLst>
    <dgm:cxn modelId="{13045762-C647-4920-8EFE-F0FB14302646}" type="presOf" srcId="{06AB34B3-E15D-4233-B5D7-FC728BD8645C}" destId="{8CEA2B42-5AE5-47E5-9A35-019CD2461352}" srcOrd="0" destOrd="0" presId="urn:microsoft.com/office/officeart/2005/8/layout/vList5"/>
    <dgm:cxn modelId="{031C53D6-F384-44C3-AAD7-3213508B9867}" type="presOf" srcId="{8BA4AD24-2CB3-4086-9245-457DFBFDFD66}" destId="{12E9799E-D8F9-478C-ADE4-0E464D1A5266}" srcOrd="0" destOrd="0" presId="urn:microsoft.com/office/officeart/2005/8/layout/vList5"/>
    <dgm:cxn modelId="{420CB8D4-C0FE-4094-A50C-4ACA0FE62605}" type="presOf" srcId="{CEC5AF44-CED9-4AE6-A434-0D3B194D2F10}" destId="{5A3E1FA3-768A-4FDC-8151-A3A7C2DF58F6}" srcOrd="0" destOrd="0" presId="urn:microsoft.com/office/officeart/2005/8/layout/vList5"/>
    <dgm:cxn modelId="{C19AB7EC-1185-4F27-A96E-AB494621F092}" srcId="{393E82B3-D660-4B61-AF00-6E617B1FFC92}" destId="{F514E127-6125-43AC-BED9-AF2E5798E0C8}" srcOrd="0" destOrd="0" parTransId="{8666B2C8-933F-4D9B-B8F9-843D04D7D83D}" sibTransId="{F5EB008E-8BC8-4941-B168-0F96CE9D94E2}"/>
    <dgm:cxn modelId="{5739CD79-9BB7-4B2C-B159-EB8AC18D2E95}" srcId="{CEC5AF44-CED9-4AE6-A434-0D3B194D2F10}" destId="{38E01D48-A157-40ED-A2F5-854E181F20F5}" srcOrd="2" destOrd="0" parTransId="{4DABF613-637B-4E99-9E91-7861E61491E5}" sibTransId="{D001910B-18E0-4533-B6B9-4915D40D2A4C}"/>
    <dgm:cxn modelId="{33C5EC6E-F67C-496D-81F9-B4D068FF0ED6}" type="presOf" srcId="{F514E127-6125-43AC-BED9-AF2E5798E0C8}" destId="{294C0EFF-9FC4-46B2-AE60-C9761106785A}" srcOrd="0" destOrd="0" presId="urn:microsoft.com/office/officeart/2005/8/layout/vList5"/>
    <dgm:cxn modelId="{1E2E5B54-AB90-41B1-92A6-4E6E2600C71A}" type="presOf" srcId="{D50292CD-4895-4C23-8587-44CF99661F26}" destId="{4B574665-9EE4-47D9-AFC8-FBBBD0EE41F9}" srcOrd="0" destOrd="0" presId="urn:microsoft.com/office/officeart/2005/8/layout/vList5"/>
    <dgm:cxn modelId="{6D4FF4D1-528C-4A37-A384-B7E4E6EE4683}" srcId="{38E01D48-A157-40ED-A2F5-854E181F20F5}" destId="{BFE9C122-C804-4862-A324-DC8C001E953B}" srcOrd="0" destOrd="0" parTransId="{95EA7E05-D71E-40FB-ADA3-9FC26BBD34FC}" sibTransId="{EF03A54B-B1D5-43FC-B704-E01FCAF92630}"/>
    <dgm:cxn modelId="{F24DA305-690B-45FE-B66C-FCF4A4B2FBAD}" srcId="{CEC5AF44-CED9-4AE6-A434-0D3B194D2F10}" destId="{7AF72B25-589C-479C-A4B6-E162FA1C65F7}" srcOrd="1" destOrd="0" parTransId="{34D58C0A-C614-4730-9CB1-DDDD6AA34BC4}" sibTransId="{D8EB43A3-7851-4D90-BD8C-964AD9453726}"/>
    <dgm:cxn modelId="{190DE3F5-8F05-4639-A556-4A556288DDF3}" srcId="{8BA4AD24-2CB3-4086-9245-457DFBFDFD66}" destId="{D50292CD-4895-4C23-8587-44CF99661F26}" srcOrd="0" destOrd="0" parTransId="{563111FC-DF61-4BE9-88C3-C092E51DA703}" sibTransId="{AEDB4A78-0011-429F-96A3-F7C6F548B954}"/>
    <dgm:cxn modelId="{1E7EC6FA-36B8-4499-B0B1-FF3D29C5FA2B}" type="presOf" srcId="{38E01D48-A157-40ED-A2F5-854E181F20F5}" destId="{4693E9DA-BDF8-4EEE-B829-56E2CC33DE06}" srcOrd="0" destOrd="0" presId="urn:microsoft.com/office/officeart/2005/8/layout/vList5"/>
    <dgm:cxn modelId="{D850B0CA-AA5F-40D8-B2D5-8C805252CD7C}" srcId="{7AF72B25-589C-479C-A4B6-E162FA1C65F7}" destId="{06AB34B3-E15D-4233-B5D7-FC728BD8645C}" srcOrd="0" destOrd="0" parTransId="{856E1D53-5626-4938-A1EC-8F12D1C80117}" sibTransId="{434FD108-808A-4A77-AC26-3D6C0F7AF0E7}"/>
    <dgm:cxn modelId="{F1FB3EDF-1C86-47AE-9E34-AD859BDD74B4}" type="presOf" srcId="{BFE9C122-C804-4862-A324-DC8C001E953B}" destId="{0C7BB2F0-200D-4F32-AEDE-64B638C01756}" srcOrd="0" destOrd="0" presId="urn:microsoft.com/office/officeart/2005/8/layout/vList5"/>
    <dgm:cxn modelId="{C8914BAD-7031-4259-83AC-687E4EA8F160}" type="presOf" srcId="{7AF72B25-589C-479C-A4B6-E162FA1C65F7}" destId="{C2DB776C-B6E3-4EF3-BCF9-7F60D3757753}" srcOrd="0" destOrd="0" presId="urn:microsoft.com/office/officeart/2005/8/layout/vList5"/>
    <dgm:cxn modelId="{B3AC72C0-5C18-4C81-BD1D-D2C766F1D463}" srcId="{CEC5AF44-CED9-4AE6-A434-0D3B194D2F10}" destId="{393E82B3-D660-4B61-AF00-6E617B1FFC92}" srcOrd="0" destOrd="0" parTransId="{DC90FA2F-AE27-49AB-9A55-C433C1848DAE}" sibTransId="{11D3B733-241B-445A-A431-667997BEAF00}"/>
    <dgm:cxn modelId="{7DF58DD3-132F-4F5B-AD43-2DA95E8EC1AF}" type="presOf" srcId="{393E82B3-D660-4B61-AF00-6E617B1FFC92}" destId="{A449851A-8869-4FD2-B753-DC71C0EF444F}" srcOrd="0" destOrd="0" presId="urn:microsoft.com/office/officeart/2005/8/layout/vList5"/>
    <dgm:cxn modelId="{8C7FF5C3-FBCD-43C0-AC2A-B4809099DC03}" srcId="{CEC5AF44-CED9-4AE6-A434-0D3B194D2F10}" destId="{8BA4AD24-2CB3-4086-9245-457DFBFDFD66}" srcOrd="3" destOrd="0" parTransId="{F40E4DA2-A336-40CF-A910-C733FD422649}" sibTransId="{67B70B77-9907-46C8-BBB3-B4142696C8C7}"/>
    <dgm:cxn modelId="{83AE5AA5-B911-4023-99A6-E18842AE52F7}" type="presParOf" srcId="{5A3E1FA3-768A-4FDC-8151-A3A7C2DF58F6}" destId="{9FFF1E11-DEBF-452B-91E1-555551075E83}" srcOrd="0" destOrd="0" presId="urn:microsoft.com/office/officeart/2005/8/layout/vList5"/>
    <dgm:cxn modelId="{C77C30A9-D051-4050-9731-A6531F03F422}" type="presParOf" srcId="{9FFF1E11-DEBF-452B-91E1-555551075E83}" destId="{A449851A-8869-4FD2-B753-DC71C0EF444F}" srcOrd="0" destOrd="0" presId="urn:microsoft.com/office/officeart/2005/8/layout/vList5"/>
    <dgm:cxn modelId="{E3AF8BA9-BA1A-4ED4-8B2E-240DC2CFEFA5}" type="presParOf" srcId="{9FFF1E11-DEBF-452B-91E1-555551075E83}" destId="{294C0EFF-9FC4-46B2-AE60-C9761106785A}" srcOrd="1" destOrd="0" presId="urn:microsoft.com/office/officeart/2005/8/layout/vList5"/>
    <dgm:cxn modelId="{91FF711E-F64A-4442-A016-AE51EE480CF4}" type="presParOf" srcId="{5A3E1FA3-768A-4FDC-8151-A3A7C2DF58F6}" destId="{D4D04457-FCE2-4633-B082-D4A854A2C9CE}" srcOrd="1" destOrd="0" presId="urn:microsoft.com/office/officeart/2005/8/layout/vList5"/>
    <dgm:cxn modelId="{2317D815-C99E-46A5-B5C4-1310DA96B9A9}" type="presParOf" srcId="{5A3E1FA3-768A-4FDC-8151-A3A7C2DF58F6}" destId="{B2D934CB-D457-47D2-A584-B801A3C176F9}" srcOrd="2" destOrd="0" presId="urn:microsoft.com/office/officeart/2005/8/layout/vList5"/>
    <dgm:cxn modelId="{DD54DB8C-8CAB-402C-91AA-7BF110C93C19}" type="presParOf" srcId="{B2D934CB-D457-47D2-A584-B801A3C176F9}" destId="{C2DB776C-B6E3-4EF3-BCF9-7F60D3757753}" srcOrd="0" destOrd="0" presId="urn:microsoft.com/office/officeart/2005/8/layout/vList5"/>
    <dgm:cxn modelId="{E2385F17-057B-4B21-AAA6-92A19DC10548}" type="presParOf" srcId="{B2D934CB-D457-47D2-A584-B801A3C176F9}" destId="{8CEA2B42-5AE5-47E5-9A35-019CD2461352}" srcOrd="1" destOrd="0" presId="urn:microsoft.com/office/officeart/2005/8/layout/vList5"/>
    <dgm:cxn modelId="{B0B5AE29-BF57-4874-BC21-A2F86E459B06}" type="presParOf" srcId="{5A3E1FA3-768A-4FDC-8151-A3A7C2DF58F6}" destId="{979FF3E4-E89D-4F8A-BA2B-4EEA3DF73697}" srcOrd="3" destOrd="0" presId="urn:microsoft.com/office/officeart/2005/8/layout/vList5"/>
    <dgm:cxn modelId="{9B6BB646-A64E-4546-83E6-C6C10863BF18}" type="presParOf" srcId="{5A3E1FA3-768A-4FDC-8151-A3A7C2DF58F6}" destId="{30BA3670-5EF7-4C77-8B12-6DADA33B102B}" srcOrd="4" destOrd="0" presId="urn:microsoft.com/office/officeart/2005/8/layout/vList5"/>
    <dgm:cxn modelId="{A4900580-F36A-43D6-8F0B-FEB6322376EA}" type="presParOf" srcId="{30BA3670-5EF7-4C77-8B12-6DADA33B102B}" destId="{4693E9DA-BDF8-4EEE-B829-56E2CC33DE06}" srcOrd="0" destOrd="0" presId="urn:microsoft.com/office/officeart/2005/8/layout/vList5"/>
    <dgm:cxn modelId="{855F25F5-89B6-4418-955A-3E06C67C1E4D}" type="presParOf" srcId="{30BA3670-5EF7-4C77-8B12-6DADA33B102B}" destId="{0C7BB2F0-200D-4F32-AEDE-64B638C01756}" srcOrd="1" destOrd="0" presId="urn:microsoft.com/office/officeart/2005/8/layout/vList5"/>
    <dgm:cxn modelId="{A8FB35F1-4785-4EFF-8014-B12A682699EF}" type="presParOf" srcId="{5A3E1FA3-768A-4FDC-8151-A3A7C2DF58F6}" destId="{AE28F5AE-3AEF-4745-B337-2C378A5BBEA5}" srcOrd="5" destOrd="0" presId="urn:microsoft.com/office/officeart/2005/8/layout/vList5"/>
    <dgm:cxn modelId="{59FA2833-8988-4442-A3A1-46857B9A0055}" type="presParOf" srcId="{5A3E1FA3-768A-4FDC-8151-A3A7C2DF58F6}" destId="{2898602F-7389-458D-A3BA-928B9032CB70}" srcOrd="6" destOrd="0" presId="urn:microsoft.com/office/officeart/2005/8/layout/vList5"/>
    <dgm:cxn modelId="{B0881567-4579-4843-A731-B0A2DBFBE9D8}" type="presParOf" srcId="{2898602F-7389-458D-A3BA-928B9032CB70}" destId="{12E9799E-D8F9-478C-ADE4-0E464D1A5266}" srcOrd="0" destOrd="0" presId="urn:microsoft.com/office/officeart/2005/8/layout/vList5"/>
    <dgm:cxn modelId="{8BC82060-A3FF-4BF2-8FDD-891EAD60451D}" type="presParOf" srcId="{2898602F-7389-458D-A3BA-928B9032CB70}" destId="{4B574665-9EE4-47D9-AFC8-FBBBD0EE41F9}" srcOrd="1" destOrd="0" presId="urn:microsoft.com/office/officeart/2005/8/layout/vList5"/>
  </dgm:cxnLst>
  <dgm:bg/>
  <dgm:whole/>
  <dgm:extLst>
    <a:ext uri="http://schemas.microsoft.com/office/drawing/2008/diagram">
      <dsp:dataModelExt xmlns:dsp="http://schemas.microsoft.com/office/drawing/2008/diagram" relId="rId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117B45B-0109-4B1A-B188-556B8E911EC8}" type="doc">
      <dgm:prSet loTypeId="urn:microsoft.com/office/officeart/2005/8/layout/default" loCatId="list" qsTypeId="urn:microsoft.com/office/officeart/2005/8/quickstyle/simple3" qsCatId="simple" csTypeId="urn:microsoft.com/office/officeart/2005/8/colors/accent0_1" csCatId="mainScheme" phldr="1"/>
      <dgm:spPr/>
      <dgm:t>
        <a:bodyPr/>
        <a:lstStyle/>
        <a:p>
          <a:endParaRPr lang="ru-RU"/>
        </a:p>
      </dgm:t>
    </dgm:pt>
    <dgm:pt modelId="{0D748F94-C0F2-4760-8C19-779CDE686FBF}">
      <dgm:prSet phldrT="[Текст]" custT="1"/>
      <dgm:spPr/>
      <dgm:t>
        <a:bodyPr/>
        <a:lstStyle/>
        <a:p>
          <a:r>
            <a:rPr lang="ru-RU" sz="1200">
              <a:latin typeface="Times New Roman" panose="02020603050405020304" pitchFamily="18" charset="0"/>
              <a:cs typeface="Times New Roman" panose="02020603050405020304" pitchFamily="18" charset="0"/>
            </a:rPr>
            <a:t>Обеспечение стабильность валютного курса</a:t>
          </a:r>
        </a:p>
      </dgm:t>
    </dgm:pt>
    <dgm:pt modelId="{3C868477-EE11-4473-9F25-42DE74094EFD}" type="parTrans" cxnId="{17CA08F8-6B86-4AAA-A3C3-73B16F29567A}">
      <dgm:prSet/>
      <dgm:spPr/>
      <dgm:t>
        <a:bodyPr/>
        <a:lstStyle/>
        <a:p>
          <a:endParaRPr lang="ru-RU"/>
        </a:p>
      </dgm:t>
    </dgm:pt>
    <dgm:pt modelId="{9B496826-AC05-4B23-BAA5-EF846309038F}" type="sibTrans" cxnId="{17CA08F8-6B86-4AAA-A3C3-73B16F29567A}">
      <dgm:prSet/>
      <dgm:spPr/>
      <dgm:t>
        <a:bodyPr/>
        <a:lstStyle/>
        <a:p>
          <a:endParaRPr lang="ru-RU"/>
        </a:p>
      </dgm:t>
    </dgm:pt>
    <dgm:pt modelId="{481A536C-4523-472A-8E39-E5692C272944}">
      <dgm:prSet phldrT="[Текст]" custT="1"/>
      <dgm:spPr/>
      <dgm:t>
        <a:bodyPr/>
        <a:lstStyle/>
        <a:p>
          <a:r>
            <a:rPr lang="ru-RU" sz="1200" baseline="0">
              <a:latin typeface="Times New Roman" panose="02020603050405020304" pitchFamily="18" charset="0"/>
              <a:cs typeface="Times New Roman" panose="02020603050405020304" pitchFamily="18" charset="0"/>
            </a:rPr>
            <a:t>Организация надежной системы расчетов и кассовго обслуживания</a:t>
          </a:r>
        </a:p>
      </dgm:t>
    </dgm:pt>
    <dgm:pt modelId="{2FA543C3-D5BD-4DC3-B8DB-6B3023D8D403}" type="parTrans" cxnId="{3C64F02F-BC20-4673-954B-A114873E3689}">
      <dgm:prSet/>
      <dgm:spPr/>
      <dgm:t>
        <a:bodyPr/>
        <a:lstStyle/>
        <a:p>
          <a:endParaRPr lang="ru-RU"/>
        </a:p>
      </dgm:t>
    </dgm:pt>
    <dgm:pt modelId="{BF84438D-2292-48D6-A3DA-4B4D74B39AB6}" type="sibTrans" cxnId="{3C64F02F-BC20-4673-954B-A114873E3689}">
      <dgm:prSet/>
      <dgm:spPr/>
      <dgm:t>
        <a:bodyPr/>
        <a:lstStyle/>
        <a:p>
          <a:endParaRPr lang="ru-RU"/>
        </a:p>
      </dgm:t>
    </dgm:pt>
    <dgm:pt modelId="{9B8E22AF-D8FA-48B0-ACD3-B575F61CD281}">
      <dgm:prSet phldrT="[Текст]" custT="1"/>
      <dgm:spPr/>
      <dgm:t>
        <a:bodyPr/>
        <a:lstStyle/>
        <a:p>
          <a:r>
            <a:rPr lang="ru-RU" sz="1200" baseline="0">
              <a:latin typeface="Times New Roman" panose="02020603050405020304" pitchFamily="18" charset="0"/>
            </a:rPr>
            <a:t>Контроль за капитальными операциями субъектов рынка</a:t>
          </a:r>
        </a:p>
      </dgm:t>
    </dgm:pt>
    <dgm:pt modelId="{6652808F-8191-41DA-BBE0-404352301179}" type="parTrans" cxnId="{8C838440-1549-4C6B-9A54-F2B92C25D5A8}">
      <dgm:prSet/>
      <dgm:spPr/>
      <dgm:t>
        <a:bodyPr/>
        <a:lstStyle/>
        <a:p>
          <a:endParaRPr lang="ru-RU"/>
        </a:p>
      </dgm:t>
    </dgm:pt>
    <dgm:pt modelId="{96EF9761-8BE5-4567-BC32-5A07EDB315F2}" type="sibTrans" cxnId="{8C838440-1549-4C6B-9A54-F2B92C25D5A8}">
      <dgm:prSet/>
      <dgm:spPr/>
      <dgm:t>
        <a:bodyPr/>
        <a:lstStyle/>
        <a:p>
          <a:endParaRPr lang="ru-RU"/>
        </a:p>
      </dgm:t>
    </dgm:pt>
    <dgm:pt modelId="{A77526B2-97A9-467E-A2BC-D65D5376BD9B}">
      <dgm:prSet phldrT="[Текст]" custT="1"/>
      <dgm:spPr/>
      <dgm:t>
        <a:bodyPr/>
        <a:lstStyle/>
        <a:p>
          <a:r>
            <a:rPr lang="ru-RU" sz="1200">
              <a:latin typeface="Times New Roman" panose="02020603050405020304" pitchFamily="18" charset="0"/>
              <a:cs typeface="Times New Roman" panose="02020603050405020304" pitchFamily="18" charset="0"/>
            </a:rPr>
            <a:t>Поддержание функционирования коммерческих банков</a:t>
          </a:r>
        </a:p>
      </dgm:t>
    </dgm:pt>
    <dgm:pt modelId="{0F5A25C6-A2FB-4866-BA02-2E3D8E50A088}" type="parTrans" cxnId="{E3A9CBA1-4040-4B70-B2F1-DBA0E6FC071E}">
      <dgm:prSet/>
      <dgm:spPr/>
      <dgm:t>
        <a:bodyPr/>
        <a:lstStyle/>
        <a:p>
          <a:endParaRPr lang="ru-RU"/>
        </a:p>
      </dgm:t>
    </dgm:pt>
    <dgm:pt modelId="{DB306F76-442D-4EB5-9B22-513F6EA0B4B5}" type="sibTrans" cxnId="{E3A9CBA1-4040-4B70-B2F1-DBA0E6FC071E}">
      <dgm:prSet/>
      <dgm:spPr/>
      <dgm:t>
        <a:bodyPr/>
        <a:lstStyle/>
        <a:p>
          <a:endParaRPr lang="ru-RU"/>
        </a:p>
      </dgm:t>
    </dgm:pt>
    <dgm:pt modelId="{CC412382-E0BC-4AAF-B4E9-D6217AED4749}">
      <dgm:prSet phldrT="[Текст]" custT="1"/>
      <dgm:spPr/>
      <dgm:t>
        <a:bodyPr/>
        <a:lstStyle/>
        <a:p>
          <a:r>
            <a:rPr lang="ru-RU" sz="1200">
              <a:latin typeface="Times New Roman" panose="02020603050405020304" pitchFamily="18" charset="0"/>
              <a:cs typeface="Times New Roman" panose="02020603050405020304" pitchFamily="18" charset="0"/>
            </a:rPr>
            <a:t>Действенные меры по обороне интересов вкладчиков</a:t>
          </a:r>
        </a:p>
      </dgm:t>
    </dgm:pt>
    <dgm:pt modelId="{D9A5EEEF-A63A-47FD-A5BD-F03E48ED659A}" type="parTrans" cxnId="{56ABA870-F6DE-4DD4-8920-E67DD27F5A26}">
      <dgm:prSet/>
      <dgm:spPr/>
      <dgm:t>
        <a:bodyPr/>
        <a:lstStyle/>
        <a:p>
          <a:endParaRPr lang="ru-RU"/>
        </a:p>
      </dgm:t>
    </dgm:pt>
    <dgm:pt modelId="{29DDDF6D-CF90-478E-8AE2-D1DBBCEEFFC3}" type="sibTrans" cxnId="{56ABA870-F6DE-4DD4-8920-E67DD27F5A26}">
      <dgm:prSet/>
      <dgm:spPr/>
      <dgm:t>
        <a:bodyPr/>
        <a:lstStyle/>
        <a:p>
          <a:endParaRPr lang="ru-RU"/>
        </a:p>
      </dgm:t>
    </dgm:pt>
    <dgm:pt modelId="{5E3FEF5A-FE32-4BB1-9755-8D850528F950}" type="pres">
      <dgm:prSet presAssocID="{C117B45B-0109-4B1A-B188-556B8E911EC8}" presName="diagram" presStyleCnt="0">
        <dgm:presLayoutVars>
          <dgm:dir val="rev"/>
          <dgm:resizeHandles val="exact"/>
        </dgm:presLayoutVars>
      </dgm:prSet>
      <dgm:spPr/>
      <dgm:t>
        <a:bodyPr/>
        <a:lstStyle/>
        <a:p>
          <a:endParaRPr lang="ru-RU"/>
        </a:p>
      </dgm:t>
    </dgm:pt>
    <dgm:pt modelId="{726AB960-7701-47D6-A811-330AC930C5FF}" type="pres">
      <dgm:prSet presAssocID="{481A536C-4523-472A-8E39-E5692C272944}" presName="node" presStyleLbl="node1" presStyleIdx="0" presStyleCnt="5">
        <dgm:presLayoutVars>
          <dgm:bulletEnabled val="1"/>
        </dgm:presLayoutVars>
      </dgm:prSet>
      <dgm:spPr/>
      <dgm:t>
        <a:bodyPr/>
        <a:lstStyle/>
        <a:p>
          <a:endParaRPr lang="ru-RU"/>
        </a:p>
      </dgm:t>
    </dgm:pt>
    <dgm:pt modelId="{B102D6D8-6227-4E97-A20C-CFA2D7E5A817}" type="pres">
      <dgm:prSet presAssocID="{BF84438D-2292-48D6-A3DA-4B4D74B39AB6}" presName="sibTrans" presStyleCnt="0"/>
      <dgm:spPr/>
    </dgm:pt>
    <dgm:pt modelId="{7AD3867A-A228-42E1-B07C-6323145D7D05}" type="pres">
      <dgm:prSet presAssocID="{0D748F94-C0F2-4760-8C19-779CDE686FBF}" presName="node" presStyleLbl="node1" presStyleIdx="1" presStyleCnt="5">
        <dgm:presLayoutVars>
          <dgm:bulletEnabled val="1"/>
        </dgm:presLayoutVars>
      </dgm:prSet>
      <dgm:spPr/>
      <dgm:t>
        <a:bodyPr/>
        <a:lstStyle/>
        <a:p>
          <a:endParaRPr lang="ru-RU"/>
        </a:p>
      </dgm:t>
    </dgm:pt>
    <dgm:pt modelId="{F07EBAF1-2116-4DE5-B44B-D5979EFA3E6C}" type="pres">
      <dgm:prSet presAssocID="{9B496826-AC05-4B23-BAA5-EF846309038F}" presName="sibTrans" presStyleCnt="0"/>
      <dgm:spPr/>
    </dgm:pt>
    <dgm:pt modelId="{64296507-F34C-4A78-AAB6-A51F5497319D}" type="pres">
      <dgm:prSet presAssocID="{9B8E22AF-D8FA-48B0-ACD3-B575F61CD281}" presName="node" presStyleLbl="node1" presStyleIdx="2" presStyleCnt="5">
        <dgm:presLayoutVars>
          <dgm:bulletEnabled val="1"/>
        </dgm:presLayoutVars>
      </dgm:prSet>
      <dgm:spPr/>
      <dgm:t>
        <a:bodyPr/>
        <a:lstStyle/>
        <a:p>
          <a:endParaRPr lang="ru-RU"/>
        </a:p>
      </dgm:t>
    </dgm:pt>
    <dgm:pt modelId="{010C6516-9EA7-4640-BDBC-463206D0777E}" type="pres">
      <dgm:prSet presAssocID="{96EF9761-8BE5-4567-BC32-5A07EDB315F2}" presName="sibTrans" presStyleCnt="0"/>
      <dgm:spPr/>
    </dgm:pt>
    <dgm:pt modelId="{34F7BFA2-5C8E-421A-B6C6-C058E29CA798}" type="pres">
      <dgm:prSet presAssocID="{A77526B2-97A9-467E-A2BC-D65D5376BD9B}" presName="node" presStyleLbl="node1" presStyleIdx="3" presStyleCnt="5">
        <dgm:presLayoutVars>
          <dgm:bulletEnabled val="1"/>
        </dgm:presLayoutVars>
      </dgm:prSet>
      <dgm:spPr/>
      <dgm:t>
        <a:bodyPr/>
        <a:lstStyle/>
        <a:p>
          <a:endParaRPr lang="ru-RU"/>
        </a:p>
      </dgm:t>
    </dgm:pt>
    <dgm:pt modelId="{22E9704C-28B9-4637-B986-C1662125991B}" type="pres">
      <dgm:prSet presAssocID="{DB306F76-442D-4EB5-9B22-513F6EA0B4B5}" presName="sibTrans" presStyleCnt="0"/>
      <dgm:spPr/>
    </dgm:pt>
    <dgm:pt modelId="{8D425698-A8A5-4830-BD58-7FC85B2608E6}" type="pres">
      <dgm:prSet presAssocID="{CC412382-E0BC-4AAF-B4E9-D6217AED4749}" presName="node" presStyleLbl="node1" presStyleIdx="4" presStyleCnt="5">
        <dgm:presLayoutVars>
          <dgm:bulletEnabled val="1"/>
        </dgm:presLayoutVars>
      </dgm:prSet>
      <dgm:spPr/>
      <dgm:t>
        <a:bodyPr/>
        <a:lstStyle/>
        <a:p>
          <a:endParaRPr lang="ru-RU"/>
        </a:p>
      </dgm:t>
    </dgm:pt>
  </dgm:ptLst>
  <dgm:cxnLst>
    <dgm:cxn modelId="{56ABA870-F6DE-4DD4-8920-E67DD27F5A26}" srcId="{C117B45B-0109-4B1A-B188-556B8E911EC8}" destId="{CC412382-E0BC-4AAF-B4E9-D6217AED4749}" srcOrd="4" destOrd="0" parTransId="{D9A5EEEF-A63A-47FD-A5BD-F03E48ED659A}" sibTransId="{29DDDF6D-CF90-478E-8AE2-D1DBBCEEFFC3}"/>
    <dgm:cxn modelId="{0F164D61-685D-4845-A349-E0578AA78EF9}" type="presOf" srcId="{481A536C-4523-472A-8E39-E5692C272944}" destId="{726AB960-7701-47D6-A811-330AC930C5FF}" srcOrd="0" destOrd="0" presId="urn:microsoft.com/office/officeart/2005/8/layout/default"/>
    <dgm:cxn modelId="{718C9422-77A1-4649-B2F1-7EF7822AD894}" type="presOf" srcId="{0D748F94-C0F2-4760-8C19-779CDE686FBF}" destId="{7AD3867A-A228-42E1-B07C-6323145D7D05}" srcOrd="0" destOrd="0" presId="urn:microsoft.com/office/officeart/2005/8/layout/default"/>
    <dgm:cxn modelId="{8C838440-1549-4C6B-9A54-F2B92C25D5A8}" srcId="{C117B45B-0109-4B1A-B188-556B8E911EC8}" destId="{9B8E22AF-D8FA-48B0-ACD3-B575F61CD281}" srcOrd="2" destOrd="0" parTransId="{6652808F-8191-41DA-BBE0-404352301179}" sibTransId="{96EF9761-8BE5-4567-BC32-5A07EDB315F2}"/>
    <dgm:cxn modelId="{D43C7BF5-A842-4067-8E9A-8412A8D6FA91}" type="presOf" srcId="{C117B45B-0109-4B1A-B188-556B8E911EC8}" destId="{5E3FEF5A-FE32-4BB1-9755-8D850528F950}" srcOrd="0" destOrd="0" presId="urn:microsoft.com/office/officeart/2005/8/layout/default"/>
    <dgm:cxn modelId="{E3A9CBA1-4040-4B70-B2F1-DBA0E6FC071E}" srcId="{C117B45B-0109-4B1A-B188-556B8E911EC8}" destId="{A77526B2-97A9-467E-A2BC-D65D5376BD9B}" srcOrd="3" destOrd="0" parTransId="{0F5A25C6-A2FB-4866-BA02-2E3D8E50A088}" sibTransId="{DB306F76-442D-4EB5-9B22-513F6EA0B4B5}"/>
    <dgm:cxn modelId="{89335B83-3118-4D1C-AF7B-7F2B943B8A7D}" type="presOf" srcId="{A77526B2-97A9-467E-A2BC-D65D5376BD9B}" destId="{34F7BFA2-5C8E-421A-B6C6-C058E29CA798}" srcOrd="0" destOrd="0" presId="urn:microsoft.com/office/officeart/2005/8/layout/default"/>
    <dgm:cxn modelId="{17CA08F8-6B86-4AAA-A3C3-73B16F29567A}" srcId="{C117B45B-0109-4B1A-B188-556B8E911EC8}" destId="{0D748F94-C0F2-4760-8C19-779CDE686FBF}" srcOrd="1" destOrd="0" parTransId="{3C868477-EE11-4473-9F25-42DE74094EFD}" sibTransId="{9B496826-AC05-4B23-BAA5-EF846309038F}"/>
    <dgm:cxn modelId="{3C64F02F-BC20-4673-954B-A114873E3689}" srcId="{C117B45B-0109-4B1A-B188-556B8E911EC8}" destId="{481A536C-4523-472A-8E39-E5692C272944}" srcOrd="0" destOrd="0" parTransId="{2FA543C3-D5BD-4DC3-B8DB-6B3023D8D403}" sibTransId="{BF84438D-2292-48D6-A3DA-4B4D74B39AB6}"/>
    <dgm:cxn modelId="{B7615A65-3ED1-47DF-A646-DF5B4FC6D6B3}" type="presOf" srcId="{CC412382-E0BC-4AAF-B4E9-D6217AED4749}" destId="{8D425698-A8A5-4830-BD58-7FC85B2608E6}" srcOrd="0" destOrd="0" presId="urn:microsoft.com/office/officeart/2005/8/layout/default"/>
    <dgm:cxn modelId="{012E4BD6-FC86-4420-8CE4-18DDAFEE8413}" type="presOf" srcId="{9B8E22AF-D8FA-48B0-ACD3-B575F61CD281}" destId="{64296507-F34C-4A78-AAB6-A51F5497319D}" srcOrd="0" destOrd="0" presId="urn:microsoft.com/office/officeart/2005/8/layout/default"/>
    <dgm:cxn modelId="{37BAE62D-1902-4551-86A4-A47AF8B3488B}" type="presParOf" srcId="{5E3FEF5A-FE32-4BB1-9755-8D850528F950}" destId="{726AB960-7701-47D6-A811-330AC930C5FF}" srcOrd="0" destOrd="0" presId="urn:microsoft.com/office/officeart/2005/8/layout/default"/>
    <dgm:cxn modelId="{D6F425D6-32CF-4436-AE8F-25D0E6D01E90}" type="presParOf" srcId="{5E3FEF5A-FE32-4BB1-9755-8D850528F950}" destId="{B102D6D8-6227-4E97-A20C-CFA2D7E5A817}" srcOrd="1" destOrd="0" presId="urn:microsoft.com/office/officeart/2005/8/layout/default"/>
    <dgm:cxn modelId="{0B831F3E-F61A-4D3C-B8DE-EAC83E31738C}" type="presParOf" srcId="{5E3FEF5A-FE32-4BB1-9755-8D850528F950}" destId="{7AD3867A-A228-42E1-B07C-6323145D7D05}" srcOrd="2" destOrd="0" presId="urn:microsoft.com/office/officeart/2005/8/layout/default"/>
    <dgm:cxn modelId="{37422AA5-4B08-4669-8503-2C6EF82CFD77}" type="presParOf" srcId="{5E3FEF5A-FE32-4BB1-9755-8D850528F950}" destId="{F07EBAF1-2116-4DE5-B44B-D5979EFA3E6C}" srcOrd="3" destOrd="0" presId="urn:microsoft.com/office/officeart/2005/8/layout/default"/>
    <dgm:cxn modelId="{F60E2CA5-7892-401A-AC5A-F9A6C346E7A2}" type="presParOf" srcId="{5E3FEF5A-FE32-4BB1-9755-8D850528F950}" destId="{64296507-F34C-4A78-AAB6-A51F5497319D}" srcOrd="4" destOrd="0" presId="urn:microsoft.com/office/officeart/2005/8/layout/default"/>
    <dgm:cxn modelId="{EB983E7C-8B26-49D2-97A4-29FF0AF56663}" type="presParOf" srcId="{5E3FEF5A-FE32-4BB1-9755-8D850528F950}" destId="{010C6516-9EA7-4640-BDBC-463206D0777E}" srcOrd="5" destOrd="0" presId="urn:microsoft.com/office/officeart/2005/8/layout/default"/>
    <dgm:cxn modelId="{B9F21BCD-B3BB-4550-BF23-C0DDBBA03134}" type="presParOf" srcId="{5E3FEF5A-FE32-4BB1-9755-8D850528F950}" destId="{34F7BFA2-5C8E-421A-B6C6-C058E29CA798}" srcOrd="6" destOrd="0" presId="urn:microsoft.com/office/officeart/2005/8/layout/default"/>
    <dgm:cxn modelId="{15ED32C1-3016-40CA-B29E-CA62884EE811}" type="presParOf" srcId="{5E3FEF5A-FE32-4BB1-9755-8D850528F950}" destId="{22E9704C-28B9-4637-B986-C1662125991B}" srcOrd="7" destOrd="0" presId="urn:microsoft.com/office/officeart/2005/8/layout/default"/>
    <dgm:cxn modelId="{5BF49D1F-0CB0-4B22-B6E6-2B35A60AC63D}" type="presParOf" srcId="{5E3FEF5A-FE32-4BB1-9755-8D850528F950}" destId="{8D425698-A8A5-4830-BD58-7FC85B2608E6}" srcOrd="8" destOrd="0" presId="urn:microsoft.com/office/officeart/2005/8/layout/defaul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4C0EFF-9FC4-46B2-AE60-C9761106785A}">
      <dsp:nvSpPr>
        <dsp:cNvPr id="0" name=""/>
        <dsp:cNvSpPr/>
      </dsp:nvSpPr>
      <dsp:spPr>
        <a:xfrm rot="5400000">
          <a:off x="3649253" y="-1527319"/>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Покупка/продажа государственных ценных бумаг для воздействия на денежную базу;</a:t>
          </a:r>
        </a:p>
      </dsp:txBody>
      <dsp:txXfrm rot="-5400000">
        <a:off x="2060144" y="85429"/>
        <a:ext cx="3638837" cy="436978"/>
      </dsp:txXfrm>
    </dsp:sp>
    <dsp:sp modelId="{A449851A-8869-4FD2-B753-DC71C0EF444F}">
      <dsp:nvSpPr>
        <dsp:cNvPr id="0" name=""/>
        <dsp:cNvSpPr/>
      </dsp:nvSpPr>
      <dsp:spPr>
        <a:xfrm>
          <a:off x="0" y="1258"/>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Операции на открытом рынке </a:t>
          </a:r>
        </a:p>
      </dsp:txBody>
      <dsp:txXfrm>
        <a:off x="29549" y="30807"/>
        <a:ext cx="2001045" cy="546223"/>
      </dsp:txXfrm>
    </dsp:sp>
    <dsp:sp modelId="{8CEA2B42-5AE5-47E5-9A35-019CD2461352}">
      <dsp:nvSpPr>
        <dsp:cNvPr id="0" name=""/>
        <dsp:cNvSpPr/>
      </dsp:nvSpPr>
      <dsp:spPr>
        <a:xfrm rot="5400000">
          <a:off x="3649253" y="-891732"/>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Политика "стерилизации" денежной базы;</a:t>
          </a:r>
        </a:p>
      </dsp:txBody>
      <dsp:txXfrm rot="-5400000">
        <a:off x="2060144" y="721016"/>
        <a:ext cx="3638837" cy="436978"/>
      </dsp:txXfrm>
    </dsp:sp>
    <dsp:sp modelId="{C2DB776C-B6E3-4EF3-BCF9-7F60D3757753}">
      <dsp:nvSpPr>
        <dsp:cNvPr id="0" name=""/>
        <dsp:cNvSpPr/>
      </dsp:nvSpPr>
      <dsp:spPr>
        <a:xfrm>
          <a:off x="0" y="636845"/>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Интервенции на валютном рынке</a:t>
          </a:r>
        </a:p>
      </dsp:txBody>
      <dsp:txXfrm>
        <a:off x="29549" y="666394"/>
        <a:ext cx="2001045" cy="546223"/>
      </dsp:txXfrm>
    </dsp:sp>
    <dsp:sp modelId="{0C7BB2F0-200D-4F32-AEDE-64B638C01756}">
      <dsp:nvSpPr>
        <dsp:cNvPr id="0" name=""/>
        <dsp:cNvSpPr/>
      </dsp:nvSpPr>
      <dsp:spPr>
        <a:xfrm rot="5400000">
          <a:off x="3649253" y="-256144"/>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Изменение объемов кредитных возможностей коммерческих банков. </a:t>
          </a:r>
        </a:p>
      </dsp:txBody>
      <dsp:txXfrm rot="-5400000">
        <a:off x="2060144" y="1356604"/>
        <a:ext cx="3638837" cy="436978"/>
      </dsp:txXfrm>
    </dsp:sp>
    <dsp:sp modelId="{4693E9DA-BDF8-4EEE-B829-56E2CC33DE06}">
      <dsp:nvSpPr>
        <dsp:cNvPr id="0" name=""/>
        <dsp:cNvSpPr/>
      </dsp:nvSpPr>
      <dsp:spPr>
        <a:xfrm>
          <a:off x="0" y="1272433"/>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Норма обязательных резервов</a:t>
          </a:r>
        </a:p>
      </dsp:txBody>
      <dsp:txXfrm>
        <a:off x="29549" y="1301982"/>
        <a:ext cx="2001045" cy="546223"/>
      </dsp:txXfrm>
    </dsp:sp>
    <dsp:sp modelId="{4B574665-9EE4-47D9-AFC8-FBBBD0EE41F9}">
      <dsp:nvSpPr>
        <dsp:cNvPr id="0" name=""/>
        <dsp:cNvSpPr/>
      </dsp:nvSpPr>
      <dsp:spPr>
        <a:xfrm rot="5400000">
          <a:off x="3649253" y="379442"/>
          <a:ext cx="484256" cy="3662476"/>
        </a:xfrm>
        <a:prstGeom prst="round2SameRect">
          <a:avLst/>
        </a:prstGeom>
        <a:solidFill>
          <a:sysClr val="window" lastClr="FFFFFF">
            <a:alpha val="90000"/>
            <a:tint val="40000"/>
            <a:hueOff val="0"/>
            <a:satOff val="0"/>
            <a:lumOff val="0"/>
            <a:alphaOff val="0"/>
          </a:sysClr>
        </a:solidFill>
        <a:ln w="6350" cap="flat" cmpd="sng" algn="ctr">
          <a:solidFill>
            <a:srgbClr val="A5A5A5">
              <a:alpha val="90000"/>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Воздействие ЦБ на ставки межбанковского рынка и другие процентные ставки при помощи политики процентной ставки; </a:t>
          </a:r>
        </a:p>
      </dsp:txBody>
      <dsp:txXfrm rot="-5400000">
        <a:off x="2060144" y="1992191"/>
        <a:ext cx="3638837" cy="436978"/>
      </dsp:txXfrm>
    </dsp:sp>
    <dsp:sp modelId="{12E9799E-D8F9-478C-ADE4-0E464D1A5266}">
      <dsp:nvSpPr>
        <dsp:cNvPr id="0" name=""/>
        <dsp:cNvSpPr/>
      </dsp:nvSpPr>
      <dsp:spPr>
        <a:xfrm>
          <a:off x="0" y="1908020"/>
          <a:ext cx="2060143" cy="605321"/>
        </a:xfrm>
        <a:prstGeom prst="roundRect">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4. Ставка рефинансирования</a:t>
          </a:r>
        </a:p>
      </dsp:txBody>
      <dsp:txXfrm>
        <a:off x="29549" y="1937569"/>
        <a:ext cx="2001045" cy="54622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6AB960-7701-47D6-A811-330AC930C5FF}">
      <dsp:nvSpPr>
        <dsp:cNvPr id="0" name=""/>
        <dsp:cNvSpPr/>
      </dsp:nvSpPr>
      <dsp:spPr>
        <a:xfrm>
          <a:off x="3680859" y="519"/>
          <a:ext cx="1353216" cy="8119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baseline="0">
              <a:latin typeface="Times New Roman" panose="02020603050405020304" pitchFamily="18" charset="0"/>
              <a:cs typeface="Times New Roman" panose="02020603050405020304" pitchFamily="18" charset="0"/>
            </a:rPr>
            <a:t>Организация надежной системы расчетов и кассовго обслуживания</a:t>
          </a:r>
        </a:p>
      </dsp:txBody>
      <dsp:txXfrm>
        <a:off x="3680859" y="519"/>
        <a:ext cx="1353216" cy="811929"/>
      </dsp:txXfrm>
    </dsp:sp>
    <dsp:sp modelId="{7AD3867A-A228-42E1-B07C-6323145D7D05}">
      <dsp:nvSpPr>
        <dsp:cNvPr id="0" name=""/>
        <dsp:cNvSpPr/>
      </dsp:nvSpPr>
      <dsp:spPr>
        <a:xfrm>
          <a:off x="2192321" y="519"/>
          <a:ext cx="1353216" cy="8119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Обеспечение стабильность валютного курса</a:t>
          </a:r>
        </a:p>
      </dsp:txBody>
      <dsp:txXfrm>
        <a:off x="2192321" y="519"/>
        <a:ext cx="1353216" cy="811929"/>
      </dsp:txXfrm>
    </dsp:sp>
    <dsp:sp modelId="{64296507-F34C-4A78-AAB6-A51F5497319D}">
      <dsp:nvSpPr>
        <dsp:cNvPr id="0" name=""/>
        <dsp:cNvSpPr/>
      </dsp:nvSpPr>
      <dsp:spPr>
        <a:xfrm>
          <a:off x="703784" y="519"/>
          <a:ext cx="1353216" cy="8119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baseline="0">
              <a:latin typeface="Times New Roman" panose="02020603050405020304" pitchFamily="18" charset="0"/>
            </a:rPr>
            <a:t>Контроль за капитальными операциями субъектов рынка</a:t>
          </a:r>
        </a:p>
      </dsp:txBody>
      <dsp:txXfrm>
        <a:off x="703784" y="519"/>
        <a:ext cx="1353216" cy="811929"/>
      </dsp:txXfrm>
    </dsp:sp>
    <dsp:sp modelId="{34F7BFA2-5C8E-421A-B6C6-C058E29CA798}">
      <dsp:nvSpPr>
        <dsp:cNvPr id="0" name=""/>
        <dsp:cNvSpPr/>
      </dsp:nvSpPr>
      <dsp:spPr>
        <a:xfrm>
          <a:off x="2936590" y="947770"/>
          <a:ext cx="1353216" cy="8119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Поддержание функционирования коммерческих банков</a:t>
          </a:r>
        </a:p>
      </dsp:txBody>
      <dsp:txXfrm>
        <a:off x="2936590" y="947770"/>
        <a:ext cx="1353216" cy="811929"/>
      </dsp:txXfrm>
    </dsp:sp>
    <dsp:sp modelId="{8D425698-A8A5-4830-BD58-7FC85B2608E6}">
      <dsp:nvSpPr>
        <dsp:cNvPr id="0" name=""/>
        <dsp:cNvSpPr/>
      </dsp:nvSpPr>
      <dsp:spPr>
        <a:xfrm>
          <a:off x="1448053" y="947770"/>
          <a:ext cx="1353216" cy="8119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Действенные меры по обороне интересов вкладчиков</a:t>
          </a:r>
        </a:p>
      </dsp:txBody>
      <dsp:txXfrm>
        <a:off x="1448053" y="947770"/>
        <a:ext cx="1353216" cy="811929"/>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1579</Words>
  <Characters>9003</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Валерия Марченко</dc:creator>
  <cp:keywords/>
  <dc:description/>
  <cp:lastModifiedBy>Екатерина Георгиевна Леонидова</cp:lastModifiedBy>
  <cp:revision>2</cp:revision>
  <dcterms:created xsi:type="dcterms:W3CDTF">2021-05-18T13:26:00Z</dcterms:created>
  <dcterms:modified xsi:type="dcterms:W3CDTF">2021-05-18T13:26:00Z</dcterms:modified>
</cp:coreProperties>
</file>