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7F57" w14:textId="77777777" w:rsidR="00E25F1E" w:rsidRPr="002F1FF4" w:rsidRDefault="00E25F1E" w:rsidP="00E25F1E">
      <w:pPr>
        <w:jc w:val="both"/>
        <w:rPr>
          <w:sz w:val="24"/>
          <w:szCs w:val="24"/>
        </w:rPr>
      </w:pPr>
      <w:r w:rsidRPr="002F1FF4">
        <w:rPr>
          <w:sz w:val="24"/>
          <w:szCs w:val="24"/>
        </w:rPr>
        <w:t>УДК 338</w:t>
      </w:r>
    </w:p>
    <w:p w14:paraId="2FBD7F58" w14:textId="77777777" w:rsidR="00E25F1E" w:rsidRDefault="00E25F1E" w:rsidP="00E25F1E">
      <w:pPr>
        <w:ind w:firstLine="709"/>
        <w:jc w:val="both"/>
        <w:rPr>
          <w:sz w:val="24"/>
          <w:szCs w:val="24"/>
        </w:rPr>
      </w:pPr>
    </w:p>
    <w:p w14:paraId="2FBD7F59" w14:textId="208959C0" w:rsidR="00E25F1E" w:rsidRDefault="00064C5A" w:rsidP="00E25F1E">
      <w:pPr>
        <w:ind w:firstLine="709"/>
        <w:jc w:val="right"/>
        <w:rPr>
          <w:b/>
          <w:sz w:val="24"/>
          <w:szCs w:val="24"/>
        </w:rPr>
      </w:pPr>
      <w:r>
        <w:rPr>
          <w:b/>
          <w:sz w:val="24"/>
          <w:szCs w:val="24"/>
        </w:rPr>
        <w:t xml:space="preserve">Плахин А.Е. </w:t>
      </w:r>
      <w:r w:rsidR="00D62CA0">
        <w:rPr>
          <w:b/>
          <w:sz w:val="24"/>
          <w:szCs w:val="24"/>
        </w:rPr>
        <w:t xml:space="preserve">Селезнева </w:t>
      </w:r>
      <w:proofErr w:type="gramStart"/>
      <w:r w:rsidR="00D62CA0">
        <w:rPr>
          <w:b/>
          <w:sz w:val="24"/>
          <w:szCs w:val="24"/>
        </w:rPr>
        <w:t>М.В.</w:t>
      </w:r>
      <w:proofErr w:type="gramEnd"/>
    </w:p>
    <w:p w14:paraId="2FBD7F5A" w14:textId="77777777" w:rsidR="00E25F1E" w:rsidRDefault="00E25F1E" w:rsidP="00E25F1E">
      <w:pPr>
        <w:ind w:firstLine="709"/>
        <w:jc w:val="center"/>
        <w:rPr>
          <w:rFonts w:eastAsia="Times New Roman"/>
          <w:b/>
          <w:sz w:val="28"/>
          <w:szCs w:val="24"/>
        </w:rPr>
      </w:pPr>
    </w:p>
    <w:p w14:paraId="2FBD7F5B" w14:textId="38F229B1" w:rsidR="00E25F1E" w:rsidRPr="007F3BE4" w:rsidRDefault="00DA1FD6" w:rsidP="00E25F1E">
      <w:pPr>
        <w:ind w:firstLine="709"/>
        <w:jc w:val="center"/>
        <w:rPr>
          <w:rFonts w:eastAsia="Times New Roman"/>
          <w:b/>
          <w:caps/>
          <w:sz w:val="28"/>
          <w:szCs w:val="24"/>
        </w:rPr>
      </w:pPr>
      <w:r>
        <w:rPr>
          <w:rFonts w:eastAsia="Times New Roman"/>
          <w:b/>
          <w:sz w:val="28"/>
          <w:szCs w:val="24"/>
        </w:rPr>
        <w:t xml:space="preserve">ОЦЕНКА МЕР ИНСТИТУЦИОНАЛЬНОГО СТИМУЛИРОВАНИЯ БИЗНЕС-ИНТЕГРАЦИИ С ПОМОЩЬЮ </w:t>
      </w:r>
      <w:r w:rsidRPr="00D62CA0">
        <w:rPr>
          <w:rFonts w:eastAsia="Times New Roman"/>
          <w:b/>
          <w:sz w:val="28"/>
          <w:szCs w:val="24"/>
        </w:rPr>
        <w:t>НАЦИОНАЛЬНОГО РЕЙТИНГА</w:t>
      </w:r>
      <w:r w:rsidR="00064C5A">
        <w:rPr>
          <w:rStyle w:val="a8"/>
          <w:rFonts w:eastAsia="Times New Roman"/>
          <w:b/>
          <w:sz w:val="28"/>
          <w:szCs w:val="24"/>
        </w:rPr>
        <w:footnoteReference w:id="1"/>
      </w:r>
    </w:p>
    <w:p w14:paraId="2FBD7F5C" w14:textId="77777777" w:rsidR="00E25F1E" w:rsidRDefault="00E25F1E" w:rsidP="00E25F1E">
      <w:pPr>
        <w:ind w:firstLine="708"/>
        <w:jc w:val="both"/>
        <w:rPr>
          <w:b/>
          <w:i/>
          <w:sz w:val="24"/>
          <w:szCs w:val="24"/>
        </w:rPr>
      </w:pPr>
    </w:p>
    <w:p w14:paraId="2FBD7F5D" w14:textId="781E3CE6" w:rsidR="00E25F1E" w:rsidRPr="007F3BE4" w:rsidRDefault="00E25F1E" w:rsidP="00E25F1E">
      <w:pPr>
        <w:ind w:firstLine="708"/>
        <w:jc w:val="both"/>
        <w:rPr>
          <w:i/>
          <w:sz w:val="24"/>
          <w:szCs w:val="24"/>
        </w:rPr>
      </w:pPr>
      <w:r w:rsidRPr="00DD119A">
        <w:rPr>
          <w:rStyle w:val="rvts52"/>
          <w:rFonts w:eastAsia="Times New Roman"/>
          <w:b/>
          <w:bCs/>
          <w:sz w:val="24"/>
          <w:szCs w:val="24"/>
        </w:rPr>
        <w:t>Аннотация</w:t>
      </w:r>
      <w:r w:rsidRPr="00DD119A">
        <w:rPr>
          <w:b/>
          <w:i/>
          <w:sz w:val="24"/>
          <w:szCs w:val="24"/>
        </w:rPr>
        <w:t>.</w:t>
      </w:r>
      <w:r w:rsidRPr="007F3BE4">
        <w:rPr>
          <w:i/>
          <w:sz w:val="24"/>
          <w:szCs w:val="24"/>
        </w:rPr>
        <w:t xml:space="preserve"> </w:t>
      </w:r>
      <w:r w:rsidR="009202B2">
        <w:rPr>
          <w:i/>
          <w:sz w:val="24"/>
          <w:szCs w:val="24"/>
        </w:rPr>
        <w:t xml:space="preserve">Статья посвящена </w:t>
      </w:r>
      <w:r w:rsidR="00E423A2">
        <w:rPr>
          <w:i/>
          <w:sz w:val="24"/>
          <w:szCs w:val="24"/>
        </w:rPr>
        <w:t>определению</w:t>
      </w:r>
      <w:r w:rsidR="009202B2">
        <w:rPr>
          <w:i/>
          <w:sz w:val="24"/>
          <w:szCs w:val="24"/>
        </w:rPr>
        <w:t xml:space="preserve"> подходов к оценке </w:t>
      </w:r>
      <w:r w:rsidR="00844B35">
        <w:rPr>
          <w:i/>
          <w:sz w:val="24"/>
          <w:szCs w:val="24"/>
        </w:rPr>
        <w:t xml:space="preserve">институционального стимулирования процессов бизнес-интеграции в Российской Федерации. Сделан вывод о возможности </w:t>
      </w:r>
      <w:r w:rsidR="007A1A68">
        <w:rPr>
          <w:i/>
          <w:sz w:val="24"/>
          <w:szCs w:val="24"/>
        </w:rPr>
        <w:t>использования материалов оценки мер институционального стимулирования,</w:t>
      </w:r>
      <w:r w:rsidR="001373AC">
        <w:rPr>
          <w:i/>
          <w:sz w:val="24"/>
          <w:szCs w:val="24"/>
        </w:rPr>
        <w:t xml:space="preserve"> проводимых в рамках методологии Национального рейтинга </w:t>
      </w:r>
      <w:r w:rsidR="00B04BEF">
        <w:rPr>
          <w:i/>
          <w:sz w:val="24"/>
          <w:szCs w:val="24"/>
        </w:rPr>
        <w:t>инвестпривлекательности</w:t>
      </w:r>
      <w:r w:rsidR="001373AC">
        <w:rPr>
          <w:i/>
          <w:sz w:val="24"/>
          <w:szCs w:val="24"/>
        </w:rPr>
        <w:t xml:space="preserve">, содержащего более </w:t>
      </w:r>
      <w:r w:rsidR="007A1A68">
        <w:rPr>
          <w:i/>
          <w:sz w:val="24"/>
          <w:szCs w:val="24"/>
        </w:rPr>
        <w:t>пятидесяти показателей,</w:t>
      </w:r>
      <w:r w:rsidR="001373AC">
        <w:rPr>
          <w:i/>
          <w:sz w:val="24"/>
          <w:szCs w:val="24"/>
        </w:rPr>
        <w:t xml:space="preserve"> характеризующих институциональную среду</w:t>
      </w:r>
      <w:r w:rsidR="00B04BEF">
        <w:rPr>
          <w:i/>
          <w:sz w:val="24"/>
          <w:szCs w:val="24"/>
        </w:rPr>
        <w:t>.</w:t>
      </w:r>
      <w:r w:rsidR="001373AC">
        <w:rPr>
          <w:i/>
          <w:sz w:val="24"/>
          <w:szCs w:val="24"/>
        </w:rPr>
        <w:t xml:space="preserve"> </w:t>
      </w:r>
    </w:p>
    <w:p w14:paraId="2FBD7F5E" w14:textId="32035680" w:rsidR="00D611B9" w:rsidRDefault="00E25F1E" w:rsidP="004B6CCA">
      <w:pPr>
        <w:jc w:val="both"/>
        <w:rPr>
          <w:i/>
          <w:sz w:val="24"/>
          <w:szCs w:val="24"/>
        </w:rPr>
      </w:pPr>
      <w:r w:rsidRPr="00DD119A">
        <w:rPr>
          <w:b/>
          <w:sz w:val="24"/>
          <w:szCs w:val="24"/>
        </w:rPr>
        <w:t>Ключевые слова</w:t>
      </w:r>
      <w:r>
        <w:rPr>
          <w:b/>
          <w:sz w:val="24"/>
          <w:szCs w:val="24"/>
        </w:rPr>
        <w:t>.</w:t>
      </w:r>
      <w:r w:rsidRPr="007F3BE4">
        <w:rPr>
          <w:i/>
          <w:sz w:val="24"/>
          <w:szCs w:val="24"/>
        </w:rPr>
        <w:t xml:space="preserve"> </w:t>
      </w:r>
      <w:r w:rsidR="00B04BEF">
        <w:rPr>
          <w:i/>
          <w:sz w:val="24"/>
          <w:szCs w:val="24"/>
        </w:rPr>
        <w:t>Бизнес-интеграция</w:t>
      </w:r>
      <w:r>
        <w:rPr>
          <w:i/>
          <w:sz w:val="24"/>
          <w:szCs w:val="24"/>
        </w:rPr>
        <w:t xml:space="preserve">, </w:t>
      </w:r>
      <w:r w:rsidR="00B04BEF">
        <w:rPr>
          <w:i/>
          <w:sz w:val="24"/>
          <w:szCs w:val="24"/>
        </w:rPr>
        <w:t xml:space="preserve">институциональное </w:t>
      </w:r>
      <w:r w:rsidR="007A1A68">
        <w:rPr>
          <w:i/>
          <w:sz w:val="24"/>
          <w:szCs w:val="24"/>
        </w:rPr>
        <w:t>стимулирование</w:t>
      </w:r>
      <w:r w:rsidRPr="007F3BE4">
        <w:rPr>
          <w:i/>
          <w:sz w:val="24"/>
          <w:szCs w:val="24"/>
        </w:rPr>
        <w:t xml:space="preserve">, </w:t>
      </w:r>
      <w:r w:rsidR="004B6CCA">
        <w:rPr>
          <w:i/>
          <w:sz w:val="24"/>
          <w:szCs w:val="24"/>
        </w:rPr>
        <w:t>инфраструктура</w:t>
      </w:r>
      <w:r w:rsidRPr="007F3BE4">
        <w:rPr>
          <w:i/>
          <w:sz w:val="24"/>
          <w:szCs w:val="24"/>
        </w:rPr>
        <w:t xml:space="preserve">, </w:t>
      </w:r>
      <w:r w:rsidR="004B6CCA">
        <w:rPr>
          <w:i/>
          <w:sz w:val="24"/>
          <w:szCs w:val="24"/>
        </w:rPr>
        <w:t>институты для бизнеса.</w:t>
      </w:r>
      <w:r w:rsidRPr="007F3BE4">
        <w:rPr>
          <w:i/>
          <w:sz w:val="24"/>
          <w:szCs w:val="24"/>
        </w:rPr>
        <w:t xml:space="preserve">  </w:t>
      </w:r>
    </w:p>
    <w:p w14:paraId="2FBD7F5F" w14:textId="77777777" w:rsidR="00E25F1E" w:rsidRDefault="00E25F1E" w:rsidP="00E25F1E">
      <w:pPr>
        <w:rPr>
          <w:i/>
          <w:sz w:val="24"/>
          <w:szCs w:val="24"/>
        </w:rPr>
      </w:pPr>
    </w:p>
    <w:p w14:paraId="4790B76C" w14:textId="77777777" w:rsidR="00500630" w:rsidRDefault="00500630" w:rsidP="00E25F1E">
      <w:pPr>
        <w:pStyle w:val="a7"/>
        <w:spacing w:line="276" w:lineRule="auto"/>
        <w:rPr>
          <w:sz w:val="24"/>
          <w:szCs w:val="24"/>
        </w:rPr>
      </w:pPr>
    </w:p>
    <w:p w14:paraId="5AAAE21B" w14:textId="14390F56" w:rsidR="00F313EA" w:rsidRDefault="00ED1882" w:rsidP="00ED1882">
      <w:pPr>
        <w:pStyle w:val="a7"/>
        <w:spacing w:line="276" w:lineRule="auto"/>
        <w:rPr>
          <w:sz w:val="24"/>
          <w:szCs w:val="24"/>
        </w:rPr>
      </w:pPr>
      <w:r w:rsidRPr="00ED1882">
        <w:rPr>
          <w:sz w:val="24"/>
          <w:szCs w:val="24"/>
        </w:rPr>
        <w:t>И</w:t>
      </w:r>
      <w:r w:rsidR="00F313EA" w:rsidRPr="00ED1882">
        <w:rPr>
          <w:sz w:val="24"/>
          <w:szCs w:val="24"/>
        </w:rPr>
        <w:t>нституциональный подход расширяет количество субъектов, взаимодействующих в сетевых интегративных структурах, объединяя в группу объектов исследования ключевых поставщиков, партнеров, потребителей, государственные органы и надзорные органы</w:t>
      </w:r>
      <w:r w:rsidR="004B6CCA">
        <w:rPr>
          <w:sz w:val="24"/>
          <w:szCs w:val="24"/>
        </w:rPr>
        <w:t xml:space="preserve"> [1,2]</w:t>
      </w:r>
      <w:r w:rsidR="00F313EA" w:rsidRPr="00ED1882">
        <w:rPr>
          <w:sz w:val="24"/>
          <w:szCs w:val="24"/>
        </w:rPr>
        <w:t xml:space="preserve">. Следовательно, можно констатировать, что институциональная теория формирует одну из самых устойчивых методологий управления интегративными </w:t>
      </w:r>
      <w:r w:rsidR="00FA46CD" w:rsidRPr="00ED1882">
        <w:rPr>
          <w:sz w:val="24"/>
          <w:szCs w:val="24"/>
        </w:rPr>
        <w:t>структурами</w:t>
      </w:r>
      <w:r w:rsidR="00FA46CD">
        <w:rPr>
          <w:sz w:val="24"/>
          <w:szCs w:val="24"/>
        </w:rPr>
        <w:t xml:space="preserve"> [3]</w:t>
      </w:r>
      <w:r w:rsidR="00F313EA" w:rsidRPr="00ED1882">
        <w:rPr>
          <w:sz w:val="24"/>
          <w:szCs w:val="24"/>
        </w:rPr>
        <w:t xml:space="preserve">, изучая различные коллективные формы воздействия, этот подход предлагает многообещающие управленческие инструменты для организации сетей, будь то бизнес-сферы, инновационные системы, отрасли или кластеры. </w:t>
      </w:r>
    </w:p>
    <w:p w14:paraId="7AC3303F" w14:textId="1B490F6F" w:rsidR="00ED1882" w:rsidRPr="00ED1882" w:rsidRDefault="00ED1882" w:rsidP="00ED1882">
      <w:pPr>
        <w:pStyle w:val="a7"/>
        <w:spacing w:line="276" w:lineRule="auto"/>
        <w:rPr>
          <w:sz w:val="24"/>
          <w:szCs w:val="24"/>
        </w:rPr>
      </w:pPr>
      <w:r w:rsidRPr="00ED1882">
        <w:rPr>
          <w:sz w:val="24"/>
          <w:szCs w:val="24"/>
        </w:rPr>
        <w:t>На наш взгляд, представляется также целесообразным использование институционального подхода для исследования процессов мобилизации ресурсов отдельных участников сети путем установления формальных и неформальных норм, что является характерным процессом для российской практики формирования промышленных производств</w:t>
      </w:r>
      <w:r w:rsidR="00FA46CD">
        <w:rPr>
          <w:sz w:val="24"/>
          <w:szCs w:val="24"/>
        </w:rPr>
        <w:t xml:space="preserve"> [4]</w:t>
      </w:r>
      <w:r w:rsidRPr="00ED1882">
        <w:rPr>
          <w:sz w:val="24"/>
          <w:szCs w:val="24"/>
        </w:rPr>
        <w:t>.  Как например отмечено в работе</w:t>
      </w:r>
      <w:r w:rsidR="00FA46CD">
        <w:rPr>
          <w:sz w:val="24"/>
          <w:szCs w:val="24"/>
        </w:rPr>
        <w:t xml:space="preserve"> [5]</w:t>
      </w:r>
      <w:r w:rsidRPr="00ED1882">
        <w:rPr>
          <w:sz w:val="24"/>
          <w:szCs w:val="24"/>
        </w:rPr>
        <w:t xml:space="preserve">, «институты развития в наиболее распространенном понимании, как правило, отождествляются с особыми организациями, которые отличаются от других тем, что содействуют распределению ресурсов в пользу проектов реализации нового потенциала экономического роста отрасли, региона, страны в целом». Исследование институтов развития представлено в статье </w:t>
      </w:r>
      <w:r w:rsidR="00FA46CD">
        <w:rPr>
          <w:sz w:val="24"/>
          <w:szCs w:val="24"/>
        </w:rPr>
        <w:t>[6]</w:t>
      </w:r>
    </w:p>
    <w:p w14:paraId="4478BE3F" w14:textId="049F6E29" w:rsidR="00500630" w:rsidRPr="00500630" w:rsidRDefault="00500630" w:rsidP="00500630">
      <w:pPr>
        <w:pStyle w:val="a7"/>
        <w:spacing w:line="276" w:lineRule="auto"/>
        <w:rPr>
          <w:sz w:val="24"/>
          <w:szCs w:val="24"/>
        </w:rPr>
      </w:pPr>
      <w:r w:rsidRPr="00500630">
        <w:rPr>
          <w:sz w:val="24"/>
          <w:szCs w:val="24"/>
        </w:rPr>
        <w:t xml:space="preserve">Практика государственного регулирования в России показывает фактическое отсутствие эффективных институтов, способных координировать совместную деятельность экономических субъектов на всех уровнях хозяйствования. Точнее следует отметить, что институтов создано </w:t>
      </w:r>
      <w:r w:rsidR="00FA46CD" w:rsidRPr="00500630">
        <w:rPr>
          <w:sz w:val="24"/>
          <w:szCs w:val="24"/>
        </w:rPr>
        <w:t>предостаточно, но</w:t>
      </w:r>
      <w:r w:rsidRPr="00500630">
        <w:rPr>
          <w:sz w:val="24"/>
          <w:szCs w:val="24"/>
        </w:rPr>
        <w:t xml:space="preserve">   эффективность   их   функционирования   очень   низкая, мотивация руководителей этих институтов нацелена только на получение государственного финансирования, а не на решение реальных деловых проблем и развитие организаций.</w:t>
      </w:r>
    </w:p>
    <w:p w14:paraId="6727409D" w14:textId="77777777" w:rsidR="00500630" w:rsidRPr="00500630" w:rsidRDefault="00500630" w:rsidP="00500630">
      <w:pPr>
        <w:pStyle w:val="a7"/>
        <w:spacing w:line="276" w:lineRule="auto"/>
        <w:rPr>
          <w:sz w:val="24"/>
          <w:szCs w:val="24"/>
        </w:rPr>
      </w:pPr>
      <w:r w:rsidRPr="00500630">
        <w:rPr>
          <w:sz w:val="24"/>
          <w:szCs w:val="24"/>
        </w:rPr>
        <w:t>Наиболее известным рейтингом, оценивающим условия ведения предпринимательской деятельности, является рейтинг Всемирного банка «</w:t>
      </w:r>
      <w:proofErr w:type="spellStart"/>
      <w:r w:rsidRPr="00500630">
        <w:rPr>
          <w:sz w:val="24"/>
          <w:szCs w:val="24"/>
        </w:rPr>
        <w:t>Doing</w:t>
      </w:r>
      <w:proofErr w:type="spellEnd"/>
      <w:r w:rsidRPr="00500630">
        <w:rPr>
          <w:sz w:val="24"/>
          <w:szCs w:val="24"/>
        </w:rPr>
        <w:t xml:space="preserve"> </w:t>
      </w:r>
      <w:proofErr w:type="spellStart"/>
      <w:r w:rsidRPr="00500630">
        <w:rPr>
          <w:sz w:val="24"/>
          <w:szCs w:val="24"/>
        </w:rPr>
        <w:t>business</w:t>
      </w:r>
      <w:proofErr w:type="spellEnd"/>
      <w:r w:rsidRPr="00500630">
        <w:rPr>
          <w:sz w:val="24"/>
          <w:szCs w:val="24"/>
        </w:rPr>
        <w:t xml:space="preserve">», оценивающий институциональные нормы с нормативно-правовой характеристикой в </w:t>
      </w:r>
      <w:r w:rsidRPr="00500630">
        <w:rPr>
          <w:sz w:val="24"/>
          <w:szCs w:val="24"/>
        </w:rPr>
        <w:lastRenderedPageBreak/>
        <w:t xml:space="preserve">разрезе одиннадцати векторов деятельности частных предприятий.  В число анализируемых векторов деятельности предпринимателя входят такие параметры, как сложность открытия бизнес, характеристики получения разрешений на строительство и подключения к ресурсоснабжающим организациям, доступность финансовых ресурсов и защита прав инвесторов, фискальная нагрузка на предпринимателя, доступ к международным рынкам и параметры обеспечения выполнения контрактов и решение вопросов неплатежеспособности. </w:t>
      </w:r>
    </w:p>
    <w:p w14:paraId="67E6BD0C" w14:textId="77777777" w:rsidR="00500630" w:rsidRPr="00500630" w:rsidRDefault="00500630" w:rsidP="00500630">
      <w:pPr>
        <w:pStyle w:val="a7"/>
        <w:spacing w:line="276" w:lineRule="auto"/>
        <w:rPr>
          <w:sz w:val="24"/>
          <w:szCs w:val="24"/>
        </w:rPr>
      </w:pPr>
      <w:r w:rsidRPr="00500630">
        <w:rPr>
          <w:sz w:val="24"/>
          <w:szCs w:val="24"/>
        </w:rPr>
        <w:t>Методология ранжирования «</w:t>
      </w:r>
      <w:proofErr w:type="spellStart"/>
      <w:r w:rsidRPr="00500630">
        <w:rPr>
          <w:sz w:val="24"/>
          <w:szCs w:val="24"/>
        </w:rPr>
        <w:t>Doing</w:t>
      </w:r>
      <w:proofErr w:type="spellEnd"/>
      <w:r w:rsidRPr="00500630">
        <w:rPr>
          <w:sz w:val="24"/>
          <w:szCs w:val="24"/>
        </w:rPr>
        <w:t xml:space="preserve"> </w:t>
      </w:r>
      <w:proofErr w:type="spellStart"/>
      <w:r w:rsidRPr="00500630">
        <w:rPr>
          <w:sz w:val="24"/>
          <w:szCs w:val="24"/>
        </w:rPr>
        <w:t>business</w:t>
      </w:r>
      <w:proofErr w:type="spellEnd"/>
      <w:r w:rsidRPr="00500630">
        <w:rPr>
          <w:sz w:val="24"/>
          <w:szCs w:val="24"/>
        </w:rPr>
        <w:t xml:space="preserve">» предполагает последовательное упорядочивание результатов обследованных стран по уровню благоприятности ведения предпринимательской деятельности. Позиция страны в рейтинге определяется путем ранжирования агрегированной оценки, сформированной по десяти приведенным направлениям. Более высокий ранг соответствует более благоприятным условиям ведения бизнеса в стране. </w:t>
      </w:r>
    </w:p>
    <w:p w14:paraId="19EF526C" w14:textId="77777777" w:rsidR="00500630" w:rsidRPr="00500630" w:rsidRDefault="00500630" w:rsidP="00500630">
      <w:pPr>
        <w:pStyle w:val="a7"/>
        <w:spacing w:line="276" w:lineRule="auto"/>
        <w:rPr>
          <w:sz w:val="24"/>
          <w:szCs w:val="24"/>
        </w:rPr>
      </w:pPr>
      <w:r w:rsidRPr="00500630">
        <w:rPr>
          <w:sz w:val="24"/>
          <w:szCs w:val="24"/>
        </w:rPr>
        <w:t xml:space="preserve">Структурно методология Национального рейтинга включает в себя следующие иерархически взаимосвязанных подсистемы. Первая из них включает  систему, состоящую из пятидесяти показателей, описывающих четыре основные направления формирования условий ведения бизнеса:  первое из них характеризует условия, относящиеся к регуляторной среде, второе характеризует степень развития и условия работы Качество предоставления государственных услуг – показатели эффективности оказания различных государственных услуг для бизнеса: время прохождения, количество процедур и удовлетворенность предпринимателей типовыми административными процедурами (например, регистрация юридических лиц, выдача разрешений на строительство, выдача лицензий, регистрация прав собственности на недвижимость, подключение к электросетям, подключение к газопроводу). </w:t>
      </w:r>
    </w:p>
    <w:p w14:paraId="4818B012" w14:textId="77777777" w:rsidR="00245E44" w:rsidRPr="00245E44" w:rsidRDefault="00245E44" w:rsidP="00245E44">
      <w:pPr>
        <w:pStyle w:val="a7"/>
        <w:spacing w:line="276" w:lineRule="auto"/>
        <w:rPr>
          <w:sz w:val="24"/>
          <w:szCs w:val="24"/>
        </w:rPr>
      </w:pPr>
      <w:r w:rsidRPr="00245E44">
        <w:rPr>
          <w:sz w:val="24"/>
          <w:szCs w:val="24"/>
        </w:rPr>
        <w:t>Формирование пула опрашиваемых предпринимателей осуществляется по региональным квотам (не менее 300 респондентов на регион), данные о предпринимателях формируются из профессиональной системы анализа компаний и рынков «</w:t>
      </w:r>
      <w:proofErr w:type="spellStart"/>
      <w:r w:rsidRPr="00245E44">
        <w:rPr>
          <w:sz w:val="24"/>
          <w:szCs w:val="24"/>
        </w:rPr>
        <w:t>Спарк-интерфакс</w:t>
      </w:r>
      <w:proofErr w:type="spellEnd"/>
      <w:r w:rsidRPr="00245E44">
        <w:rPr>
          <w:sz w:val="24"/>
          <w:szCs w:val="24"/>
        </w:rPr>
        <w:t xml:space="preserve">». Отбор респондентов опроса основан на принципе случайности отбора, реализуемом за счет автоматического выбора респондента внутри сформированной совокупности. </w:t>
      </w:r>
    </w:p>
    <w:p w14:paraId="76278B36" w14:textId="77777777" w:rsidR="00245E44" w:rsidRPr="00245E44" w:rsidRDefault="00245E44" w:rsidP="00245E44">
      <w:pPr>
        <w:pStyle w:val="a7"/>
        <w:spacing w:line="276" w:lineRule="auto"/>
        <w:rPr>
          <w:sz w:val="24"/>
          <w:szCs w:val="24"/>
        </w:rPr>
      </w:pPr>
      <w:r w:rsidRPr="00245E44">
        <w:rPr>
          <w:sz w:val="24"/>
          <w:szCs w:val="24"/>
        </w:rPr>
        <w:t>Формирование пула опрашиваемых экспертов производится случайно из списка кандидатов, представленных общественными организациями: Торгово-промышленная палата Российской Федерации, Российский союз промышленников и предпринимателей, Опора России, Деловая Россия. Соотношение базы опрашиваемых и респондентов опроса, как правило, два к одному, то есть из сорока экспертов будет опрошено двадцать респондентов.</w:t>
      </w:r>
    </w:p>
    <w:p w14:paraId="211C61DA" w14:textId="77777777" w:rsidR="000518F5" w:rsidRDefault="00245E44" w:rsidP="00245E44">
      <w:pPr>
        <w:pStyle w:val="a7"/>
        <w:spacing w:line="276" w:lineRule="auto"/>
        <w:rPr>
          <w:sz w:val="24"/>
          <w:szCs w:val="24"/>
        </w:rPr>
      </w:pPr>
      <w:r w:rsidRPr="00245E44">
        <w:rPr>
          <w:sz w:val="24"/>
          <w:szCs w:val="24"/>
        </w:rPr>
        <w:t xml:space="preserve">Третья подсистема методологии Национального рейтинга описывает инструментарий обобщения полученной информации. По физическим показателям используется двухэтапная система обобщения: на первом этапе производится агрегация в разрезе показателей опроса по каждому субъекту Российской Федерации, на втором этапе производится расчет средних показателей, в основе которого является формула среднего арифметического значения. </w:t>
      </w:r>
    </w:p>
    <w:p w14:paraId="7A75A946" w14:textId="32093F57" w:rsidR="00500630" w:rsidRPr="00500630" w:rsidRDefault="000518F5" w:rsidP="00245E44">
      <w:pPr>
        <w:pStyle w:val="a7"/>
        <w:spacing w:line="276" w:lineRule="auto"/>
        <w:rPr>
          <w:sz w:val="24"/>
          <w:szCs w:val="24"/>
        </w:rPr>
      </w:pPr>
      <w:r>
        <w:rPr>
          <w:sz w:val="24"/>
          <w:szCs w:val="24"/>
        </w:rPr>
        <w:t xml:space="preserve">Таким образом формируется база для анализа институционального воздействия на процессы формирования интегративных </w:t>
      </w:r>
      <w:r w:rsidR="008B37AE">
        <w:rPr>
          <w:sz w:val="24"/>
          <w:szCs w:val="24"/>
        </w:rPr>
        <w:t>структур</w:t>
      </w:r>
      <w:r w:rsidR="009E1D43">
        <w:rPr>
          <w:sz w:val="24"/>
          <w:szCs w:val="24"/>
        </w:rPr>
        <w:t>.</w:t>
      </w:r>
      <w:r w:rsidR="00500630" w:rsidRPr="00500630">
        <w:rPr>
          <w:sz w:val="24"/>
          <w:szCs w:val="24"/>
        </w:rPr>
        <w:t xml:space="preserve">  </w:t>
      </w:r>
    </w:p>
    <w:p w14:paraId="52457A40" w14:textId="77777777" w:rsidR="00500630" w:rsidRDefault="00500630" w:rsidP="00E25F1E">
      <w:pPr>
        <w:pStyle w:val="a7"/>
        <w:spacing w:line="276" w:lineRule="auto"/>
        <w:rPr>
          <w:sz w:val="24"/>
          <w:szCs w:val="24"/>
        </w:rPr>
      </w:pPr>
    </w:p>
    <w:p w14:paraId="2FBD7F78" w14:textId="77777777" w:rsidR="00E25F1E" w:rsidRDefault="00E25F1E" w:rsidP="00E25F1E"/>
    <w:p w14:paraId="2FBD7F79" w14:textId="77777777" w:rsidR="00245607" w:rsidRPr="00871146" w:rsidRDefault="00245607" w:rsidP="00245607">
      <w:pPr>
        <w:ind w:firstLine="708"/>
        <w:jc w:val="center"/>
        <w:rPr>
          <w:sz w:val="24"/>
          <w:szCs w:val="24"/>
          <w:lang w:val="en-US"/>
        </w:rPr>
      </w:pPr>
      <w:r>
        <w:rPr>
          <w:sz w:val="24"/>
          <w:szCs w:val="24"/>
        </w:rPr>
        <w:lastRenderedPageBreak/>
        <w:t>Список</w:t>
      </w:r>
      <w:r w:rsidRPr="00871146">
        <w:rPr>
          <w:sz w:val="24"/>
          <w:szCs w:val="24"/>
          <w:lang w:val="en-US"/>
        </w:rPr>
        <w:t xml:space="preserve"> </w:t>
      </w:r>
      <w:r>
        <w:rPr>
          <w:sz w:val="24"/>
          <w:szCs w:val="24"/>
        </w:rPr>
        <w:t>использованных</w:t>
      </w:r>
      <w:r w:rsidRPr="00871146">
        <w:rPr>
          <w:sz w:val="24"/>
          <w:szCs w:val="24"/>
          <w:lang w:val="en-US"/>
        </w:rPr>
        <w:t xml:space="preserve"> </w:t>
      </w:r>
      <w:r>
        <w:rPr>
          <w:sz w:val="24"/>
          <w:szCs w:val="24"/>
        </w:rPr>
        <w:t>источников</w:t>
      </w:r>
      <w:r w:rsidRPr="00871146">
        <w:rPr>
          <w:sz w:val="24"/>
          <w:szCs w:val="24"/>
          <w:lang w:val="en-US"/>
        </w:rPr>
        <w:t>:</w:t>
      </w:r>
    </w:p>
    <w:p w14:paraId="2FBD7F7A" w14:textId="77777777" w:rsidR="00245607" w:rsidRPr="00871146" w:rsidRDefault="00245607" w:rsidP="00245607">
      <w:pPr>
        <w:ind w:firstLine="708"/>
        <w:jc w:val="center"/>
        <w:rPr>
          <w:sz w:val="24"/>
          <w:szCs w:val="24"/>
          <w:lang w:val="en-US"/>
        </w:rPr>
      </w:pPr>
      <w:r w:rsidRPr="00871146">
        <w:rPr>
          <w:sz w:val="24"/>
          <w:szCs w:val="24"/>
          <w:lang w:val="en-US"/>
        </w:rPr>
        <w:t xml:space="preserve"> </w:t>
      </w:r>
    </w:p>
    <w:p w14:paraId="2F646FB4" w14:textId="40AE8BA0" w:rsidR="00871146" w:rsidRDefault="00871146" w:rsidP="00871146">
      <w:pPr>
        <w:pStyle w:val="a4"/>
        <w:numPr>
          <w:ilvl w:val="0"/>
          <w:numId w:val="2"/>
        </w:numPr>
        <w:jc w:val="both"/>
        <w:rPr>
          <w:rFonts w:eastAsiaTheme="minorHAnsi"/>
        </w:rPr>
      </w:pPr>
      <w:proofErr w:type="spellStart"/>
      <w:r>
        <w:rPr>
          <w:lang w:val="en-US"/>
        </w:rPr>
        <w:t>Möller</w:t>
      </w:r>
      <w:proofErr w:type="spellEnd"/>
      <w:r>
        <w:rPr>
          <w:lang w:val="en-US"/>
        </w:rPr>
        <w:t xml:space="preserve"> K., </w:t>
      </w:r>
      <w:proofErr w:type="spellStart"/>
      <w:r>
        <w:rPr>
          <w:lang w:val="en-US"/>
        </w:rPr>
        <w:t>Svahn</w:t>
      </w:r>
      <w:proofErr w:type="spellEnd"/>
      <w:r>
        <w:rPr>
          <w:lang w:val="en-US"/>
        </w:rPr>
        <w:t xml:space="preserve"> S. (2009) How to influence the birth of new business fields—Network perspective //Industrial Marketing Management. </w:t>
      </w:r>
      <w:r>
        <w:t xml:space="preserve">Т. 38.  №. 4.  С. </w:t>
      </w:r>
      <w:proofErr w:type="gramStart"/>
      <w:r>
        <w:t>450-458</w:t>
      </w:r>
      <w:proofErr w:type="gramEnd"/>
    </w:p>
    <w:p w14:paraId="3B1E1453" w14:textId="032F58BD" w:rsidR="00871146" w:rsidRDefault="00871146" w:rsidP="00871146">
      <w:pPr>
        <w:pStyle w:val="a4"/>
        <w:numPr>
          <w:ilvl w:val="0"/>
          <w:numId w:val="2"/>
        </w:numPr>
        <w:jc w:val="both"/>
      </w:pPr>
      <w:r>
        <w:t xml:space="preserve">Колобова Е. А., Колобов А. Д., Теплова И. Г., </w:t>
      </w:r>
      <w:proofErr w:type="spellStart"/>
      <w:r>
        <w:t>Ягольницер</w:t>
      </w:r>
      <w:proofErr w:type="spellEnd"/>
      <w:r>
        <w:t xml:space="preserve"> М. А.   (2017) Когнитивная модель кластера как институциональной системы //Креативная экономика. Т. 11. – №. 10. С.</w:t>
      </w:r>
      <w:proofErr w:type="gramStart"/>
      <w:r>
        <w:t>1039-1056</w:t>
      </w:r>
      <w:proofErr w:type="gramEnd"/>
    </w:p>
    <w:p w14:paraId="0BFE7605" w14:textId="4A6BF572" w:rsidR="00871146" w:rsidRPr="00871146" w:rsidRDefault="00871146" w:rsidP="00871146">
      <w:pPr>
        <w:pStyle w:val="a4"/>
        <w:numPr>
          <w:ilvl w:val="0"/>
          <w:numId w:val="2"/>
        </w:numPr>
        <w:jc w:val="both"/>
      </w:pPr>
      <w:proofErr w:type="spellStart"/>
      <w:r>
        <w:rPr>
          <w:lang w:val="en-US"/>
        </w:rPr>
        <w:t>Inemek</w:t>
      </w:r>
      <w:proofErr w:type="spellEnd"/>
      <w:r>
        <w:rPr>
          <w:lang w:val="en-US"/>
        </w:rPr>
        <w:t xml:space="preserve"> A., </w:t>
      </w:r>
      <w:proofErr w:type="spellStart"/>
      <w:r>
        <w:rPr>
          <w:lang w:val="en-US"/>
        </w:rPr>
        <w:t>Matthyssens</w:t>
      </w:r>
      <w:proofErr w:type="spellEnd"/>
      <w:r>
        <w:rPr>
          <w:lang w:val="en-US"/>
        </w:rPr>
        <w:t xml:space="preserve"> P. (2013) The impact of buyer–supplier relationships on supplier innovativeness: An empirical study in cross-border supply networks //Industrial Marketing Management. </w:t>
      </w:r>
      <w:r>
        <w:t>Т</w:t>
      </w:r>
      <w:r w:rsidRPr="00871146">
        <w:t xml:space="preserve">. 42. №. 4. </w:t>
      </w:r>
      <w:r>
        <w:t>С</w:t>
      </w:r>
      <w:r w:rsidRPr="00871146">
        <w:t xml:space="preserve">. </w:t>
      </w:r>
      <w:proofErr w:type="gramStart"/>
      <w:r w:rsidRPr="00871146">
        <w:t>580-594</w:t>
      </w:r>
      <w:proofErr w:type="gramEnd"/>
    </w:p>
    <w:p w14:paraId="3C024455" w14:textId="2AB3E564" w:rsidR="00871146" w:rsidRDefault="00871146" w:rsidP="00871146">
      <w:pPr>
        <w:pStyle w:val="a4"/>
        <w:numPr>
          <w:ilvl w:val="0"/>
          <w:numId w:val="2"/>
        </w:numPr>
        <w:jc w:val="both"/>
      </w:pPr>
      <w:r>
        <w:t xml:space="preserve">Муравьев А. А., Тараканова Е. И., Тишина В. Н., Чекмарев В. В. (2013)   Особенности и характеристики сетевого механизма координации взаимодействий экономических субъектов //Вопросы новой экономики. – 2013. – №. 4. – С. </w:t>
      </w:r>
      <w:proofErr w:type="gramStart"/>
      <w:r>
        <w:t>10-17</w:t>
      </w:r>
      <w:proofErr w:type="gramEnd"/>
    </w:p>
    <w:p w14:paraId="3E04324B" w14:textId="56EFCC82" w:rsidR="00871146" w:rsidRDefault="00871146" w:rsidP="00871146">
      <w:pPr>
        <w:pStyle w:val="a4"/>
        <w:numPr>
          <w:ilvl w:val="0"/>
          <w:numId w:val="2"/>
        </w:numPr>
        <w:jc w:val="both"/>
        <w:rPr>
          <w:sz w:val="20"/>
          <w:szCs w:val="20"/>
          <w:lang w:val="en-US"/>
        </w:rPr>
      </w:pPr>
      <w:r>
        <w:t xml:space="preserve">Попов Е. В. (2010) Институты регионального развития экономики знаний //Региональная экономика: теория и практика. </w:t>
      </w:r>
      <w:r>
        <w:rPr>
          <w:lang w:val="en-US"/>
        </w:rPr>
        <w:t xml:space="preserve">№. 4. </w:t>
      </w:r>
      <w:r>
        <w:t>С</w:t>
      </w:r>
      <w:r>
        <w:rPr>
          <w:lang w:val="en-US"/>
        </w:rPr>
        <w:t>.2-8</w:t>
      </w:r>
    </w:p>
    <w:p w14:paraId="2FBD7F81" w14:textId="48857E07" w:rsidR="003361B6" w:rsidRPr="00871146" w:rsidRDefault="00871146" w:rsidP="00871146">
      <w:pPr>
        <w:pStyle w:val="aa"/>
        <w:numPr>
          <w:ilvl w:val="0"/>
          <w:numId w:val="2"/>
        </w:numPr>
        <w:jc w:val="both"/>
        <w:rPr>
          <w:b/>
          <w:sz w:val="24"/>
          <w:szCs w:val="24"/>
          <w:lang w:val="en-US"/>
        </w:rPr>
      </w:pPr>
      <w:proofErr w:type="spellStart"/>
      <w:r w:rsidRPr="00871146">
        <w:rPr>
          <w:sz w:val="24"/>
          <w:szCs w:val="24"/>
          <w:lang w:val="en-US"/>
        </w:rPr>
        <w:t>Plakhin</w:t>
      </w:r>
      <w:proofErr w:type="spellEnd"/>
      <w:r w:rsidRPr="00871146">
        <w:rPr>
          <w:sz w:val="24"/>
          <w:szCs w:val="24"/>
          <w:lang w:val="en-US"/>
        </w:rPr>
        <w:t xml:space="preserve"> A. E.., </w:t>
      </w:r>
      <w:proofErr w:type="spellStart"/>
      <w:r w:rsidRPr="00871146">
        <w:rPr>
          <w:sz w:val="24"/>
          <w:szCs w:val="24"/>
          <w:lang w:val="en-US"/>
        </w:rPr>
        <w:t>Ogorodnikova</w:t>
      </w:r>
      <w:proofErr w:type="spellEnd"/>
      <w:r w:rsidRPr="00871146">
        <w:rPr>
          <w:sz w:val="24"/>
          <w:szCs w:val="24"/>
          <w:lang w:val="en-US"/>
        </w:rPr>
        <w:t xml:space="preserve"> E. S., </w:t>
      </w:r>
      <w:proofErr w:type="spellStart"/>
      <w:r w:rsidRPr="00871146">
        <w:rPr>
          <w:sz w:val="24"/>
          <w:szCs w:val="24"/>
          <w:lang w:val="en-US"/>
        </w:rPr>
        <w:t>Kochergina</w:t>
      </w:r>
      <w:proofErr w:type="spellEnd"/>
      <w:r w:rsidRPr="00871146">
        <w:rPr>
          <w:sz w:val="24"/>
          <w:szCs w:val="24"/>
          <w:lang w:val="en-US"/>
        </w:rPr>
        <w:t xml:space="preserve"> T. V.., </w:t>
      </w:r>
      <w:proofErr w:type="spellStart"/>
      <w:r w:rsidRPr="00871146">
        <w:rPr>
          <w:sz w:val="24"/>
          <w:szCs w:val="24"/>
          <w:lang w:val="en-US"/>
        </w:rPr>
        <w:t>Guseva</w:t>
      </w:r>
      <w:proofErr w:type="spellEnd"/>
      <w:r w:rsidRPr="00871146">
        <w:rPr>
          <w:sz w:val="24"/>
          <w:szCs w:val="24"/>
          <w:lang w:val="en-US"/>
        </w:rPr>
        <w:t xml:space="preserve"> T. I.., </w:t>
      </w:r>
      <w:proofErr w:type="spellStart"/>
      <w:r w:rsidRPr="00871146">
        <w:rPr>
          <w:sz w:val="24"/>
          <w:szCs w:val="24"/>
          <w:lang w:val="en-US"/>
        </w:rPr>
        <w:t>Selezneva</w:t>
      </w:r>
      <w:proofErr w:type="spellEnd"/>
      <w:r w:rsidRPr="00871146">
        <w:rPr>
          <w:sz w:val="24"/>
          <w:szCs w:val="24"/>
          <w:lang w:val="en-US"/>
        </w:rPr>
        <w:t xml:space="preserve"> M. </w:t>
      </w:r>
      <w:proofErr w:type="gramStart"/>
      <w:r w:rsidRPr="00871146">
        <w:rPr>
          <w:sz w:val="24"/>
          <w:szCs w:val="24"/>
          <w:lang w:val="en-US"/>
        </w:rPr>
        <w:t>V..</w:t>
      </w:r>
      <w:proofErr w:type="gramEnd"/>
      <w:r w:rsidRPr="00871146">
        <w:rPr>
          <w:sz w:val="24"/>
          <w:szCs w:val="24"/>
          <w:lang w:val="en-US"/>
        </w:rPr>
        <w:t xml:space="preserve"> Institutions of regional development in the infrastructure support of the regional economy Amazonia </w:t>
      </w:r>
      <w:proofErr w:type="spellStart"/>
      <w:r w:rsidRPr="00871146">
        <w:rPr>
          <w:sz w:val="24"/>
          <w:szCs w:val="24"/>
          <w:lang w:val="en-US"/>
        </w:rPr>
        <w:t>investiga</w:t>
      </w:r>
      <w:proofErr w:type="spellEnd"/>
      <w:r w:rsidRPr="00871146">
        <w:rPr>
          <w:sz w:val="24"/>
          <w:szCs w:val="24"/>
          <w:lang w:val="en-US"/>
        </w:rPr>
        <w:t xml:space="preserve">   </w:t>
      </w:r>
      <w:r w:rsidRPr="00871146">
        <w:rPr>
          <w:sz w:val="24"/>
          <w:szCs w:val="24"/>
        </w:rPr>
        <w:t>Том</w:t>
      </w:r>
      <w:r w:rsidRPr="00871146">
        <w:rPr>
          <w:sz w:val="24"/>
          <w:szCs w:val="24"/>
          <w:lang w:val="en-US"/>
        </w:rPr>
        <w:t xml:space="preserve">: ‏ 9   </w:t>
      </w:r>
      <w:r w:rsidRPr="00871146">
        <w:rPr>
          <w:sz w:val="24"/>
          <w:szCs w:val="24"/>
        </w:rPr>
        <w:t>Выпуск</w:t>
      </w:r>
      <w:r w:rsidRPr="00871146">
        <w:rPr>
          <w:sz w:val="24"/>
          <w:szCs w:val="24"/>
          <w:lang w:val="en-US"/>
        </w:rPr>
        <w:t xml:space="preserve">: ‏ 26   </w:t>
      </w:r>
      <w:proofErr w:type="spellStart"/>
      <w:r w:rsidRPr="00871146">
        <w:rPr>
          <w:sz w:val="24"/>
          <w:szCs w:val="24"/>
        </w:rPr>
        <w:t>Стр</w:t>
      </w:r>
      <w:proofErr w:type="spellEnd"/>
      <w:r w:rsidRPr="00871146">
        <w:rPr>
          <w:sz w:val="24"/>
          <w:szCs w:val="24"/>
          <w:lang w:val="en-US"/>
        </w:rPr>
        <w:t>.: ‏ 356-364</w:t>
      </w:r>
      <w:r w:rsidRPr="00871146">
        <w:rPr>
          <w:lang w:val="en-US"/>
        </w:rPr>
        <w:t xml:space="preserve">  </w:t>
      </w:r>
    </w:p>
    <w:p w14:paraId="2FBD7F82" w14:textId="77777777" w:rsidR="003361B6" w:rsidRPr="00871146" w:rsidRDefault="003361B6" w:rsidP="003361B6">
      <w:pPr>
        <w:jc w:val="both"/>
        <w:rPr>
          <w:b/>
          <w:sz w:val="24"/>
          <w:szCs w:val="24"/>
          <w:lang w:val="en-US"/>
        </w:rPr>
      </w:pPr>
    </w:p>
    <w:p w14:paraId="2FBD7F83" w14:textId="5DC005C6" w:rsidR="003361B6" w:rsidRPr="00E93095" w:rsidRDefault="00871146" w:rsidP="003361B6">
      <w:pPr>
        <w:jc w:val="both"/>
        <w:rPr>
          <w:sz w:val="24"/>
          <w:szCs w:val="24"/>
        </w:rPr>
      </w:pPr>
      <w:r>
        <w:rPr>
          <w:b/>
          <w:sz w:val="24"/>
          <w:szCs w:val="24"/>
        </w:rPr>
        <w:t>Плахин Андрей Евгеньевич</w:t>
      </w:r>
      <w:r w:rsidR="003361B6" w:rsidRPr="003361B6">
        <w:rPr>
          <w:b/>
          <w:sz w:val="24"/>
          <w:szCs w:val="24"/>
        </w:rPr>
        <w:t xml:space="preserve"> </w:t>
      </w:r>
      <w:r w:rsidR="003361B6" w:rsidRPr="003361B6">
        <w:rPr>
          <w:sz w:val="24"/>
          <w:szCs w:val="24"/>
        </w:rPr>
        <w:t xml:space="preserve">(Екатеринбург, Россия), </w:t>
      </w:r>
      <w:r w:rsidR="00E93095">
        <w:rPr>
          <w:sz w:val="24"/>
          <w:szCs w:val="24"/>
        </w:rPr>
        <w:t>д</w:t>
      </w:r>
      <w:r w:rsidR="003361B6" w:rsidRPr="003361B6">
        <w:rPr>
          <w:sz w:val="24"/>
          <w:szCs w:val="24"/>
        </w:rPr>
        <w:t xml:space="preserve">.э.н., </w:t>
      </w:r>
      <w:r w:rsidR="00E93095">
        <w:rPr>
          <w:sz w:val="24"/>
          <w:szCs w:val="24"/>
        </w:rPr>
        <w:t>заведующий кафедрой Менеджмента и предпринимательства</w:t>
      </w:r>
      <w:r w:rsidR="003361B6" w:rsidRPr="003361B6">
        <w:rPr>
          <w:sz w:val="24"/>
          <w:szCs w:val="24"/>
          <w:vertAlign w:val="superscript"/>
        </w:rPr>
        <w:t xml:space="preserve"> </w:t>
      </w:r>
      <w:r w:rsidR="003361B6" w:rsidRPr="003361B6">
        <w:rPr>
          <w:sz w:val="24"/>
          <w:szCs w:val="24"/>
        </w:rPr>
        <w:t xml:space="preserve">ФГБОУ ВО «Уральский государственный экономический университет» </w:t>
      </w:r>
      <w:hyperlink r:id="rId8" w:history="1">
        <w:r w:rsidR="00E93095" w:rsidRPr="004A61D3">
          <w:rPr>
            <w:rStyle w:val="ab"/>
            <w:sz w:val="24"/>
            <w:szCs w:val="24"/>
            <w:lang w:val="en-US"/>
          </w:rPr>
          <w:t>apla</w:t>
        </w:r>
        <w:r w:rsidR="00E93095" w:rsidRPr="004A61D3">
          <w:rPr>
            <w:rStyle w:val="ab"/>
            <w:sz w:val="24"/>
            <w:szCs w:val="24"/>
          </w:rPr>
          <w:t>@</w:t>
        </w:r>
        <w:r w:rsidR="00E93095" w:rsidRPr="004A61D3">
          <w:rPr>
            <w:rStyle w:val="ab"/>
            <w:sz w:val="24"/>
            <w:szCs w:val="24"/>
            <w:lang w:val="en-US"/>
          </w:rPr>
          <w:t>usue</w:t>
        </w:r>
        <w:r w:rsidR="00E93095" w:rsidRPr="004A61D3">
          <w:rPr>
            <w:rStyle w:val="ab"/>
            <w:sz w:val="24"/>
            <w:szCs w:val="24"/>
          </w:rPr>
          <w:t>.</w:t>
        </w:r>
        <w:proofErr w:type="spellStart"/>
        <w:r w:rsidR="00E93095" w:rsidRPr="004A61D3">
          <w:rPr>
            <w:rStyle w:val="ab"/>
            <w:sz w:val="24"/>
            <w:szCs w:val="24"/>
            <w:lang w:val="en-US"/>
          </w:rPr>
          <w:t>ru</w:t>
        </w:r>
        <w:proofErr w:type="spellEnd"/>
      </w:hyperlink>
    </w:p>
    <w:p w14:paraId="14AFA4CA" w14:textId="3C3FDA5F" w:rsidR="00E93095" w:rsidRDefault="00E93095" w:rsidP="003361B6">
      <w:pPr>
        <w:jc w:val="both"/>
        <w:rPr>
          <w:sz w:val="24"/>
          <w:szCs w:val="24"/>
        </w:rPr>
      </w:pPr>
    </w:p>
    <w:p w14:paraId="0E279175" w14:textId="05826920" w:rsidR="00E93095" w:rsidRPr="003361B6" w:rsidRDefault="00E93095" w:rsidP="00E93095">
      <w:pPr>
        <w:jc w:val="both"/>
        <w:rPr>
          <w:sz w:val="24"/>
          <w:szCs w:val="24"/>
        </w:rPr>
      </w:pPr>
      <w:r>
        <w:rPr>
          <w:b/>
          <w:sz w:val="24"/>
          <w:szCs w:val="24"/>
        </w:rPr>
        <w:t>Селезнева Мария Викторовна</w:t>
      </w:r>
      <w:r w:rsidRPr="003361B6">
        <w:rPr>
          <w:b/>
          <w:sz w:val="24"/>
          <w:szCs w:val="24"/>
        </w:rPr>
        <w:t xml:space="preserve"> </w:t>
      </w:r>
      <w:r w:rsidRPr="003361B6">
        <w:rPr>
          <w:sz w:val="24"/>
          <w:szCs w:val="24"/>
        </w:rPr>
        <w:t xml:space="preserve">(Екатеринбург, Россия), </w:t>
      </w:r>
      <w:r>
        <w:rPr>
          <w:sz w:val="24"/>
          <w:szCs w:val="24"/>
        </w:rPr>
        <w:t>ассистен</w:t>
      </w:r>
      <w:r w:rsidR="00B032EB">
        <w:rPr>
          <w:sz w:val="24"/>
          <w:szCs w:val="24"/>
        </w:rPr>
        <w:t>т кафедры</w:t>
      </w:r>
      <w:r>
        <w:rPr>
          <w:sz w:val="24"/>
          <w:szCs w:val="24"/>
        </w:rPr>
        <w:t xml:space="preserve"> Менеджмента и предпринимательства</w:t>
      </w:r>
      <w:r w:rsidRPr="003361B6">
        <w:rPr>
          <w:sz w:val="24"/>
          <w:szCs w:val="24"/>
          <w:vertAlign w:val="superscript"/>
        </w:rPr>
        <w:t xml:space="preserve"> </w:t>
      </w:r>
      <w:r w:rsidRPr="003361B6">
        <w:rPr>
          <w:sz w:val="24"/>
          <w:szCs w:val="24"/>
        </w:rPr>
        <w:t xml:space="preserve">ФГБОУ ВО «Уральский государственный экономический университет» </w:t>
      </w:r>
      <w:proofErr w:type="spellStart"/>
      <w:r w:rsidR="00FA46CD" w:rsidRPr="00FA46CD">
        <w:rPr>
          <w:sz w:val="24"/>
          <w:szCs w:val="24"/>
          <w:lang w:val="en-US"/>
        </w:rPr>
        <w:t>mvselezneva</w:t>
      </w:r>
      <w:proofErr w:type="spellEnd"/>
      <w:r w:rsidR="00FA46CD" w:rsidRPr="00FA46CD">
        <w:rPr>
          <w:sz w:val="24"/>
          <w:szCs w:val="24"/>
        </w:rPr>
        <w:t>@</w:t>
      </w:r>
      <w:proofErr w:type="spellStart"/>
      <w:r w:rsidR="00FA46CD" w:rsidRPr="00FA46CD">
        <w:rPr>
          <w:sz w:val="24"/>
          <w:szCs w:val="24"/>
          <w:lang w:val="en-US"/>
        </w:rPr>
        <w:t>yandex</w:t>
      </w:r>
      <w:proofErr w:type="spellEnd"/>
      <w:r w:rsidR="00FA46CD" w:rsidRPr="00FA46CD">
        <w:rPr>
          <w:sz w:val="24"/>
          <w:szCs w:val="24"/>
        </w:rPr>
        <w:t>.</w:t>
      </w:r>
      <w:proofErr w:type="spellStart"/>
      <w:r w:rsidR="00FA46CD" w:rsidRPr="00FA46CD">
        <w:rPr>
          <w:sz w:val="24"/>
          <w:szCs w:val="24"/>
          <w:lang w:val="en-US"/>
        </w:rPr>
        <w:t>ru</w:t>
      </w:r>
      <w:proofErr w:type="spellEnd"/>
    </w:p>
    <w:p w14:paraId="78A93372" w14:textId="77777777" w:rsidR="00E93095" w:rsidRPr="00E93095" w:rsidRDefault="00E93095" w:rsidP="003361B6">
      <w:pPr>
        <w:jc w:val="both"/>
        <w:rPr>
          <w:sz w:val="24"/>
          <w:szCs w:val="24"/>
        </w:rPr>
      </w:pPr>
    </w:p>
    <w:p w14:paraId="2FBD7F8B" w14:textId="4B65DFFA" w:rsidR="003361B6" w:rsidRPr="00B97FCF" w:rsidRDefault="003361B6" w:rsidP="003361B6">
      <w:pPr>
        <w:rPr>
          <w:sz w:val="24"/>
          <w:szCs w:val="24"/>
        </w:rPr>
      </w:pPr>
    </w:p>
    <w:p w14:paraId="031E7267" w14:textId="77777777" w:rsidR="00EF0BB8" w:rsidRPr="00EF0BB8" w:rsidRDefault="00EF0BB8" w:rsidP="00EF0BB8">
      <w:pPr>
        <w:jc w:val="right"/>
        <w:rPr>
          <w:sz w:val="24"/>
          <w:szCs w:val="24"/>
          <w:lang w:val="en-US"/>
        </w:rPr>
      </w:pPr>
      <w:proofErr w:type="spellStart"/>
      <w:r w:rsidRPr="00EF0BB8">
        <w:rPr>
          <w:sz w:val="24"/>
          <w:szCs w:val="24"/>
          <w:lang w:val="en-US"/>
        </w:rPr>
        <w:t>Plakhin</w:t>
      </w:r>
      <w:proofErr w:type="spellEnd"/>
      <w:r w:rsidRPr="00EF0BB8">
        <w:rPr>
          <w:sz w:val="24"/>
          <w:szCs w:val="24"/>
          <w:lang w:val="en-US"/>
        </w:rPr>
        <w:t xml:space="preserve"> A. E. </w:t>
      </w:r>
      <w:proofErr w:type="spellStart"/>
      <w:r w:rsidRPr="00EF0BB8">
        <w:rPr>
          <w:sz w:val="24"/>
          <w:szCs w:val="24"/>
          <w:lang w:val="en-US"/>
        </w:rPr>
        <w:t>Selezneva</w:t>
      </w:r>
      <w:proofErr w:type="spellEnd"/>
      <w:r w:rsidRPr="00EF0BB8">
        <w:rPr>
          <w:sz w:val="24"/>
          <w:szCs w:val="24"/>
          <w:lang w:val="en-US"/>
        </w:rPr>
        <w:t xml:space="preserve"> M. V.</w:t>
      </w:r>
    </w:p>
    <w:p w14:paraId="421781A8" w14:textId="77777777" w:rsidR="00EF0BB8" w:rsidRPr="00EF0BB8" w:rsidRDefault="00EF0BB8" w:rsidP="00EF0BB8">
      <w:pPr>
        <w:rPr>
          <w:sz w:val="24"/>
          <w:szCs w:val="24"/>
          <w:lang w:val="en-US"/>
        </w:rPr>
      </w:pPr>
    </w:p>
    <w:p w14:paraId="1AD5D244" w14:textId="4E368AAB" w:rsidR="00EF0BB8" w:rsidRPr="00EF0BB8" w:rsidRDefault="00DA1FD6" w:rsidP="00EF0BB8">
      <w:pPr>
        <w:jc w:val="center"/>
        <w:rPr>
          <w:b/>
          <w:sz w:val="24"/>
          <w:szCs w:val="24"/>
          <w:lang w:val="en-US"/>
        </w:rPr>
      </w:pPr>
      <w:r w:rsidRPr="00EF0BB8">
        <w:rPr>
          <w:b/>
          <w:sz w:val="24"/>
          <w:szCs w:val="24"/>
          <w:lang w:val="en-US"/>
        </w:rPr>
        <w:t>EVALUATION OF INSTITUTIONAL INCENTIVES FOR BUSINESS INTEGRATION USING THE NATIONAL RATING</w:t>
      </w:r>
    </w:p>
    <w:p w14:paraId="17F04915" w14:textId="77777777" w:rsidR="00EF0BB8" w:rsidRPr="00EF0BB8" w:rsidRDefault="00EF0BB8" w:rsidP="00EF0BB8">
      <w:pPr>
        <w:rPr>
          <w:sz w:val="24"/>
          <w:szCs w:val="24"/>
          <w:lang w:val="en-US"/>
        </w:rPr>
      </w:pPr>
    </w:p>
    <w:p w14:paraId="78305DF4" w14:textId="77777777" w:rsidR="00EF0BB8" w:rsidRPr="00EF0BB8" w:rsidRDefault="00EF0BB8" w:rsidP="00EF0BB8">
      <w:pPr>
        <w:rPr>
          <w:sz w:val="24"/>
          <w:szCs w:val="24"/>
          <w:lang w:val="en-US"/>
        </w:rPr>
      </w:pPr>
      <w:r w:rsidRPr="00EF0BB8">
        <w:rPr>
          <w:b/>
          <w:sz w:val="24"/>
          <w:szCs w:val="24"/>
          <w:lang w:val="en-US"/>
        </w:rPr>
        <w:t>Annotation.</w:t>
      </w:r>
      <w:r w:rsidRPr="00EF0BB8">
        <w:rPr>
          <w:sz w:val="24"/>
          <w:szCs w:val="24"/>
          <w:lang w:val="en-US"/>
        </w:rPr>
        <w:t xml:space="preserve"> The article is devoted to the definition of approaches to the assessment of institutional incentives for business integration processes in the Russian Federation. It is concluded that it is possible to use the materials for evaluating the measures of institutional incentives carried out within the framework of the methodology of the National Rating of Investment Attractiveness, which contains more than fifty indicators that characterize the institutional environment.</w:t>
      </w:r>
    </w:p>
    <w:p w14:paraId="1E4E480C" w14:textId="729143BC" w:rsidR="00EF0BB8" w:rsidRDefault="00EF0BB8" w:rsidP="00EF0BB8">
      <w:pPr>
        <w:rPr>
          <w:sz w:val="24"/>
          <w:szCs w:val="24"/>
          <w:lang w:val="en-US"/>
        </w:rPr>
      </w:pPr>
      <w:r w:rsidRPr="00EF0BB8">
        <w:rPr>
          <w:b/>
          <w:sz w:val="24"/>
          <w:szCs w:val="24"/>
          <w:lang w:val="en-US"/>
        </w:rPr>
        <w:t>Keywords.</w:t>
      </w:r>
      <w:r w:rsidRPr="00EF0BB8">
        <w:rPr>
          <w:sz w:val="24"/>
          <w:szCs w:val="24"/>
          <w:lang w:val="en-US"/>
        </w:rPr>
        <w:t xml:space="preserve"> Business integration, institutional incentives, infrastructure, institutions for business.</w:t>
      </w:r>
    </w:p>
    <w:p w14:paraId="2FBD7F8C" w14:textId="77777777" w:rsidR="003361B6" w:rsidRDefault="003361B6" w:rsidP="003361B6">
      <w:pPr>
        <w:rPr>
          <w:sz w:val="24"/>
          <w:szCs w:val="24"/>
          <w:lang w:val="en-US"/>
        </w:rPr>
      </w:pPr>
    </w:p>
    <w:p w14:paraId="0DE1F974" w14:textId="7D00AD53" w:rsidR="0041356B" w:rsidRPr="0041356B" w:rsidRDefault="0041356B" w:rsidP="0041356B">
      <w:pPr>
        <w:rPr>
          <w:sz w:val="24"/>
          <w:szCs w:val="24"/>
          <w:lang w:val="en-US"/>
        </w:rPr>
      </w:pPr>
      <w:proofErr w:type="spellStart"/>
      <w:r w:rsidRPr="0041356B">
        <w:rPr>
          <w:b/>
          <w:sz w:val="24"/>
          <w:szCs w:val="24"/>
          <w:lang w:val="en-US"/>
        </w:rPr>
        <w:t>Plakhin</w:t>
      </w:r>
      <w:proofErr w:type="spellEnd"/>
      <w:r w:rsidRPr="0041356B">
        <w:rPr>
          <w:sz w:val="24"/>
          <w:szCs w:val="24"/>
          <w:lang w:val="en-US"/>
        </w:rPr>
        <w:t xml:space="preserve"> </w:t>
      </w:r>
      <w:r w:rsidRPr="0041356B">
        <w:rPr>
          <w:b/>
          <w:sz w:val="24"/>
          <w:szCs w:val="24"/>
          <w:lang w:val="en-US"/>
        </w:rPr>
        <w:t xml:space="preserve">Andrey </w:t>
      </w:r>
      <w:proofErr w:type="spellStart"/>
      <w:r w:rsidRPr="0041356B">
        <w:rPr>
          <w:b/>
          <w:sz w:val="24"/>
          <w:szCs w:val="24"/>
          <w:lang w:val="en-US"/>
        </w:rPr>
        <w:t>E</w:t>
      </w:r>
      <w:r>
        <w:rPr>
          <w:b/>
          <w:sz w:val="24"/>
          <w:szCs w:val="24"/>
          <w:lang w:val="en-US"/>
        </w:rPr>
        <w:t>vge</w:t>
      </w:r>
      <w:r w:rsidR="0088723C">
        <w:rPr>
          <w:b/>
          <w:sz w:val="24"/>
          <w:szCs w:val="24"/>
          <w:lang w:val="en-US"/>
        </w:rPr>
        <w:t>n</w:t>
      </w:r>
      <w:r w:rsidR="006E2C16">
        <w:rPr>
          <w:b/>
          <w:sz w:val="24"/>
          <w:szCs w:val="24"/>
          <w:lang w:val="en-US"/>
        </w:rPr>
        <w:t>y</w:t>
      </w:r>
      <w:r w:rsidR="0088723C">
        <w:rPr>
          <w:b/>
          <w:sz w:val="24"/>
          <w:szCs w:val="24"/>
          <w:lang w:val="en-US"/>
        </w:rPr>
        <w:t>evi</w:t>
      </w:r>
      <w:r w:rsidR="006E2C16">
        <w:rPr>
          <w:b/>
          <w:sz w:val="24"/>
          <w:szCs w:val="24"/>
          <w:lang w:val="en-US"/>
        </w:rPr>
        <w:t>ch</w:t>
      </w:r>
      <w:proofErr w:type="spellEnd"/>
      <w:r w:rsidRPr="0041356B">
        <w:rPr>
          <w:b/>
          <w:sz w:val="24"/>
          <w:szCs w:val="24"/>
          <w:lang w:val="en-US"/>
        </w:rPr>
        <w:t xml:space="preserve"> </w:t>
      </w:r>
      <w:r w:rsidRPr="0041356B">
        <w:rPr>
          <w:sz w:val="24"/>
          <w:szCs w:val="24"/>
          <w:lang w:val="en-US"/>
        </w:rPr>
        <w:t>(Yekaterinburg, Russia), Doctor of Economics, Head of the Department of Management and Entrepreneurship, Ural State University of Economics apla@usue.ru</w:t>
      </w:r>
    </w:p>
    <w:p w14:paraId="312B90E9" w14:textId="77777777" w:rsidR="0041356B" w:rsidRPr="0041356B" w:rsidRDefault="0041356B" w:rsidP="0041356B">
      <w:pPr>
        <w:rPr>
          <w:sz w:val="24"/>
          <w:szCs w:val="24"/>
          <w:lang w:val="en-US"/>
        </w:rPr>
      </w:pPr>
    </w:p>
    <w:p w14:paraId="2FBD7F8E" w14:textId="6F631634" w:rsidR="003361B6" w:rsidRDefault="0041356B" w:rsidP="0041356B">
      <w:pPr>
        <w:rPr>
          <w:sz w:val="24"/>
          <w:szCs w:val="24"/>
          <w:lang w:val="en-US"/>
        </w:rPr>
      </w:pPr>
      <w:proofErr w:type="spellStart"/>
      <w:r w:rsidRPr="0041356B">
        <w:rPr>
          <w:b/>
          <w:sz w:val="24"/>
          <w:szCs w:val="24"/>
          <w:lang w:val="en-US"/>
        </w:rPr>
        <w:t>Selezneva</w:t>
      </w:r>
      <w:proofErr w:type="spellEnd"/>
      <w:r w:rsidRPr="0041356B">
        <w:rPr>
          <w:b/>
          <w:sz w:val="24"/>
          <w:szCs w:val="24"/>
          <w:lang w:val="en-US"/>
        </w:rPr>
        <w:t xml:space="preserve"> Maria Viktorovna</w:t>
      </w:r>
      <w:r w:rsidRPr="0041356B">
        <w:rPr>
          <w:sz w:val="24"/>
          <w:szCs w:val="24"/>
          <w:lang w:val="en-US"/>
        </w:rPr>
        <w:t xml:space="preserve"> (Yekaterinburg, Russia), Assistant of the Department of Management and Entrepreneurship, Ural State University of Economics mvselezneva@yandex.ru</w:t>
      </w:r>
    </w:p>
    <w:p w14:paraId="2FBD7F8F" w14:textId="77777777" w:rsidR="003361B6" w:rsidRPr="003361B6" w:rsidRDefault="003361B6" w:rsidP="003361B6">
      <w:pPr>
        <w:jc w:val="center"/>
        <w:rPr>
          <w:sz w:val="24"/>
          <w:szCs w:val="24"/>
          <w:lang w:val="en-US"/>
        </w:rPr>
      </w:pPr>
      <w:r>
        <w:rPr>
          <w:sz w:val="24"/>
          <w:szCs w:val="24"/>
          <w:lang w:val="en-US"/>
        </w:rPr>
        <w:t>References</w:t>
      </w:r>
      <w:r w:rsidRPr="003361B6">
        <w:rPr>
          <w:sz w:val="24"/>
          <w:szCs w:val="24"/>
          <w:lang w:val="en-US"/>
        </w:rPr>
        <w:t>:</w:t>
      </w:r>
    </w:p>
    <w:p w14:paraId="2FBD7F90" w14:textId="77777777" w:rsidR="003361B6" w:rsidRPr="003361B6" w:rsidRDefault="003361B6" w:rsidP="003361B6">
      <w:pPr>
        <w:rPr>
          <w:sz w:val="24"/>
          <w:szCs w:val="24"/>
          <w:lang w:val="en-US"/>
        </w:rPr>
      </w:pPr>
    </w:p>
    <w:p w14:paraId="242C5DF1" w14:textId="77777777" w:rsidR="00D265C1" w:rsidRDefault="00D265C1" w:rsidP="00D265C1">
      <w:pPr>
        <w:pStyle w:val="a4"/>
        <w:numPr>
          <w:ilvl w:val="0"/>
          <w:numId w:val="3"/>
        </w:numPr>
        <w:jc w:val="both"/>
        <w:rPr>
          <w:rFonts w:eastAsiaTheme="minorHAnsi"/>
        </w:rPr>
      </w:pPr>
      <w:proofErr w:type="spellStart"/>
      <w:r>
        <w:rPr>
          <w:lang w:val="en-US"/>
        </w:rPr>
        <w:t>Möller</w:t>
      </w:r>
      <w:proofErr w:type="spellEnd"/>
      <w:r>
        <w:rPr>
          <w:lang w:val="en-US"/>
        </w:rPr>
        <w:t xml:space="preserve"> K., </w:t>
      </w:r>
      <w:proofErr w:type="spellStart"/>
      <w:r>
        <w:rPr>
          <w:lang w:val="en-US"/>
        </w:rPr>
        <w:t>Svahn</w:t>
      </w:r>
      <w:proofErr w:type="spellEnd"/>
      <w:r>
        <w:rPr>
          <w:lang w:val="en-US"/>
        </w:rPr>
        <w:t xml:space="preserve"> S. (2009) How to influence the birth of new business fields—Network perspective //Industrial Marketing Management. </w:t>
      </w:r>
      <w:r>
        <w:t xml:space="preserve">Т. 38.  №. 4.  С. </w:t>
      </w:r>
      <w:proofErr w:type="gramStart"/>
      <w:r>
        <w:t>450-458</w:t>
      </w:r>
      <w:proofErr w:type="gramEnd"/>
    </w:p>
    <w:p w14:paraId="551C9FC9" w14:textId="77777777" w:rsidR="00D265C1" w:rsidRDefault="00D265C1" w:rsidP="00D265C1">
      <w:pPr>
        <w:pStyle w:val="a4"/>
        <w:numPr>
          <w:ilvl w:val="0"/>
          <w:numId w:val="3"/>
        </w:numPr>
        <w:jc w:val="both"/>
      </w:pPr>
      <w:r>
        <w:lastRenderedPageBreak/>
        <w:t xml:space="preserve">Колобова Е. А., Колобов А. Д., Теплова И. Г., </w:t>
      </w:r>
      <w:proofErr w:type="spellStart"/>
      <w:r>
        <w:t>Ягольницер</w:t>
      </w:r>
      <w:proofErr w:type="spellEnd"/>
      <w:r>
        <w:t xml:space="preserve"> М. А.   (2017) Когнитивная модель кластера как институциональной системы //Креативная экономика. Т. 11. – №. 10. С.</w:t>
      </w:r>
      <w:proofErr w:type="gramStart"/>
      <w:r>
        <w:t>1039-1056</w:t>
      </w:r>
      <w:proofErr w:type="gramEnd"/>
    </w:p>
    <w:p w14:paraId="462ACA48" w14:textId="77777777" w:rsidR="00D265C1" w:rsidRDefault="00D265C1" w:rsidP="00D265C1">
      <w:pPr>
        <w:pStyle w:val="a4"/>
        <w:numPr>
          <w:ilvl w:val="0"/>
          <w:numId w:val="3"/>
        </w:numPr>
        <w:jc w:val="both"/>
      </w:pPr>
      <w:proofErr w:type="spellStart"/>
      <w:r>
        <w:rPr>
          <w:lang w:val="en-US"/>
        </w:rPr>
        <w:t>Inemek</w:t>
      </w:r>
      <w:proofErr w:type="spellEnd"/>
      <w:r>
        <w:rPr>
          <w:lang w:val="en-US"/>
        </w:rPr>
        <w:t xml:space="preserve"> A., </w:t>
      </w:r>
      <w:proofErr w:type="spellStart"/>
      <w:r>
        <w:rPr>
          <w:lang w:val="en-US"/>
        </w:rPr>
        <w:t>Matthyssens</w:t>
      </w:r>
      <w:proofErr w:type="spellEnd"/>
      <w:r>
        <w:rPr>
          <w:lang w:val="en-US"/>
        </w:rPr>
        <w:t xml:space="preserve"> P. (2013) The impact of buyer–supplier relationships on supplier innovativeness: An empirical study in cross-border supply networks //Industrial Marketing Management. </w:t>
      </w:r>
      <w:r>
        <w:t xml:space="preserve">Т. 42. №. 4. С. </w:t>
      </w:r>
      <w:proofErr w:type="gramStart"/>
      <w:r>
        <w:t>580-594</w:t>
      </w:r>
      <w:proofErr w:type="gramEnd"/>
    </w:p>
    <w:p w14:paraId="7BE1CF9C" w14:textId="45E6CB06" w:rsidR="00D265C1" w:rsidRPr="00D265C1" w:rsidRDefault="00D265C1" w:rsidP="00D265C1">
      <w:pPr>
        <w:pStyle w:val="aa"/>
        <w:numPr>
          <w:ilvl w:val="0"/>
          <w:numId w:val="3"/>
        </w:numPr>
        <w:jc w:val="both"/>
        <w:rPr>
          <w:rFonts w:eastAsia="Times New Roman"/>
          <w:sz w:val="24"/>
          <w:szCs w:val="24"/>
          <w:lang w:val="en-US"/>
        </w:rPr>
      </w:pPr>
      <w:proofErr w:type="spellStart"/>
      <w:r w:rsidRPr="00D265C1">
        <w:rPr>
          <w:rFonts w:eastAsia="Times New Roman"/>
          <w:sz w:val="24"/>
          <w:szCs w:val="24"/>
          <w:lang w:val="en-US"/>
        </w:rPr>
        <w:t>Muravyev</w:t>
      </w:r>
      <w:proofErr w:type="spellEnd"/>
      <w:r w:rsidRPr="00D265C1">
        <w:rPr>
          <w:rFonts w:eastAsia="Times New Roman"/>
          <w:sz w:val="24"/>
          <w:szCs w:val="24"/>
          <w:lang w:val="en-US"/>
        </w:rPr>
        <w:t xml:space="preserve"> A. A., </w:t>
      </w:r>
      <w:proofErr w:type="spellStart"/>
      <w:r w:rsidRPr="00D265C1">
        <w:rPr>
          <w:rFonts w:eastAsia="Times New Roman"/>
          <w:sz w:val="24"/>
          <w:szCs w:val="24"/>
          <w:lang w:val="en-US"/>
        </w:rPr>
        <w:t>Tarakanova</w:t>
      </w:r>
      <w:proofErr w:type="spellEnd"/>
      <w:r w:rsidRPr="00D265C1">
        <w:rPr>
          <w:rFonts w:eastAsia="Times New Roman"/>
          <w:sz w:val="24"/>
          <w:szCs w:val="24"/>
          <w:lang w:val="en-US"/>
        </w:rPr>
        <w:t xml:space="preserve"> E. I., </w:t>
      </w:r>
      <w:proofErr w:type="spellStart"/>
      <w:r w:rsidRPr="00D265C1">
        <w:rPr>
          <w:rFonts w:eastAsia="Times New Roman"/>
          <w:sz w:val="24"/>
          <w:szCs w:val="24"/>
          <w:lang w:val="en-US"/>
        </w:rPr>
        <w:t>Tishina</w:t>
      </w:r>
      <w:proofErr w:type="spellEnd"/>
      <w:r w:rsidRPr="00D265C1">
        <w:rPr>
          <w:rFonts w:eastAsia="Times New Roman"/>
          <w:sz w:val="24"/>
          <w:szCs w:val="24"/>
          <w:lang w:val="en-US"/>
        </w:rPr>
        <w:t xml:space="preserve"> V. N., </w:t>
      </w:r>
      <w:proofErr w:type="spellStart"/>
      <w:r w:rsidRPr="00D265C1">
        <w:rPr>
          <w:rFonts w:eastAsia="Times New Roman"/>
          <w:sz w:val="24"/>
          <w:szCs w:val="24"/>
          <w:lang w:val="en-US"/>
        </w:rPr>
        <w:t>Chekmarev</w:t>
      </w:r>
      <w:proofErr w:type="spellEnd"/>
      <w:r w:rsidRPr="00D265C1">
        <w:rPr>
          <w:rFonts w:eastAsia="Times New Roman"/>
          <w:sz w:val="24"/>
          <w:szCs w:val="24"/>
          <w:lang w:val="en-US"/>
        </w:rPr>
        <w:t xml:space="preserve"> V. V. (2013) Features and characteristics of the network mechanism of coordination of interactions of economic entities //Questions of the New Economy. - 2013. - No. 4. - p. 10-17</w:t>
      </w:r>
    </w:p>
    <w:p w14:paraId="13DBA17B" w14:textId="77777777" w:rsidR="00D265C1" w:rsidRPr="00D265C1" w:rsidRDefault="00D265C1" w:rsidP="00D265C1">
      <w:pPr>
        <w:pStyle w:val="aa"/>
        <w:numPr>
          <w:ilvl w:val="0"/>
          <w:numId w:val="3"/>
        </w:numPr>
        <w:jc w:val="both"/>
        <w:rPr>
          <w:b/>
          <w:sz w:val="24"/>
          <w:szCs w:val="24"/>
          <w:lang w:val="en-US"/>
        </w:rPr>
      </w:pPr>
      <w:r w:rsidRPr="00D265C1">
        <w:rPr>
          <w:rFonts w:eastAsia="Times New Roman"/>
          <w:sz w:val="24"/>
          <w:szCs w:val="24"/>
          <w:lang w:val="en-US"/>
        </w:rPr>
        <w:t>Popov E. V. (2010) Institutes of regional development of the knowledge economy //Regional Economy: Theory and Practice. no. 4. pp. 2-8</w:t>
      </w:r>
    </w:p>
    <w:p w14:paraId="41D9E10F" w14:textId="36D13B45" w:rsidR="00D265C1" w:rsidRDefault="00D265C1" w:rsidP="00D265C1">
      <w:pPr>
        <w:pStyle w:val="aa"/>
        <w:numPr>
          <w:ilvl w:val="0"/>
          <w:numId w:val="3"/>
        </w:numPr>
        <w:jc w:val="both"/>
        <w:rPr>
          <w:b/>
          <w:sz w:val="24"/>
          <w:szCs w:val="24"/>
          <w:lang w:val="en-US"/>
        </w:rPr>
      </w:pPr>
      <w:proofErr w:type="spellStart"/>
      <w:r>
        <w:rPr>
          <w:sz w:val="24"/>
          <w:szCs w:val="24"/>
          <w:lang w:val="en-US"/>
        </w:rPr>
        <w:t>Plakhin</w:t>
      </w:r>
      <w:proofErr w:type="spellEnd"/>
      <w:r>
        <w:rPr>
          <w:sz w:val="24"/>
          <w:szCs w:val="24"/>
          <w:lang w:val="en-US"/>
        </w:rPr>
        <w:t xml:space="preserve"> A. E.., </w:t>
      </w:r>
      <w:proofErr w:type="spellStart"/>
      <w:r>
        <w:rPr>
          <w:sz w:val="24"/>
          <w:szCs w:val="24"/>
          <w:lang w:val="en-US"/>
        </w:rPr>
        <w:t>Ogorodnikova</w:t>
      </w:r>
      <w:proofErr w:type="spellEnd"/>
      <w:r>
        <w:rPr>
          <w:sz w:val="24"/>
          <w:szCs w:val="24"/>
          <w:lang w:val="en-US"/>
        </w:rPr>
        <w:t xml:space="preserve"> E. S., </w:t>
      </w:r>
      <w:proofErr w:type="spellStart"/>
      <w:r>
        <w:rPr>
          <w:sz w:val="24"/>
          <w:szCs w:val="24"/>
          <w:lang w:val="en-US"/>
        </w:rPr>
        <w:t>Kochergina</w:t>
      </w:r>
      <w:proofErr w:type="spellEnd"/>
      <w:r>
        <w:rPr>
          <w:sz w:val="24"/>
          <w:szCs w:val="24"/>
          <w:lang w:val="en-US"/>
        </w:rPr>
        <w:t xml:space="preserve"> T. V.., </w:t>
      </w:r>
      <w:proofErr w:type="spellStart"/>
      <w:r>
        <w:rPr>
          <w:sz w:val="24"/>
          <w:szCs w:val="24"/>
          <w:lang w:val="en-US"/>
        </w:rPr>
        <w:t>Guseva</w:t>
      </w:r>
      <w:proofErr w:type="spellEnd"/>
      <w:r>
        <w:rPr>
          <w:sz w:val="24"/>
          <w:szCs w:val="24"/>
          <w:lang w:val="en-US"/>
        </w:rPr>
        <w:t xml:space="preserve"> T. I.., </w:t>
      </w:r>
      <w:proofErr w:type="spellStart"/>
      <w:r>
        <w:rPr>
          <w:sz w:val="24"/>
          <w:szCs w:val="24"/>
          <w:lang w:val="en-US"/>
        </w:rPr>
        <w:t>Selezneva</w:t>
      </w:r>
      <w:proofErr w:type="spellEnd"/>
      <w:r>
        <w:rPr>
          <w:sz w:val="24"/>
          <w:szCs w:val="24"/>
          <w:lang w:val="en-US"/>
        </w:rPr>
        <w:t xml:space="preserve"> M. </w:t>
      </w:r>
      <w:proofErr w:type="gramStart"/>
      <w:r>
        <w:rPr>
          <w:sz w:val="24"/>
          <w:szCs w:val="24"/>
          <w:lang w:val="en-US"/>
        </w:rPr>
        <w:t>V..</w:t>
      </w:r>
      <w:proofErr w:type="gramEnd"/>
      <w:r>
        <w:rPr>
          <w:sz w:val="24"/>
          <w:szCs w:val="24"/>
          <w:lang w:val="en-US"/>
        </w:rPr>
        <w:t xml:space="preserve"> Institutions of regional development in the infrastructure support of the regional economy Amazonia </w:t>
      </w:r>
      <w:proofErr w:type="spellStart"/>
      <w:r>
        <w:rPr>
          <w:sz w:val="24"/>
          <w:szCs w:val="24"/>
          <w:lang w:val="en-US"/>
        </w:rPr>
        <w:t>investiga</w:t>
      </w:r>
      <w:proofErr w:type="spellEnd"/>
      <w:r>
        <w:rPr>
          <w:sz w:val="24"/>
          <w:szCs w:val="24"/>
          <w:lang w:val="en-US"/>
        </w:rPr>
        <w:t xml:space="preserve">   </w:t>
      </w:r>
      <w:r>
        <w:rPr>
          <w:sz w:val="24"/>
          <w:szCs w:val="24"/>
        </w:rPr>
        <w:t>Том</w:t>
      </w:r>
      <w:r>
        <w:rPr>
          <w:sz w:val="24"/>
          <w:szCs w:val="24"/>
          <w:lang w:val="en-US"/>
        </w:rPr>
        <w:t xml:space="preserve">: ‏ 9   </w:t>
      </w:r>
      <w:r>
        <w:rPr>
          <w:sz w:val="24"/>
          <w:szCs w:val="24"/>
        </w:rPr>
        <w:t>Выпуск</w:t>
      </w:r>
      <w:r>
        <w:rPr>
          <w:sz w:val="24"/>
          <w:szCs w:val="24"/>
          <w:lang w:val="en-US"/>
        </w:rPr>
        <w:t xml:space="preserve">: ‏ 26   </w:t>
      </w:r>
      <w:proofErr w:type="spellStart"/>
      <w:r>
        <w:rPr>
          <w:sz w:val="24"/>
          <w:szCs w:val="24"/>
        </w:rPr>
        <w:t>Стр</w:t>
      </w:r>
      <w:proofErr w:type="spellEnd"/>
      <w:r>
        <w:rPr>
          <w:sz w:val="24"/>
          <w:szCs w:val="24"/>
          <w:lang w:val="en-US"/>
        </w:rPr>
        <w:t>.: ‏ 356-364</w:t>
      </w:r>
      <w:r>
        <w:rPr>
          <w:lang w:val="en-US"/>
        </w:rPr>
        <w:t xml:space="preserve">  </w:t>
      </w:r>
    </w:p>
    <w:p w14:paraId="5E9BDB9B" w14:textId="77777777" w:rsidR="00D265C1" w:rsidRDefault="00D265C1" w:rsidP="00D265C1">
      <w:pPr>
        <w:jc w:val="both"/>
        <w:rPr>
          <w:b/>
          <w:sz w:val="24"/>
          <w:szCs w:val="24"/>
          <w:lang w:val="en-US"/>
        </w:rPr>
      </w:pPr>
    </w:p>
    <w:p w14:paraId="2FBD7F96" w14:textId="05FF9FA9" w:rsidR="003361B6" w:rsidRPr="003361B6" w:rsidRDefault="003361B6" w:rsidP="00D265C1">
      <w:pPr>
        <w:rPr>
          <w:sz w:val="24"/>
          <w:szCs w:val="24"/>
          <w:lang w:val="en-US"/>
        </w:rPr>
      </w:pPr>
    </w:p>
    <w:sectPr w:rsidR="003361B6" w:rsidRPr="003361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2E2F" w14:textId="77777777" w:rsidR="003A4AAE" w:rsidRDefault="003A4AAE" w:rsidP="00E25F1E">
      <w:r>
        <w:separator/>
      </w:r>
    </w:p>
  </w:endnote>
  <w:endnote w:type="continuationSeparator" w:id="0">
    <w:p w14:paraId="7952A507" w14:textId="77777777" w:rsidR="003A4AAE" w:rsidRDefault="003A4AAE" w:rsidP="00E2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FE43" w14:textId="77777777" w:rsidR="003A4AAE" w:rsidRDefault="003A4AAE" w:rsidP="00E25F1E">
      <w:r>
        <w:separator/>
      </w:r>
    </w:p>
  </w:footnote>
  <w:footnote w:type="continuationSeparator" w:id="0">
    <w:p w14:paraId="245995D1" w14:textId="77777777" w:rsidR="003A4AAE" w:rsidRDefault="003A4AAE" w:rsidP="00E25F1E">
      <w:r>
        <w:continuationSeparator/>
      </w:r>
    </w:p>
  </w:footnote>
  <w:footnote w:id="1">
    <w:p w14:paraId="7CFB5DF8" w14:textId="22CC6FB6" w:rsidR="00064C5A" w:rsidRPr="00360A3C" w:rsidRDefault="00064C5A">
      <w:pPr>
        <w:pStyle w:val="a4"/>
      </w:pPr>
      <w:r>
        <w:rPr>
          <w:rStyle w:val="a8"/>
        </w:rPr>
        <w:footnoteRef/>
      </w:r>
      <w:r w:rsidRPr="00360A3C">
        <w:t xml:space="preserve"> </w:t>
      </w:r>
      <w:r w:rsidR="00360A3C" w:rsidRPr="00360A3C">
        <w:t xml:space="preserve">Публикация подготовлена при финансовой поддержке исследовательского гранта РФФИ и Свердловской области </w:t>
      </w:r>
      <w:proofErr w:type="gramStart"/>
      <w:r w:rsidR="00360A3C" w:rsidRPr="00360A3C">
        <w:t>№ 20-410-660032</w:t>
      </w:r>
      <w:proofErr w:type="gramEnd"/>
      <w:r w:rsidR="00360A3C" w:rsidRPr="00360A3C">
        <w:t xml:space="preserve"> </w:t>
      </w:r>
      <w:proofErr w:type="spellStart"/>
      <w:r w:rsidR="00360A3C" w:rsidRPr="00360A3C">
        <w:t>р_а</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1578"/>
    <w:multiLevelType w:val="hybridMultilevel"/>
    <w:tmpl w:val="9A96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400158"/>
    <w:multiLevelType w:val="hybridMultilevel"/>
    <w:tmpl w:val="71648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1E"/>
    <w:rsid w:val="000518F5"/>
    <w:rsid w:val="00064C5A"/>
    <w:rsid w:val="00135ABC"/>
    <w:rsid w:val="001373AC"/>
    <w:rsid w:val="00154CCE"/>
    <w:rsid w:val="001C2BDB"/>
    <w:rsid w:val="00245607"/>
    <w:rsid w:val="00245E44"/>
    <w:rsid w:val="003361B6"/>
    <w:rsid w:val="00360A3C"/>
    <w:rsid w:val="003A4AAE"/>
    <w:rsid w:val="0041356B"/>
    <w:rsid w:val="00474B61"/>
    <w:rsid w:val="004B6CCA"/>
    <w:rsid w:val="00500630"/>
    <w:rsid w:val="006B20DB"/>
    <w:rsid w:val="006E2C16"/>
    <w:rsid w:val="007A1A68"/>
    <w:rsid w:val="00844B35"/>
    <w:rsid w:val="00871146"/>
    <w:rsid w:val="0088723C"/>
    <w:rsid w:val="008B37AE"/>
    <w:rsid w:val="009202B2"/>
    <w:rsid w:val="00976BF0"/>
    <w:rsid w:val="009E1D43"/>
    <w:rsid w:val="00B032EB"/>
    <w:rsid w:val="00B04BEF"/>
    <w:rsid w:val="00B97FCF"/>
    <w:rsid w:val="00D265C1"/>
    <w:rsid w:val="00D62CA0"/>
    <w:rsid w:val="00DA1FD6"/>
    <w:rsid w:val="00E25F1E"/>
    <w:rsid w:val="00E423A2"/>
    <w:rsid w:val="00E93095"/>
    <w:rsid w:val="00ED1882"/>
    <w:rsid w:val="00EF0BB8"/>
    <w:rsid w:val="00F313EA"/>
    <w:rsid w:val="00FA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7F57"/>
  <w15:chartTrackingRefBased/>
  <w15:docId w15:val="{5F8BF157-65D1-475A-AE4A-024635D6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F1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52">
    <w:name w:val="rvts52"/>
    <w:basedOn w:val="a0"/>
    <w:rsid w:val="00E25F1E"/>
  </w:style>
  <w:style w:type="character" w:customStyle="1" w:styleId="a3">
    <w:name w:val="Текст сноски Знак"/>
    <w:aliases w:val="Текст сноски-FN Знак,Footnote Text Char Знак Знак Знак,Footnote Text Char Знак Знак1,-++ Знак,single space Знак,footnote text Знак,Footnote Text Char Знак1,Знак Знак Знак1,Знак Знак Знак Знак,Знак Знак2,Знак1 Знак Знак Знак"/>
    <w:basedOn w:val="a0"/>
    <w:link w:val="a4"/>
    <w:semiHidden/>
    <w:locked/>
    <w:rsid w:val="00E25F1E"/>
    <w:rPr>
      <w:rFonts w:ascii="Times New Roman" w:eastAsia="Times New Roman" w:hAnsi="Times New Roman" w:cs="Times New Roman"/>
      <w:sz w:val="24"/>
      <w:szCs w:val="24"/>
      <w:lang w:eastAsia="ru-RU"/>
    </w:rPr>
  </w:style>
  <w:style w:type="paragraph" w:styleId="a4">
    <w:name w:val="footnote text"/>
    <w:aliases w:val="Текст сноски-FN,Footnote Text Char Знак Знак,Footnote Text Char Знак,-++,single space,footnote text,Footnote Text Char,Знак Знак,Знак Знак Знак,Знак,Знак1 Знак Знак,Текст сноски1,Знак1 Знак,Знак Знак1"/>
    <w:basedOn w:val="a"/>
    <w:link w:val="a3"/>
    <w:semiHidden/>
    <w:unhideWhenUsed/>
    <w:qFormat/>
    <w:rsid w:val="00E25F1E"/>
    <w:pPr>
      <w:widowControl/>
      <w:autoSpaceDE/>
      <w:autoSpaceDN/>
      <w:adjustRightInd/>
    </w:pPr>
    <w:rPr>
      <w:rFonts w:eastAsia="Times New Roman"/>
      <w:sz w:val="24"/>
      <w:szCs w:val="24"/>
    </w:rPr>
  </w:style>
  <w:style w:type="character" w:customStyle="1" w:styleId="1">
    <w:name w:val="Текст сноски Знак1"/>
    <w:basedOn w:val="a0"/>
    <w:uiPriority w:val="99"/>
    <w:semiHidden/>
    <w:rsid w:val="00E25F1E"/>
    <w:rPr>
      <w:rFonts w:ascii="Times New Roman" w:eastAsiaTheme="minorEastAsia" w:hAnsi="Times New Roman" w:cs="Times New Roman"/>
      <w:sz w:val="20"/>
      <w:szCs w:val="20"/>
      <w:lang w:eastAsia="ru-RU"/>
    </w:rPr>
  </w:style>
  <w:style w:type="paragraph" w:styleId="a5">
    <w:name w:val="caption"/>
    <w:basedOn w:val="a"/>
    <w:next w:val="a"/>
    <w:uiPriority w:val="35"/>
    <w:semiHidden/>
    <w:unhideWhenUsed/>
    <w:qFormat/>
    <w:rsid w:val="00E25F1E"/>
    <w:pPr>
      <w:widowControl/>
      <w:autoSpaceDE/>
      <w:autoSpaceDN/>
      <w:adjustRightInd/>
      <w:spacing w:after="200"/>
    </w:pPr>
    <w:rPr>
      <w:rFonts w:eastAsia="Times New Roman"/>
      <w:b/>
      <w:bCs/>
      <w:color w:val="5B9BD5" w:themeColor="accent1"/>
      <w:sz w:val="18"/>
      <w:szCs w:val="18"/>
    </w:rPr>
  </w:style>
  <w:style w:type="character" w:customStyle="1" w:styleId="a6">
    <w:name w:val="Текст основной Знак"/>
    <w:basedOn w:val="a0"/>
    <w:link w:val="a7"/>
    <w:locked/>
    <w:rsid w:val="00E25F1E"/>
    <w:rPr>
      <w:rFonts w:ascii="Times New Roman" w:hAnsi="Times New Roman" w:cs="Times New Roman"/>
      <w:sz w:val="28"/>
    </w:rPr>
  </w:style>
  <w:style w:type="paragraph" w:customStyle="1" w:styleId="a7">
    <w:name w:val="Текст основной"/>
    <w:basedOn w:val="a"/>
    <w:link w:val="a6"/>
    <w:qFormat/>
    <w:rsid w:val="00E25F1E"/>
    <w:pPr>
      <w:widowControl/>
      <w:autoSpaceDE/>
      <w:autoSpaceDN/>
      <w:adjustRightInd/>
      <w:spacing w:line="360" w:lineRule="auto"/>
      <w:ind w:firstLine="709"/>
      <w:jc w:val="both"/>
    </w:pPr>
    <w:rPr>
      <w:rFonts w:eastAsiaTheme="minorHAnsi"/>
      <w:sz w:val="28"/>
      <w:szCs w:val="22"/>
      <w:lang w:eastAsia="en-US"/>
    </w:rPr>
  </w:style>
  <w:style w:type="character" w:styleId="a8">
    <w:name w:val="footnote reference"/>
    <w:aliases w:val="Знак сноски-FN,Ciae niinee-FN,SUPERS,Знак сноски 1,Ciae niinee 1,Referencia nota al pie,Ссылка на сноску 45,Appel note de bas de page,fr,Used by Word for Help footnote symbols,анкета сноска,Style 49,o,Style 18"/>
    <w:basedOn w:val="a0"/>
    <w:uiPriority w:val="99"/>
    <w:semiHidden/>
    <w:unhideWhenUsed/>
    <w:rsid w:val="00E25F1E"/>
    <w:rPr>
      <w:vertAlign w:val="superscript"/>
    </w:rPr>
  </w:style>
  <w:style w:type="table" w:styleId="a9">
    <w:name w:val="Table Grid"/>
    <w:basedOn w:val="a1"/>
    <w:uiPriority w:val="59"/>
    <w:rsid w:val="00E25F1E"/>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3361B6"/>
    <w:pPr>
      <w:ind w:left="720"/>
      <w:contextualSpacing/>
    </w:pPr>
  </w:style>
  <w:style w:type="character" w:styleId="ab">
    <w:name w:val="Hyperlink"/>
    <w:basedOn w:val="a0"/>
    <w:uiPriority w:val="99"/>
    <w:unhideWhenUsed/>
    <w:rsid w:val="003361B6"/>
    <w:rPr>
      <w:color w:val="0563C1" w:themeColor="hyperlink"/>
      <w:u w:val="single"/>
    </w:rPr>
  </w:style>
  <w:style w:type="paragraph" w:customStyle="1" w:styleId="ac">
    <w:name w:val="Обычный+Интервал"/>
    <w:basedOn w:val="a"/>
    <w:uiPriority w:val="99"/>
    <w:qFormat/>
    <w:rsid w:val="00ED1882"/>
    <w:pPr>
      <w:widowControl/>
      <w:autoSpaceDE/>
      <w:autoSpaceDN/>
      <w:adjustRightInd/>
      <w:ind w:firstLine="567"/>
      <w:jc w:val="both"/>
    </w:pPr>
    <w:rPr>
      <w:rFonts w:eastAsia="Times New Roman"/>
      <w:sz w:val="22"/>
    </w:rPr>
  </w:style>
  <w:style w:type="character" w:styleId="ad">
    <w:name w:val="Unresolved Mention"/>
    <w:basedOn w:val="a0"/>
    <w:uiPriority w:val="99"/>
    <w:semiHidden/>
    <w:unhideWhenUsed/>
    <w:rsid w:val="00E9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462">
      <w:bodyDiv w:val="1"/>
      <w:marLeft w:val="0"/>
      <w:marRight w:val="0"/>
      <w:marTop w:val="0"/>
      <w:marBottom w:val="0"/>
      <w:divBdr>
        <w:top w:val="none" w:sz="0" w:space="0" w:color="auto"/>
        <w:left w:val="none" w:sz="0" w:space="0" w:color="auto"/>
        <w:bottom w:val="none" w:sz="0" w:space="0" w:color="auto"/>
        <w:right w:val="none" w:sz="0" w:space="0" w:color="auto"/>
      </w:divBdr>
    </w:div>
    <w:div w:id="325597581">
      <w:bodyDiv w:val="1"/>
      <w:marLeft w:val="0"/>
      <w:marRight w:val="0"/>
      <w:marTop w:val="0"/>
      <w:marBottom w:val="0"/>
      <w:divBdr>
        <w:top w:val="none" w:sz="0" w:space="0" w:color="auto"/>
        <w:left w:val="none" w:sz="0" w:space="0" w:color="auto"/>
        <w:bottom w:val="none" w:sz="0" w:space="0" w:color="auto"/>
        <w:right w:val="none" w:sz="0" w:space="0" w:color="auto"/>
      </w:divBdr>
    </w:div>
    <w:div w:id="519783147">
      <w:bodyDiv w:val="1"/>
      <w:marLeft w:val="0"/>
      <w:marRight w:val="0"/>
      <w:marTop w:val="0"/>
      <w:marBottom w:val="0"/>
      <w:divBdr>
        <w:top w:val="none" w:sz="0" w:space="0" w:color="auto"/>
        <w:left w:val="none" w:sz="0" w:space="0" w:color="auto"/>
        <w:bottom w:val="none" w:sz="0" w:space="0" w:color="auto"/>
        <w:right w:val="none" w:sz="0" w:space="0" w:color="auto"/>
      </w:divBdr>
    </w:div>
    <w:div w:id="844825458">
      <w:bodyDiv w:val="1"/>
      <w:marLeft w:val="0"/>
      <w:marRight w:val="0"/>
      <w:marTop w:val="0"/>
      <w:marBottom w:val="0"/>
      <w:divBdr>
        <w:top w:val="none" w:sz="0" w:space="0" w:color="auto"/>
        <w:left w:val="none" w:sz="0" w:space="0" w:color="auto"/>
        <w:bottom w:val="none" w:sz="0" w:space="0" w:color="auto"/>
        <w:right w:val="none" w:sz="0" w:space="0" w:color="auto"/>
      </w:divBdr>
    </w:div>
    <w:div w:id="1077630196">
      <w:bodyDiv w:val="1"/>
      <w:marLeft w:val="0"/>
      <w:marRight w:val="0"/>
      <w:marTop w:val="0"/>
      <w:marBottom w:val="0"/>
      <w:divBdr>
        <w:top w:val="none" w:sz="0" w:space="0" w:color="auto"/>
        <w:left w:val="none" w:sz="0" w:space="0" w:color="auto"/>
        <w:bottom w:val="none" w:sz="0" w:space="0" w:color="auto"/>
        <w:right w:val="none" w:sz="0" w:space="0" w:color="auto"/>
      </w:divBdr>
    </w:div>
    <w:div w:id="1084299532">
      <w:bodyDiv w:val="1"/>
      <w:marLeft w:val="0"/>
      <w:marRight w:val="0"/>
      <w:marTop w:val="0"/>
      <w:marBottom w:val="0"/>
      <w:divBdr>
        <w:top w:val="none" w:sz="0" w:space="0" w:color="auto"/>
        <w:left w:val="none" w:sz="0" w:space="0" w:color="auto"/>
        <w:bottom w:val="none" w:sz="0" w:space="0" w:color="auto"/>
        <w:right w:val="none" w:sz="0" w:space="0" w:color="auto"/>
      </w:divBdr>
    </w:div>
    <w:div w:id="1333604155">
      <w:bodyDiv w:val="1"/>
      <w:marLeft w:val="0"/>
      <w:marRight w:val="0"/>
      <w:marTop w:val="0"/>
      <w:marBottom w:val="0"/>
      <w:divBdr>
        <w:top w:val="none" w:sz="0" w:space="0" w:color="auto"/>
        <w:left w:val="none" w:sz="0" w:space="0" w:color="auto"/>
        <w:bottom w:val="none" w:sz="0" w:space="0" w:color="auto"/>
        <w:right w:val="none" w:sz="0" w:space="0" w:color="auto"/>
      </w:divBdr>
    </w:div>
    <w:div w:id="1356417726">
      <w:bodyDiv w:val="1"/>
      <w:marLeft w:val="0"/>
      <w:marRight w:val="0"/>
      <w:marTop w:val="0"/>
      <w:marBottom w:val="0"/>
      <w:divBdr>
        <w:top w:val="none" w:sz="0" w:space="0" w:color="auto"/>
        <w:left w:val="none" w:sz="0" w:space="0" w:color="auto"/>
        <w:bottom w:val="none" w:sz="0" w:space="0" w:color="auto"/>
        <w:right w:val="none" w:sz="0" w:space="0" w:color="auto"/>
      </w:divBdr>
    </w:div>
    <w:div w:id="1490753914">
      <w:bodyDiv w:val="1"/>
      <w:marLeft w:val="0"/>
      <w:marRight w:val="0"/>
      <w:marTop w:val="0"/>
      <w:marBottom w:val="0"/>
      <w:divBdr>
        <w:top w:val="none" w:sz="0" w:space="0" w:color="auto"/>
        <w:left w:val="none" w:sz="0" w:space="0" w:color="auto"/>
        <w:bottom w:val="none" w:sz="0" w:space="0" w:color="auto"/>
        <w:right w:val="none" w:sz="0" w:space="0" w:color="auto"/>
      </w:divBdr>
    </w:div>
    <w:div w:id="1804495159">
      <w:bodyDiv w:val="1"/>
      <w:marLeft w:val="0"/>
      <w:marRight w:val="0"/>
      <w:marTop w:val="0"/>
      <w:marBottom w:val="0"/>
      <w:divBdr>
        <w:top w:val="none" w:sz="0" w:space="0" w:color="auto"/>
        <w:left w:val="none" w:sz="0" w:space="0" w:color="auto"/>
        <w:bottom w:val="none" w:sz="0" w:space="0" w:color="auto"/>
        <w:right w:val="none" w:sz="0" w:space="0" w:color="auto"/>
      </w:divBdr>
    </w:div>
    <w:div w:id="1947733232">
      <w:bodyDiv w:val="1"/>
      <w:marLeft w:val="0"/>
      <w:marRight w:val="0"/>
      <w:marTop w:val="0"/>
      <w:marBottom w:val="0"/>
      <w:divBdr>
        <w:top w:val="none" w:sz="0" w:space="0" w:color="auto"/>
        <w:left w:val="none" w:sz="0" w:space="0" w:color="auto"/>
        <w:bottom w:val="none" w:sz="0" w:space="0" w:color="auto"/>
        <w:right w:val="none" w:sz="0" w:space="0" w:color="auto"/>
      </w:divBdr>
    </w:div>
    <w:div w:id="20924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a@usu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3DEE-D929-44F4-8C70-C2E092C6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Огородникова Екатерина Сергеевна</dc:creator>
  <cp:keywords/>
  <dc:description/>
  <cp:lastModifiedBy>Екатерина Огородникова</cp:lastModifiedBy>
  <cp:revision>32</cp:revision>
  <dcterms:created xsi:type="dcterms:W3CDTF">2021-05-04T05:48:00Z</dcterms:created>
  <dcterms:modified xsi:type="dcterms:W3CDTF">2021-05-18T13:51:00Z</dcterms:modified>
</cp:coreProperties>
</file>