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9121C7" w14:textId="77777777" w:rsidR="00CE0A3A" w:rsidRPr="002F1FF4" w:rsidRDefault="00A349F6" w:rsidP="002F1FF4">
      <w:pPr>
        <w:jc w:val="both"/>
        <w:rPr>
          <w:sz w:val="24"/>
          <w:szCs w:val="24"/>
        </w:rPr>
      </w:pPr>
      <w:bookmarkStart w:id="0" w:name="_Hlk6778740"/>
      <w:r w:rsidRPr="002F1FF4">
        <w:rPr>
          <w:sz w:val="24"/>
          <w:szCs w:val="24"/>
        </w:rPr>
        <w:t>УДК 338</w:t>
      </w:r>
    </w:p>
    <w:p w14:paraId="45B9C8CD" w14:textId="77777777" w:rsidR="00DD119A" w:rsidRDefault="00DD119A" w:rsidP="00DD119A">
      <w:pPr>
        <w:ind w:firstLine="709"/>
        <w:jc w:val="both"/>
        <w:rPr>
          <w:sz w:val="24"/>
          <w:szCs w:val="24"/>
        </w:rPr>
      </w:pPr>
    </w:p>
    <w:p w14:paraId="0F0838CB" w14:textId="355FDBD6" w:rsidR="00DD119A" w:rsidRDefault="00BB6704" w:rsidP="00DD119A">
      <w:pPr>
        <w:ind w:firstLine="709"/>
        <w:jc w:val="right"/>
        <w:rPr>
          <w:b/>
          <w:sz w:val="24"/>
          <w:szCs w:val="24"/>
        </w:rPr>
      </w:pPr>
      <w:r>
        <w:rPr>
          <w:b/>
          <w:sz w:val="24"/>
          <w:szCs w:val="24"/>
        </w:rPr>
        <w:t>Ростовцев К</w:t>
      </w:r>
      <w:r w:rsidR="000514AD">
        <w:rPr>
          <w:b/>
          <w:sz w:val="24"/>
          <w:szCs w:val="24"/>
        </w:rPr>
        <w:t>.</w:t>
      </w:r>
      <w:r>
        <w:rPr>
          <w:b/>
          <w:sz w:val="24"/>
          <w:szCs w:val="24"/>
        </w:rPr>
        <w:t>В.</w:t>
      </w:r>
    </w:p>
    <w:p w14:paraId="1E32B4B5" w14:textId="680D2CC2" w:rsidR="00DD119A" w:rsidRDefault="00AB7ED9" w:rsidP="00AB7ED9">
      <w:pPr>
        <w:jc w:val="center"/>
        <w:rPr>
          <w:rFonts w:eastAsia="Times New Roman"/>
          <w:b/>
          <w:sz w:val="28"/>
          <w:szCs w:val="24"/>
        </w:rPr>
      </w:pPr>
      <w:r w:rsidRPr="00AB7ED9">
        <w:rPr>
          <w:rFonts w:eastAsia="Times New Roman"/>
          <w:b/>
          <w:sz w:val="28"/>
          <w:szCs w:val="24"/>
        </w:rPr>
        <w:t xml:space="preserve">ПОСЛЕДСТВИЯ ЦИФРОВИЗАЦИИ В СФЕРЕ ОБРАЗОВАНИЯ </w:t>
      </w:r>
    </w:p>
    <w:p w14:paraId="64D762CD" w14:textId="77777777" w:rsidR="00AB7ED9" w:rsidRDefault="00AB7ED9" w:rsidP="00AB7ED9">
      <w:pPr>
        <w:jc w:val="center"/>
        <w:rPr>
          <w:b/>
          <w:i/>
          <w:sz w:val="24"/>
          <w:szCs w:val="24"/>
        </w:rPr>
      </w:pPr>
    </w:p>
    <w:p w14:paraId="10C69572" w14:textId="77777777" w:rsidR="00E27DA3" w:rsidRDefault="00DD119A" w:rsidP="007F3BE4">
      <w:pPr>
        <w:ind w:firstLine="708"/>
        <w:jc w:val="both"/>
        <w:rPr>
          <w:i/>
          <w:sz w:val="24"/>
          <w:szCs w:val="24"/>
        </w:rPr>
      </w:pPr>
      <w:r w:rsidRPr="00DD119A">
        <w:rPr>
          <w:rStyle w:val="rvts52"/>
          <w:rFonts w:eastAsia="Times New Roman"/>
          <w:b/>
          <w:bCs/>
          <w:sz w:val="24"/>
          <w:szCs w:val="24"/>
        </w:rPr>
        <w:t>Аннотация</w:t>
      </w:r>
      <w:r w:rsidRPr="00DD119A">
        <w:rPr>
          <w:b/>
          <w:i/>
          <w:sz w:val="24"/>
          <w:szCs w:val="24"/>
        </w:rPr>
        <w:t>.</w:t>
      </w:r>
      <w:r w:rsidR="00733ADF" w:rsidRPr="007F3BE4">
        <w:rPr>
          <w:i/>
          <w:sz w:val="24"/>
          <w:szCs w:val="24"/>
        </w:rPr>
        <w:t xml:space="preserve"> </w:t>
      </w:r>
      <w:r w:rsidR="00F561AF">
        <w:rPr>
          <w:i/>
          <w:sz w:val="24"/>
          <w:szCs w:val="24"/>
        </w:rPr>
        <w:t>В ста</w:t>
      </w:r>
      <w:r w:rsidR="00E27DA3">
        <w:rPr>
          <w:i/>
          <w:sz w:val="24"/>
          <w:szCs w:val="24"/>
        </w:rPr>
        <w:t xml:space="preserve">тье освещается вопрос последствий процессов цифровизации для сферы образования. </w:t>
      </w:r>
      <w:r w:rsidR="00E27DA3" w:rsidRPr="00E27DA3">
        <w:rPr>
          <w:i/>
          <w:sz w:val="24"/>
          <w:szCs w:val="24"/>
        </w:rPr>
        <w:t xml:space="preserve">Последствия цифровизации для россиян в сфере образования приводят к изменениям в образовательных стандартах, реорганизации образовательного процесса, изменению роли преподавателя, формированию новых компетенций населения. </w:t>
      </w:r>
    </w:p>
    <w:p w14:paraId="76C01197" w14:textId="1EFAA632" w:rsidR="00A349F6" w:rsidRPr="007F3BE4" w:rsidRDefault="00733ADF" w:rsidP="007F3BE4">
      <w:pPr>
        <w:ind w:firstLine="708"/>
        <w:jc w:val="both"/>
        <w:rPr>
          <w:i/>
          <w:sz w:val="24"/>
          <w:szCs w:val="24"/>
        </w:rPr>
      </w:pPr>
      <w:r w:rsidRPr="00DD119A">
        <w:rPr>
          <w:b/>
          <w:sz w:val="24"/>
          <w:szCs w:val="24"/>
        </w:rPr>
        <w:t>Ключевые слова</w:t>
      </w:r>
      <w:r w:rsidR="00DD119A">
        <w:rPr>
          <w:b/>
          <w:sz w:val="24"/>
          <w:szCs w:val="24"/>
        </w:rPr>
        <w:t>.</w:t>
      </w:r>
      <w:r w:rsidRPr="007F3BE4">
        <w:rPr>
          <w:i/>
          <w:sz w:val="24"/>
          <w:szCs w:val="24"/>
        </w:rPr>
        <w:t xml:space="preserve"> </w:t>
      </w:r>
      <w:r w:rsidR="00D406C9">
        <w:rPr>
          <w:i/>
          <w:sz w:val="24"/>
          <w:szCs w:val="24"/>
        </w:rPr>
        <w:t>цифровизация</w:t>
      </w:r>
      <w:r w:rsidR="003B07EA">
        <w:rPr>
          <w:i/>
          <w:sz w:val="24"/>
          <w:szCs w:val="24"/>
        </w:rPr>
        <w:t xml:space="preserve">, </w:t>
      </w:r>
      <w:r w:rsidR="00D406C9">
        <w:rPr>
          <w:i/>
          <w:sz w:val="24"/>
          <w:szCs w:val="24"/>
        </w:rPr>
        <w:t>компетенции</w:t>
      </w:r>
      <w:r w:rsidRPr="007F3BE4">
        <w:rPr>
          <w:i/>
          <w:sz w:val="24"/>
          <w:szCs w:val="24"/>
        </w:rPr>
        <w:t xml:space="preserve">, </w:t>
      </w:r>
      <w:r w:rsidR="00D406C9">
        <w:rPr>
          <w:i/>
          <w:sz w:val="24"/>
          <w:szCs w:val="24"/>
        </w:rPr>
        <w:t>исследование</w:t>
      </w:r>
      <w:r w:rsidRPr="007F3BE4">
        <w:rPr>
          <w:i/>
          <w:sz w:val="24"/>
          <w:szCs w:val="24"/>
        </w:rPr>
        <w:t>.</w:t>
      </w:r>
      <w:r w:rsidR="00A349F6" w:rsidRPr="007F3BE4">
        <w:rPr>
          <w:i/>
          <w:sz w:val="24"/>
          <w:szCs w:val="24"/>
        </w:rPr>
        <w:t xml:space="preserve">  </w:t>
      </w:r>
    </w:p>
    <w:p w14:paraId="416FC8AA" w14:textId="77777777" w:rsidR="00A349F6" w:rsidRPr="002F1FF4" w:rsidRDefault="00A349F6" w:rsidP="002F1FF4">
      <w:pPr>
        <w:ind w:firstLine="709"/>
        <w:jc w:val="both"/>
        <w:rPr>
          <w:sz w:val="24"/>
          <w:szCs w:val="24"/>
        </w:rPr>
      </w:pPr>
    </w:p>
    <w:bookmarkEnd w:id="0"/>
    <w:p w14:paraId="2ADAE573" w14:textId="77777777" w:rsidR="00BB6704" w:rsidRDefault="00BB6704" w:rsidP="00FD7BF1">
      <w:pPr>
        <w:ind w:firstLine="708"/>
        <w:jc w:val="both"/>
        <w:rPr>
          <w:iCs/>
          <w:sz w:val="24"/>
          <w:szCs w:val="24"/>
        </w:rPr>
      </w:pPr>
    </w:p>
    <w:p w14:paraId="4DC2C948" w14:textId="0E3DFDDA" w:rsidR="00977D3C" w:rsidRPr="00AB7ED9" w:rsidRDefault="00977D3C" w:rsidP="00AB7ED9">
      <w:pPr>
        <w:ind w:firstLine="708"/>
        <w:jc w:val="both"/>
        <w:rPr>
          <w:iCs/>
          <w:sz w:val="24"/>
          <w:szCs w:val="24"/>
        </w:rPr>
      </w:pPr>
      <w:r w:rsidRPr="00AB7ED9">
        <w:rPr>
          <w:iCs/>
          <w:sz w:val="24"/>
          <w:szCs w:val="24"/>
        </w:rPr>
        <w:t>Современная система образования должна в полной мере отвечать требованиям развития цифровизации в российском обществе, обеспечивая базу для роста производительности труда, использования новых типов труда, используя преимущества дистанционного обучения, основанного на онлайн- технологиях</w:t>
      </w:r>
      <w:r w:rsidR="00855C5E">
        <w:rPr>
          <w:iCs/>
          <w:sz w:val="24"/>
          <w:szCs w:val="24"/>
        </w:rPr>
        <w:t xml:space="preserve"> </w:t>
      </w:r>
      <w:r w:rsidR="00855C5E" w:rsidRPr="00855C5E">
        <w:rPr>
          <w:iCs/>
          <w:sz w:val="24"/>
          <w:szCs w:val="24"/>
        </w:rPr>
        <w:t>[</w:t>
      </w:r>
      <w:r w:rsidR="0036460C" w:rsidRPr="0036460C">
        <w:rPr>
          <w:iCs/>
          <w:sz w:val="24"/>
          <w:szCs w:val="24"/>
        </w:rPr>
        <w:t>1</w:t>
      </w:r>
      <w:r w:rsidR="00855C5E" w:rsidRPr="00855C5E">
        <w:rPr>
          <w:iCs/>
          <w:sz w:val="24"/>
          <w:szCs w:val="24"/>
        </w:rPr>
        <w:t>]</w:t>
      </w:r>
      <w:r w:rsidRPr="00AB7ED9">
        <w:rPr>
          <w:iCs/>
          <w:sz w:val="24"/>
          <w:szCs w:val="24"/>
        </w:rPr>
        <w:t>. Влияние цифровых технологий на образование приводит к глобализации рынка образовательных услуг, становятся доступными образовательные программы мировых лидеров образования: США, Великобритании, Китая и др.</w:t>
      </w:r>
    </w:p>
    <w:p w14:paraId="44B0A061" w14:textId="4BC1934F" w:rsidR="00977D3C" w:rsidRDefault="00977D3C" w:rsidP="00977D3C">
      <w:pPr>
        <w:tabs>
          <w:tab w:val="left" w:pos="426"/>
        </w:tabs>
        <w:spacing w:line="360" w:lineRule="auto"/>
        <w:ind w:firstLine="709"/>
        <w:jc w:val="center"/>
        <w:rPr>
          <w:rFonts w:eastAsia="Times New Roman"/>
          <w:i/>
          <w:iCs/>
          <w:color w:val="44546A"/>
          <w:sz w:val="18"/>
          <w:szCs w:val="18"/>
        </w:rPr>
      </w:pPr>
      <w:r>
        <w:rPr>
          <w:rFonts w:eastAsia="Times New Roman"/>
          <w:i/>
          <w:noProof/>
          <w:color w:val="44546A"/>
          <w:sz w:val="18"/>
          <w:szCs w:val="18"/>
        </w:rPr>
        <w:drawing>
          <wp:inline distT="0" distB="0" distL="0" distR="0" wp14:anchorId="20538E1B" wp14:editId="344EBD51">
            <wp:extent cx="4572000" cy="2743200"/>
            <wp:effectExtent l="0" t="0" r="0" b="0"/>
            <wp:docPr id="30" name="Диаграмма 30">
              <a:extLst xmlns:a="http://schemas.openxmlformats.org/drawingml/2006/main">
                <a:ext uri="{FF2B5EF4-FFF2-40B4-BE49-F238E27FC236}">
                  <a16:creationId xmlns:a16="http://schemas.microsoft.com/office/drawing/2014/main" id="{4F6F026F-4FC2-43B2-B32D-A34959EA2D8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47057F2E" w14:textId="77777777" w:rsidR="00977D3C" w:rsidRDefault="00977D3C" w:rsidP="00977D3C">
      <w:pPr>
        <w:tabs>
          <w:tab w:val="left" w:pos="426"/>
        </w:tabs>
        <w:spacing w:line="360" w:lineRule="auto"/>
        <w:ind w:firstLine="709"/>
        <w:rPr>
          <w:rFonts w:eastAsia="Times New Roman"/>
          <w:i/>
          <w:iCs/>
          <w:color w:val="44546A"/>
          <w:sz w:val="18"/>
          <w:szCs w:val="18"/>
        </w:rPr>
      </w:pPr>
    </w:p>
    <w:p w14:paraId="38ECEEAA" w14:textId="281EB4D3" w:rsidR="00977D3C" w:rsidRPr="00855C5E" w:rsidRDefault="00977D3C" w:rsidP="00855C5E">
      <w:pPr>
        <w:ind w:firstLine="708"/>
        <w:jc w:val="center"/>
        <w:rPr>
          <w:iCs/>
          <w:sz w:val="24"/>
          <w:szCs w:val="24"/>
        </w:rPr>
      </w:pPr>
      <w:r w:rsidRPr="00855C5E">
        <w:rPr>
          <w:iCs/>
          <w:sz w:val="24"/>
          <w:szCs w:val="24"/>
        </w:rPr>
        <w:t xml:space="preserve">Рисунок </w:t>
      </w:r>
      <w:r w:rsidR="00855C5E" w:rsidRPr="00855C5E">
        <w:rPr>
          <w:iCs/>
          <w:sz w:val="24"/>
          <w:szCs w:val="24"/>
        </w:rPr>
        <w:t>1</w:t>
      </w:r>
      <w:r w:rsidRPr="00855C5E">
        <w:rPr>
          <w:iCs/>
          <w:sz w:val="24"/>
          <w:szCs w:val="24"/>
        </w:rPr>
        <w:t xml:space="preserve"> – Мировой рынок онлайн-образования, 2017-2020гг., млрд. долл. США [</w:t>
      </w:r>
      <w:r w:rsidR="00C120BA">
        <w:rPr>
          <w:iCs/>
          <w:sz w:val="24"/>
          <w:szCs w:val="24"/>
          <w:lang w:val="en-US"/>
        </w:rPr>
        <w:t>2</w:t>
      </w:r>
      <w:r w:rsidRPr="00855C5E">
        <w:rPr>
          <w:iCs/>
          <w:sz w:val="24"/>
          <w:szCs w:val="24"/>
        </w:rPr>
        <w:t>].</w:t>
      </w:r>
    </w:p>
    <w:p w14:paraId="748CB942" w14:textId="77777777" w:rsidR="00977D3C" w:rsidRDefault="00977D3C" w:rsidP="00977D3C">
      <w:pPr>
        <w:tabs>
          <w:tab w:val="left" w:pos="426"/>
        </w:tabs>
        <w:spacing w:line="360" w:lineRule="auto"/>
        <w:ind w:firstLine="709"/>
        <w:rPr>
          <w:rFonts w:eastAsia="Calibri"/>
          <w:sz w:val="28"/>
          <w:szCs w:val="28"/>
        </w:rPr>
      </w:pPr>
    </w:p>
    <w:p w14:paraId="55AC2072" w14:textId="651B284F" w:rsidR="00977D3C" w:rsidRPr="00E503E0" w:rsidRDefault="00977D3C" w:rsidP="00E503E0">
      <w:pPr>
        <w:ind w:firstLine="708"/>
        <w:jc w:val="both"/>
        <w:rPr>
          <w:iCs/>
          <w:sz w:val="24"/>
          <w:szCs w:val="24"/>
        </w:rPr>
      </w:pPr>
      <w:r w:rsidRPr="00E503E0">
        <w:rPr>
          <w:iCs/>
          <w:sz w:val="24"/>
          <w:szCs w:val="24"/>
        </w:rPr>
        <w:t xml:space="preserve">Сфера онлайн-образования показывает стабильный рост и по прогнозам специалистов достигнет к 2030 году 10 трлн. долларов США. Структура рынка онлайн-образования представлена на рисунке </w:t>
      </w:r>
      <w:r w:rsidR="00E503E0" w:rsidRPr="00E503E0">
        <w:rPr>
          <w:iCs/>
          <w:sz w:val="24"/>
          <w:szCs w:val="24"/>
        </w:rPr>
        <w:t>2</w:t>
      </w:r>
      <w:r w:rsidRPr="00E503E0">
        <w:rPr>
          <w:iCs/>
          <w:sz w:val="24"/>
          <w:szCs w:val="24"/>
        </w:rPr>
        <w:t>.</w:t>
      </w:r>
    </w:p>
    <w:p w14:paraId="47659ED7" w14:textId="231549F5" w:rsidR="00977D3C" w:rsidRDefault="00977D3C" w:rsidP="00977D3C">
      <w:pPr>
        <w:tabs>
          <w:tab w:val="left" w:pos="426"/>
        </w:tabs>
        <w:spacing w:line="360" w:lineRule="auto"/>
        <w:ind w:firstLine="709"/>
        <w:jc w:val="center"/>
        <w:rPr>
          <w:rFonts w:eastAsia="Calibri"/>
          <w:sz w:val="24"/>
          <w:szCs w:val="24"/>
        </w:rPr>
      </w:pPr>
      <w:r>
        <w:rPr>
          <w:rFonts w:eastAsia="Times New Roman"/>
          <w:noProof/>
          <w:sz w:val="24"/>
          <w:szCs w:val="24"/>
        </w:rPr>
        <w:lastRenderedPageBreak/>
        <w:drawing>
          <wp:inline distT="0" distB="0" distL="0" distR="0" wp14:anchorId="407F6146" wp14:editId="285A1646">
            <wp:extent cx="4572000" cy="2743200"/>
            <wp:effectExtent l="0" t="0" r="0" b="0"/>
            <wp:docPr id="31" name="Диаграмма 31">
              <a:extLst xmlns:a="http://schemas.openxmlformats.org/drawingml/2006/main">
                <a:ext uri="{FF2B5EF4-FFF2-40B4-BE49-F238E27FC236}">
                  <a16:creationId xmlns:a16="http://schemas.microsoft.com/office/drawing/2014/main" id="{521009BA-DD04-428E-9AD9-F8E25F84C5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08B6763" w14:textId="77777777" w:rsidR="00977D3C" w:rsidRDefault="00977D3C" w:rsidP="00977D3C">
      <w:pPr>
        <w:tabs>
          <w:tab w:val="left" w:pos="426"/>
        </w:tabs>
        <w:spacing w:line="360" w:lineRule="auto"/>
        <w:ind w:firstLine="709"/>
        <w:rPr>
          <w:rFonts w:eastAsia="Calibri"/>
          <w:sz w:val="24"/>
          <w:szCs w:val="24"/>
        </w:rPr>
      </w:pPr>
    </w:p>
    <w:p w14:paraId="1F0A0D2B" w14:textId="5DE09AA9" w:rsidR="00977D3C" w:rsidRPr="00A950DD" w:rsidRDefault="00977D3C" w:rsidP="00A950DD">
      <w:pPr>
        <w:ind w:firstLine="708"/>
        <w:jc w:val="both"/>
        <w:rPr>
          <w:iCs/>
          <w:sz w:val="24"/>
          <w:szCs w:val="24"/>
        </w:rPr>
      </w:pPr>
      <w:r w:rsidRPr="00A950DD">
        <w:rPr>
          <w:iCs/>
          <w:sz w:val="24"/>
          <w:szCs w:val="24"/>
        </w:rPr>
        <w:t xml:space="preserve">Рисунок </w:t>
      </w:r>
      <w:r w:rsidR="00A950DD" w:rsidRPr="00A950DD">
        <w:rPr>
          <w:iCs/>
          <w:sz w:val="24"/>
          <w:szCs w:val="24"/>
        </w:rPr>
        <w:t xml:space="preserve">2 </w:t>
      </w:r>
      <w:r w:rsidRPr="00A950DD">
        <w:rPr>
          <w:iCs/>
          <w:sz w:val="24"/>
          <w:szCs w:val="24"/>
        </w:rPr>
        <w:t>– Структура мирового рынка онлайн-образования, 2020г., % [</w:t>
      </w:r>
      <w:r w:rsidR="00C120BA" w:rsidRPr="00A950DD">
        <w:rPr>
          <w:iCs/>
          <w:sz w:val="24"/>
          <w:szCs w:val="24"/>
        </w:rPr>
        <w:t>3</w:t>
      </w:r>
      <w:r w:rsidRPr="00A950DD">
        <w:rPr>
          <w:iCs/>
          <w:sz w:val="24"/>
          <w:szCs w:val="24"/>
        </w:rPr>
        <w:t>].</w:t>
      </w:r>
    </w:p>
    <w:p w14:paraId="5FA7FA0B" w14:textId="77777777" w:rsidR="00977D3C" w:rsidRPr="00A950DD" w:rsidRDefault="00977D3C" w:rsidP="00A950DD">
      <w:pPr>
        <w:ind w:firstLine="708"/>
        <w:jc w:val="both"/>
        <w:rPr>
          <w:iCs/>
          <w:sz w:val="24"/>
          <w:szCs w:val="24"/>
        </w:rPr>
      </w:pPr>
      <w:r w:rsidRPr="00A950DD">
        <w:rPr>
          <w:iCs/>
          <w:sz w:val="24"/>
          <w:szCs w:val="24"/>
        </w:rPr>
        <w:t>Наиболее востребованными сегментами онлайн-образования являются изучение иностранных языков, онлайн-репетиторство, подготовка к офлайн тестированию, корпоративные программы непрерывной подготовки сотрудников. Основные тренды в онлайн-обучении:</w:t>
      </w:r>
    </w:p>
    <w:p w14:paraId="4A306684" w14:textId="77777777" w:rsidR="00977D3C" w:rsidRPr="00A950DD" w:rsidRDefault="00977D3C" w:rsidP="00A950DD">
      <w:pPr>
        <w:ind w:firstLine="708"/>
        <w:jc w:val="both"/>
        <w:rPr>
          <w:iCs/>
          <w:sz w:val="24"/>
          <w:szCs w:val="24"/>
        </w:rPr>
      </w:pPr>
      <w:r w:rsidRPr="00A950DD">
        <w:rPr>
          <w:iCs/>
          <w:sz w:val="24"/>
          <w:szCs w:val="24"/>
        </w:rPr>
        <w:t xml:space="preserve">- </w:t>
      </w:r>
      <w:proofErr w:type="spellStart"/>
      <w:r w:rsidRPr="00A950DD">
        <w:rPr>
          <w:iCs/>
          <w:sz w:val="24"/>
          <w:szCs w:val="24"/>
        </w:rPr>
        <w:t>фрагментаризация</w:t>
      </w:r>
      <w:proofErr w:type="spellEnd"/>
      <w:r w:rsidRPr="00A950DD">
        <w:rPr>
          <w:iCs/>
          <w:sz w:val="24"/>
          <w:szCs w:val="24"/>
        </w:rPr>
        <w:t xml:space="preserve"> курсов, длительность фрагмента 1-3 минуты;</w:t>
      </w:r>
    </w:p>
    <w:p w14:paraId="3DD9ACB8" w14:textId="77777777" w:rsidR="00977D3C" w:rsidRPr="00A950DD" w:rsidRDefault="00977D3C" w:rsidP="00A950DD">
      <w:pPr>
        <w:ind w:firstLine="708"/>
        <w:jc w:val="both"/>
        <w:rPr>
          <w:iCs/>
          <w:sz w:val="24"/>
          <w:szCs w:val="24"/>
        </w:rPr>
      </w:pPr>
      <w:r w:rsidRPr="00A950DD">
        <w:rPr>
          <w:iCs/>
          <w:sz w:val="24"/>
          <w:szCs w:val="24"/>
        </w:rPr>
        <w:t>- геймификация контента;</w:t>
      </w:r>
    </w:p>
    <w:p w14:paraId="62C3F5B8" w14:textId="77777777" w:rsidR="00977D3C" w:rsidRPr="00A950DD" w:rsidRDefault="00977D3C" w:rsidP="00A950DD">
      <w:pPr>
        <w:ind w:firstLine="708"/>
        <w:jc w:val="both"/>
        <w:rPr>
          <w:iCs/>
          <w:sz w:val="24"/>
          <w:szCs w:val="24"/>
        </w:rPr>
      </w:pPr>
      <w:r w:rsidRPr="00A950DD">
        <w:rPr>
          <w:iCs/>
          <w:sz w:val="24"/>
          <w:szCs w:val="24"/>
        </w:rPr>
        <w:t>- технологии виртуальной и дополненной реальности;</w:t>
      </w:r>
    </w:p>
    <w:p w14:paraId="12B67CBF" w14:textId="77777777" w:rsidR="00977D3C" w:rsidRPr="00A950DD" w:rsidRDefault="00977D3C" w:rsidP="00A950DD">
      <w:pPr>
        <w:ind w:firstLine="708"/>
        <w:jc w:val="both"/>
        <w:rPr>
          <w:iCs/>
          <w:sz w:val="24"/>
          <w:szCs w:val="24"/>
        </w:rPr>
      </w:pPr>
      <w:r w:rsidRPr="00A950DD">
        <w:rPr>
          <w:iCs/>
          <w:sz w:val="24"/>
          <w:szCs w:val="24"/>
        </w:rPr>
        <w:t>- популяризация онлайн-обучения прикладным навыкам.</w:t>
      </w:r>
    </w:p>
    <w:p w14:paraId="7DDC6A40" w14:textId="77777777" w:rsidR="00977D3C" w:rsidRPr="00A950DD" w:rsidRDefault="00977D3C" w:rsidP="00A950DD">
      <w:pPr>
        <w:ind w:firstLine="708"/>
        <w:jc w:val="both"/>
        <w:rPr>
          <w:iCs/>
          <w:sz w:val="24"/>
          <w:szCs w:val="24"/>
        </w:rPr>
      </w:pPr>
      <w:r w:rsidRPr="00A950DD">
        <w:rPr>
          <w:iCs/>
          <w:sz w:val="24"/>
          <w:szCs w:val="24"/>
        </w:rPr>
        <w:t>Мировыми лидерами онлайн образования являются США, страны Латинской Америки и Азиатско-Тихоокеанского региона.</w:t>
      </w:r>
    </w:p>
    <w:p w14:paraId="0BE5024E" w14:textId="77777777" w:rsidR="00977D3C" w:rsidRPr="00A950DD" w:rsidRDefault="00977D3C" w:rsidP="00A950DD">
      <w:pPr>
        <w:ind w:firstLine="708"/>
        <w:jc w:val="both"/>
        <w:rPr>
          <w:iCs/>
          <w:sz w:val="24"/>
          <w:szCs w:val="24"/>
        </w:rPr>
      </w:pPr>
      <w:r w:rsidRPr="00A950DD">
        <w:rPr>
          <w:iCs/>
          <w:sz w:val="24"/>
          <w:szCs w:val="24"/>
        </w:rPr>
        <w:t>В России по данным Росстата наибольший сегмент онлайн-образования занимает школьное образование (35%), за ним идет высшее профессиональное (25%) и немногим отстает дошкольное образование (24%).</w:t>
      </w:r>
    </w:p>
    <w:p w14:paraId="6B9610EC" w14:textId="77777777" w:rsidR="00977D3C" w:rsidRDefault="00977D3C" w:rsidP="00977D3C">
      <w:pPr>
        <w:tabs>
          <w:tab w:val="left" w:pos="426"/>
        </w:tabs>
        <w:spacing w:line="360" w:lineRule="auto"/>
        <w:ind w:firstLine="709"/>
        <w:contextualSpacing/>
        <w:jc w:val="both"/>
        <w:rPr>
          <w:rFonts w:eastAsia="Calibri"/>
          <w:sz w:val="24"/>
          <w:szCs w:val="24"/>
        </w:rPr>
      </w:pPr>
    </w:p>
    <w:p w14:paraId="77141C7A" w14:textId="300AEE87" w:rsidR="00977D3C" w:rsidRDefault="00977D3C" w:rsidP="00977D3C">
      <w:pPr>
        <w:tabs>
          <w:tab w:val="left" w:pos="426"/>
        </w:tabs>
        <w:spacing w:line="360" w:lineRule="auto"/>
        <w:ind w:firstLine="709"/>
        <w:contextualSpacing/>
        <w:jc w:val="both"/>
        <w:rPr>
          <w:rFonts w:eastAsia="Calibri"/>
          <w:sz w:val="24"/>
          <w:szCs w:val="24"/>
        </w:rPr>
      </w:pPr>
      <w:r>
        <w:rPr>
          <w:rFonts w:eastAsia="Times New Roman"/>
          <w:noProof/>
          <w:sz w:val="24"/>
          <w:szCs w:val="24"/>
        </w:rPr>
        <w:drawing>
          <wp:inline distT="0" distB="0" distL="0" distR="0" wp14:anchorId="71C38E7F" wp14:editId="090215CC">
            <wp:extent cx="4572000" cy="3162300"/>
            <wp:effectExtent l="0" t="0" r="0" b="0"/>
            <wp:docPr id="32" name="Диаграмма 32">
              <a:extLst xmlns:a="http://schemas.openxmlformats.org/drawingml/2006/main">
                <a:ext uri="{FF2B5EF4-FFF2-40B4-BE49-F238E27FC236}">
                  <a16:creationId xmlns:a16="http://schemas.microsoft.com/office/drawing/2014/main" id="{6FE57EF5-61E7-499B-ABEB-84082FEBD6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9956024" w14:textId="77777777" w:rsidR="00977D3C" w:rsidRDefault="00977D3C" w:rsidP="00977D3C">
      <w:pPr>
        <w:tabs>
          <w:tab w:val="left" w:pos="426"/>
        </w:tabs>
        <w:spacing w:line="360" w:lineRule="auto"/>
        <w:ind w:firstLine="709"/>
        <w:rPr>
          <w:rFonts w:eastAsia="Times New Roman"/>
          <w:i/>
          <w:iCs/>
          <w:color w:val="44546A"/>
          <w:sz w:val="18"/>
          <w:szCs w:val="18"/>
        </w:rPr>
      </w:pPr>
    </w:p>
    <w:p w14:paraId="52962D9A" w14:textId="3B2A79CA" w:rsidR="00977D3C" w:rsidRPr="009B38AE" w:rsidRDefault="00977D3C" w:rsidP="009B38AE">
      <w:pPr>
        <w:ind w:firstLine="708"/>
        <w:jc w:val="both"/>
        <w:rPr>
          <w:iCs/>
          <w:sz w:val="24"/>
          <w:szCs w:val="24"/>
        </w:rPr>
      </w:pPr>
      <w:r w:rsidRPr="009B38AE">
        <w:rPr>
          <w:iCs/>
          <w:sz w:val="24"/>
          <w:szCs w:val="24"/>
        </w:rPr>
        <w:t xml:space="preserve">Рисунок </w:t>
      </w:r>
      <w:r w:rsidR="009B38AE" w:rsidRPr="009B38AE">
        <w:rPr>
          <w:iCs/>
          <w:sz w:val="24"/>
          <w:szCs w:val="24"/>
        </w:rPr>
        <w:t>3</w:t>
      </w:r>
      <w:r w:rsidRPr="009B38AE">
        <w:rPr>
          <w:iCs/>
          <w:sz w:val="24"/>
          <w:szCs w:val="24"/>
        </w:rPr>
        <w:t xml:space="preserve"> - Структура российского рынка онлайн-образования, 2020 г., % [</w:t>
      </w:r>
      <w:r w:rsidR="009B38AE" w:rsidRPr="009B38AE">
        <w:rPr>
          <w:iCs/>
          <w:sz w:val="24"/>
          <w:szCs w:val="24"/>
        </w:rPr>
        <w:t>6</w:t>
      </w:r>
      <w:r w:rsidRPr="009B38AE">
        <w:rPr>
          <w:iCs/>
          <w:sz w:val="24"/>
          <w:szCs w:val="24"/>
        </w:rPr>
        <w:t>].</w:t>
      </w:r>
    </w:p>
    <w:p w14:paraId="266FD981" w14:textId="77777777" w:rsidR="00F5762B" w:rsidRDefault="00F5762B" w:rsidP="009B38AE">
      <w:pPr>
        <w:ind w:firstLine="708"/>
        <w:jc w:val="both"/>
        <w:rPr>
          <w:iCs/>
          <w:sz w:val="24"/>
          <w:szCs w:val="24"/>
        </w:rPr>
      </w:pPr>
    </w:p>
    <w:p w14:paraId="666055B1" w14:textId="31C32504" w:rsidR="00977D3C" w:rsidRPr="009B38AE" w:rsidRDefault="00977D3C" w:rsidP="009B38AE">
      <w:pPr>
        <w:ind w:firstLine="708"/>
        <w:jc w:val="both"/>
        <w:rPr>
          <w:iCs/>
          <w:sz w:val="24"/>
          <w:szCs w:val="24"/>
        </w:rPr>
      </w:pPr>
      <w:r w:rsidRPr="009B38AE">
        <w:rPr>
          <w:iCs/>
          <w:sz w:val="24"/>
          <w:szCs w:val="24"/>
        </w:rPr>
        <w:t>К основным факторам развития онлайн-обучения в России является территориальная удаленность образовательных центров от широкого круга обучающихся, наличие доступа к широкополосному интернету и государственная и общественная поддержка проектов.</w:t>
      </w:r>
    </w:p>
    <w:p w14:paraId="18C464F5" w14:textId="77777777" w:rsidR="00977D3C" w:rsidRPr="009B38AE" w:rsidRDefault="00977D3C" w:rsidP="009B38AE">
      <w:pPr>
        <w:ind w:firstLine="708"/>
        <w:jc w:val="both"/>
        <w:rPr>
          <w:iCs/>
          <w:sz w:val="24"/>
          <w:szCs w:val="24"/>
        </w:rPr>
      </w:pPr>
      <w:r w:rsidRPr="009B38AE">
        <w:rPr>
          <w:iCs/>
          <w:sz w:val="24"/>
          <w:szCs w:val="24"/>
        </w:rPr>
        <w:t>Среди наиболее крупных онлайн платформ необходимо выделить:</w:t>
      </w:r>
    </w:p>
    <w:p w14:paraId="4161D5EF" w14:textId="77777777" w:rsidR="00977D3C" w:rsidRPr="009B38AE" w:rsidRDefault="00977D3C" w:rsidP="009B38AE">
      <w:pPr>
        <w:ind w:firstLine="708"/>
        <w:jc w:val="both"/>
        <w:rPr>
          <w:iCs/>
          <w:sz w:val="24"/>
          <w:szCs w:val="24"/>
        </w:rPr>
      </w:pPr>
      <w:r w:rsidRPr="009B38AE">
        <w:rPr>
          <w:iCs/>
          <w:sz w:val="24"/>
          <w:szCs w:val="24"/>
        </w:rPr>
        <w:t xml:space="preserve">- «Открытое образование», включает курсы, изучаемые в российских университетах.   Платформа создана Ассоциацией "Национальная платформа открытого образования", учрежденной ведущими университетами - МГУ им. М.В. Ломоносова, </w:t>
      </w:r>
      <w:proofErr w:type="spellStart"/>
      <w:r w:rsidRPr="009B38AE">
        <w:rPr>
          <w:iCs/>
          <w:sz w:val="24"/>
          <w:szCs w:val="24"/>
        </w:rPr>
        <w:t>СПбПУ</w:t>
      </w:r>
      <w:proofErr w:type="spellEnd"/>
      <w:r w:rsidRPr="009B38AE">
        <w:rPr>
          <w:iCs/>
          <w:sz w:val="24"/>
          <w:szCs w:val="24"/>
        </w:rPr>
        <w:t>, СПбГУ, НИТУ «</w:t>
      </w:r>
      <w:proofErr w:type="spellStart"/>
      <w:r w:rsidRPr="009B38AE">
        <w:rPr>
          <w:iCs/>
          <w:sz w:val="24"/>
          <w:szCs w:val="24"/>
        </w:rPr>
        <w:t>МИСиС</w:t>
      </w:r>
      <w:proofErr w:type="spellEnd"/>
      <w:r w:rsidRPr="009B38AE">
        <w:rPr>
          <w:iCs/>
          <w:sz w:val="24"/>
          <w:szCs w:val="24"/>
        </w:rPr>
        <w:t xml:space="preserve">», НИУ ВШЭ, МФТИ, </w:t>
      </w:r>
      <w:proofErr w:type="spellStart"/>
      <w:r w:rsidRPr="009B38AE">
        <w:rPr>
          <w:iCs/>
          <w:sz w:val="24"/>
          <w:szCs w:val="24"/>
        </w:rPr>
        <w:t>УрФУ</w:t>
      </w:r>
      <w:proofErr w:type="spellEnd"/>
      <w:r w:rsidRPr="009B38AE">
        <w:rPr>
          <w:iCs/>
          <w:sz w:val="24"/>
          <w:szCs w:val="24"/>
        </w:rPr>
        <w:t xml:space="preserve"> и Университет ИТМО.</w:t>
      </w:r>
    </w:p>
    <w:p w14:paraId="6158FDE0" w14:textId="77777777" w:rsidR="00977D3C" w:rsidRPr="009B38AE" w:rsidRDefault="00977D3C" w:rsidP="009B38AE">
      <w:pPr>
        <w:ind w:firstLine="708"/>
        <w:jc w:val="both"/>
        <w:rPr>
          <w:iCs/>
          <w:sz w:val="24"/>
          <w:szCs w:val="24"/>
        </w:rPr>
      </w:pPr>
      <w:r w:rsidRPr="009B38AE">
        <w:rPr>
          <w:iCs/>
          <w:sz w:val="24"/>
          <w:szCs w:val="24"/>
        </w:rPr>
        <w:t xml:space="preserve">- «Coursera» объединяет курсы для самоподготовки в профессиональной сфере. </w:t>
      </w:r>
    </w:p>
    <w:p w14:paraId="2E10623A" w14:textId="77777777" w:rsidR="00977D3C" w:rsidRPr="009B38AE" w:rsidRDefault="00977D3C" w:rsidP="009B38AE">
      <w:pPr>
        <w:ind w:firstLine="708"/>
        <w:jc w:val="both"/>
        <w:rPr>
          <w:iCs/>
          <w:sz w:val="24"/>
          <w:szCs w:val="24"/>
        </w:rPr>
      </w:pPr>
      <w:r w:rsidRPr="009B38AE">
        <w:rPr>
          <w:iCs/>
          <w:sz w:val="24"/>
          <w:szCs w:val="24"/>
        </w:rPr>
        <w:t>- «</w:t>
      </w:r>
      <w:proofErr w:type="spellStart"/>
      <w:r w:rsidRPr="009B38AE">
        <w:rPr>
          <w:iCs/>
          <w:sz w:val="24"/>
          <w:szCs w:val="24"/>
        </w:rPr>
        <w:t>Лекториум</w:t>
      </w:r>
      <w:proofErr w:type="spellEnd"/>
      <w:r w:rsidRPr="009B38AE">
        <w:rPr>
          <w:iCs/>
          <w:sz w:val="24"/>
          <w:szCs w:val="24"/>
        </w:rPr>
        <w:t xml:space="preserve">» - академический образовательный проект, объединяющий медиатеку и </w:t>
      </w:r>
      <w:proofErr w:type="spellStart"/>
      <w:r w:rsidRPr="009B38AE">
        <w:rPr>
          <w:iCs/>
          <w:sz w:val="24"/>
          <w:szCs w:val="24"/>
        </w:rPr>
        <w:t>видеолекции</w:t>
      </w:r>
      <w:proofErr w:type="spellEnd"/>
      <w:r w:rsidRPr="009B38AE">
        <w:rPr>
          <w:iCs/>
          <w:sz w:val="24"/>
          <w:szCs w:val="24"/>
        </w:rPr>
        <w:t xml:space="preserve"> ведущих преподавателей России.</w:t>
      </w:r>
    </w:p>
    <w:p w14:paraId="45951B78" w14:textId="77777777" w:rsidR="00977D3C" w:rsidRDefault="00977D3C" w:rsidP="009B38AE">
      <w:pPr>
        <w:ind w:firstLine="708"/>
        <w:jc w:val="both"/>
        <w:rPr>
          <w:rFonts w:eastAsia="Calibri"/>
          <w:sz w:val="28"/>
          <w:szCs w:val="28"/>
        </w:rPr>
      </w:pPr>
      <w:r w:rsidRPr="009B38AE">
        <w:rPr>
          <w:iCs/>
          <w:sz w:val="24"/>
          <w:szCs w:val="24"/>
        </w:rPr>
        <w:t>- «</w:t>
      </w:r>
      <w:proofErr w:type="spellStart"/>
      <w:r w:rsidRPr="009B38AE">
        <w:rPr>
          <w:iCs/>
          <w:sz w:val="24"/>
          <w:szCs w:val="24"/>
        </w:rPr>
        <w:t>Универсариум</w:t>
      </w:r>
      <w:proofErr w:type="spellEnd"/>
      <w:r w:rsidRPr="009B38AE">
        <w:rPr>
          <w:iCs/>
          <w:sz w:val="24"/>
          <w:szCs w:val="24"/>
        </w:rPr>
        <w:t>» - платформа, объединяющая курсы для детей, обучение играм, рисованию, мультипликации.</w:t>
      </w:r>
      <w:r>
        <w:rPr>
          <w:rFonts w:eastAsia="Calibri"/>
          <w:sz w:val="28"/>
          <w:szCs w:val="28"/>
        </w:rPr>
        <w:t xml:space="preserve"> </w:t>
      </w:r>
    </w:p>
    <w:p w14:paraId="208C0248" w14:textId="77777777" w:rsidR="00977D3C" w:rsidRPr="00EF0D86" w:rsidRDefault="00977D3C" w:rsidP="00EF0D86">
      <w:pPr>
        <w:ind w:firstLine="708"/>
        <w:jc w:val="both"/>
        <w:rPr>
          <w:iCs/>
          <w:sz w:val="24"/>
          <w:szCs w:val="24"/>
        </w:rPr>
      </w:pPr>
      <w:r w:rsidRPr="00EF0D86">
        <w:rPr>
          <w:iCs/>
          <w:sz w:val="24"/>
          <w:szCs w:val="24"/>
        </w:rPr>
        <w:t>Последствия цифровизации для россиян в сфере образования приводят к изменениям в образовательных стандартах, реорганизации образовательного процесса, изменению роли преподавателя, формированию новых компетенций населения. Использование цифровых технологий снимает границы выбора источника информации и включает обучающихся в самостоятельный поиск контента, развивает творческие способности в процессе обучения. Таким образом, последствия цифровизации в области образования укладываются в три тенденции. Первая предполагает расширение цифровых компетенций российских граждан, получение навыков работы с цифровыми технологиями, компьютерной техникой, конструирование и обмен образовательным контентом в цифровой среде. Вторая тенденция предполагает увеличение доступности образовательных ресурсов и как результат - массовый охват населения. Третья тенденция - рост адаптивности образовательных программ, возможность построения индивидуальных траекторий обучения для широкого круга пользователей цифрового контента.</w:t>
      </w:r>
    </w:p>
    <w:p w14:paraId="076F94F7" w14:textId="77777777" w:rsidR="00BB6704" w:rsidRDefault="00BB6704" w:rsidP="00FD7BF1">
      <w:pPr>
        <w:ind w:firstLine="708"/>
        <w:jc w:val="both"/>
        <w:rPr>
          <w:iCs/>
          <w:sz w:val="24"/>
          <w:szCs w:val="24"/>
        </w:rPr>
      </w:pPr>
    </w:p>
    <w:p w14:paraId="05CC44F9" w14:textId="77777777" w:rsidR="000230B6" w:rsidRPr="00BB6704" w:rsidRDefault="007F3BE4" w:rsidP="001113E8">
      <w:pPr>
        <w:ind w:firstLine="708"/>
        <w:jc w:val="center"/>
        <w:rPr>
          <w:sz w:val="24"/>
          <w:szCs w:val="24"/>
        </w:rPr>
      </w:pPr>
      <w:r w:rsidRPr="007F3BE4">
        <w:rPr>
          <w:sz w:val="24"/>
          <w:szCs w:val="24"/>
        </w:rPr>
        <w:t>Список</w:t>
      </w:r>
      <w:r w:rsidRPr="00BB6704">
        <w:rPr>
          <w:sz w:val="24"/>
          <w:szCs w:val="24"/>
        </w:rPr>
        <w:t xml:space="preserve"> </w:t>
      </w:r>
      <w:r w:rsidRPr="007F3BE4">
        <w:rPr>
          <w:sz w:val="24"/>
          <w:szCs w:val="24"/>
        </w:rPr>
        <w:t>использованных</w:t>
      </w:r>
      <w:r w:rsidRPr="00BB6704">
        <w:rPr>
          <w:sz w:val="24"/>
          <w:szCs w:val="24"/>
        </w:rPr>
        <w:t xml:space="preserve"> </w:t>
      </w:r>
      <w:r w:rsidRPr="007F3BE4">
        <w:rPr>
          <w:sz w:val="24"/>
          <w:szCs w:val="24"/>
        </w:rPr>
        <w:t>источников</w:t>
      </w:r>
      <w:r w:rsidRPr="00BB6704">
        <w:rPr>
          <w:sz w:val="24"/>
          <w:szCs w:val="24"/>
        </w:rPr>
        <w:t>:</w:t>
      </w:r>
      <w:r w:rsidR="001113E8" w:rsidRPr="00BB6704">
        <w:rPr>
          <w:sz w:val="24"/>
          <w:szCs w:val="24"/>
        </w:rPr>
        <w:t xml:space="preserve"> </w:t>
      </w:r>
    </w:p>
    <w:p w14:paraId="2CA22E07" w14:textId="589D0A92" w:rsidR="001113E8" w:rsidRDefault="00FD19CC" w:rsidP="0034166D">
      <w:pPr>
        <w:jc w:val="both"/>
        <w:rPr>
          <w:sz w:val="24"/>
          <w:szCs w:val="24"/>
        </w:rPr>
      </w:pPr>
      <w:r w:rsidRPr="00FD19CC">
        <w:rPr>
          <w:sz w:val="24"/>
          <w:szCs w:val="24"/>
        </w:rPr>
        <w:t>1</w:t>
      </w:r>
      <w:r w:rsidR="001113E8">
        <w:rPr>
          <w:sz w:val="24"/>
          <w:szCs w:val="24"/>
        </w:rPr>
        <w:t xml:space="preserve">. </w:t>
      </w:r>
      <w:r w:rsidR="0034166D" w:rsidRPr="0034166D">
        <w:rPr>
          <w:sz w:val="24"/>
          <w:szCs w:val="24"/>
        </w:rPr>
        <w:t>Овчинникова И.Г., Плахин А.Е.</w:t>
      </w:r>
      <w:r w:rsidR="0034166D">
        <w:rPr>
          <w:sz w:val="24"/>
          <w:szCs w:val="24"/>
        </w:rPr>
        <w:t xml:space="preserve"> </w:t>
      </w:r>
      <w:r w:rsidR="0034166D" w:rsidRPr="0034166D">
        <w:rPr>
          <w:sz w:val="24"/>
          <w:szCs w:val="24"/>
        </w:rPr>
        <w:t>Цифровые технологии в управлении развитием предприятия индустрии гостеприимства</w:t>
      </w:r>
      <w:r w:rsidR="0034166D">
        <w:rPr>
          <w:sz w:val="24"/>
          <w:szCs w:val="24"/>
        </w:rPr>
        <w:t xml:space="preserve"> // </w:t>
      </w:r>
      <w:r w:rsidR="0034166D" w:rsidRPr="0034166D">
        <w:rPr>
          <w:sz w:val="24"/>
          <w:szCs w:val="24"/>
        </w:rPr>
        <w:t xml:space="preserve">В сборнике: Цифровая трансформация промышленности: тенденции, управление, стратегии - 2020. Материалы II международной научно-практической конференции. Екатеринбург, 2020. С. 152-166. </w:t>
      </w:r>
      <w:r w:rsidRPr="00FD19CC">
        <w:rPr>
          <w:sz w:val="24"/>
          <w:szCs w:val="24"/>
        </w:rPr>
        <w:t>2</w:t>
      </w:r>
      <w:r w:rsidR="001113E8">
        <w:rPr>
          <w:sz w:val="24"/>
          <w:szCs w:val="24"/>
        </w:rPr>
        <w:t xml:space="preserve">. </w:t>
      </w:r>
      <w:proofErr w:type="spellStart"/>
      <w:r w:rsidR="0034166D" w:rsidRPr="0034166D">
        <w:rPr>
          <w:sz w:val="24"/>
          <w:szCs w:val="24"/>
        </w:rPr>
        <w:t>Мокроносов</w:t>
      </w:r>
      <w:proofErr w:type="spellEnd"/>
      <w:r w:rsidR="0034166D" w:rsidRPr="0034166D">
        <w:rPr>
          <w:sz w:val="24"/>
          <w:szCs w:val="24"/>
        </w:rPr>
        <w:t xml:space="preserve"> А.Г., Огородникова Е.С.</w:t>
      </w:r>
      <w:r w:rsidR="0034166D">
        <w:rPr>
          <w:sz w:val="24"/>
          <w:szCs w:val="24"/>
        </w:rPr>
        <w:t xml:space="preserve"> </w:t>
      </w:r>
      <w:r w:rsidR="0034166D" w:rsidRPr="0034166D">
        <w:rPr>
          <w:sz w:val="24"/>
          <w:szCs w:val="24"/>
        </w:rPr>
        <w:t>Факторы развития цифровых технологий обрабатывающих производств</w:t>
      </w:r>
      <w:r w:rsidR="0034166D">
        <w:rPr>
          <w:sz w:val="24"/>
          <w:szCs w:val="24"/>
        </w:rPr>
        <w:t xml:space="preserve"> // </w:t>
      </w:r>
      <w:r w:rsidR="0034166D" w:rsidRPr="0034166D">
        <w:rPr>
          <w:sz w:val="24"/>
          <w:szCs w:val="24"/>
        </w:rPr>
        <w:t xml:space="preserve">В сборнике: Цифровая трансформация промышленности: тенденции, управление, стратегии. Материалы I Международной научно-практической конференции. Ответственный редактор В.В. </w:t>
      </w:r>
      <w:proofErr w:type="spellStart"/>
      <w:r w:rsidR="0034166D" w:rsidRPr="0034166D">
        <w:rPr>
          <w:sz w:val="24"/>
          <w:szCs w:val="24"/>
        </w:rPr>
        <w:t>Акбердина</w:t>
      </w:r>
      <w:proofErr w:type="spellEnd"/>
      <w:r w:rsidR="0034166D" w:rsidRPr="0034166D">
        <w:rPr>
          <w:sz w:val="24"/>
          <w:szCs w:val="24"/>
        </w:rPr>
        <w:t>. 2019. С. 405-411.</w:t>
      </w:r>
    </w:p>
    <w:p w14:paraId="1BAB60B4" w14:textId="66C45827" w:rsidR="00FD19CC" w:rsidRDefault="003C501E" w:rsidP="0034166D">
      <w:pPr>
        <w:jc w:val="both"/>
        <w:rPr>
          <w:sz w:val="24"/>
          <w:szCs w:val="24"/>
        </w:rPr>
      </w:pPr>
      <w:r w:rsidRPr="003C501E">
        <w:rPr>
          <w:sz w:val="24"/>
          <w:szCs w:val="24"/>
        </w:rPr>
        <w:t>3.</w:t>
      </w:r>
      <w:r w:rsidR="00FD19CC" w:rsidRPr="00FD19CC">
        <w:rPr>
          <w:sz w:val="24"/>
          <w:szCs w:val="24"/>
        </w:rPr>
        <w:tab/>
        <w:t xml:space="preserve">Информационное общество в  Российской Федерации. 2019 : статистический сборник [Электронный ресурс] / М. А. </w:t>
      </w:r>
      <w:proofErr w:type="spellStart"/>
      <w:r w:rsidR="00FD19CC" w:rsidRPr="00FD19CC">
        <w:rPr>
          <w:sz w:val="24"/>
          <w:szCs w:val="24"/>
        </w:rPr>
        <w:t>Сабельникова</w:t>
      </w:r>
      <w:proofErr w:type="spellEnd"/>
      <w:r w:rsidR="00FD19CC" w:rsidRPr="00FD19CC">
        <w:rPr>
          <w:sz w:val="24"/>
          <w:szCs w:val="24"/>
        </w:rPr>
        <w:t xml:space="preserve">, Г. И. </w:t>
      </w:r>
      <w:proofErr w:type="spellStart"/>
      <w:r w:rsidR="00FD19CC" w:rsidRPr="00FD19CC">
        <w:rPr>
          <w:sz w:val="24"/>
          <w:szCs w:val="24"/>
        </w:rPr>
        <w:t>Абдрахманова</w:t>
      </w:r>
      <w:proofErr w:type="spellEnd"/>
      <w:r w:rsidR="00FD19CC" w:rsidRPr="00FD19CC">
        <w:rPr>
          <w:sz w:val="24"/>
          <w:szCs w:val="24"/>
        </w:rPr>
        <w:t xml:space="preserve">, Л.М. </w:t>
      </w:r>
      <w:proofErr w:type="spellStart"/>
      <w:r w:rsidR="00FD19CC" w:rsidRPr="00FD19CC">
        <w:rPr>
          <w:sz w:val="24"/>
          <w:szCs w:val="24"/>
        </w:rPr>
        <w:t>Гохберг</w:t>
      </w:r>
      <w:proofErr w:type="spellEnd"/>
      <w:r w:rsidR="00FD19CC" w:rsidRPr="00FD19CC">
        <w:rPr>
          <w:sz w:val="24"/>
          <w:szCs w:val="24"/>
        </w:rPr>
        <w:t xml:space="preserve">, О. Ю. Дудорова и  др.; Федеральная служба государственной статистики; Нац. </w:t>
      </w:r>
      <w:proofErr w:type="spellStart"/>
      <w:r w:rsidR="00FD19CC" w:rsidRPr="00FD19CC">
        <w:rPr>
          <w:sz w:val="24"/>
          <w:szCs w:val="24"/>
        </w:rPr>
        <w:t>исслед</w:t>
      </w:r>
      <w:proofErr w:type="spellEnd"/>
      <w:r w:rsidR="00FD19CC" w:rsidRPr="00FD19CC">
        <w:rPr>
          <w:sz w:val="24"/>
          <w:szCs w:val="24"/>
        </w:rPr>
        <w:t>. ун-т «Высшая школа экономики».– Электрон. текст дан. (31,8 Мб). – М.: НИУ ВШЭ, 2019.   -  https://rosstat.gov.ru/storage/mediabank/info-ob2019.pdf  (дата обращения: 29.09.2020).</w:t>
      </w:r>
    </w:p>
    <w:p w14:paraId="23F9E4C7" w14:textId="77777777" w:rsidR="00DD119A" w:rsidRDefault="00DD119A">
      <w:pPr>
        <w:jc w:val="both"/>
        <w:rPr>
          <w:sz w:val="24"/>
          <w:szCs w:val="24"/>
        </w:rPr>
      </w:pPr>
    </w:p>
    <w:p w14:paraId="44CA7977" w14:textId="1D74B30D" w:rsidR="00DD119A" w:rsidRDefault="00DD119A">
      <w:pPr>
        <w:jc w:val="both"/>
        <w:rPr>
          <w:rFonts w:eastAsia="Calibri"/>
          <w:b/>
          <w:sz w:val="24"/>
          <w:szCs w:val="24"/>
        </w:rPr>
      </w:pPr>
      <w:r>
        <w:rPr>
          <w:rFonts w:eastAsia="Calibri"/>
          <w:b/>
          <w:sz w:val="24"/>
          <w:szCs w:val="24"/>
        </w:rPr>
        <w:lastRenderedPageBreak/>
        <w:t xml:space="preserve">Информация об авторе </w:t>
      </w:r>
    </w:p>
    <w:p w14:paraId="68E0BDD3" w14:textId="3A52A441" w:rsidR="00DD119A" w:rsidRPr="00DD119A" w:rsidRDefault="001D6B9B" w:rsidP="00F561AF">
      <w:pPr>
        <w:ind w:firstLine="709"/>
        <w:jc w:val="both"/>
        <w:rPr>
          <w:sz w:val="24"/>
          <w:szCs w:val="24"/>
        </w:rPr>
      </w:pPr>
      <w:r>
        <w:rPr>
          <w:b/>
          <w:sz w:val="24"/>
          <w:szCs w:val="24"/>
        </w:rPr>
        <w:t>Ростовцев Константин Викторович</w:t>
      </w:r>
      <w:r w:rsidR="00DD119A">
        <w:rPr>
          <w:b/>
          <w:sz w:val="24"/>
          <w:szCs w:val="24"/>
        </w:rPr>
        <w:t xml:space="preserve"> </w:t>
      </w:r>
      <w:r w:rsidR="00DD119A" w:rsidRPr="00DD119A">
        <w:rPr>
          <w:sz w:val="24"/>
          <w:szCs w:val="24"/>
        </w:rPr>
        <w:t>(Екатеринбург, Россия), к.э.н., доцент</w:t>
      </w:r>
      <w:r w:rsidR="00DD119A">
        <w:rPr>
          <w:sz w:val="24"/>
          <w:szCs w:val="24"/>
          <w:vertAlign w:val="superscript"/>
        </w:rPr>
        <w:t xml:space="preserve"> </w:t>
      </w:r>
      <w:r w:rsidR="00DD119A" w:rsidRPr="002F1FF4">
        <w:rPr>
          <w:sz w:val="24"/>
          <w:szCs w:val="24"/>
        </w:rPr>
        <w:t>ФГБОУ ВО «Уральский государственный экономический университет»</w:t>
      </w:r>
      <w:r w:rsidR="00DD119A">
        <w:rPr>
          <w:sz w:val="24"/>
          <w:szCs w:val="24"/>
        </w:rPr>
        <w:t xml:space="preserve"> </w:t>
      </w:r>
      <w:proofErr w:type="spellStart"/>
      <w:r w:rsidR="00F561AF" w:rsidRPr="00F561AF">
        <w:rPr>
          <w:sz w:val="24"/>
          <w:szCs w:val="24"/>
          <w:lang w:val="en-US"/>
        </w:rPr>
        <w:t>rostovtsev</w:t>
      </w:r>
      <w:proofErr w:type="spellEnd"/>
      <w:r w:rsidR="00F561AF" w:rsidRPr="00F561AF">
        <w:rPr>
          <w:sz w:val="24"/>
          <w:szCs w:val="24"/>
        </w:rPr>
        <w:t>@</w:t>
      </w:r>
      <w:proofErr w:type="spellStart"/>
      <w:r w:rsidR="00F561AF" w:rsidRPr="00F561AF">
        <w:rPr>
          <w:sz w:val="24"/>
          <w:szCs w:val="24"/>
          <w:lang w:val="en-US"/>
        </w:rPr>
        <w:t>isnet</w:t>
      </w:r>
      <w:proofErr w:type="spellEnd"/>
      <w:r w:rsidR="00F561AF" w:rsidRPr="00F561AF">
        <w:rPr>
          <w:sz w:val="24"/>
          <w:szCs w:val="24"/>
        </w:rPr>
        <w:t>.</w:t>
      </w:r>
      <w:proofErr w:type="spellStart"/>
      <w:r w:rsidR="00F561AF" w:rsidRPr="00F561AF">
        <w:rPr>
          <w:sz w:val="24"/>
          <w:szCs w:val="24"/>
          <w:lang w:val="en-US"/>
        </w:rPr>
        <w:t>ru</w:t>
      </w:r>
      <w:proofErr w:type="spellEnd"/>
    </w:p>
    <w:p w14:paraId="144DC864" w14:textId="77777777" w:rsidR="00DC69BB" w:rsidRPr="00DC69BB" w:rsidRDefault="00DC69BB" w:rsidP="00B76960">
      <w:pPr>
        <w:ind w:firstLine="709"/>
        <w:jc w:val="right"/>
        <w:rPr>
          <w:b/>
          <w:sz w:val="24"/>
          <w:szCs w:val="24"/>
          <w:lang w:val="en-US"/>
        </w:rPr>
      </w:pPr>
      <w:proofErr w:type="spellStart"/>
      <w:r w:rsidRPr="00DC69BB">
        <w:rPr>
          <w:b/>
          <w:sz w:val="24"/>
          <w:szCs w:val="24"/>
          <w:lang w:val="en-US"/>
        </w:rPr>
        <w:t>Rostovtsev</w:t>
      </w:r>
      <w:proofErr w:type="spellEnd"/>
      <w:r w:rsidRPr="00DC69BB">
        <w:rPr>
          <w:b/>
          <w:sz w:val="24"/>
          <w:szCs w:val="24"/>
          <w:lang w:val="en-US"/>
        </w:rPr>
        <w:t xml:space="preserve"> K. V.</w:t>
      </w:r>
    </w:p>
    <w:p w14:paraId="070D6944" w14:textId="77777777" w:rsidR="00DC69BB" w:rsidRPr="00DC69BB" w:rsidRDefault="00DC69BB" w:rsidP="00B76960">
      <w:pPr>
        <w:ind w:firstLine="709"/>
        <w:jc w:val="center"/>
        <w:rPr>
          <w:b/>
          <w:sz w:val="24"/>
          <w:szCs w:val="24"/>
          <w:lang w:val="en-US"/>
        </w:rPr>
      </w:pPr>
      <w:r w:rsidRPr="00DC69BB">
        <w:rPr>
          <w:b/>
          <w:sz w:val="24"/>
          <w:szCs w:val="24"/>
          <w:lang w:val="en-US"/>
        </w:rPr>
        <w:t>CONSEQUENCES OF DIGITALIZATION IN THE FIELD OF EDUCATION</w:t>
      </w:r>
    </w:p>
    <w:p w14:paraId="288C0D60" w14:textId="77777777" w:rsidR="00DC69BB" w:rsidRPr="00DC69BB" w:rsidRDefault="00DC69BB" w:rsidP="00DC69BB">
      <w:pPr>
        <w:ind w:firstLine="709"/>
        <w:jc w:val="both"/>
        <w:rPr>
          <w:b/>
          <w:sz w:val="24"/>
          <w:szCs w:val="24"/>
          <w:lang w:val="en-US"/>
        </w:rPr>
      </w:pPr>
    </w:p>
    <w:p w14:paraId="1FE9F425" w14:textId="77777777" w:rsidR="00DC69BB" w:rsidRPr="00B76960" w:rsidRDefault="00DC69BB" w:rsidP="00DC69BB">
      <w:pPr>
        <w:ind w:firstLine="709"/>
        <w:jc w:val="both"/>
        <w:rPr>
          <w:sz w:val="24"/>
          <w:szCs w:val="24"/>
          <w:lang w:val="en-US"/>
        </w:rPr>
      </w:pPr>
      <w:r w:rsidRPr="00DC69BB">
        <w:rPr>
          <w:b/>
          <w:sz w:val="24"/>
          <w:szCs w:val="24"/>
          <w:lang w:val="en-US"/>
        </w:rPr>
        <w:t xml:space="preserve">Annotation. </w:t>
      </w:r>
      <w:r w:rsidRPr="00B76960">
        <w:rPr>
          <w:sz w:val="24"/>
          <w:szCs w:val="24"/>
          <w:lang w:val="en-US"/>
        </w:rPr>
        <w:t>The article highlights the issue of the consequences of digitalization processes for the education sector. The consequences of digitalization for Russians in the field of education lead to changes in educational standards, the reorganization of the educational process, a change in the role of the teacher, the formation of new competencies of the population.</w:t>
      </w:r>
    </w:p>
    <w:p w14:paraId="107501E4" w14:textId="6D47E1DE" w:rsidR="00D63DD7" w:rsidRDefault="00DC69BB" w:rsidP="00DC69BB">
      <w:pPr>
        <w:ind w:firstLine="709"/>
        <w:jc w:val="both"/>
        <w:rPr>
          <w:b/>
          <w:sz w:val="24"/>
          <w:szCs w:val="24"/>
          <w:lang w:val="en-US"/>
        </w:rPr>
      </w:pPr>
      <w:r w:rsidRPr="00DC69BB">
        <w:rPr>
          <w:b/>
          <w:sz w:val="24"/>
          <w:szCs w:val="24"/>
          <w:lang w:val="en-US"/>
        </w:rPr>
        <w:t xml:space="preserve">Keywords. </w:t>
      </w:r>
      <w:r w:rsidRPr="00B76960">
        <w:rPr>
          <w:sz w:val="24"/>
          <w:szCs w:val="24"/>
          <w:lang w:val="en-US"/>
        </w:rPr>
        <w:t>digitalization, competencies, research</w:t>
      </w:r>
      <w:r w:rsidRPr="00DC69BB">
        <w:rPr>
          <w:b/>
          <w:sz w:val="24"/>
          <w:szCs w:val="24"/>
          <w:lang w:val="en-US"/>
        </w:rPr>
        <w:t>.</w:t>
      </w:r>
    </w:p>
    <w:p w14:paraId="1D1312CF" w14:textId="77777777" w:rsidR="00B76960" w:rsidRDefault="00B76960" w:rsidP="00DD119A">
      <w:pPr>
        <w:ind w:firstLine="709"/>
        <w:jc w:val="both"/>
        <w:rPr>
          <w:b/>
          <w:sz w:val="24"/>
          <w:szCs w:val="24"/>
          <w:lang w:val="en-US"/>
        </w:rPr>
      </w:pPr>
    </w:p>
    <w:p w14:paraId="12D19718" w14:textId="77777777" w:rsidR="001442D3" w:rsidRPr="001442D3" w:rsidRDefault="001442D3" w:rsidP="001442D3">
      <w:pPr>
        <w:ind w:firstLine="709"/>
        <w:jc w:val="both"/>
        <w:rPr>
          <w:sz w:val="24"/>
          <w:szCs w:val="24"/>
          <w:lang w:val="en-US"/>
        </w:rPr>
      </w:pPr>
      <w:proofErr w:type="spellStart"/>
      <w:r w:rsidRPr="001442D3">
        <w:rPr>
          <w:b/>
          <w:sz w:val="24"/>
          <w:szCs w:val="24"/>
          <w:lang w:val="en-US"/>
        </w:rPr>
        <w:t>Rostovtsev</w:t>
      </w:r>
      <w:proofErr w:type="spellEnd"/>
      <w:r w:rsidRPr="001442D3">
        <w:rPr>
          <w:b/>
          <w:sz w:val="24"/>
          <w:szCs w:val="24"/>
          <w:lang w:val="en-US"/>
        </w:rPr>
        <w:t xml:space="preserve"> Konstantin </w:t>
      </w:r>
      <w:proofErr w:type="spellStart"/>
      <w:r w:rsidRPr="001442D3">
        <w:rPr>
          <w:b/>
          <w:sz w:val="24"/>
          <w:szCs w:val="24"/>
          <w:lang w:val="en-US"/>
        </w:rPr>
        <w:t>Viktorovich</w:t>
      </w:r>
      <w:proofErr w:type="spellEnd"/>
      <w:r w:rsidRPr="001442D3">
        <w:rPr>
          <w:b/>
          <w:sz w:val="24"/>
          <w:szCs w:val="24"/>
          <w:lang w:val="en-US"/>
        </w:rPr>
        <w:t xml:space="preserve"> </w:t>
      </w:r>
      <w:r w:rsidR="00DD119A" w:rsidRPr="003D43D7">
        <w:rPr>
          <w:sz w:val="24"/>
          <w:szCs w:val="24"/>
          <w:lang w:val="en-US"/>
        </w:rPr>
        <w:t xml:space="preserve">(Yekaterinburg, Russia), PhD, Associate Professor, Ural State University of Economics </w:t>
      </w:r>
      <w:r w:rsidRPr="00F561AF">
        <w:rPr>
          <w:sz w:val="24"/>
          <w:szCs w:val="24"/>
          <w:lang w:val="en-US"/>
        </w:rPr>
        <w:t>rostovtsev</w:t>
      </w:r>
      <w:r w:rsidRPr="001442D3">
        <w:rPr>
          <w:sz w:val="24"/>
          <w:szCs w:val="24"/>
          <w:lang w:val="en-US"/>
        </w:rPr>
        <w:t>@</w:t>
      </w:r>
      <w:r w:rsidRPr="00F561AF">
        <w:rPr>
          <w:sz w:val="24"/>
          <w:szCs w:val="24"/>
          <w:lang w:val="en-US"/>
        </w:rPr>
        <w:t>isnet</w:t>
      </w:r>
      <w:r w:rsidRPr="001442D3">
        <w:rPr>
          <w:sz w:val="24"/>
          <w:szCs w:val="24"/>
          <w:lang w:val="en-US"/>
        </w:rPr>
        <w:t>.</w:t>
      </w:r>
      <w:r w:rsidRPr="00F561AF">
        <w:rPr>
          <w:sz w:val="24"/>
          <w:szCs w:val="24"/>
          <w:lang w:val="en-US"/>
        </w:rPr>
        <w:t>ru</w:t>
      </w:r>
    </w:p>
    <w:p w14:paraId="3C60C709" w14:textId="0D9E3895" w:rsidR="00DD119A" w:rsidRPr="003D43D7" w:rsidRDefault="00DD119A" w:rsidP="00DD119A">
      <w:pPr>
        <w:ind w:firstLine="709"/>
        <w:jc w:val="both"/>
        <w:rPr>
          <w:sz w:val="24"/>
          <w:szCs w:val="24"/>
          <w:lang w:val="en-US"/>
        </w:rPr>
      </w:pPr>
    </w:p>
    <w:sectPr w:rsidR="00DD119A" w:rsidRPr="003D43D7" w:rsidSect="002F1FF4">
      <w:pgSz w:w="11906" w:h="16838"/>
      <w:pgMar w:top="1134" w:right="1588" w:bottom="1418" w:left="158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4CF5E2" w14:textId="77777777" w:rsidR="000D7987" w:rsidRDefault="000D7987" w:rsidP="003D43D7">
      <w:r>
        <w:separator/>
      </w:r>
    </w:p>
  </w:endnote>
  <w:endnote w:type="continuationSeparator" w:id="0">
    <w:p w14:paraId="37FAE846" w14:textId="77777777" w:rsidR="000D7987" w:rsidRDefault="000D7987" w:rsidP="003D43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3FDEA2" w14:textId="77777777" w:rsidR="000D7987" w:rsidRDefault="000D7987" w:rsidP="003D43D7">
      <w:r>
        <w:separator/>
      </w:r>
    </w:p>
  </w:footnote>
  <w:footnote w:type="continuationSeparator" w:id="0">
    <w:p w14:paraId="2F972D38" w14:textId="77777777" w:rsidR="000D7987" w:rsidRDefault="000D7987" w:rsidP="003D43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411370"/>
    <w:multiLevelType w:val="hybridMultilevel"/>
    <w:tmpl w:val="DE96DD22"/>
    <w:lvl w:ilvl="0" w:tplc="4784EF56">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20E52BFC"/>
    <w:multiLevelType w:val="hybridMultilevel"/>
    <w:tmpl w:val="19BCC32E"/>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start w:val="1"/>
      <w:numFmt w:val="decimal"/>
      <w:lvlText w:val="%4."/>
      <w:lvlJc w:val="left"/>
      <w:pPr>
        <w:ind w:left="3600" w:hanging="360"/>
      </w:pPr>
    </w:lvl>
    <w:lvl w:ilvl="4" w:tplc="04190019">
      <w:start w:val="1"/>
      <w:numFmt w:val="lowerLetter"/>
      <w:lvlText w:val="%5."/>
      <w:lvlJc w:val="left"/>
      <w:pPr>
        <w:ind w:left="4320" w:hanging="360"/>
      </w:pPr>
    </w:lvl>
    <w:lvl w:ilvl="5" w:tplc="0419001B">
      <w:start w:val="1"/>
      <w:numFmt w:val="lowerRoman"/>
      <w:lvlText w:val="%6."/>
      <w:lvlJc w:val="right"/>
      <w:pPr>
        <w:ind w:left="5040" w:hanging="180"/>
      </w:pPr>
    </w:lvl>
    <w:lvl w:ilvl="6" w:tplc="0419000F">
      <w:start w:val="1"/>
      <w:numFmt w:val="decimal"/>
      <w:lvlText w:val="%7."/>
      <w:lvlJc w:val="left"/>
      <w:pPr>
        <w:ind w:left="5760" w:hanging="360"/>
      </w:pPr>
    </w:lvl>
    <w:lvl w:ilvl="7" w:tplc="04190019">
      <w:start w:val="1"/>
      <w:numFmt w:val="lowerLetter"/>
      <w:lvlText w:val="%8."/>
      <w:lvlJc w:val="left"/>
      <w:pPr>
        <w:ind w:left="6480" w:hanging="360"/>
      </w:pPr>
    </w:lvl>
    <w:lvl w:ilvl="8" w:tplc="0419001B">
      <w:start w:val="1"/>
      <w:numFmt w:val="lowerRoman"/>
      <w:lvlText w:val="%9."/>
      <w:lvlJc w:val="right"/>
      <w:pPr>
        <w:ind w:left="7200" w:hanging="180"/>
      </w:pPr>
    </w:lvl>
  </w:abstractNum>
  <w:abstractNum w:abstractNumId="2" w15:restartNumberingAfterBreak="0">
    <w:nsid w:val="22AD0D9F"/>
    <w:multiLevelType w:val="hybridMultilevel"/>
    <w:tmpl w:val="66647312"/>
    <w:lvl w:ilvl="0" w:tplc="4784EF56">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61705C6B"/>
    <w:multiLevelType w:val="hybridMultilevel"/>
    <w:tmpl w:val="19BCC32E"/>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start w:val="1"/>
      <w:numFmt w:val="decimal"/>
      <w:lvlText w:val="%4."/>
      <w:lvlJc w:val="left"/>
      <w:pPr>
        <w:ind w:left="3600" w:hanging="360"/>
      </w:pPr>
    </w:lvl>
    <w:lvl w:ilvl="4" w:tplc="04190019">
      <w:start w:val="1"/>
      <w:numFmt w:val="lowerLetter"/>
      <w:lvlText w:val="%5."/>
      <w:lvlJc w:val="left"/>
      <w:pPr>
        <w:ind w:left="4320" w:hanging="360"/>
      </w:pPr>
    </w:lvl>
    <w:lvl w:ilvl="5" w:tplc="0419001B">
      <w:start w:val="1"/>
      <w:numFmt w:val="lowerRoman"/>
      <w:lvlText w:val="%6."/>
      <w:lvlJc w:val="right"/>
      <w:pPr>
        <w:ind w:left="5040" w:hanging="180"/>
      </w:pPr>
    </w:lvl>
    <w:lvl w:ilvl="6" w:tplc="0419000F">
      <w:start w:val="1"/>
      <w:numFmt w:val="decimal"/>
      <w:lvlText w:val="%7."/>
      <w:lvlJc w:val="left"/>
      <w:pPr>
        <w:ind w:left="5760" w:hanging="360"/>
      </w:pPr>
    </w:lvl>
    <w:lvl w:ilvl="7" w:tplc="04190019">
      <w:start w:val="1"/>
      <w:numFmt w:val="lowerLetter"/>
      <w:lvlText w:val="%8."/>
      <w:lvlJc w:val="left"/>
      <w:pPr>
        <w:ind w:left="6480" w:hanging="360"/>
      </w:pPr>
    </w:lvl>
    <w:lvl w:ilvl="8" w:tplc="0419001B">
      <w:start w:val="1"/>
      <w:numFmt w:val="lowerRoman"/>
      <w:lvlText w:val="%9."/>
      <w:lvlJc w:val="right"/>
      <w:pPr>
        <w:ind w:left="7200" w:hanging="180"/>
      </w:pPr>
    </w:lvl>
  </w:abstractNum>
  <w:abstractNum w:abstractNumId="4" w15:restartNumberingAfterBreak="0">
    <w:nsid w:val="66395B23"/>
    <w:multiLevelType w:val="hybridMultilevel"/>
    <w:tmpl w:val="E2A2124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15:restartNumberingAfterBreak="0">
    <w:nsid w:val="74193AA2"/>
    <w:multiLevelType w:val="hybridMultilevel"/>
    <w:tmpl w:val="3E1664AA"/>
    <w:lvl w:ilvl="0" w:tplc="4784EF56">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3"/>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0A3A"/>
    <w:rsid w:val="00016366"/>
    <w:rsid w:val="000230B6"/>
    <w:rsid w:val="00031A99"/>
    <w:rsid w:val="000350E8"/>
    <w:rsid w:val="000514AD"/>
    <w:rsid w:val="000C5C32"/>
    <w:rsid w:val="000D7987"/>
    <w:rsid w:val="001113E8"/>
    <w:rsid w:val="001442D3"/>
    <w:rsid w:val="00176650"/>
    <w:rsid w:val="00190E12"/>
    <w:rsid w:val="001B31EE"/>
    <w:rsid w:val="001D6B9B"/>
    <w:rsid w:val="001E42FC"/>
    <w:rsid w:val="002111FF"/>
    <w:rsid w:val="0026125A"/>
    <w:rsid w:val="002A0EDD"/>
    <w:rsid w:val="002E1432"/>
    <w:rsid w:val="002F1FF4"/>
    <w:rsid w:val="0030151B"/>
    <w:rsid w:val="0034166D"/>
    <w:rsid w:val="00355D60"/>
    <w:rsid w:val="0036460C"/>
    <w:rsid w:val="00396527"/>
    <w:rsid w:val="003B07EA"/>
    <w:rsid w:val="003B30A7"/>
    <w:rsid w:val="003B356A"/>
    <w:rsid w:val="003C501E"/>
    <w:rsid w:val="003D43D7"/>
    <w:rsid w:val="0042492C"/>
    <w:rsid w:val="0043189B"/>
    <w:rsid w:val="004B4544"/>
    <w:rsid w:val="004B6B4A"/>
    <w:rsid w:val="00577B55"/>
    <w:rsid w:val="0061176F"/>
    <w:rsid w:val="00671645"/>
    <w:rsid w:val="007230B5"/>
    <w:rsid w:val="00733ADF"/>
    <w:rsid w:val="00737EB7"/>
    <w:rsid w:val="0074421E"/>
    <w:rsid w:val="00787FB3"/>
    <w:rsid w:val="007F3BE4"/>
    <w:rsid w:val="008044BA"/>
    <w:rsid w:val="00855C5E"/>
    <w:rsid w:val="008C1850"/>
    <w:rsid w:val="008C7D34"/>
    <w:rsid w:val="00977D3C"/>
    <w:rsid w:val="009B38AE"/>
    <w:rsid w:val="009F72C8"/>
    <w:rsid w:val="00A349F6"/>
    <w:rsid w:val="00A950DD"/>
    <w:rsid w:val="00AB7ED9"/>
    <w:rsid w:val="00B45C31"/>
    <w:rsid w:val="00B70A9E"/>
    <w:rsid w:val="00B76960"/>
    <w:rsid w:val="00BB6704"/>
    <w:rsid w:val="00C120BA"/>
    <w:rsid w:val="00C3233D"/>
    <w:rsid w:val="00C32E4B"/>
    <w:rsid w:val="00CE0A3A"/>
    <w:rsid w:val="00D406C9"/>
    <w:rsid w:val="00D63DD7"/>
    <w:rsid w:val="00D73F67"/>
    <w:rsid w:val="00DC69BB"/>
    <w:rsid w:val="00DD119A"/>
    <w:rsid w:val="00DF76CF"/>
    <w:rsid w:val="00E27DA3"/>
    <w:rsid w:val="00E378DC"/>
    <w:rsid w:val="00E4145F"/>
    <w:rsid w:val="00E503E0"/>
    <w:rsid w:val="00E875BD"/>
    <w:rsid w:val="00EF0D86"/>
    <w:rsid w:val="00F07000"/>
    <w:rsid w:val="00F3021D"/>
    <w:rsid w:val="00F43C29"/>
    <w:rsid w:val="00F561AF"/>
    <w:rsid w:val="00F5762B"/>
    <w:rsid w:val="00F838DF"/>
    <w:rsid w:val="00FD19CC"/>
    <w:rsid w:val="00FD7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C45D4E"/>
  <w15:chartTrackingRefBased/>
  <w15:docId w15:val="{2CC3C069-8383-47F2-8476-B5B079BFB5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442D3"/>
    <w:pPr>
      <w:widowControl w:val="0"/>
      <w:autoSpaceDE w:val="0"/>
      <w:autoSpaceDN w:val="0"/>
      <w:adjustRightInd w:val="0"/>
      <w:spacing w:after="0" w:line="240" w:lineRule="auto"/>
    </w:pPr>
    <w:rPr>
      <w:rFonts w:ascii="Times New Roman" w:eastAsiaTheme="minorEastAsia" w:hAnsi="Times New Roman" w:cs="Times New Roman"/>
      <w:sz w:val="20"/>
      <w:szCs w:val="20"/>
      <w:lang w:eastAsia="ru-RU"/>
    </w:rPr>
  </w:style>
  <w:style w:type="paragraph" w:styleId="1">
    <w:name w:val="heading 1"/>
    <w:basedOn w:val="a"/>
    <w:next w:val="a"/>
    <w:link w:val="10"/>
    <w:uiPriority w:val="9"/>
    <w:qFormat/>
    <w:rsid w:val="003D43D7"/>
    <w:pPr>
      <w:keepNext/>
      <w:keepLines/>
      <w:widowControl/>
      <w:autoSpaceDE/>
      <w:autoSpaceDN/>
      <w:adjustRightInd/>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E0A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8C7D34"/>
    <w:pPr>
      <w:widowControl/>
      <w:autoSpaceDE/>
      <w:autoSpaceDN/>
      <w:adjustRightInd/>
      <w:spacing w:after="200" w:line="276" w:lineRule="auto"/>
      <w:ind w:left="720"/>
      <w:contextualSpacing/>
    </w:pPr>
    <w:rPr>
      <w:rFonts w:asciiTheme="minorHAnsi" w:hAnsiTheme="minorHAnsi" w:cstheme="minorBidi"/>
      <w:sz w:val="22"/>
      <w:szCs w:val="22"/>
    </w:rPr>
  </w:style>
  <w:style w:type="character" w:styleId="a5">
    <w:name w:val="Hyperlink"/>
    <w:basedOn w:val="a0"/>
    <w:uiPriority w:val="99"/>
    <w:unhideWhenUsed/>
    <w:rsid w:val="004B6B4A"/>
    <w:rPr>
      <w:color w:val="0563C1" w:themeColor="hyperlink"/>
      <w:u w:val="single"/>
    </w:rPr>
  </w:style>
  <w:style w:type="character" w:customStyle="1" w:styleId="11">
    <w:name w:val="Неразрешенное упоминание1"/>
    <w:basedOn w:val="a0"/>
    <w:uiPriority w:val="99"/>
    <w:semiHidden/>
    <w:unhideWhenUsed/>
    <w:rsid w:val="004B6B4A"/>
    <w:rPr>
      <w:color w:val="605E5C"/>
      <w:shd w:val="clear" w:color="auto" w:fill="E1DFDD"/>
    </w:rPr>
  </w:style>
  <w:style w:type="character" w:customStyle="1" w:styleId="rvts52">
    <w:name w:val="rvts52"/>
    <w:basedOn w:val="a0"/>
    <w:rsid w:val="00DD119A"/>
  </w:style>
  <w:style w:type="character" w:customStyle="1" w:styleId="10">
    <w:name w:val="Заголовок 1 Знак"/>
    <w:basedOn w:val="a0"/>
    <w:link w:val="1"/>
    <w:uiPriority w:val="9"/>
    <w:rsid w:val="003D43D7"/>
    <w:rPr>
      <w:rFonts w:asciiTheme="majorHAnsi" w:eastAsiaTheme="majorEastAsia" w:hAnsiTheme="majorHAnsi" w:cstheme="majorBidi"/>
      <w:color w:val="2F5496" w:themeColor="accent1" w:themeShade="BF"/>
      <w:sz w:val="32"/>
      <w:szCs w:val="32"/>
      <w:lang w:eastAsia="ru-RU"/>
    </w:rPr>
  </w:style>
  <w:style w:type="paragraph" w:styleId="a6">
    <w:name w:val="footnote text"/>
    <w:basedOn w:val="a"/>
    <w:link w:val="a7"/>
    <w:uiPriority w:val="99"/>
    <w:unhideWhenUsed/>
    <w:rsid w:val="003D43D7"/>
    <w:pPr>
      <w:widowControl/>
      <w:autoSpaceDE/>
      <w:autoSpaceDN/>
      <w:adjustRightInd/>
    </w:pPr>
    <w:rPr>
      <w:rFonts w:eastAsia="Times New Roman"/>
    </w:rPr>
  </w:style>
  <w:style w:type="character" w:customStyle="1" w:styleId="a7">
    <w:name w:val="Текст сноски Знак"/>
    <w:basedOn w:val="a0"/>
    <w:link w:val="a6"/>
    <w:uiPriority w:val="99"/>
    <w:rsid w:val="003D43D7"/>
    <w:rPr>
      <w:rFonts w:ascii="Times New Roman" w:eastAsia="Times New Roman" w:hAnsi="Times New Roman" w:cs="Times New Roman"/>
      <w:sz w:val="20"/>
      <w:szCs w:val="20"/>
      <w:lang w:eastAsia="ru-RU"/>
    </w:rPr>
  </w:style>
  <w:style w:type="character" w:styleId="a8">
    <w:name w:val="footnote reference"/>
    <w:basedOn w:val="a0"/>
    <w:uiPriority w:val="99"/>
    <w:semiHidden/>
    <w:unhideWhenUsed/>
    <w:rsid w:val="003D43D7"/>
    <w:rPr>
      <w:vertAlign w:val="superscript"/>
    </w:rPr>
  </w:style>
  <w:style w:type="paragraph" w:styleId="a9">
    <w:name w:val="caption"/>
    <w:basedOn w:val="a"/>
    <w:next w:val="a"/>
    <w:uiPriority w:val="35"/>
    <w:unhideWhenUsed/>
    <w:qFormat/>
    <w:rsid w:val="003D43D7"/>
    <w:pPr>
      <w:widowControl/>
      <w:autoSpaceDE/>
      <w:autoSpaceDN/>
      <w:adjustRightInd/>
      <w:spacing w:after="200"/>
    </w:pPr>
    <w:rPr>
      <w:rFonts w:eastAsia="Times New Roman"/>
      <w:i/>
      <w:iCs/>
      <w:color w:val="44546A" w:themeColor="text2"/>
      <w:sz w:val="18"/>
      <w:szCs w:val="18"/>
    </w:rPr>
  </w:style>
  <w:style w:type="table" w:customStyle="1" w:styleId="TableGrid">
    <w:name w:val="TableGrid"/>
    <w:rsid w:val="008044BA"/>
    <w:pPr>
      <w:spacing w:after="0" w:line="240" w:lineRule="auto"/>
    </w:pPr>
    <w:rPr>
      <w:rFonts w:eastAsia="Times New Roman"/>
      <w:lang w:eastAsia="ru-RU"/>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2079145">
      <w:bodyDiv w:val="1"/>
      <w:marLeft w:val="0"/>
      <w:marRight w:val="0"/>
      <w:marTop w:val="0"/>
      <w:marBottom w:val="0"/>
      <w:divBdr>
        <w:top w:val="none" w:sz="0" w:space="0" w:color="auto"/>
        <w:left w:val="none" w:sz="0" w:space="0" w:color="auto"/>
        <w:bottom w:val="none" w:sz="0" w:space="0" w:color="auto"/>
        <w:right w:val="none" w:sz="0" w:space="0" w:color="auto"/>
      </w:divBdr>
    </w:div>
    <w:div w:id="728268500">
      <w:bodyDiv w:val="1"/>
      <w:marLeft w:val="0"/>
      <w:marRight w:val="0"/>
      <w:marTop w:val="0"/>
      <w:marBottom w:val="0"/>
      <w:divBdr>
        <w:top w:val="none" w:sz="0" w:space="0" w:color="auto"/>
        <w:left w:val="none" w:sz="0" w:space="0" w:color="auto"/>
        <w:bottom w:val="none" w:sz="0" w:space="0" w:color="auto"/>
        <w:right w:val="none" w:sz="0" w:space="0" w:color="auto"/>
      </w:divBdr>
    </w:div>
    <w:div w:id="981419903">
      <w:bodyDiv w:val="1"/>
      <w:marLeft w:val="0"/>
      <w:marRight w:val="0"/>
      <w:marTop w:val="0"/>
      <w:marBottom w:val="0"/>
      <w:divBdr>
        <w:top w:val="none" w:sz="0" w:space="0" w:color="auto"/>
        <w:left w:val="none" w:sz="0" w:space="0" w:color="auto"/>
        <w:bottom w:val="none" w:sz="0" w:space="0" w:color="auto"/>
        <w:right w:val="none" w:sz="0" w:space="0" w:color="auto"/>
      </w:divBdr>
    </w:div>
    <w:div w:id="1351882509">
      <w:bodyDiv w:val="1"/>
      <w:marLeft w:val="0"/>
      <w:marRight w:val="0"/>
      <w:marTop w:val="0"/>
      <w:marBottom w:val="0"/>
      <w:divBdr>
        <w:top w:val="none" w:sz="0" w:space="0" w:color="auto"/>
        <w:left w:val="none" w:sz="0" w:space="0" w:color="auto"/>
        <w:bottom w:val="none" w:sz="0" w:space="0" w:color="auto"/>
        <w:right w:val="none" w:sz="0" w:space="0" w:color="auto"/>
      </w:divBdr>
    </w:div>
    <w:div w:id="1448507329">
      <w:bodyDiv w:val="1"/>
      <w:marLeft w:val="0"/>
      <w:marRight w:val="0"/>
      <w:marTop w:val="0"/>
      <w:marBottom w:val="0"/>
      <w:divBdr>
        <w:top w:val="none" w:sz="0" w:space="0" w:color="auto"/>
        <w:left w:val="none" w:sz="0" w:space="0" w:color="auto"/>
        <w:bottom w:val="none" w:sz="0" w:space="0" w:color="auto"/>
        <w:right w:val="none" w:sz="0" w:space="0" w:color="auto"/>
      </w:divBdr>
    </w:div>
    <w:div w:id="1515415455">
      <w:bodyDiv w:val="1"/>
      <w:marLeft w:val="0"/>
      <w:marRight w:val="0"/>
      <w:marTop w:val="0"/>
      <w:marBottom w:val="0"/>
      <w:divBdr>
        <w:top w:val="none" w:sz="0" w:space="0" w:color="auto"/>
        <w:left w:val="none" w:sz="0" w:space="0" w:color="auto"/>
        <w:bottom w:val="none" w:sz="0" w:space="0" w:color="auto"/>
        <w:right w:val="none" w:sz="0" w:space="0" w:color="auto"/>
      </w:divBdr>
    </w:div>
    <w:div w:id="1655178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hart" Target="charts/chart3.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Лист1!$B$5</c:f>
              <c:strCache>
                <c:ptCount val="1"/>
                <c:pt idx="0">
                  <c:v>Мировой рынок онлайн образования, млрд. долл США</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Лист1!$C$4:$F$4</c:f>
              <c:numCache>
                <c:formatCode>General</c:formatCode>
                <c:ptCount val="4"/>
                <c:pt idx="0">
                  <c:v>2017</c:v>
                </c:pt>
                <c:pt idx="1">
                  <c:v>2018</c:v>
                </c:pt>
                <c:pt idx="2">
                  <c:v>2019</c:v>
                </c:pt>
                <c:pt idx="3">
                  <c:v>2020</c:v>
                </c:pt>
              </c:numCache>
            </c:numRef>
          </c:cat>
          <c:val>
            <c:numRef>
              <c:f>Лист1!$C$5:$F$5</c:f>
              <c:numCache>
                <c:formatCode>General</c:formatCode>
                <c:ptCount val="4"/>
                <c:pt idx="0">
                  <c:v>159</c:v>
                </c:pt>
                <c:pt idx="1">
                  <c:v>190</c:v>
                </c:pt>
                <c:pt idx="2">
                  <c:v>205</c:v>
                </c:pt>
                <c:pt idx="3">
                  <c:v>222</c:v>
                </c:pt>
              </c:numCache>
            </c:numRef>
          </c:val>
          <c:extLst>
            <c:ext xmlns:c16="http://schemas.microsoft.com/office/drawing/2014/chart" uri="{C3380CC4-5D6E-409C-BE32-E72D297353CC}">
              <c16:uniqueId val="{00000000-0CED-4980-A516-528F2073E4E0}"/>
            </c:ext>
          </c:extLst>
        </c:ser>
        <c:dLbls>
          <c:showLegendKey val="0"/>
          <c:showVal val="1"/>
          <c:showCatName val="0"/>
          <c:showSerName val="0"/>
          <c:showPercent val="0"/>
          <c:showBubbleSize val="0"/>
        </c:dLbls>
        <c:gapWidth val="164"/>
        <c:overlap val="-22"/>
        <c:axId val="105653760"/>
        <c:axId val="105655296"/>
      </c:barChart>
      <c:catAx>
        <c:axId val="10565376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5655296"/>
        <c:crosses val="autoZero"/>
        <c:auto val="1"/>
        <c:lblAlgn val="ctr"/>
        <c:lblOffset val="100"/>
        <c:noMultiLvlLbl val="0"/>
      </c:catAx>
      <c:valAx>
        <c:axId val="10565529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565376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pattFill prst="ltUpDiag">
                <a:fgClr>
                  <a:schemeClr val="accent1">
                    <a:shade val="53000"/>
                  </a:schemeClr>
                </a:fgClr>
                <a:bgClr>
                  <a:schemeClr val="accent1">
                    <a:shade val="53000"/>
                    <a:lumMod val="20000"/>
                    <a:lumOff val="80000"/>
                  </a:schemeClr>
                </a:bgClr>
              </a:pattFill>
              <a:ln w="19050">
                <a:solidFill>
                  <a:schemeClr val="lt1"/>
                </a:solidFill>
              </a:ln>
              <a:effectLst>
                <a:innerShdw blurRad="114300">
                  <a:schemeClr val="accent1">
                    <a:shade val="53000"/>
                  </a:schemeClr>
                </a:innerShdw>
              </a:effectLst>
            </c:spPr>
            <c:extLst>
              <c:ext xmlns:c16="http://schemas.microsoft.com/office/drawing/2014/chart" uri="{C3380CC4-5D6E-409C-BE32-E72D297353CC}">
                <c16:uniqueId val="{00000001-7B09-41B7-8CB3-30292028362B}"/>
              </c:ext>
            </c:extLst>
          </c:dPt>
          <c:dPt>
            <c:idx val="1"/>
            <c:bubble3D val="0"/>
            <c:spPr>
              <a:pattFill prst="ltUpDiag">
                <a:fgClr>
                  <a:schemeClr val="accent1">
                    <a:shade val="76000"/>
                  </a:schemeClr>
                </a:fgClr>
                <a:bgClr>
                  <a:schemeClr val="accent1">
                    <a:shade val="76000"/>
                    <a:lumMod val="20000"/>
                    <a:lumOff val="80000"/>
                  </a:schemeClr>
                </a:bgClr>
              </a:pattFill>
              <a:ln w="19050">
                <a:solidFill>
                  <a:schemeClr val="lt1"/>
                </a:solidFill>
              </a:ln>
              <a:effectLst>
                <a:innerShdw blurRad="114300">
                  <a:schemeClr val="accent1">
                    <a:shade val="76000"/>
                  </a:schemeClr>
                </a:innerShdw>
              </a:effectLst>
            </c:spPr>
            <c:extLst>
              <c:ext xmlns:c16="http://schemas.microsoft.com/office/drawing/2014/chart" uri="{C3380CC4-5D6E-409C-BE32-E72D297353CC}">
                <c16:uniqueId val="{00000003-7B09-41B7-8CB3-30292028362B}"/>
              </c:ext>
            </c:extLst>
          </c:dPt>
          <c:dPt>
            <c:idx val="2"/>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5-7B09-41B7-8CB3-30292028362B}"/>
              </c:ext>
            </c:extLst>
          </c:dPt>
          <c:dPt>
            <c:idx val="3"/>
            <c:bubble3D val="0"/>
            <c:spPr>
              <a:pattFill prst="ltUpDiag">
                <a:fgClr>
                  <a:schemeClr val="accent1">
                    <a:tint val="77000"/>
                  </a:schemeClr>
                </a:fgClr>
                <a:bgClr>
                  <a:schemeClr val="accent1">
                    <a:tint val="77000"/>
                    <a:lumMod val="20000"/>
                    <a:lumOff val="80000"/>
                  </a:schemeClr>
                </a:bgClr>
              </a:pattFill>
              <a:ln w="19050">
                <a:solidFill>
                  <a:schemeClr val="lt1"/>
                </a:solidFill>
              </a:ln>
              <a:effectLst>
                <a:innerShdw blurRad="114300">
                  <a:schemeClr val="accent1">
                    <a:tint val="77000"/>
                  </a:schemeClr>
                </a:innerShdw>
              </a:effectLst>
            </c:spPr>
            <c:extLst>
              <c:ext xmlns:c16="http://schemas.microsoft.com/office/drawing/2014/chart" uri="{C3380CC4-5D6E-409C-BE32-E72D297353CC}">
                <c16:uniqueId val="{00000007-7B09-41B7-8CB3-30292028362B}"/>
              </c:ext>
            </c:extLst>
          </c:dPt>
          <c:dPt>
            <c:idx val="4"/>
            <c:bubble3D val="0"/>
            <c:spPr>
              <a:pattFill prst="ltUpDiag">
                <a:fgClr>
                  <a:schemeClr val="accent1">
                    <a:tint val="54000"/>
                  </a:schemeClr>
                </a:fgClr>
                <a:bgClr>
                  <a:schemeClr val="accent1">
                    <a:tint val="54000"/>
                    <a:lumMod val="20000"/>
                    <a:lumOff val="80000"/>
                  </a:schemeClr>
                </a:bgClr>
              </a:pattFill>
              <a:ln w="19050">
                <a:solidFill>
                  <a:schemeClr val="lt1"/>
                </a:solidFill>
              </a:ln>
              <a:effectLst>
                <a:innerShdw blurRad="114300">
                  <a:schemeClr val="accent1">
                    <a:tint val="54000"/>
                  </a:schemeClr>
                </a:innerShdw>
              </a:effectLst>
            </c:spPr>
            <c:extLst>
              <c:ext xmlns:c16="http://schemas.microsoft.com/office/drawing/2014/chart" uri="{C3380CC4-5D6E-409C-BE32-E72D297353CC}">
                <c16:uniqueId val="{00000009-7B09-41B7-8CB3-30292028362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Лист1!$B$18:$B$22</c:f>
              <c:strCache>
                <c:ptCount val="5"/>
                <c:pt idx="0">
                  <c:v>Высшее / профессиональное </c:v>
                </c:pt>
                <c:pt idx="1">
                  <c:v>Школьное</c:v>
                </c:pt>
                <c:pt idx="2">
                  <c:v>Непрерывное</c:v>
                </c:pt>
                <c:pt idx="3">
                  <c:v>Дошкольное</c:v>
                </c:pt>
                <c:pt idx="4">
                  <c:v>Корпоративное</c:v>
                </c:pt>
              </c:strCache>
            </c:strRef>
          </c:cat>
          <c:val>
            <c:numRef>
              <c:f>Лист1!$C$18:$C$22</c:f>
              <c:numCache>
                <c:formatCode>0%</c:formatCode>
                <c:ptCount val="5"/>
                <c:pt idx="0">
                  <c:v>0.25</c:v>
                </c:pt>
                <c:pt idx="1">
                  <c:v>0.55000000000000004</c:v>
                </c:pt>
                <c:pt idx="2">
                  <c:v>8.0000000000000016E-2</c:v>
                </c:pt>
                <c:pt idx="3">
                  <c:v>8.0000000000000016E-2</c:v>
                </c:pt>
                <c:pt idx="4">
                  <c:v>6.0000000000000005E-2</c:v>
                </c:pt>
              </c:numCache>
            </c:numRef>
          </c:val>
          <c:extLst>
            <c:ext xmlns:c16="http://schemas.microsoft.com/office/drawing/2014/chart" uri="{C3380CC4-5D6E-409C-BE32-E72D297353CC}">
              <c16:uniqueId val="{0000000A-7B09-41B7-8CB3-30292028362B}"/>
            </c:ext>
          </c:extLst>
        </c:ser>
        <c:dLbls>
          <c:showLegendKey val="0"/>
          <c:showVal val="1"/>
          <c:showCatName val="0"/>
          <c:showSerName val="0"/>
          <c:showPercent val="0"/>
          <c:showBubbleSize val="0"/>
          <c:showLeaderLines val="1"/>
        </c:dLbls>
        <c:firstSliceAng val="0"/>
      </c:pieChart>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pattFill prst="ltUpDiag">
                <a:fgClr>
                  <a:schemeClr val="accent1">
                    <a:shade val="50000"/>
                  </a:schemeClr>
                </a:fgClr>
                <a:bgClr>
                  <a:schemeClr val="accent1">
                    <a:shade val="50000"/>
                    <a:lumMod val="20000"/>
                    <a:lumOff val="80000"/>
                  </a:schemeClr>
                </a:bgClr>
              </a:pattFill>
              <a:ln w="19050">
                <a:solidFill>
                  <a:schemeClr val="lt1"/>
                </a:solidFill>
              </a:ln>
              <a:effectLst>
                <a:innerShdw blurRad="114300">
                  <a:schemeClr val="accent1">
                    <a:shade val="50000"/>
                  </a:schemeClr>
                </a:innerShdw>
              </a:effectLst>
            </c:spPr>
            <c:extLst>
              <c:ext xmlns:c16="http://schemas.microsoft.com/office/drawing/2014/chart" uri="{C3380CC4-5D6E-409C-BE32-E72D297353CC}">
                <c16:uniqueId val="{00000001-7393-4D2E-BE9C-F422777C7988}"/>
              </c:ext>
            </c:extLst>
          </c:dPt>
          <c:dPt>
            <c:idx val="1"/>
            <c:bubble3D val="0"/>
            <c:spPr>
              <a:pattFill prst="ltUpDiag">
                <a:fgClr>
                  <a:schemeClr val="accent1">
                    <a:shade val="70000"/>
                  </a:schemeClr>
                </a:fgClr>
                <a:bgClr>
                  <a:schemeClr val="accent1">
                    <a:shade val="70000"/>
                    <a:lumMod val="20000"/>
                    <a:lumOff val="80000"/>
                  </a:schemeClr>
                </a:bgClr>
              </a:pattFill>
              <a:ln w="19050">
                <a:solidFill>
                  <a:schemeClr val="lt1"/>
                </a:solidFill>
              </a:ln>
              <a:effectLst>
                <a:innerShdw blurRad="114300">
                  <a:schemeClr val="accent1">
                    <a:shade val="70000"/>
                  </a:schemeClr>
                </a:innerShdw>
              </a:effectLst>
            </c:spPr>
            <c:extLst>
              <c:ext xmlns:c16="http://schemas.microsoft.com/office/drawing/2014/chart" uri="{C3380CC4-5D6E-409C-BE32-E72D297353CC}">
                <c16:uniqueId val="{00000003-7393-4D2E-BE9C-F422777C7988}"/>
              </c:ext>
            </c:extLst>
          </c:dPt>
          <c:dPt>
            <c:idx val="2"/>
            <c:bubble3D val="0"/>
            <c:spPr>
              <a:pattFill prst="ltUpDiag">
                <a:fgClr>
                  <a:schemeClr val="accent1">
                    <a:shade val="90000"/>
                  </a:schemeClr>
                </a:fgClr>
                <a:bgClr>
                  <a:schemeClr val="accent1">
                    <a:shade val="90000"/>
                    <a:lumMod val="20000"/>
                    <a:lumOff val="80000"/>
                  </a:schemeClr>
                </a:bgClr>
              </a:pattFill>
              <a:ln w="19050">
                <a:solidFill>
                  <a:schemeClr val="lt1"/>
                </a:solidFill>
              </a:ln>
              <a:effectLst>
                <a:innerShdw blurRad="114300">
                  <a:schemeClr val="accent1">
                    <a:shade val="90000"/>
                  </a:schemeClr>
                </a:innerShdw>
              </a:effectLst>
            </c:spPr>
            <c:extLst>
              <c:ext xmlns:c16="http://schemas.microsoft.com/office/drawing/2014/chart" uri="{C3380CC4-5D6E-409C-BE32-E72D297353CC}">
                <c16:uniqueId val="{00000005-7393-4D2E-BE9C-F422777C7988}"/>
              </c:ext>
            </c:extLst>
          </c:dPt>
          <c:dPt>
            <c:idx val="3"/>
            <c:bubble3D val="0"/>
            <c:spPr>
              <a:pattFill prst="ltUpDiag">
                <a:fgClr>
                  <a:schemeClr val="accent1">
                    <a:tint val="90000"/>
                  </a:schemeClr>
                </a:fgClr>
                <a:bgClr>
                  <a:schemeClr val="accent1">
                    <a:tint val="90000"/>
                    <a:lumMod val="20000"/>
                    <a:lumOff val="80000"/>
                  </a:schemeClr>
                </a:bgClr>
              </a:pattFill>
              <a:ln w="19050">
                <a:solidFill>
                  <a:schemeClr val="lt1"/>
                </a:solidFill>
              </a:ln>
              <a:effectLst>
                <a:innerShdw blurRad="114300">
                  <a:schemeClr val="accent1">
                    <a:tint val="90000"/>
                  </a:schemeClr>
                </a:innerShdw>
              </a:effectLst>
            </c:spPr>
            <c:extLst>
              <c:ext xmlns:c16="http://schemas.microsoft.com/office/drawing/2014/chart" uri="{C3380CC4-5D6E-409C-BE32-E72D297353CC}">
                <c16:uniqueId val="{00000007-7393-4D2E-BE9C-F422777C7988}"/>
              </c:ext>
            </c:extLst>
          </c:dPt>
          <c:dPt>
            <c:idx val="4"/>
            <c:bubble3D val="0"/>
            <c:spPr>
              <a:pattFill prst="ltUpDiag">
                <a:fgClr>
                  <a:schemeClr val="accent1">
                    <a:tint val="70000"/>
                  </a:schemeClr>
                </a:fgClr>
                <a:bgClr>
                  <a:schemeClr val="accent1">
                    <a:tint val="70000"/>
                    <a:lumMod val="20000"/>
                    <a:lumOff val="80000"/>
                  </a:schemeClr>
                </a:bgClr>
              </a:pattFill>
              <a:ln w="19050">
                <a:solidFill>
                  <a:schemeClr val="lt1"/>
                </a:solidFill>
              </a:ln>
              <a:effectLst>
                <a:innerShdw blurRad="114300">
                  <a:schemeClr val="accent1">
                    <a:tint val="70000"/>
                  </a:schemeClr>
                </a:innerShdw>
              </a:effectLst>
            </c:spPr>
            <c:extLst>
              <c:ext xmlns:c16="http://schemas.microsoft.com/office/drawing/2014/chart" uri="{C3380CC4-5D6E-409C-BE32-E72D297353CC}">
                <c16:uniqueId val="{00000009-7393-4D2E-BE9C-F422777C7988}"/>
              </c:ext>
            </c:extLst>
          </c:dPt>
          <c:dPt>
            <c:idx val="5"/>
            <c:bubble3D val="0"/>
            <c:spPr>
              <a:pattFill prst="ltUpDiag">
                <a:fgClr>
                  <a:schemeClr val="accent1">
                    <a:tint val="50000"/>
                  </a:schemeClr>
                </a:fgClr>
                <a:bgClr>
                  <a:schemeClr val="accent1">
                    <a:tint val="50000"/>
                    <a:lumMod val="20000"/>
                    <a:lumOff val="80000"/>
                  </a:schemeClr>
                </a:bgClr>
              </a:pattFill>
              <a:ln w="19050">
                <a:solidFill>
                  <a:schemeClr val="lt1"/>
                </a:solidFill>
              </a:ln>
              <a:effectLst>
                <a:innerShdw blurRad="114300">
                  <a:schemeClr val="accent1">
                    <a:tint val="50000"/>
                  </a:schemeClr>
                </a:innerShdw>
              </a:effectLst>
            </c:spPr>
            <c:extLst>
              <c:ext xmlns:c16="http://schemas.microsoft.com/office/drawing/2014/chart" uri="{C3380CC4-5D6E-409C-BE32-E72D297353CC}">
                <c16:uniqueId val="{0000000B-7393-4D2E-BE9C-F422777C7988}"/>
              </c:ext>
            </c:extLst>
          </c:dPt>
          <c:dLbls>
            <c:dLbl>
              <c:idx val="5"/>
              <c:layout>
                <c:manualLayout>
                  <c:x val="8.3333333333332343E-3"/>
                  <c:y val="0"/>
                </c:manualLayout>
              </c:layout>
              <c:dLblPos val="bestFi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B-7393-4D2E-BE9C-F422777C798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Лист1!$B$38:$B$43</c:f>
              <c:strCache>
                <c:ptCount val="6"/>
                <c:pt idx="0">
                  <c:v>Высшее  профессиональное </c:v>
                </c:pt>
                <c:pt idx="1">
                  <c:v>Среднее профессиональное</c:v>
                </c:pt>
                <c:pt idx="2">
                  <c:v>Школьное</c:v>
                </c:pt>
                <c:pt idx="3">
                  <c:v>Дополнительное образование дети</c:v>
                </c:pt>
                <c:pt idx="4">
                  <c:v>Дошкольное</c:v>
                </c:pt>
                <c:pt idx="5">
                  <c:v>Дополнительно образование взрослых</c:v>
                </c:pt>
              </c:strCache>
            </c:strRef>
          </c:cat>
          <c:val>
            <c:numRef>
              <c:f>Лист1!$C$38:$C$43</c:f>
              <c:numCache>
                <c:formatCode>0%</c:formatCode>
                <c:ptCount val="6"/>
                <c:pt idx="0">
                  <c:v>0.25040738728951661</c:v>
                </c:pt>
                <c:pt idx="1">
                  <c:v>7.8218359587180875E-2</c:v>
                </c:pt>
                <c:pt idx="2">
                  <c:v>0.34872351982618144</c:v>
                </c:pt>
                <c:pt idx="3">
                  <c:v>7.6045627376425853E-2</c:v>
                </c:pt>
                <c:pt idx="4">
                  <c:v>0.2373709940249864</c:v>
                </c:pt>
                <c:pt idx="5">
                  <c:v>9.2341118957088523E-3</c:v>
                </c:pt>
              </c:numCache>
            </c:numRef>
          </c:val>
          <c:extLst>
            <c:ext xmlns:c16="http://schemas.microsoft.com/office/drawing/2014/chart" uri="{C3380CC4-5D6E-409C-BE32-E72D297353CC}">
              <c16:uniqueId val="{0000000C-7393-4D2E-BE9C-F422777C7988}"/>
            </c:ext>
          </c:extLst>
        </c:ser>
        <c:ser>
          <c:idx val="1"/>
          <c:order val="1"/>
          <c:dPt>
            <c:idx val="0"/>
            <c:bubble3D val="0"/>
            <c:spPr>
              <a:pattFill prst="ltUpDiag">
                <a:fgClr>
                  <a:schemeClr val="accent1">
                    <a:shade val="50000"/>
                  </a:schemeClr>
                </a:fgClr>
                <a:bgClr>
                  <a:schemeClr val="accent1">
                    <a:shade val="50000"/>
                    <a:lumMod val="20000"/>
                    <a:lumOff val="80000"/>
                  </a:schemeClr>
                </a:bgClr>
              </a:pattFill>
              <a:ln w="19050">
                <a:solidFill>
                  <a:schemeClr val="lt1"/>
                </a:solidFill>
              </a:ln>
              <a:effectLst>
                <a:innerShdw blurRad="114300">
                  <a:schemeClr val="accent1">
                    <a:shade val="50000"/>
                  </a:schemeClr>
                </a:innerShdw>
              </a:effectLst>
            </c:spPr>
            <c:extLst>
              <c:ext xmlns:c16="http://schemas.microsoft.com/office/drawing/2014/chart" uri="{C3380CC4-5D6E-409C-BE32-E72D297353CC}">
                <c16:uniqueId val="{0000000E-7393-4D2E-BE9C-F422777C7988}"/>
              </c:ext>
            </c:extLst>
          </c:dPt>
          <c:dPt>
            <c:idx val="1"/>
            <c:bubble3D val="0"/>
            <c:spPr>
              <a:pattFill prst="ltUpDiag">
                <a:fgClr>
                  <a:schemeClr val="accent1">
                    <a:shade val="70000"/>
                  </a:schemeClr>
                </a:fgClr>
                <a:bgClr>
                  <a:schemeClr val="accent1">
                    <a:shade val="70000"/>
                    <a:lumMod val="20000"/>
                    <a:lumOff val="80000"/>
                  </a:schemeClr>
                </a:bgClr>
              </a:pattFill>
              <a:ln w="19050">
                <a:solidFill>
                  <a:schemeClr val="lt1"/>
                </a:solidFill>
              </a:ln>
              <a:effectLst>
                <a:innerShdw blurRad="114300">
                  <a:schemeClr val="accent1">
                    <a:shade val="70000"/>
                  </a:schemeClr>
                </a:innerShdw>
              </a:effectLst>
            </c:spPr>
            <c:extLst>
              <c:ext xmlns:c16="http://schemas.microsoft.com/office/drawing/2014/chart" uri="{C3380CC4-5D6E-409C-BE32-E72D297353CC}">
                <c16:uniqueId val="{00000010-7393-4D2E-BE9C-F422777C7988}"/>
              </c:ext>
            </c:extLst>
          </c:dPt>
          <c:dPt>
            <c:idx val="2"/>
            <c:bubble3D val="0"/>
            <c:spPr>
              <a:pattFill prst="ltUpDiag">
                <a:fgClr>
                  <a:schemeClr val="accent1">
                    <a:shade val="90000"/>
                  </a:schemeClr>
                </a:fgClr>
                <a:bgClr>
                  <a:schemeClr val="accent1">
                    <a:shade val="90000"/>
                    <a:lumMod val="20000"/>
                    <a:lumOff val="80000"/>
                  </a:schemeClr>
                </a:bgClr>
              </a:pattFill>
              <a:ln w="19050">
                <a:solidFill>
                  <a:schemeClr val="lt1"/>
                </a:solidFill>
              </a:ln>
              <a:effectLst>
                <a:innerShdw blurRad="114300">
                  <a:schemeClr val="accent1">
                    <a:shade val="90000"/>
                  </a:schemeClr>
                </a:innerShdw>
              </a:effectLst>
            </c:spPr>
            <c:extLst>
              <c:ext xmlns:c16="http://schemas.microsoft.com/office/drawing/2014/chart" uri="{C3380CC4-5D6E-409C-BE32-E72D297353CC}">
                <c16:uniqueId val="{00000012-7393-4D2E-BE9C-F422777C7988}"/>
              </c:ext>
            </c:extLst>
          </c:dPt>
          <c:dPt>
            <c:idx val="3"/>
            <c:bubble3D val="0"/>
            <c:spPr>
              <a:pattFill prst="ltUpDiag">
                <a:fgClr>
                  <a:schemeClr val="accent1">
                    <a:tint val="90000"/>
                  </a:schemeClr>
                </a:fgClr>
                <a:bgClr>
                  <a:schemeClr val="accent1">
                    <a:tint val="90000"/>
                    <a:lumMod val="20000"/>
                    <a:lumOff val="80000"/>
                  </a:schemeClr>
                </a:bgClr>
              </a:pattFill>
              <a:ln w="19050">
                <a:solidFill>
                  <a:schemeClr val="lt1"/>
                </a:solidFill>
              </a:ln>
              <a:effectLst>
                <a:innerShdw blurRad="114300">
                  <a:schemeClr val="accent1">
                    <a:tint val="90000"/>
                  </a:schemeClr>
                </a:innerShdw>
              </a:effectLst>
            </c:spPr>
            <c:extLst>
              <c:ext xmlns:c16="http://schemas.microsoft.com/office/drawing/2014/chart" uri="{C3380CC4-5D6E-409C-BE32-E72D297353CC}">
                <c16:uniqueId val="{00000014-7393-4D2E-BE9C-F422777C7988}"/>
              </c:ext>
            </c:extLst>
          </c:dPt>
          <c:dPt>
            <c:idx val="4"/>
            <c:bubble3D val="0"/>
            <c:spPr>
              <a:pattFill prst="ltUpDiag">
                <a:fgClr>
                  <a:schemeClr val="accent1">
                    <a:tint val="70000"/>
                  </a:schemeClr>
                </a:fgClr>
                <a:bgClr>
                  <a:schemeClr val="accent1">
                    <a:tint val="70000"/>
                    <a:lumMod val="20000"/>
                    <a:lumOff val="80000"/>
                  </a:schemeClr>
                </a:bgClr>
              </a:pattFill>
              <a:ln w="19050">
                <a:solidFill>
                  <a:schemeClr val="lt1"/>
                </a:solidFill>
              </a:ln>
              <a:effectLst>
                <a:innerShdw blurRad="114300">
                  <a:schemeClr val="accent1">
                    <a:tint val="70000"/>
                  </a:schemeClr>
                </a:innerShdw>
              </a:effectLst>
            </c:spPr>
            <c:extLst>
              <c:ext xmlns:c16="http://schemas.microsoft.com/office/drawing/2014/chart" uri="{C3380CC4-5D6E-409C-BE32-E72D297353CC}">
                <c16:uniqueId val="{00000016-7393-4D2E-BE9C-F422777C7988}"/>
              </c:ext>
            </c:extLst>
          </c:dPt>
          <c:dPt>
            <c:idx val="5"/>
            <c:bubble3D val="0"/>
            <c:spPr>
              <a:pattFill prst="ltUpDiag">
                <a:fgClr>
                  <a:schemeClr val="accent1">
                    <a:tint val="50000"/>
                  </a:schemeClr>
                </a:fgClr>
                <a:bgClr>
                  <a:schemeClr val="accent1">
                    <a:tint val="50000"/>
                    <a:lumMod val="20000"/>
                    <a:lumOff val="80000"/>
                  </a:schemeClr>
                </a:bgClr>
              </a:pattFill>
              <a:ln w="19050">
                <a:solidFill>
                  <a:schemeClr val="lt1"/>
                </a:solidFill>
              </a:ln>
              <a:effectLst>
                <a:innerShdw blurRad="114300">
                  <a:schemeClr val="accent1">
                    <a:tint val="50000"/>
                  </a:schemeClr>
                </a:innerShdw>
              </a:effectLst>
            </c:spPr>
            <c:extLst>
              <c:ext xmlns:c16="http://schemas.microsoft.com/office/drawing/2014/chart" uri="{C3380CC4-5D6E-409C-BE32-E72D297353CC}">
                <c16:uniqueId val="{00000018-7393-4D2E-BE9C-F422777C798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Лист1!$B$38:$B$43</c:f>
              <c:strCache>
                <c:ptCount val="6"/>
                <c:pt idx="0">
                  <c:v>Высшее  профессиональное </c:v>
                </c:pt>
                <c:pt idx="1">
                  <c:v>Среднее профессиональное</c:v>
                </c:pt>
                <c:pt idx="2">
                  <c:v>Школьное</c:v>
                </c:pt>
                <c:pt idx="3">
                  <c:v>Дополнительное образование дети</c:v>
                </c:pt>
                <c:pt idx="4">
                  <c:v>Дошкольное</c:v>
                </c:pt>
                <c:pt idx="5">
                  <c:v>Дополнительно образование взрослых</c:v>
                </c:pt>
              </c:strCache>
            </c:strRef>
          </c:cat>
          <c:val>
            <c:numRef>
              <c:f>Лист1!$D$38:$D$43</c:f>
              <c:numCache>
                <c:formatCode>0%</c:formatCode>
                <c:ptCount val="6"/>
                <c:pt idx="0">
                  <c:v>0.25040738728951661</c:v>
                </c:pt>
                <c:pt idx="1">
                  <c:v>7.8218359587180875E-2</c:v>
                </c:pt>
                <c:pt idx="2">
                  <c:v>0.34872351982618144</c:v>
                </c:pt>
                <c:pt idx="3">
                  <c:v>7.6045627376425853E-2</c:v>
                </c:pt>
                <c:pt idx="4">
                  <c:v>0.2373709940249864</c:v>
                </c:pt>
                <c:pt idx="5">
                  <c:v>9.2341118957088523E-3</c:v>
                </c:pt>
              </c:numCache>
            </c:numRef>
          </c:val>
          <c:extLst>
            <c:ext xmlns:c16="http://schemas.microsoft.com/office/drawing/2014/chart" uri="{C3380CC4-5D6E-409C-BE32-E72D297353CC}">
              <c16:uniqueId val="{00000019-7393-4D2E-BE9C-F422777C7988}"/>
            </c:ext>
          </c:extLst>
        </c:ser>
        <c:dLbls>
          <c:showLegendKey val="0"/>
          <c:showVal val="1"/>
          <c:showCatName val="0"/>
          <c:showSerName val="0"/>
          <c:showPercent val="0"/>
          <c:showBubbleSize val="0"/>
          <c:showLeaderLines val="1"/>
        </c:dLbls>
        <c:firstSliceAng val="0"/>
      </c:pieChart>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4">
  <a:schemeClr val="accent1"/>
</cs:colorStyle>
</file>

<file path=word/charts/colors3.xml><?xml version="1.0" encoding="utf-8"?>
<cs:colorStyle xmlns:cs="http://schemas.microsoft.com/office/drawing/2012/chartStyle" xmlns:a="http://schemas.openxmlformats.org/drawingml/2006/main" meth="withinLinear" id="14">
  <a:schemeClr val="accent1"/>
</cs:colorStyle>
</file>

<file path=word/charts/style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63</TotalTime>
  <Pages>4</Pages>
  <Words>881</Words>
  <Characters>5023</Characters>
  <Application>Microsoft Office Word</Application>
  <DocSecurity>0</DocSecurity>
  <Lines>41</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Огородникова</dc:creator>
  <cp:keywords/>
  <dc:description/>
  <cp:lastModifiedBy>Екатерина Огородникова</cp:lastModifiedBy>
  <cp:revision>47</cp:revision>
  <dcterms:created xsi:type="dcterms:W3CDTF">2021-04-22T11:03:00Z</dcterms:created>
  <dcterms:modified xsi:type="dcterms:W3CDTF">2021-05-18T16:48:00Z</dcterms:modified>
</cp:coreProperties>
</file>