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96DBB" w14:textId="77777777" w:rsidR="00B64259" w:rsidRPr="000C7A90" w:rsidRDefault="00B64259" w:rsidP="00B64259">
      <w:pPr>
        <w:suppressAutoHyphens w:val="0"/>
        <w:rPr>
          <w:rFonts w:ascii="Times New Roman" w:eastAsia="Courier New" w:hAnsi="Times New Roman" w:cs="Courier New"/>
          <w:b/>
          <w:color w:val="000000"/>
          <w:kern w:val="0"/>
          <w:sz w:val="24"/>
          <w:lang w:eastAsia="ru-RU"/>
        </w:rPr>
      </w:pPr>
      <w:r w:rsidRPr="000C7A90">
        <w:rPr>
          <w:rFonts w:ascii="Times New Roman" w:eastAsia="Times New Roman" w:hAnsi="Times New Roman"/>
          <w:b/>
          <w:sz w:val="24"/>
          <w:lang w:eastAsia="ru-RU"/>
        </w:rPr>
        <w:t xml:space="preserve">УДК </w:t>
      </w:r>
      <w:r w:rsidRPr="00694516">
        <w:rPr>
          <w:rFonts w:ascii="Times New Roman" w:eastAsia="Courier New" w:hAnsi="Times New Roman" w:cs="Courier New"/>
          <w:b/>
          <w:color w:val="000000"/>
          <w:kern w:val="0"/>
          <w:sz w:val="24"/>
          <w:lang w:eastAsia="ru-RU"/>
        </w:rPr>
        <w:t>338.2, 339.972</w:t>
      </w:r>
      <w:r>
        <w:rPr>
          <w:rFonts w:ascii="Times New Roman" w:eastAsia="Courier New" w:hAnsi="Times New Roman" w:cs="Courier New"/>
          <w:b/>
          <w:color w:val="000000"/>
          <w:kern w:val="0"/>
          <w:sz w:val="24"/>
          <w:lang w:eastAsia="ru-RU"/>
        </w:rPr>
        <w:t xml:space="preserve"> </w:t>
      </w:r>
      <w:r w:rsidRPr="000C7A90">
        <w:rPr>
          <w:rFonts w:ascii="Times New Roman" w:eastAsia="Times New Roman" w:hAnsi="Times New Roman"/>
          <w:b/>
          <w:sz w:val="24"/>
          <w:lang w:eastAsia="ru-RU"/>
        </w:rPr>
        <w:t xml:space="preserve">/ББК </w:t>
      </w:r>
      <w:r w:rsidRPr="002C0B3F">
        <w:rPr>
          <w:rFonts w:ascii="Times New Roman" w:eastAsia="Times New Roman" w:hAnsi="Times New Roman"/>
          <w:b/>
          <w:sz w:val="24"/>
          <w:lang w:eastAsia="ru-RU"/>
        </w:rPr>
        <w:t>65.054</w:t>
      </w:r>
    </w:p>
    <w:p w14:paraId="42634FA3" w14:textId="77777777" w:rsidR="00B64259" w:rsidRPr="000C7A90" w:rsidRDefault="00B64259" w:rsidP="00B64259">
      <w:pPr>
        <w:rPr>
          <w:rFonts w:ascii="Times New Roman" w:eastAsia="Times New Roman" w:hAnsi="Times New Roman"/>
          <w:b/>
          <w:sz w:val="24"/>
          <w:lang w:eastAsia="ru-RU"/>
        </w:rPr>
      </w:pPr>
    </w:p>
    <w:p w14:paraId="76F2FC99" w14:textId="77777777" w:rsidR="00B64259" w:rsidRPr="000C7A90" w:rsidRDefault="00B64259" w:rsidP="00B64259">
      <w:pPr>
        <w:jc w:val="right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kern w:val="0"/>
          <w:sz w:val="24"/>
          <w:lang w:eastAsia="ru-RU"/>
        </w:rPr>
        <w:t>Захарова В</w:t>
      </w:r>
      <w:r w:rsidRPr="000C7A90">
        <w:rPr>
          <w:rFonts w:ascii="Times New Roman" w:eastAsia="Courier New" w:hAnsi="Times New Roman" w:cs="Courier New"/>
          <w:b/>
          <w:color w:val="000000"/>
          <w:kern w:val="0"/>
          <w:sz w:val="24"/>
          <w:lang w:eastAsia="ru-RU"/>
        </w:rPr>
        <w:t>.</w:t>
      </w:r>
      <w:r>
        <w:rPr>
          <w:rFonts w:ascii="Times New Roman" w:eastAsia="Courier New" w:hAnsi="Times New Roman" w:cs="Courier New"/>
          <w:b/>
          <w:color w:val="000000"/>
          <w:kern w:val="0"/>
          <w:sz w:val="24"/>
          <w:lang w:eastAsia="ru-RU"/>
        </w:rPr>
        <w:t>В.</w:t>
      </w:r>
    </w:p>
    <w:p w14:paraId="62D1785C" w14:textId="443B29C6" w:rsidR="00B64259" w:rsidRPr="000C7A90" w:rsidRDefault="00B64259" w:rsidP="00B64259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694516">
        <w:rPr>
          <w:rFonts w:ascii="Times New Roman" w:eastAsia="Courier New" w:hAnsi="Times New Roman" w:cs="Courier New"/>
          <w:b/>
          <w:color w:val="000000"/>
          <w:kern w:val="0"/>
          <w:sz w:val="24"/>
          <w:lang w:eastAsia="ru-RU"/>
        </w:rPr>
        <w:t xml:space="preserve">ДИНАМИКА НАУЧНО-ТЕХНИЧЕСКОГО И ИННОВАЦИОННОГО ПОЗИЦИОНИРОВАНИЯ СУБЪЕКТОВ </w:t>
      </w:r>
      <w:r w:rsidR="009D228C">
        <w:rPr>
          <w:rFonts w:ascii="Times New Roman" w:eastAsia="Courier New" w:hAnsi="Times New Roman" w:cs="Courier New"/>
          <w:b/>
          <w:color w:val="000000"/>
          <w:kern w:val="0"/>
          <w:sz w:val="24"/>
          <w:lang w:eastAsia="ru-RU"/>
        </w:rPr>
        <w:t>УРФО</w:t>
      </w:r>
    </w:p>
    <w:p w14:paraId="19034827" w14:textId="77777777" w:rsidR="00B64259" w:rsidRPr="000C7A90" w:rsidRDefault="00B64259" w:rsidP="00B64259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14:paraId="2DF3B4C5" w14:textId="77777777" w:rsidR="00B64259" w:rsidRPr="002D2FFC" w:rsidRDefault="00B64259" w:rsidP="00B6425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2D2FFC">
        <w:rPr>
          <w:rFonts w:ascii="Times New Roman" w:eastAsia="Times New Roman" w:hAnsi="Times New Roman"/>
          <w:b/>
          <w:i/>
          <w:sz w:val="24"/>
          <w:lang w:eastAsia="ru-RU"/>
        </w:rPr>
        <w:t xml:space="preserve">Аннотация. </w:t>
      </w:r>
      <w:r w:rsidRPr="002D2FFC">
        <w:rPr>
          <w:rFonts w:ascii="Times New Roman" w:eastAsia="Times New Roman" w:hAnsi="Times New Roman"/>
          <w:i/>
          <w:sz w:val="24"/>
          <w:lang w:eastAsia="ru-RU"/>
        </w:rPr>
        <w:t xml:space="preserve">В статье анализируется </w:t>
      </w:r>
      <w:r>
        <w:rPr>
          <w:rFonts w:ascii="Times New Roman" w:eastAsia="Times New Roman" w:hAnsi="Times New Roman"/>
          <w:i/>
          <w:sz w:val="24"/>
          <w:lang w:eastAsia="ru-RU"/>
        </w:rPr>
        <w:t>динамика позиционирования 6 субъектов Российской Федерации, входящих в Уральский федеральный округ, с 2015 по 2019-2020 годы</w:t>
      </w:r>
      <w:r w:rsidRPr="002D2FFC">
        <w:rPr>
          <w:rFonts w:ascii="Times New Roman" w:eastAsia="Times New Roman" w:hAnsi="Times New Roman"/>
          <w:i/>
          <w:sz w:val="24"/>
          <w:lang w:eastAsia="ru-RU"/>
        </w:rPr>
        <w:t xml:space="preserve">. Проанализировано состояние </w:t>
      </w:r>
      <w:r>
        <w:rPr>
          <w:rFonts w:ascii="Times New Roman" w:eastAsia="Times New Roman" w:hAnsi="Times New Roman"/>
          <w:i/>
          <w:sz w:val="24"/>
          <w:lang w:eastAsia="ru-RU"/>
        </w:rPr>
        <w:t xml:space="preserve">кадрового потенциала сферы науки и инноваций как в России в целом, так и в Уральском федеральном </w:t>
      </w:r>
      <w:proofErr w:type="gramStart"/>
      <w:r>
        <w:rPr>
          <w:rFonts w:ascii="Times New Roman" w:eastAsia="Times New Roman" w:hAnsi="Times New Roman"/>
          <w:i/>
          <w:sz w:val="24"/>
          <w:lang w:eastAsia="ru-RU"/>
        </w:rPr>
        <w:t>округе</w:t>
      </w:r>
      <w:proofErr w:type="gramEnd"/>
      <w:r>
        <w:rPr>
          <w:rFonts w:ascii="Times New Roman" w:eastAsia="Times New Roman" w:hAnsi="Times New Roman"/>
          <w:i/>
          <w:sz w:val="24"/>
          <w:lang w:eastAsia="ru-RU"/>
        </w:rPr>
        <w:t xml:space="preserve"> в частности</w:t>
      </w:r>
      <w:r w:rsidRPr="002D2FFC">
        <w:rPr>
          <w:rFonts w:ascii="Times New Roman" w:eastAsia="Times New Roman" w:hAnsi="Times New Roman"/>
          <w:i/>
          <w:sz w:val="24"/>
          <w:lang w:eastAsia="ru-RU"/>
        </w:rPr>
        <w:t xml:space="preserve">. В заключении делаются выводы с акцентом на поиске </w:t>
      </w:r>
      <w:r>
        <w:rPr>
          <w:rFonts w:ascii="Times New Roman" w:eastAsia="Times New Roman" w:hAnsi="Times New Roman"/>
          <w:i/>
          <w:sz w:val="24"/>
          <w:lang w:eastAsia="ru-RU"/>
        </w:rPr>
        <w:t xml:space="preserve">новых стратегий </w:t>
      </w:r>
      <w:r w:rsidRPr="002D2FFC">
        <w:rPr>
          <w:rFonts w:ascii="Times New Roman" w:eastAsia="Times New Roman" w:hAnsi="Times New Roman"/>
          <w:i/>
          <w:sz w:val="24"/>
          <w:lang w:eastAsia="ru-RU"/>
        </w:rPr>
        <w:t>развития</w:t>
      </w:r>
      <w:r>
        <w:rPr>
          <w:rFonts w:ascii="Times New Roman" w:eastAsia="Times New Roman" w:hAnsi="Times New Roman"/>
          <w:i/>
          <w:sz w:val="24"/>
          <w:lang w:eastAsia="ru-RU"/>
        </w:rPr>
        <w:t xml:space="preserve"> регионов в сфере научно-технического развития</w:t>
      </w:r>
      <w:r w:rsidRPr="002D2FFC">
        <w:rPr>
          <w:rFonts w:ascii="Times New Roman" w:eastAsia="Times New Roman" w:hAnsi="Times New Roman"/>
          <w:i/>
          <w:sz w:val="24"/>
          <w:lang w:eastAsia="ru-RU"/>
        </w:rPr>
        <w:t>.</w:t>
      </w:r>
    </w:p>
    <w:p w14:paraId="796AB0AC" w14:textId="77777777" w:rsidR="00B64259" w:rsidRPr="002D2FFC" w:rsidRDefault="00B64259" w:rsidP="00B6425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2D2FFC">
        <w:rPr>
          <w:rFonts w:ascii="Times New Roman" w:eastAsia="Times New Roman" w:hAnsi="Times New Roman"/>
          <w:b/>
          <w:i/>
          <w:sz w:val="24"/>
          <w:lang w:eastAsia="ru-RU"/>
        </w:rPr>
        <w:t xml:space="preserve">Ключевые слова: </w:t>
      </w:r>
      <w:r w:rsidRPr="002D2FFC">
        <w:rPr>
          <w:rFonts w:ascii="Times New Roman" w:eastAsia="Times New Roman" w:hAnsi="Times New Roman"/>
          <w:i/>
          <w:sz w:val="24"/>
          <w:lang w:eastAsia="ru-RU"/>
        </w:rPr>
        <w:t>научно-техническое развитие, инновационное развитие, уральский федеральный округ.</w:t>
      </w:r>
    </w:p>
    <w:p w14:paraId="0D089ECA" w14:textId="77777777" w:rsidR="00B64259" w:rsidRPr="000C7A90" w:rsidRDefault="00B64259" w:rsidP="00B64259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1FDBB302" w14:textId="77777777" w:rsidR="00504E91" w:rsidRDefault="00F30EE7" w:rsidP="00736EF9">
      <w:pPr>
        <w:suppressAutoHyphens w:val="0"/>
        <w:ind w:firstLine="709"/>
        <w:jc w:val="both"/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</w:pPr>
      <w:r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Роль инноваций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в условиях современной </w:t>
      </w:r>
      <w:proofErr w:type="spellStart"/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высокоглобализированной</w:t>
      </w:r>
      <w:proofErr w:type="spellEnd"/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экономики чрезвычайно высока.</w:t>
      </w:r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Без применения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инновационных технологий уже</w:t>
      </w:r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практически невозможно создать конкурентоспособную продукцию, имеющую высокую степень </w:t>
      </w:r>
      <w:proofErr w:type="spellStart"/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наукоемкости</w:t>
      </w:r>
      <w:proofErr w:type="spellEnd"/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и </w:t>
      </w:r>
      <w:r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новизны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[1], внедрение инноваций приводит к снижению себестоимости продукции, притоку инвестиций, повышению имиджа производителя новых продуктов, </w:t>
      </w:r>
      <w:r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к созданию новых потребностей 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и</w:t>
      </w:r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выводу инновационной продукции на новые рынки, в том числе внешни</w:t>
      </w:r>
      <w:r w:rsidR="002C0B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е</w:t>
      </w:r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. Таким образом, важным шагом к преодолению существующего технологического отставания и технологической зависимости российской экономики является формирование передовой инфраструктуры исследований, разработок и создания инновационного продукта, проведение </w:t>
      </w:r>
      <w:proofErr w:type="spellStart"/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неоиндустриальной</w:t>
      </w:r>
      <w:proofErr w:type="spellEnd"/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модернизации [2]. В целом за период 2010–2019 гг. объем внутренних затрат на исследования и разработки в процентах к ВВП в России составлял от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0,98 </w:t>
      </w:r>
      <w:r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до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1,13%. Согласно Отчету о результатах экспертно-аналитического мероприятия «Определение основных причин, сдерживающих научное развитие в Российской Федерации: оценка научной инфраструктуры, достаточность мотивационных мер, обеспечение привлекательности работы ведущих ученых», подготовленному Счетной палатой Российской Федерации </w:t>
      </w:r>
      <w:r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в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2020 году, Россия существенно отстает от ведущих стран мира</w:t>
      </w:r>
      <w:r w:rsidRPr="00F30E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</w:t>
      </w:r>
      <w:r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по удельному весу затрат на науку в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ВВП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(1,1%)</w:t>
      </w:r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, находясь 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по этому показателю </w:t>
      </w:r>
      <w:r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на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34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месте. Лидерами являются </w:t>
      </w:r>
      <w:r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Израиль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(4,25%), Республика </w:t>
      </w:r>
      <w:r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Корея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(4,24%), </w:t>
      </w:r>
      <w:r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Швейцария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(3,37%), </w:t>
      </w:r>
      <w:r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Швеция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(3,25%) и Тайвань (3,16%)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, имеющие в структуре государственных затрат долю затрат на науку более 3% от ВВП</w:t>
      </w:r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. США и Китай, имеющие </w:t>
      </w:r>
      <w:proofErr w:type="gramStart"/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наибольший</w:t>
      </w:r>
      <w:proofErr w:type="gramEnd"/>
      <w:r w:rsidR="002C0B3F" w:rsidRPr="00F41E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объем внутренних затрат на ИР, по доле данных затрат в ВВП занимают соответственно 11 и 15 места (2,74 и 2,12%).</w:t>
      </w:r>
      <w:r w:rsidR="002C0B3F" w:rsidRPr="00DC2118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</w:t>
      </w:r>
      <w:r w:rsidR="00736EF9" w:rsidRPr="00736EF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Несмотря на то, что за прошедшие пять лет позиции Российской Федерации, были стабильны (</w:t>
      </w:r>
      <w:r w:rsidR="00736EF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в рейтинге Глобального инновационного развития (</w:t>
      </w:r>
      <w:r w:rsidR="00736EF9" w:rsidRPr="00736EF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GII</w:t>
      </w:r>
      <w:r w:rsidR="00736EF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) Россия занимала </w:t>
      </w:r>
      <w:r w:rsidR="00736EF9" w:rsidRPr="00736EF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47 место из 131 в 2020 году и 49 из 143 в 2014 году), </w:t>
      </w:r>
      <w:r w:rsidR="002D5AE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требуемых </w:t>
      </w:r>
      <w:r w:rsidR="00736EF9" w:rsidRPr="00736EF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качественных</w:t>
      </w:r>
      <w:r w:rsidR="002D5AE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позитивных</w:t>
      </w:r>
      <w:r w:rsidR="00736EF9" w:rsidRPr="00736EF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изменений в научно-техническом</w:t>
      </w:r>
      <w:r w:rsid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и инновационном</w:t>
      </w:r>
      <w:r w:rsidR="00736EF9" w:rsidRPr="00736EF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развитии не произошло. </w:t>
      </w:r>
      <w:r w:rsid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Д</w:t>
      </w:r>
      <w:r w:rsidR="002C0B3F" w:rsidRPr="00DC2118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ля корректировки сложившейся ситуации и задания вектора долгосрочного инновационного развития </w:t>
      </w:r>
      <w:r w:rsidR="002D5AE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в </w:t>
      </w:r>
      <w:r w:rsid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2019 году была </w:t>
      </w:r>
      <w:r w:rsidR="002D5AE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досрочно </w:t>
      </w:r>
      <w:r w:rsid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прекращена реализация государственной программы Российской Федерации </w:t>
      </w:r>
      <w:r w:rsidR="00504E91">
        <w:rPr>
          <w:rFonts w:ascii="Times New Roman" w:eastAsiaTheme="minorHAnsi" w:hAnsi="Times New Roman"/>
          <w:kern w:val="0"/>
          <w:sz w:val="24"/>
        </w:rPr>
        <w:t>«Развитие науки и технологий» на</w:t>
      </w:r>
      <w:r w:rsidR="002D5AEC">
        <w:rPr>
          <w:rFonts w:ascii="Times New Roman" w:eastAsiaTheme="minorHAnsi" w:hAnsi="Times New Roman"/>
          <w:kern w:val="0"/>
          <w:sz w:val="24"/>
        </w:rPr>
        <w:t> </w:t>
      </w:r>
      <w:r w:rsidR="00504E91">
        <w:rPr>
          <w:rFonts w:ascii="Times New Roman" w:eastAsiaTheme="minorHAnsi" w:hAnsi="Times New Roman"/>
          <w:kern w:val="0"/>
          <w:sz w:val="24"/>
        </w:rPr>
        <w:t>2013</w:t>
      </w:r>
      <w:r w:rsidR="002D5AEC">
        <w:rPr>
          <w:rFonts w:ascii="Times New Roman" w:eastAsiaTheme="minorHAnsi" w:hAnsi="Times New Roman"/>
          <w:kern w:val="0"/>
          <w:sz w:val="24"/>
        </w:rPr>
        <w:noBreakHyphen/>
      </w:r>
      <w:r w:rsidR="00504E91">
        <w:rPr>
          <w:rFonts w:ascii="Times New Roman" w:eastAsiaTheme="minorHAnsi" w:hAnsi="Times New Roman"/>
          <w:kern w:val="0"/>
          <w:sz w:val="24"/>
        </w:rPr>
        <w:t xml:space="preserve">2020 годы, одновременно с этим была утверждена государственная программа Российской Федерации «Научно-технологическое развитие Российской Федерации». Также </w:t>
      </w:r>
      <w:r w:rsidR="002D5AEC">
        <w:rPr>
          <w:rFonts w:ascii="Times New Roman" w:eastAsiaTheme="minorHAnsi" w:hAnsi="Times New Roman"/>
          <w:kern w:val="0"/>
          <w:sz w:val="24"/>
        </w:rPr>
        <w:t>в </w:t>
      </w:r>
      <w:r w:rsidR="00504E91">
        <w:rPr>
          <w:rFonts w:ascii="Times New Roman" w:eastAsiaTheme="minorHAnsi" w:hAnsi="Times New Roman"/>
          <w:kern w:val="0"/>
          <w:sz w:val="24"/>
        </w:rPr>
        <w:t xml:space="preserve">2018 году началась </w:t>
      </w:r>
      <w:r w:rsidR="002C0B3F" w:rsidRPr="00DC2118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реализация национальных проектов, </w:t>
      </w:r>
      <w:r w:rsidR="002C0B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в том числе</w:t>
      </w:r>
      <w:r w:rsidR="002C0B3F" w:rsidRPr="00DC2118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«Наука», «Образование», «Цифровая экономика Российской Федерации», «Международная кооперация и экспорт</w:t>
      </w:r>
      <w:r w:rsidR="002D5AEC" w:rsidRPr="00DC2118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»</w:t>
      </w:r>
      <w:r w:rsidR="002D5AE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2C0B3F" w:rsidRPr="00DC2118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[</w:t>
      </w:r>
      <w:r w:rsidR="002C0B3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3</w:t>
      </w:r>
      <w:r w:rsidR="002C0B3F" w:rsidRPr="00DC2118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].</w:t>
      </w:r>
    </w:p>
    <w:p w14:paraId="4A6F264C" w14:textId="77777777" w:rsidR="00736EF9" w:rsidRDefault="00504E91" w:rsidP="00736EF9">
      <w:pPr>
        <w:suppressAutoHyphens w:val="0"/>
        <w:ind w:firstLine="709"/>
        <w:jc w:val="both"/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</w:pP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Очевидно, что эффективной </w:t>
      </w:r>
      <w:r w:rsidRP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экономике знаний </w:t>
      </w:r>
      <w:r w:rsidR="002D5AEC" w:rsidRP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для поддержания условий создания высокотехнологичной продукции </w:t>
      </w:r>
      <w:r w:rsidRP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требуются конкурентоспособные специалисты, развитая система защиты </w:t>
      </w:r>
      <w:r w:rsidR="002D5AE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результатов интеллектуальной деятельности</w:t>
      </w:r>
      <w:r w:rsidRP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и высокий </w:t>
      </w:r>
      <w:r w:rsidR="002D5AE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общий </w:t>
      </w:r>
      <w:r w:rsidRP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уровень развития науки 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не только в Российской Федерации в целом, но и </w:t>
      </w:r>
      <w:r w:rsidR="002D5AE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в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</w:t>
      </w:r>
      <w:r w:rsidR="002D5AE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каждом субъекте 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Российской Федерации</w:t>
      </w:r>
      <w:r w:rsidRP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.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</w:t>
      </w:r>
      <w:r w:rsidRP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Результаты ранее выполненного исследования показали, что Уральский федеральный округ занимает промежуточные позиции в рейтинге </w:t>
      </w:r>
      <w:r w:rsidR="00D3207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инновационного </w:t>
      </w:r>
      <w:r w:rsidR="00D3207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lastRenderedPageBreak/>
        <w:t xml:space="preserve">развития </w:t>
      </w:r>
      <w:r w:rsidRP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федеральных округов, уступая Центральному, Приволжскому, Сибирскому и Северо-Западному и Дальневосточному федеральным округам [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4</w:t>
      </w:r>
      <w:r w:rsidRP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].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</w:t>
      </w:r>
      <w:r w:rsidRP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Отставание вызвано меньшей по сравнению с </w:t>
      </w:r>
      <w:r w:rsidR="005E3D9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указанными</w:t>
      </w:r>
      <w:r w:rsidR="005E3D9F" w:rsidRP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</w:t>
      </w:r>
      <w:r w:rsidRP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округами </w:t>
      </w:r>
      <w:r w:rsidR="005E3D9F" w:rsidRP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концентраци</w:t>
      </w:r>
      <w:r w:rsidR="005E3D9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ей</w:t>
      </w:r>
      <w:r w:rsidR="005E3D9F" w:rsidRP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научны</w:t>
      </w:r>
      <w:r w:rsidR="005E3D9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х</w:t>
      </w:r>
      <w:r w:rsidR="005E3D9F" w:rsidRP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</w:t>
      </w:r>
      <w:r w:rsidRP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учреждений, учреждений высшего образования</w:t>
      </w:r>
      <w:r w:rsidR="005E3D9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и</w:t>
      </w:r>
      <w:r w:rsidRPr="00504E91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наукоемких производств, финансовых и людских ресурсов.</w:t>
      </w:r>
      <w:r w:rsidR="00D32076" w:rsidRPr="00D3207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</w:t>
      </w:r>
      <w:r w:rsidR="00D32076" w:rsidRPr="00736EF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Для оценки текущего уровня развития инновационной компоненты экономики</w:t>
      </w:r>
      <w:r w:rsidR="00D3207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каждого субъекта, входящего в Уральский федеральный округ,</w:t>
      </w:r>
      <w:r w:rsidR="00D32076" w:rsidRPr="00736EF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а также моделирования дальнейшего</w:t>
      </w:r>
      <w:r w:rsidR="00D3207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развития проанализируем </w:t>
      </w:r>
      <w:r w:rsidR="00D32076" w:rsidRPr="00736EF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динамик</w:t>
      </w:r>
      <w:r w:rsidR="00D3207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у</w:t>
      </w:r>
      <w:r w:rsidR="00D32076" w:rsidRPr="00736EF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научно-технического и инновационного позиционирования субъектов Российской Федерации, входящих в Уральский федеральный округ</w:t>
      </w:r>
      <w:r w:rsidR="00D3207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.</w:t>
      </w:r>
    </w:p>
    <w:p w14:paraId="251D11E5" w14:textId="77777777" w:rsidR="00F41E3F" w:rsidRPr="008B17F6" w:rsidRDefault="00F41E3F" w:rsidP="00F41E3F">
      <w:pPr>
        <w:suppressAutoHyphens w:val="0"/>
        <w:ind w:firstLine="709"/>
        <w:jc w:val="right"/>
        <w:rPr>
          <w:rFonts w:ascii="Times New Roman" w:eastAsia="Courier New" w:hAnsi="Times New Roman" w:cs="Courier New"/>
          <w:i/>
          <w:kern w:val="0"/>
          <w:sz w:val="24"/>
          <w:lang w:eastAsia="ru-RU"/>
        </w:rPr>
      </w:pPr>
      <w:r w:rsidRPr="008B17F6">
        <w:rPr>
          <w:rFonts w:ascii="Times New Roman" w:eastAsia="Courier New" w:hAnsi="Times New Roman" w:cs="Courier New"/>
          <w:i/>
          <w:kern w:val="0"/>
          <w:sz w:val="24"/>
          <w:lang w:eastAsia="ru-RU"/>
        </w:rPr>
        <w:t>Таблица 1</w:t>
      </w:r>
    </w:p>
    <w:p w14:paraId="67444153" w14:textId="77777777" w:rsidR="00F41E3F" w:rsidRPr="008B17F6" w:rsidRDefault="00D32076" w:rsidP="00F41E3F">
      <w:pPr>
        <w:suppressAutoHyphens w:val="0"/>
        <w:jc w:val="center"/>
        <w:rPr>
          <w:rFonts w:ascii="Times New Roman" w:eastAsia="Courier New" w:hAnsi="Times New Roman" w:cs="Courier New"/>
          <w:kern w:val="0"/>
          <w:sz w:val="24"/>
          <w:lang w:eastAsia="ru-RU"/>
        </w:rPr>
      </w:pPr>
      <w:r w:rsidRPr="008B17F6">
        <w:rPr>
          <w:rFonts w:ascii="Times New Roman" w:eastAsia="Courier New" w:hAnsi="Times New Roman" w:cs="Courier New"/>
          <w:kern w:val="0"/>
          <w:sz w:val="24"/>
          <w:lang w:eastAsia="ru-RU"/>
        </w:rPr>
        <w:t>Динамика основных показателей инновационного развития регионов, входящих в Уральский федеральный округ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35"/>
        <w:gridCol w:w="853"/>
        <w:gridCol w:w="785"/>
        <w:gridCol w:w="843"/>
        <w:gridCol w:w="828"/>
        <w:gridCol w:w="828"/>
        <w:gridCol w:w="759"/>
        <w:gridCol w:w="757"/>
        <w:gridCol w:w="859"/>
        <w:gridCol w:w="853"/>
      </w:tblGrid>
      <w:tr w:rsidR="008C2F7D" w:rsidRPr="000869AD" w14:paraId="5E28325C" w14:textId="77777777" w:rsidTr="000869AD">
        <w:trPr>
          <w:trHeight w:val="315"/>
        </w:trPr>
        <w:tc>
          <w:tcPr>
            <w:tcW w:w="793" w:type="pct"/>
            <w:shd w:val="clear" w:color="auto" w:fill="auto"/>
            <w:hideMark/>
          </w:tcPr>
          <w:p w14:paraId="408B03C4" w14:textId="77777777" w:rsidR="008C2F7D" w:rsidRPr="000869AD" w:rsidRDefault="008C2F7D" w:rsidP="00116D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Наименование региона</w:t>
            </w:r>
          </w:p>
        </w:tc>
        <w:tc>
          <w:tcPr>
            <w:tcW w:w="825" w:type="pct"/>
            <w:gridSpan w:val="2"/>
            <w:shd w:val="clear" w:color="auto" w:fill="auto"/>
            <w:hideMark/>
          </w:tcPr>
          <w:p w14:paraId="301C3E49" w14:textId="77777777" w:rsidR="008C2F7D" w:rsidRPr="000869AD" w:rsidRDefault="008C2F7D" w:rsidP="008C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Внутренние затраты на научные исследования и разработки, млн. руб.</w:t>
            </w:r>
          </w:p>
        </w:tc>
        <w:tc>
          <w:tcPr>
            <w:tcW w:w="846" w:type="pct"/>
            <w:gridSpan w:val="2"/>
            <w:shd w:val="clear" w:color="auto" w:fill="auto"/>
            <w:hideMark/>
          </w:tcPr>
          <w:p w14:paraId="468E4651" w14:textId="77777777" w:rsidR="008C2F7D" w:rsidRPr="000869AD" w:rsidRDefault="008C2F7D" w:rsidP="00116D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Численность исследователей, имеющих ученую степень, по субъектам Российской Федерации, человек</w:t>
            </w:r>
          </w:p>
        </w:tc>
        <w:tc>
          <w:tcPr>
            <w:tcW w:w="860" w:type="pct"/>
            <w:gridSpan w:val="2"/>
          </w:tcPr>
          <w:p w14:paraId="5B2C7C6C" w14:textId="77777777" w:rsidR="008C2F7D" w:rsidRPr="000869AD" w:rsidRDefault="008C2F7D" w:rsidP="00116D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Выдано патентов на изобретения, полезные модели и промышленные образцы, единиц</w:t>
            </w:r>
          </w:p>
        </w:tc>
        <w:tc>
          <w:tcPr>
            <w:tcW w:w="787" w:type="pct"/>
            <w:gridSpan w:val="2"/>
            <w:shd w:val="clear" w:color="auto" w:fill="auto"/>
            <w:hideMark/>
          </w:tcPr>
          <w:p w14:paraId="54AE23C2" w14:textId="77777777" w:rsidR="008C2F7D" w:rsidRPr="000869AD" w:rsidRDefault="008C2F7D" w:rsidP="00116D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Доля домохозяйств, имеющих доступ к сети Интернет с домашнего компьютера, в общем числе домашних хозяйств, %</w:t>
            </w:r>
          </w:p>
        </w:tc>
        <w:tc>
          <w:tcPr>
            <w:tcW w:w="889" w:type="pct"/>
            <w:gridSpan w:val="2"/>
            <w:shd w:val="clear" w:color="auto" w:fill="auto"/>
            <w:hideMark/>
          </w:tcPr>
          <w:p w14:paraId="379EB23A" w14:textId="77777777" w:rsidR="008C2F7D" w:rsidRPr="000869AD" w:rsidRDefault="008C2F7D" w:rsidP="00116D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Доля инновационных товаров, работ, услуг, в общем объеме экспорта товаров, работ, услуг организаций промышленного производства, %</w:t>
            </w:r>
          </w:p>
        </w:tc>
      </w:tr>
      <w:tr w:rsidR="000869AD" w:rsidRPr="000869AD" w14:paraId="1F1CF357" w14:textId="77777777" w:rsidTr="000869AD">
        <w:trPr>
          <w:trHeight w:val="284"/>
        </w:trPr>
        <w:tc>
          <w:tcPr>
            <w:tcW w:w="793" w:type="pct"/>
            <w:vMerge w:val="restart"/>
            <w:shd w:val="clear" w:color="auto" w:fill="auto"/>
          </w:tcPr>
          <w:p w14:paraId="4720E4B7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Курганская область</w:t>
            </w:r>
          </w:p>
        </w:tc>
        <w:tc>
          <w:tcPr>
            <w:tcW w:w="382" w:type="pct"/>
            <w:shd w:val="clear" w:color="auto" w:fill="auto"/>
          </w:tcPr>
          <w:p w14:paraId="53F30C88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43" w:type="pct"/>
            <w:shd w:val="clear" w:color="auto" w:fill="auto"/>
          </w:tcPr>
          <w:p w14:paraId="2E34A542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291,7</w:t>
            </w:r>
          </w:p>
        </w:tc>
        <w:tc>
          <w:tcPr>
            <w:tcW w:w="408" w:type="pct"/>
            <w:shd w:val="clear" w:color="auto" w:fill="auto"/>
          </w:tcPr>
          <w:p w14:paraId="34B4A560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38" w:type="pct"/>
            <w:shd w:val="clear" w:color="auto" w:fill="auto"/>
          </w:tcPr>
          <w:p w14:paraId="113929E5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180</w:t>
            </w:r>
          </w:p>
        </w:tc>
        <w:tc>
          <w:tcPr>
            <w:tcW w:w="430" w:type="pct"/>
          </w:tcPr>
          <w:p w14:paraId="5908FDBF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30" w:type="pct"/>
          </w:tcPr>
          <w:p w14:paraId="48FB7422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394" w:type="pct"/>
            <w:shd w:val="clear" w:color="auto" w:fill="auto"/>
          </w:tcPr>
          <w:p w14:paraId="71A31DD5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393" w:type="pct"/>
            <w:shd w:val="clear" w:color="auto" w:fill="auto"/>
          </w:tcPr>
          <w:p w14:paraId="19BC5A49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70,0</w:t>
            </w:r>
          </w:p>
        </w:tc>
        <w:tc>
          <w:tcPr>
            <w:tcW w:w="446" w:type="pct"/>
            <w:shd w:val="clear" w:color="auto" w:fill="auto"/>
          </w:tcPr>
          <w:p w14:paraId="69E05731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43" w:type="pct"/>
            <w:shd w:val="clear" w:color="auto" w:fill="auto"/>
          </w:tcPr>
          <w:p w14:paraId="5E7DE73D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4,4</w:t>
            </w:r>
          </w:p>
        </w:tc>
      </w:tr>
      <w:tr w:rsidR="000869AD" w:rsidRPr="000869AD" w14:paraId="67CAB908" w14:textId="77777777" w:rsidTr="000869AD">
        <w:trPr>
          <w:trHeight w:val="284"/>
        </w:trPr>
        <w:tc>
          <w:tcPr>
            <w:tcW w:w="793" w:type="pct"/>
            <w:vMerge/>
            <w:shd w:val="clear" w:color="auto" w:fill="auto"/>
          </w:tcPr>
          <w:p w14:paraId="34B024D3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</w:tcPr>
          <w:p w14:paraId="648192C9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43" w:type="pct"/>
            <w:shd w:val="clear" w:color="auto" w:fill="auto"/>
          </w:tcPr>
          <w:p w14:paraId="59E90495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346,7</w:t>
            </w:r>
          </w:p>
        </w:tc>
        <w:tc>
          <w:tcPr>
            <w:tcW w:w="408" w:type="pct"/>
            <w:shd w:val="clear" w:color="auto" w:fill="auto"/>
          </w:tcPr>
          <w:p w14:paraId="5B61A09E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38" w:type="pct"/>
            <w:shd w:val="clear" w:color="auto" w:fill="auto"/>
          </w:tcPr>
          <w:p w14:paraId="4B5BBB18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155</w:t>
            </w:r>
          </w:p>
        </w:tc>
        <w:tc>
          <w:tcPr>
            <w:tcW w:w="430" w:type="pct"/>
          </w:tcPr>
          <w:p w14:paraId="19255E90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30" w:type="pct"/>
          </w:tcPr>
          <w:p w14:paraId="49A981CB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394" w:type="pct"/>
            <w:shd w:val="clear" w:color="auto" w:fill="auto"/>
          </w:tcPr>
          <w:p w14:paraId="06E52D87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393" w:type="pct"/>
            <w:shd w:val="clear" w:color="auto" w:fill="auto"/>
          </w:tcPr>
          <w:p w14:paraId="21105349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75,6</w:t>
            </w:r>
          </w:p>
        </w:tc>
        <w:tc>
          <w:tcPr>
            <w:tcW w:w="446" w:type="pct"/>
            <w:shd w:val="clear" w:color="auto" w:fill="auto"/>
          </w:tcPr>
          <w:p w14:paraId="0A57D6B0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43" w:type="pct"/>
            <w:shd w:val="clear" w:color="auto" w:fill="auto"/>
          </w:tcPr>
          <w:p w14:paraId="66D3D622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1,0</w:t>
            </w:r>
          </w:p>
        </w:tc>
      </w:tr>
      <w:tr w:rsidR="000869AD" w:rsidRPr="000869AD" w14:paraId="361E0603" w14:textId="77777777" w:rsidTr="000869AD">
        <w:trPr>
          <w:trHeight w:val="284"/>
        </w:trPr>
        <w:tc>
          <w:tcPr>
            <w:tcW w:w="793" w:type="pct"/>
            <w:vMerge/>
            <w:shd w:val="clear" w:color="auto" w:fill="auto"/>
          </w:tcPr>
          <w:p w14:paraId="67294A36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</w:tcPr>
          <w:p w14:paraId="3610DF72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43" w:type="pct"/>
            <w:shd w:val="clear" w:color="auto" w:fill="auto"/>
          </w:tcPr>
          <w:p w14:paraId="4058EC7C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352,1</w:t>
            </w:r>
          </w:p>
        </w:tc>
        <w:tc>
          <w:tcPr>
            <w:tcW w:w="408" w:type="pct"/>
            <w:shd w:val="clear" w:color="auto" w:fill="auto"/>
          </w:tcPr>
          <w:p w14:paraId="2E75233F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38" w:type="pct"/>
            <w:shd w:val="clear" w:color="auto" w:fill="auto"/>
          </w:tcPr>
          <w:p w14:paraId="5ED5E554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143</w:t>
            </w:r>
          </w:p>
        </w:tc>
        <w:tc>
          <w:tcPr>
            <w:tcW w:w="430" w:type="pct"/>
          </w:tcPr>
          <w:p w14:paraId="4ECB9F42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2020</w:t>
            </w:r>
          </w:p>
        </w:tc>
        <w:tc>
          <w:tcPr>
            <w:tcW w:w="430" w:type="pct"/>
          </w:tcPr>
          <w:p w14:paraId="74A97559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394" w:type="pct"/>
            <w:shd w:val="clear" w:color="auto" w:fill="auto"/>
          </w:tcPr>
          <w:p w14:paraId="2407D763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2020</w:t>
            </w:r>
          </w:p>
        </w:tc>
        <w:tc>
          <w:tcPr>
            <w:tcW w:w="393" w:type="pct"/>
            <w:shd w:val="clear" w:color="auto" w:fill="auto"/>
          </w:tcPr>
          <w:p w14:paraId="5BDEB4C6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80,8</w:t>
            </w:r>
          </w:p>
        </w:tc>
        <w:tc>
          <w:tcPr>
            <w:tcW w:w="446" w:type="pct"/>
            <w:shd w:val="clear" w:color="auto" w:fill="auto"/>
          </w:tcPr>
          <w:p w14:paraId="09C9F889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43" w:type="pct"/>
            <w:shd w:val="clear" w:color="auto" w:fill="auto"/>
          </w:tcPr>
          <w:p w14:paraId="245042C3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0,6</w:t>
            </w:r>
          </w:p>
        </w:tc>
      </w:tr>
      <w:tr w:rsidR="000869AD" w:rsidRPr="000869AD" w14:paraId="30EE4233" w14:textId="77777777" w:rsidTr="000869AD">
        <w:trPr>
          <w:trHeight w:val="284"/>
        </w:trPr>
        <w:tc>
          <w:tcPr>
            <w:tcW w:w="793" w:type="pct"/>
            <w:vMerge w:val="restart"/>
            <w:shd w:val="clear" w:color="auto" w:fill="auto"/>
          </w:tcPr>
          <w:p w14:paraId="38D96C65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Свердловская область</w:t>
            </w:r>
          </w:p>
        </w:tc>
        <w:tc>
          <w:tcPr>
            <w:tcW w:w="382" w:type="pct"/>
            <w:shd w:val="clear" w:color="auto" w:fill="auto"/>
          </w:tcPr>
          <w:p w14:paraId="0820273A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43" w:type="pct"/>
            <w:shd w:val="clear" w:color="auto" w:fill="auto"/>
          </w:tcPr>
          <w:p w14:paraId="548D88F4" w14:textId="77777777" w:rsidR="0000509D" w:rsidRPr="000869AD" w:rsidRDefault="000869A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26259</w:t>
            </w:r>
          </w:p>
        </w:tc>
        <w:tc>
          <w:tcPr>
            <w:tcW w:w="408" w:type="pct"/>
            <w:shd w:val="clear" w:color="auto" w:fill="auto"/>
          </w:tcPr>
          <w:p w14:paraId="54CBCAE9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38" w:type="pct"/>
            <w:shd w:val="clear" w:color="auto" w:fill="auto"/>
          </w:tcPr>
          <w:p w14:paraId="2934376B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3009</w:t>
            </w:r>
          </w:p>
        </w:tc>
        <w:tc>
          <w:tcPr>
            <w:tcW w:w="430" w:type="pct"/>
          </w:tcPr>
          <w:p w14:paraId="533ED77D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30" w:type="pct"/>
          </w:tcPr>
          <w:p w14:paraId="2CDDCB86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866</w:t>
            </w:r>
          </w:p>
        </w:tc>
        <w:tc>
          <w:tcPr>
            <w:tcW w:w="394" w:type="pct"/>
            <w:shd w:val="clear" w:color="auto" w:fill="auto"/>
          </w:tcPr>
          <w:p w14:paraId="53D5A9D9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393" w:type="pct"/>
            <w:shd w:val="clear" w:color="auto" w:fill="auto"/>
          </w:tcPr>
          <w:p w14:paraId="46E1BF53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69,0</w:t>
            </w:r>
          </w:p>
        </w:tc>
        <w:tc>
          <w:tcPr>
            <w:tcW w:w="446" w:type="pct"/>
            <w:shd w:val="clear" w:color="auto" w:fill="auto"/>
          </w:tcPr>
          <w:p w14:paraId="5D75B6A8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43" w:type="pct"/>
            <w:shd w:val="clear" w:color="auto" w:fill="auto"/>
          </w:tcPr>
          <w:p w14:paraId="07ED2D44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8,5</w:t>
            </w:r>
          </w:p>
        </w:tc>
      </w:tr>
      <w:tr w:rsidR="000869AD" w:rsidRPr="000869AD" w14:paraId="150BE042" w14:textId="77777777" w:rsidTr="000869AD">
        <w:trPr>
          <w:trHeight w:val="284"/>
        </w:trPr>
        <w:tc>
          <w:tcPr>
            <w:tcW w:w="793" w:type="pct"/>
            <w:vMerge/>
            <w:shd w:val="clear" w:color="auto" w:fill="auto"/>
          </w:tcPr>
          <w:p w14:paraId="3F6E76B8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</w:tcPr>
          <w:p w14:paraId="0BCD42AB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43" w:type="pct"/>
            <w:shd w:val="clear" w:color="auto" w:fill="auto"/>
          </w:tcPr>
          <w:p w14:paraId="5C835B15" w14:textId="77777777" w:rsidR="0000509D" w:rsidRPr="000869AD" w:rsidRDefault="000869A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32186</w:t>
            </w:r>
          </w:p>
        </w:tc>
        <w:tc>
          <w:tcPr>
            <w:tcW w:w="408" w:type="pct"/>
            <w:shd w:val="clear" w:color="auto" w:fill="auto"/>
          </w:tcPr>
          <w:p w14:paraId="364A20FA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38" w:type="pct"/>
            <w:shd w:val="clear" w:color="auto" w:fill="auto"/>
          </w:tcPr>
          <w:p w14:paraId="54DFE352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2674</w:t>
            </w:r>
          </w:p>
        </w:tc>
        <w:tc>
          <w:tcPr>
            <w:tcW w:w="430" w:type="pct"/>
          </w:tcPr>
          <w:p w14:paraId="2C20AC17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30" w:type="pct"/>
          </w:tcPr>
          <w:p w14:paraId="7C76A606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842</w:t>
            </w:r>
          </w:p>
        </w:tc>
        <w:tc>
          <w:tcPr>
            <w:tcW w:w="394" w:type="pct"/>
            <w:shd w:val="clear" w:color="auto" w:fill="auto"/>
          </w:tcPr>
          <w:p w14:paraId="6ECC32CE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393" w:type="pct"/>
            <w:shd w:val="clear" w:color="auto" w:fill="auto"/>
          </w:tcPr>
          <w:p w14:paraId="2AC60824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71,6</w:t>
            </w:r>
          </w:p>
        </w:tc>
        <w:tc>
          <w:tcPr>
            <w:tcW w:w="446" w:type="pct"/>
            <w:shd w:val="clear" w:color="auto" w:fill="auto"/>
          </w:tcPr>
          <w:p w14:paraId="0A3317EF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43" w:type="pct"/>
            <w:shd w:val="clear" w:color="auto" w:fill="auto"/>
          </w:tcPr>
          <w:p w14:paraId="6529F0E8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10,0</w:t>
            </w:r>
          </w:p>
        </w:tc>
      </w:tr>
      <w:tr w:rsidR="000869AD" w:rsidRPr="000869AD" w14:paraId="0E7A1AD9" w14:textId="77777777" w:rsidTr="000869AD">
        <w:trPr>
          <w:trHeight w:val="284"/>
        </w:trPr>
        <w:tc>
          <w:tcPr>
            <w:tcW w:w="793" w:type="pct"/>
            <w:vMerge/>
            <w:shd w:val="clear" w:color="auto" w:fill="auto"/>
          </w:tcPr>
          <w:p w14:paraId="03A6EDA4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</w:tcPr>
          <w:p w14:paraId="35F75FC1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43" w:type="pct"/>
            <w:shd w:val="clear" w:color="auto" w:fill="auto"/>
          </w:tcPr>
          <w:p w14:paraId="6E214B46" w14:textId="77777777" w:rsidR="0000509D" w:rsidRPr="000869AD" w:rsidRDefault="000869A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28018</w:t>
            </w:r>
          </w:p>
        </w:tc>
        <w:tc>
          <w:tcPr>
            <w:tcW w:w="408" w:type="pct"/>
            <w:shd w:val="clear" w:color="auto" w:fill="auto"/>
          </w:tcPr>
          <w:p w14:paraId="0E51A64F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38" w:type="pct"/>
            <w:shd w:val="clear" w:color="auto" w:fill="auto"/>
          </w:tcPr>
          <w:p w14:paraId="6D65CB23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2627</w:t>
            </w:r>
          </w:p>
        </w:tc>
        <w:tc>
          <w:tcPr>
            <w:tcW w:w="430" w:type="pct"/>
          </w:tcPr>
          <w:p w14:paraId="752EDE85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2020</w:t>
            </w:r>
          </w:p>
        </w:tc>
        <w:tc>
          <w:tcPr>
            <w:tcW w:w="430" w:type="pct"/>
          </w:tcPr>
          <w:p w14:paraId="221B883C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743</w:t>
            </w:r>
          </w:p>
        </w:tc>
        <w:tc>
          <w:tcPr>
            <w:tcW w:w="394" w:type="pct"/>
            <w:shd w:val="clear" w:color="auto" w:fill="auto"/>
          </w:tcPr>
          <w:p w14:paraId="15461947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2020</w:t>
            </w:r>
          </w:p>
        </w:tc>
        <w:tc>
          <w:tcPr>
            <w:tcW w:w="393" w:type="pct"/>
            <w:shd w:val="clear" w:color="auto" w:fill="auto"/>
          </w:tcPr>
          <w:p w14:paraId="3D44641A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76,2</w:t>
            </w:r>
          </w:p>
        </w:tc>
        <w:tc>
          <w:tcPr>
            <w:tcW w:w="446" w:type="pct"/>
            <w:shd w:val="clear" w:color="auto" w:fill="auto"/>
          </w:tcPr>
          <w:p w14:paraId="03C112D7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43" w:type="pct"/>
            <w:shd w:val="clear" w:color="auto" w:fill="auto"/>
          </w:tcPr>
          <w:p w14:paraId="20FC69F8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8,2</w:t>
            </w:r>
          </w:p>
        </w:tc>
      </w:tr>
      <w:tr w:rsidR="000869AD" w:rsidRPr="000869AD" w14:paraId="74D4C8FD" w14:textId="77777777" w:rsidTr="000869AD">
        <w:trPr>
          <w:trHeight w:val="284"/>
        </w:trPr>
        <w:tc>
          <w:tcPr>
            <w:tcW w:w="793" w:type="pct"/>
            <w:vMerge w:val="restart"/>
            <w:shd w:val="clear" w:color="auto" w:fill="auto"/>
          </w:tcPr>
          <w:p w14:paraId="7D64C2CE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Тюменская область (без АО)</w:t>
            </w:r>
          </w:p>
        </w:tc>
        <w:tc>
          <w:tcPr>
            <w:tcW w:w="382" w:type="pct"/>
            <w:shd w:val="clear" w:color="auto" w:fill="auto"/>
          </w:tcPr>
          <w:p w14:paraId="1D926015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43" w:type="pct"/>
            <w:shd w:val="clear" w:color="auto" w:fill="auto"/>
          </w:tcPr>
          <w:p w14:paraId="137CDA3A" w14:textId="77777777" w:rsidR="0000509D" w:rsidRPr="000869AD" w:rsidRDefault="0000509D" w:rsidP="000869A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112</w:t>
            </w:r>
            <w:r w:rsid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408" w:type="pct"/>
            <w:shd w:val="clear" w:color="auto" w:fill="auto"/>
          </w:tcPr>
          <w:p w14:paraId="37CC9952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38" w:type="pct"/>
            <w:shd w:val="clear" w:color="auto" w:fill="auto"/>
          </w:tcPr>
          <w:p w14:paraId="3F22A5BF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770</w:t>
            </w:r>
          </w:p>
        </w:tc>
        <w:tc>
          <w:tcPr>
            <w:tcW w:w="430" w:type="pct"/>
          </w:tcPr>
          <w:p w14:paraId="2F3D6AC0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30" w:type="pct"/>
          </w:tcPr>
          <w:p w14:paraId="623523D6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239</w:t>
            </w:r>
          </w:p>
        </w:tc>
        <w:tc>
          <w:tcPr>
            <w:tcW w:w="394" w:type="pct"/>
            <w:shd w:val="clear" w:color="auto" w:fill="auto"/>
          </w:tcPr>
          <w:p w14:paraId="2BACABA6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393" w:type="pct"/>
            <w:shd w:val="clear" w:color="auto" w:fill="auto"/>
          </w:tcPr>
          <w:p w14:paraId="1A41D028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67,4</w:t>
            </w:r>
          </w:p>
        </w:tc>
        <w:tc>
          <w:tcPr>
            <w:tcW w:w="446" w:type="pct"/>
            <w:shd w:val="clear" w:color="auto" w:fill="auto"/>
          </w:tcPr>
          <w:p w14:paraId="69DB41A1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43" w:type="pct"/>
            <w:shd w:val="clear" w:color="auto" w:fill="auto"/>
          </w:tcPr>
          <w:p w14:paraId="1B71B90C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0,5</w:t>
            </w:r>
          </w:p>
        </w:tc>
      </w:tr>
      <w:tr w:rsidR="000869AD" w:rsidRPr="000869AD" w14:paraId="03F0C4A6" w14:textId="77777777" w:rsidTr="000869AD">
        <w:trPr>
          <w:trHeight w:val="284"/>
        </w:trPr>
        <w:tc>
          <w:tcPr>
            <w:tcW w:w="793" w:type="pct"/>
            <w:vMerge/>
            <w:shd w:val="clear" w:color="auto" w:fill="auto"/>
          </w:tcPr>
          <w:p w14:paraId="222F84A1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</w:tcPr>
          <w:p w14:paraId="13FFCB90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43" w:type="pct"/>
            <w:shd w:val="clear" w:color="auto" w:fill="auto"/>
          </w:tcPr>
          <w:p w14:paraId="57311A32" w14:textId="77777777" w:rsidR="0000509D" w:rsidRPr="000869AD" w:rsidRDefault="000869A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13155</w:t>
            </w:r>
          </w:p>
        </w:tc>
        <w:tc>
          <w:tcPr>
            <w:tcW w:w="408" w:type="pct"/>
            <w:shd w:val="clear" w:color="auto" w:fill="auto"/>
          </w:tcPr>
          <w:p w14:paraId="11C6C390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38" w:type="pct"/>
            <w:shd w:val="clear" w:color="auto" w:fill="auto"/>
          </w:tcPr>
          <w:p w14:paraId="11492529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737</w:t>
            </w:r>
          </w:p>
        </w:tc>
        <w:tc>
          <w:tcPr>
            <w:tcW w:w="430" w:type="pct"/>
          </w:tcPr>
          <w:p w14:paraId="3E235210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30" w:type="pct"/>
          </w:tcPr>
          <w:p w14:paraId="6C10042E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233</w:t>
            </w:r>
          </w:p>
        </w:tc>
        <w:tc>
          <w:tcPr>
            <w:tcW w:w="394" w:type="pct"/>
            <w:shd w:val="clear" w:color="auto" w:fill="auto"/>
          </w:tcPr>
          <w:p w14:paraId="3D7D46C8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393" w:type="pct"/>
            <w:shd w:val="clear" w:color="auto" w:fill="auto"/>
          </w:tcPr>
          <w:p w14:paraId="0A113A0E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76,1</w:t>
            </w:r>
          </w:p>
        </w:tc>
        <w:tc>
          <w:tcPr>
            <w:tcW w:w="446" w:type="pct"/>
            <w:shd w:val="clear" w:color="auto" w:fill="auto"/>
          </w:tcPr>
          <w:p w14:paraId="51ECE4EE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43" w:type="pct"/>
            <w:shd w:val="clear" w:color="auto" w:fill="auto"/>
          </w:tcPr>
          <w:p w14:paraId="081760FF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0,3</w:t>
            </w:r>
          </w:p>
        </w:tc>
      </w:tr>
      <w:tr w:rsidR="000869AD" w:rsidRPr="000869AD" w14:paraId="258FAC7B" w14:textId="77777777" w:rsidTr="000869AD">
        <w:trPr>
          <w:trHeight w:val="284"/>
        </w:trPr>
        <w:tc>
          <w:tcPr>
            <w:tcW w:w="793" w:type="pct"/>
            <w:vMerge/>
            <w:shd w:val="clear" w:color="auto" w:fill="auto"/>
          </w:tcPr>
          <w:p w14:paraId="46B4B5A6" w14:textId="77777777" w:rsidR="008C2F7D" w:rsidRPr="000869AD" w:rsidRDefault="008C2F7D" w:rsidP="008C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</w:tcPr>
          <w:p w14:paraId="1DA974A1" w14:textId="77777777" w:rsidR="008C2F7D" w:rsidRPr="000869AD" w:rsidRDefault="0000509D" w:rsidP="008C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43" w:type="pct"/>
            <w:shd w:val="clear" w:color="auto" w:fill="auto"/>
          </w:tcPr>
          <w:p w14:paraId="08EBF75E" w14:textId="77777777" w:rsidR="008C2F7D" w:rsidRPr="000869AD" w:rsidRDefault="000869AD" w:rsidP="008C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15120</w:t>
            </w:r>
          </w:p>
        </w:tc>
        <w:tc>
          <w:tcPr>
            <w:tcW w:w="408" w:type="pct"/>
            <w:shd w:val="clear" w:color="auto" w:fill="auto"/>
          </w:tcPr>
          <w:p w14:paraId="5F7D916F" w14:textId="77777777" w:rsidR="008C2F7D" w:rsidRPr="000869AD" w:rsidRDefault="008C2F7D" w:rsidP="008C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38" w:type="pct"/>
            <w:shd w:val="clear" w:color="auto" w:fill="auto"/>
          </w:tcPr>
          <w:p w14:paraId="6F4149AE" w14:textId="77777777" w:rsidR="008C2F7D" w:rsidRPr="000869AD" w:rsidRDefault="008C2F7D" w:rsidP="008C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539</w:t>
            </w:r>
          </w:p>
        </w:tc>
        <w:tc>
          <w:tcPr>
            <w:tcW w:w="430" w:type="pct"/>
          </w:tcPr>
          <w:p w14:paraId="36B489CE" w14:textId="77777777" w:rsidR="008C2F7D" w:rsidRPr="000869AD" w:rsidRDefault="008C2F7D" w:rsidP="008C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2020</w:t>
            </w:r>
          </w:p>
        </w:tc>
        <w:tc>
          <w:tcPr>
            <w:tcW w:w="430" w:type="pct"/>
          </w:tcPr>
          <w:p w14:paraId="47176566" w14:textId="77777777" w:rsidR="008C2F7D" w:rsidRPr="000869AD" w:rsidRDefault="008C2F7D" w:rsidP="008C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138</w:t>
            </w:r>
          </w:p>
        </w:tc>
        <w:tc>
          <w:tcPr>
            <w:tcW w:w="394" w:type="pct"/>
            <w:shd w:val="clear" w:color="auto" w:fill="auto"/>
          </w:tcPr>
          <w:p w14:paraId="6799D16B" w14:textId="77777777" w:rsidR="008C2F7D" w:rsidRPr="000869AD" w:rsidRDefault="008C2F7D" w:rsidP="008C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2020</w:t>
            </w:r>
          </w:p>
        </w:tc>
        <w:tc>
          <w:tcPr>
            <w:tcW w:w="393" w:type="pct"/>
            <w:shd w:val="clear" w:color="auto" w:fill="auto"/>
          </w:tcPr>
          <w:p w14:paraId="1303EE22" w14:textId="77777777" w:rsidR="008C2F7D" w:rsidRPr="000869AD" w:rsidRDefault="008C2F7D" w:rsidP="008C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78,6</w:t>
            </w:r>
          </w:p>
        </w:tc>
        <w:tc>
          <w:tcPr>
            <w:tcW w:w="446" w:type="pct"/>
            <w:shd w:val="clear" w:color="auto" w:fill="auto"/>
          </w:tcPr>
          <w:p w14:paraId="18D35649" w14:textId="77777777" w:rsidR="008C2F7D" w:rsidRPr="000869AD" w:rsidRDefault="008C2F7D" w:rsidP="008C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43" w:type="pct"/>
            <w:shd w:val="clear" w:color="auto" w:fill="auto"/>
          </w:tcPr>
          <w:p w14:paraId="7EA1F061" w14:textId="77777777" w:rsidR="008C2F7D" w:rsidRPr="000869AD" w:rsidRDefault="008C2F7D" w:rsidP="008C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7,1</w:t>
            </w:r>
          </w:p>
        </w:tc>
      </w:tr>
      <w:tr w:rsidR="000869AD" w:rsidRPr="000869AD" w14:paraId="0139C7BA" w14:textId="77777777" w:rsidTr="000869AD">
        <w:trPr>
          <w:trHeight w:val="284"/>
        </w:trPr>
        <w:tc>
          <w:tcPr>
            <w:tcW w:w="793" w:type="pct"/>
            <w:vMerge w:val="restart"/>
            <w:shd w:val="clear" w:color="auto" w:fill="auto"/>
          </w:tcPr>
          <w:p w14:paraId="13D8AC40" w14:textId="77777777" w:rsidR="0000509D" w:rsidRPr="000869AD" w:rsidRDefault="000869A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ХМАО*</w:t>
            </w:r>
          </w:p>
        </w:tc>
        <w:tc>
          <w:tcPr>
            <w:tcW w:w="382" w:type="pct"/>
            <w:shd w:val="clear" w:color="auto" w:fill="auto"/>
          </w:tcPr>
          <w:p w14:paraId="7A54C440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43" w:type="pct"/>
            <w:shd w:val="clear" w:color="auto" w:fill="auto"/>
          </w:tcPr>
          <w:p w14:paraId="20F9C383" w14:textId="77777777" w:rsidR="0000509D" w:rsidRPr="000869AD" w:rsidRDefault="000869A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2806</w:t>
            </w:r>
          </w:p>
        </w:tc>
        <w:tc>
          <w:tcPr>
            <w:tcW w:w="408" w:type="pct"/>
            <w:shd w:val="clear" w:color="auto" w:fill="auto"/>
          </w:tcPr>
          <w:p w14:paraId="28CE4099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38" w:type="pct"/>
            <w:shd w:val="clear" w:color="auto" w:fill="auto"/>
          </w:tcPr>
          <w:p w14:paraId="0B90F66A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209</w:t>
            </w:r>
          </w:p>
        </w:tc>
        <w:tc>
          <w:tcPr>
            <w:tcW w:w="430" w:type="pct"/>
          </w:tcPr>
          <w:p w14:paraId="534A0943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30" w:type="pct"/>
          </w:tcPr>
          <w:p w14:paraId="5A52377D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394" w:type="pct"/>
            <w:shd w:val="clear" w:color="auto" w:fill="auto"/>
          </w:tcPr>
          <w:p w14:paraId="1F27A2AF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393" w:type="pct"/>
            <w:shd w:val="clear" w:color="auto" w:fill="auto"/>
          </w:tcPr>
          <w:p w14:paraId="4E98D91B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83,3</w:t>
            </w:r>
          </w:p>
        </w:tc>
        <w:tc>
          <w:tcPr>
            <w:tcW w:w="446" w:type="pct"/>
            <w:shd w:val="clear" w:color="auto" w:fill="auto"/>
          </w:tcPr>
          <w:p w14:paraId="58CDD03A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43" w:type="pct"/>
            <w:shd w:val="clear" w:color="auto" w:fill="auto"/>
          </w:tcPr>
          <w:p w14:paraId="6ABA1EBA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0869AD" w:rsidRPr="000869AD" w14:paraId="744876EB" w14:textId="77777777" w:rsidTr="000869AD">
        <w:trPr>
          <w:trHeight w:val="284"/>
        </w:trPr>
        <w:tc>
          <w:tcPr>
            <w:tcW w:w="793" w:type="pct"/>
            <w:vMerge/>
            <w:shd w:val="clear" w:color="auto" w:fill="auto"/>
          </w:tcPr>
          <w:p w14:paraId="20AFCB3E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</w:tcPr>
          <w:p w14:paraId="1314C47F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43" w:type="pct"/>
            <w:shd w:val="clear" w:color="auto" w:fill="auto"/>
          </w:tcPr>
          <w:p w14:paraId="1EC2F93E" w14:textId="77777777" w:rsidR="0000509D" w:rsidRPr="000869AD" w:rsidRDefault="000869A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3045</w:t>
            </w:r>
          </w:p>
        </w:tc>
        <w:tc>
          <w:tcPr>
            <w:tcW w:w="408" w:type="pct"/>
            <w:shd w:val="clear" w:color="auto" w:fill="auto"/>
          </w:tcPr>
          <w:p w14:paraId="38E08B17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38" w:type="pct"/>
            <w:shd w:val="clear" w:color="auto" w:fill="auto"/>
          </w:tcPr>
          <w:p w14:paraId="1944BF19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149</w:t>
            </w:r>
          </w:p>
        </w:tc>
        <w:tc>
          <w:tcPr>
            <w:tcW w:w="430" w:type="pct"/>
          </w:tcPr>
          <w:p w14:paraId="7D63D3AE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30" w:type="pct"/>
          </w:tcPr>
          <w:p w14:paraId="79BCC3DA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394" w:type="pct"/>
            <w:shd w:val="clear" w:color="auto" w:fill="auto"/>
          </w:tcPr>
          <w:p w14:paraId="59B275F5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393" w:type="pct"/>
            <w:shd w:val="clear" w:color="auto" w:fill="auto"/>
          </w:tcPr>
          <w:p w14:paraId="2E642A45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90,5</w:t>
            </w:r>
          </w:p>
        </w:tc>
        <w:tc>
          <w:tcPr>
            <w:tcW w:w="446" w:type="pct"/>
            <w:shd w:val="clear" w:color="auto" w:fill="auto"/>
          </w:tcPr>
          <w:p w14:paraId="53B672FB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43" w:type="pct"/>
            <w:shd w:val="clear" w:color="auto" w:fill="auto"/>
          </w:tcPr>
          <w:p w14:paraId="1965DFD4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0869AD" w:rsidRPr="000869AD" w14:paraId="14BE20EC" w14:textId="77777777" w:rsidTr="000869AD">
        <w:trPr>
          <w:trHeight w:val="284"/>
        </w:trPr>
        <w:tc>
          <w:tcPr>
            <w:tcW w:w="793" w:type="pct"/>
            <w:vMerge/>
            <w:shd w:val="clear" w:color="auto" w:fill="auto"/>
          </w:tcPr>
          <w:p w14:paraId="1B070A56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</w:tcPr>
          <w:p w14:paraId="78244D8B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43" w:type="pct"/>
            <w:shd w:val="clear" w:color="auto" w:fill="auto"/>
          </w:tcPr>
          <w:p w14:paraId="23BFD891" w14:textId="77777777" w:rsidR="0000509D" w:rsidRPr="000869AD" w:rsidRDefault="000869A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3411</w:t>
            </w:r>
          </w:p>
        </w:tc>
        <w:tc>
          <w:tcPr>
            <w:tcW w:w="408" w:type="pct"/>
            <w:shd w:val="clear" w:color="auto" w:fill="auto"/>
          </w:tcPr>
          <w:p w14:paraId="11E3EAF3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38" w:type="pct"/>
            <w:shd w:val="clear" w:color="auto" w:fill="auto"/>
          </w:tcPr>
          <w:p w14:paraId="6FB92F8F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101</w:t>
            </w:r>
          </w:p>
        </w:tc>
        <w:tc>
          <w:tcPr>
            <w:tcW w:w="430" w:type="pct"/>
          </w:tcPr>
          <w:p w14:paraId="2E628580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2020</w:t>
            </w:r>
          </w:p>
        </w:tc>
        <w:tc>
          <w:tcPr>
            <w:tcW w:w="430" w:type="pct"/>
          </w:tcPr>
          <w:p w14:paraId="14A83F6B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394" w:type="pct"/>
            <w:shd w:val="clear" w:color="auto" w:fill="auto"/>
          </w:tcPr>
          <w:p w14:paraId="15959D07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2020</w:t>
            </w:r>
          </w:p>
        </w:tc>
        <w:tc>
          <w:tcPr>
            <w:tcW w:w="393" w:type="pct"/>
            <w:shd w:val="clear" w:color="auto" w:fill="auto"/>
          </w:tcPr>
          <w:p w14:paraId="27B5CF04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93,4</w:t>
            </w:r>
          </w:p>
        </w:tc>
        <w:tc>
          <w:tcPr>
            <w:tcW w:w="446" w:type="pct"/>
            <w:shd w:val="clear" w:color="auto" w:fill="auto"/>
          </w:tcPr>
          <w:p w14:paraId="04D38C25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43" w:type="pct"/>
            <w:shd w:val="clear" w:color="auto" w:fill="auto"/>
          </w:tcPr>
          <w:p w14:paraId="42B42A0E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0869AD" w:rsidRPr="000869AD" w14:paraId="5C85D544" w14:textId="77777777" w:rsidTr="000869AD">
        <w:trPr>
          <w:trHeight w:val="284"/>
        </w:trPr>
        <w:tc>
          <w:tcPr>
            <w:tcW w:w="793" w:type="pct"/>
            <w:vMerge w:val="restart"/>
            <w:shd w:val="clear" w:color="auto" w:fill="auto"/>
          </w:tcPr>
          <w:p w14:paraId="5D01BC4C" w14:textId="77777777" w:rsidR="0000509D" w:rsidRPr="000869AD" w:rsidRDefault="000869A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ЯНАО**</w:t>
            </w:r>
          </w:p>
        </w:tc>
        <w:tc>
          <w:tcPr>
            <w:tcW w:w="382" w:type="pct"/>
            <w:shd w:val="clear" w:color="auto" w:fill="auto"/>
          </w:tcPr>
          <w:p w14:paraId="26A1A327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43" w:type="pct"/>
            <w:shd w:val="clear" w:color="auto" w:fill="auto"/>
          </w:tcPr>
          <w:p w14:paraId="21FCC618" w14:textId="77777777" w:rsidR="0000509D" w:rsidRPr="000869AD" w:rsidRDefault="000869A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136</w:t>
            </w:r>
          </w:p>
        </w:tc>
        <w:tc>
          <w:tcPr>
            <w:tcW w:w="408" w:type="pct"/>
            <w:shd w:val="clear" w:color="auto" w:fill="auto"/>
          </w:tcPr>
          <w:p w14:paraId="79483FA9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38" w:type="pct"/>
            <w:shd w:val="clear" w:color="auto" w:fill="auto"/>
          </w:tcPr>
          <w:p w14:paraId="63BF3865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30" w:type="pct"/>
          </w:tcPr>
          <w:p w14:paraId="39E35A3A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30" w:type="pct"/>
          </w:tcPr>
          <w:p w14:paraId="62092D3F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394" w:type="pct"/>
            <w:shd w:val="clear" w:color="auto" w:fill="auto"/>
          </w:tcPr>
          <w:p w14:paraId="1519C359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393" w:type="pct"/>
            <w:shd w:val="clear" w:color="auto" w:fill="auto"/>
          </w:tcPr>
          <w:p w14:paraId="1867F1AB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91,7</w:t>
            </w:r>
          </w:p>
        </w:tc>
        <w:tc>
          <w:tcPr>
            <w:tcW w:w="446" w:type="pct"/>
            <w:shd w:val="clear" w:color="auto" w:fill="auto"/>
          </w:tcPr>
          <w:p w14:paraId="66AEF9C5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43" w:type="pct"/>
            <w:shd w:val="clear" w:color="auto" w:fill="auto"/>
          </w:tcPr>
          <w:p w14:paraId="61B0F3CC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0869AD" w:rsidRPr="000869AD" w14:paraId="39ECC0F4" w14:textId="77777777" w:rsidTr="000869AD">
        <w:trPr>
          <w:trHeight w:val="284"/>
        </w:trPr>
        <w:tc>
          <w:tcPr>
            <w:tcW w:w="793" w:type="pct"/>
            <w:vMerge/>
            <w:shd w:val="clear" w:color="auto" w:fill="auto"/>
          </w:tcPr>
          <w:p w14:paraId="15536AB9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</w:tcPr>
          <w:p w14:paraId="3C31E697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43" w:type="pct"/>
            <w:shd w:val="clear" w:color="auto" w:fill="auto"/>
          </w:tcPr>
          <w:p w14:paraId="61680F36" w14:textId="77777777" w:rsidR="0000509D" w:rsidRPr="000869AD" w:rsidRDefault="000869A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174</w:t>
            </w:r>
          </w:p>
        </w:tc>
        <w:tc>
          <w:tcPr>
            <w:tcW w:w="408" w:type="pct"/>
            <w:shd w:val="clear" w:color="auto" w:fill="auto"/>
          </w:tcPr>
          <w:p w14:paraId="701C7B15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38" w:type="pct"/>
            <w:shd w:val="clear" w:color="auto" w:fill="auto"/>
          </w:tcPr>
          <w:p w14:paraId="0FAAC71F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30" w:type="pct"/>
          </w:tcPr>
          <w:p w14:paraId="25A5B8B8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30" w:type="pct"/>
          </w:tcPr>
          <w:p w14:paraId="61AC371E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394" w:type="pct"/>
            <w:shd w:val="clear" w:color="auto" w:fill="auto"/>
          </w:tcPr>
          <w:p w14:paraId="26CB76A8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393" w:type="pct"/>
            <w:shd w:val="clear" w:color="auto" w:fill="auto"/>
          </w:tcPr>
          <w:p w14:paraId="6693CF10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95,3</w:t>
            </w:r>
          </w:p>
        </w:tc>
        <w:tc>
          <w:tcPr>
            <w:tcW w:w="446" w:type="pct"/>
            <w:shd w:val="clear" w:color="auto" w:fill="auto"/>
          </w:tcPr>
          <w:p w14:paraId="4F7B9651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43" w:type="pct"/>
            <w:shd w:val="clear" w:color="auto" w:fill="auto"/>
          </w:tcPr>
          <w:p w14:paraId="534284C8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0869AD" w:rsidRPr="000869AD" w14:paraId="5442C15D" w14:textId="77777777" w:rsidTr="000869AD">
        <w:trPr>
          <w:trHeight w:val="284"/>
        </w:trPr>
        <w:tc>
          <w:tcPr>
            <w:tcW w:w="793" w:type="pct"/>
            <w:vMerge/>
            <w:shd w:val="clear" w:color="auto" w:fill="auto"/>
          </w:tcPr>
          <w:p w14:paraId="4AB31161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</w:tcPr>
          <w:p w14:paraId="52AE8DAE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43" w:type="pct"/>
            <w:shd w:val="clear" w:color="auto" w:fill="auto"/>
          </w:tcPr>
          <w:p w14:paraId="0D7E2514" w14:textId="77777777" w:rsidR="0000509D" w:rsidRPr="000869AD" w:rsidRDefault="000869A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340</w:t>
            </w:r>
          </w:p>
        </w:tc>
        <w:tc>
          <w:tcPr>
            <w:tcW w:w="408" w:type="pct"/>
            <w:shd w:val="clear" w:color="auto" w:fill="auto"/>
          </w:tcPr>
          <w:p w14:paraId="3B613414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38" w:type="pct"/>
            <w:shd w:val="clear" w:color="auto" w:fill="auto"/>
          </w:tcPr>
          <w:p w14:paraId="1B17A581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430" w:type="pct"/>
          </w:tcPr>
          <w:p w14:paraId="75350F37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2020</w:t>
            </w:r>
          </w:p>
        </w:tc>
        <w:tc>
          <w:tcPr>
            <w:tcW w:w="430" w:type="pct"/>
          </w:tcPr>
          <w:p w14:paraId="0F95AA84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394" w:type="pct"/>
            <w:shd w:val="clear" w:color="auto" w:fill="auto"/>
          </w:tcPr>
          <w:p w14:paraId="7BBB5567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2020</w:t>
            </w:r>
          </w:p>
        </w:tc>
        <w:tc>
          <w:tcPr>
            <w:tcW w:w="393" w:type="pct"/>
            <w:shd w:val="clear" w:color="auto" w:fill="auto"/>
          </w:tcPr>
          <w:p w14:paraId="5CC84D3F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95,4</w:t>
            </w:r>
          </w:p>
        </w:tc>
        <w:tc>
          <w:tcPr>
            <w:tcW w:w="446" w:type="pct"/>
            <w:shd w:val="clear" w:color="auto" w:fill="auto"/>
          </w:tcPr>
          <w:p w14:paraId="0B485B68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43" w:type="pct"/>
            <w:shd w:val="clear" w:color="auto" w:fill="auto"/>
          </w:tcPr>
          <w:p w14:paraId="71E75F5F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0869AD" w:rsidRPr="000869AD" w14:paraId="731EA8BC" w14:textId="77777777" w:rsidTr="000869AD">
        <w:trPr>
          <w:trHeight w:val="284"/>
        </w:trPr>
        <w:tc>
          <w:tcPr>
            <w:tcW w:w="793" w:type="pct"/>
            <w:vMerge w:val="restart"/>
            <w:shd w:val="clear" w:color="auto" w:fill="auto"/>
            <w:hideMark/>
          </w:tcPr>
          <w:p w14:paraId="2000DE62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Челябинская область</w:t>
            </w:r>
          </w:p>
        </w:tc>
        <w:tc>
          <w:tcPr>
            <w:tcW w:w="382" w:type="pct"/>
            <w:shd w:val="clear" w:color="auto" w:fill="auto"/>
          </w:tcPr>
          <w:p w14:paraId="5C602805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43" w:type="pct"/>
            <w:shd w:val="clear" w:color="auto" w:fill="auto"/>
          </w:tcPr>
          <w:p w14:paraId="6FEC4086" w14:textId="77777777" w:rsidR="0000509D" w:rsidRPr="000869AD" w:rsidRDefault="000869A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14710</w:t>
            </w:r>
          </w:p>
        </w:tc>
        <w:tc>
          <w:tcPr>
            <w:tcW w:w="408" w:type="pct"/>
            <w:shd w:val="clear" w:color="auto" w:fill="auto"/>
            <w:hideMark/>
          </w:tcPr>
          <w:p w14:paraId="5574466B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38" w:type="pct"/>
            <w:shd w:val="clear" w:color="auto" w:fill="auto"/>
          </w:tcPr>
          <w:p w14:paraId="68BE6CE2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928</w:t>
            </w:r>
          </w:p>
        </w:tc>
        <w:tc>
          <w:tcPr>
            <w:tcW w:w="430" w:type="pct"/>
          </w:tcPr>
          <w:p w14:paraId="6C63F729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30" w:type="pct"/>
          </w:tcPr>
          <w:p w14:paraId="520DD0A9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644</w:t>
            </w:r>
          </w:p>
        </w:tc>
        <w:tc>
          <w:tcPr>
            <w:tcW w:w="394" w:type="pct"/>
            <w:shd w:val="clear" w:color="auto" w:fill="auto"/>
            <w:hideMark/>
          </w:tcPr>
          <w:p w14:paraId="770ACB78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393" w:type="pct"/>
            <w:shd w:val="clear" w:color="auto" w:fill="auto"/>
          </w:tcPr>
          <w:p w14:paraId="742C9FE5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66,6</w:t>
            </w:r>
          </w:p>
        </w:tc>
        <w:tc>
          <w:tcPr>
            <w:tcW w:w="446" w:type="pct"/>
            <w:shd w:val="clear" w:color="auto" w:fill="auto"/>
            <w:hideMark/>
          </w:tcPr>
          <w:p w14:paraId="6EFF0435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443" w:type="pct"/>
            <w:shd w:val="clear" w:color="auto" w:fill="auto"/>
          </w:tcPr>
          <w:p w14:paraId="4851545F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2,2</w:t>
            </w:r>
          </w:p>
        </w:tc>
      </w:tr>
      <w:tr w:rsidR="000869AD" w:rsidRPr="000869AD" w14:paraId="77B734AC" w14:textId="77777777" w:rsidTr="000869AD">
        <w:trPr>
          <w:trHeight w:val="284"/>
        </w:trPr>
        <w:tc>
          <w:tcPr>
            <w:tcW w:w="793" w:type="pct"/>
            <w:vMerge/>
            <w:shd w:val="clear" w:color="auto" w:fill="auto"/>
          </w:tcPr>
          <w:p w14:paraId="7A3C2789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</w:tcPr>
          <w:p w14:paraId="70C59AB1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43" w:type="pct"/>
            <w:shd w:val="clear" w:color="auto" w:fill="auto"/>
          </w:tcPr>
          <w:p w14:paraId="67CC761A" w14:textId="77777777" w:rsidR="0000509D" w:rsidRPr="000869AD" w:rsidRDefault="000869A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22381</w:t>
            </w:r>
          </w:p>
        </w:tc>
        <w:tc>
          <w:tcPr>
            <w:tcW w:w="408" w:type="pct"/>
            <w:shd w:val="clear" w:color="auto" w:fill="auto"/>
          </w:tcPr>
          <w:p w14:paraId="29DBC2C0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38" w:type="pct"/>
            <w:shd w:val="clear" w:color="auto" w:fill="auto"/>
          </w:tcPr>
          <w:p w14:paraId="6ECB0A87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1138</w:t>
            </w:r>
          </w:p>
        </w:tc>
        <w:tc>
          <w:tcPr>
            <w:tcW w:w="430" w:type="pct"/>
          </w:tcPr>
          <w:p w14:paraId="7E5FC185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30" w:type="pct"/>
          </w:tcPr>
          <w:p w14:paraId="3A8FFB7C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532</w:t>
            </w:r>
          </w:p>
        </w:tc>
        <w:tc>
          <w:tcPr>
            <w:tcW w:w="394" w:type="pct"/>
            <w:shd w:val="clear" w:color="auto" w:fill="auto"/>
          </w:tcPr>
          <w:p w14:paraId="40AF9ABD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393" w:type="pct"/>
            <w:shd w:val="clear" w:color="auto" w:fill="auto"/>
          </w:tcPr>
          <w:p w14:paraId="2BD02492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74,3</w:t>
            </w:r>
          </w:p>
        </w:tc>
        <w:tc>
          <w:tcPr>
            <w:tcW w:w="446" w:type="pct"/>
            <w:shd w:val="clear" w:color="auto" w:fill="auto"/>
          </w:tcPr>
          <w:p w14:paraId="6B17BBB2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443" w:type="pct"/>
            <w:shd w:val="clear" w:color="auto" w:fill="auto"/>
          </w:tcPr>
          <w:p w14:paraId="08888085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13,4</w:t>
            </w:r>
          </w:p>
        </w:tc>
      </w:tr>
      <w:tr w:rsidR="000869AD" w:rsidRPr="000869AD" w14:paraId="5112439E" w14:textId="77777777" w:rsidTr="000869AD">
        <w:trPr>
          <w:trHeight w:val="284"/>
        </w:trPr>
        <w:tc>
          <w:tcPr>
            <w:tcW w:w="793" w:type="pct"/>
            <w:vMerge/>
            <w:shd w:val="clear" w:color="auto" w:fill="auto"/>
          </w:tcPr>
          <w:p w14:paraId="4A6C99D4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</w:tcPr>
          <w:p w14:paraId="435630DC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43" w:type="pct"/>
            <w:shd w:val="clear" w:color="auto" w:fill="auto"/>
          </w:tcPr>
          <w:p w14:paraId="5C9D2F67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21373,1</w:t>
            </w:r>
          </w:p>
        </w:tc>
        <w:tc>
          <w:tcPr>
            <w:tcW w:w="408" w:type="pct"/>
            <w:shd w:val="clear" w:color="auto" w:fill="auto"/>
          </w:tcPr>
          <w:p w14:paraId="15306733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38" w:type="pct"/>
            <w:shd w:val="clear" w:color="auto" w:fill="auto"/>
          </w:tcPr>
          <w:p w14:paraId="7CF3CEC3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1127</w:t>
            </w:r>
          </w:p>
        </w:tc>
        <w:tc>
          <w:tcPr>
            <w:tcW w:w="430" w:type="pct"/>
          </w:tcPr>
          <w:p w14:paraId="30501ABB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2020</w:t>
            </w:r>
          </w:p>
        </w:tc>
        <w:tc>
          <w:tcPr>
            <w:tcW w:w="430" w:type="pct"/>
          </w:tcPr>
          <w:p w14:paraId="0C1E5692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394</w:t>
            </w:r>
          </w:p>
        </w:tc>
        <w:tc>
          <w:tcPr>
            <w:tcW w:w="394" w:type="pct"/>
            <w:shd w:val="clear" w:color="auto" w:fill="auto"/>
          </w:tcPr>
          <w:p w14:paraId="02EBE254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2020</w:t>
            </w:r>
          </w:p>
        </w:tc>
        <w:tc>
          <w:tcPr>
            <w:tcW w:w="393" w:type="pct"/>
            <w:shd w:val="clear" w:color="auto" w:fill="auto"/>
          </w:tcPr>
          <w:p w14:paraId="2E566857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81,3</w:t>
            </w:r>
          </w:p>
        </w:tc>
        <w:tc>
          <w:tcPr>
            <w:tcW w:w="446" w:type="pct"/>
            <w:shd w:val="clear" w:color="auto" w:fill="auto"/>
          </w:tcPr>
          <w:p w14:paraId="43ED9172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43" w:type="pct"/>
            <w:shd w:val="clear" w:color="auto" w:fill="auto"/>
          </w:tcPr>
          <w:p w14:paraId="0BF1A9F8" w14:textId="77777777" w:rsidR="0000509D" w:rsidRPr="000869AD" w:rsidRDefault="0000509D" w:rsidP="000050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869A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10,4</w:t>
            </w:r>
          </w:p>
        </w:tc>
      </w:tr>
    </w:tbl>
    <w:p w14:paraId="44B8EAE6" w14:textId="77777777" w:rsidR="000869AD" w:rsidRDefault="000869AD" w:rsidP="000869AD">
      <w:pPr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869AD">
        <w:rPr>
          <w:rFonts w:ascii="Times New Roman" w:eastAsia="Times New Roman" w:hAnsi="Times New Roman"/>
          <w:color w:val="000000"/>
          <w:sz w:val="24"/>
          <w:lang w:eastAsia="ru-RU"/>
        </w:rPr>
        <w:t>*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ХМАО – </w:t>
      </w:r>
      <w:r w:rsidRPr="000869AD">
        <w:rPr>
          <w:rFonts w:ascii="Times New Roman" w:eastAsia="Times New Roman" w:hAnsi="Times New Roman"/>
          <w:color w:val="000000"/>
          <w:sz w:val="24"/>
          <w:lang w:eastAsia="ru-RU"/>
        </w:rPr>
        <w:t>Ханты-Мансийский автономный округ – Югра</w:t>
      </w:r>
    </w:p>
    <w:p w14:paraId="051865FB" w14:textId="77777777" w:rsidR="000869AD" w:rsidRDefault="000869AD" w:rsidP="000869AD">
      <w:pPr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** ЯНАО – </w:t>
      </w:r>
      <w:r w:rsidRPr="000869AD">
        <w:rPr>
          <w:rFonts w:ascii="Times New Roman" w:eastAsia="Times New Roman" w:hAnsi="Times New Roman"/>
          <w:color w:val="000000"/>
          <w:sz w:val="24"/>
          <w:lang w:eastAsia="ru-RU"/>
        </w:rPr>
        <w:t>Ямало-Ненецкий автономный округ</w:t>
      </w:r>
    </w:p>
    <w:p w14:paraId="140CFB4B" w14:textId="77777777" w:rsidR="000869AD" w:rsidRPr="000869AD" w:rsidRDefault="000869AD" w:rsidP="000869AD">
      <w:pPr>
        <w:jc w:val="center"/>
        <w:rPr>
          <w:rFonts w:ascii="Times New Roman" w:eastAsia="Times New Roman" w:hAnsi="Times New Roman"/>
          <w:sz w:val="24"/>
          <w:lang w:eastAsia="ru-RU"/>
        </w:rPr>
      </w:pPr>
      <w:r w:rsidRPr="000869AD">
        <w:rPr>
          <w:rFonts w:ascii="Times New Roman" w:eastAsia="Times New Roman" w:hAnsi="Times New Roman"/>
          <w:sz w:val="24"/>
          <w:lang w:eastAsia="ru-RU"/>
        </w:rPr>
        <w:t xml:space="preserve">Источник: </w:t>
      </w:r>
      <w:r>
        <w:rPr>
          <w:rFonts w:ascii="Times New Roman" w:eastAsia="Times New Roman" w:hAnsi="Times New Roman"/>
          <w:sz w:val="24"/>
          <w:lang w:eastAsia="ru-RU"/>
        </w:rPr>
        <w:t xml:space="preserve">сайт </w:t>
      </w:r>
      <w:r w:rsidRPr="000869AD">
        <w:rPr>
          <w:rFonts w:ascii="Times New Roman" w:eastAsia="Times New Roman" w:hAnsi="Times New Roman"/>
          <w:sz w:val="24"/>
          <w:lang w:eastAsia="ru-RU"/>
        </w:rPr>
        <w:t>Федеральн</w:t>
      </w:r>
      <w:r>
        <w:rPr>
          <w:rFonts w:ascii="Times New Roman" w:eastAsia="Times New Roman" w:hAnsi="Times New Roman"/>
          <w:sz w:val="24"/>
          <w:lang w:eastAsia="ru-RU"/>
        </w:rPr>
        <w:t>ой</w:t>
      </w:r>
      <w:r w:rsidRPr="000869AD">
        <w:rPr>
          <w:rFonts w:ascii="Times New Roman" w:eastAsia="Times New Roman" w:hAnsi="Times New Roman"/>
          <w:sz w:val="24"/>
          <w:lang w:eastAsia="ru-RU"/>
        </w:rPr>
        <w:t xml:space="preserve"> служб</w:t>
      </w:r>
      <w:r>
        <w:rPr>
          <w:rFonts w:ascii="Times New Roman" w:eastAsia="Times New Roman" w:hAnsi="Times New Roman"/>
          <w:sz w:val="24"/>
          <w:lang w:eastAsia="ru-RU"/>
        </w:rPr>
        <w:t>ы</w:t>
      </w:r>
      <w:r w:rsidRPr="000869AD">
        <w:rPr>
          <w:rFonts w:ascii="Times New Roman" w:eastAsia="Times New Roman" w:hAnsi="Times New Roman"/>
          <w:sz w:val="24"/>
          <w:lang w:eastAsia="ru-RU"/>
        </w:rPr>
        <w:t xml:space="preserve"> государственной статистики</w:t>
      </w:r>
      <w:r>
        <w:rPr>
          <w:rFonts w:ascii="Times New Roman" w:eastAsia="Times New Roman" w:hAnsi="Times New Roman"/>
          <w:sz w:val="24"/>
          <w:lang w:eastAsia="ru-RU"/>
        </w:rPr>
        <w:t xml:space="preserve">, раздел </w:t>
      </w:r>
      <w:r w:rsidRPr="000869AD">
        <w:rPr>
          <w:rFonts w:ascii="Times New Roman" w:eastAsia="Times New Roman" w:hAnsi="Times New Roman"/>
          <w:sz w:val="24"/>
          <w:lang w:eastAsia="ru-RU"/>
        </w:rPr>
        <w:t>Наука и инновации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val="en-US" w:eastAsia="ru-RU"/>
        </w:rPr>
        <w:t>URL</w:t>
      </w:r>
      <w:r w:rsidRPr="000869AD">
        <w:rPr>
          <w:rFonts w:ascii="Times New Roman" w:eastAsia="Times New Roman" w:hAnsi="Times New Roman"/>
          <w:sz w:val="24"/>
          <w:lang w:eastAsia="ru-RU"/>
        </w:rPr>
        <w:t>: https://rosstat.gov.ru/folder/14477</w:t>
      </w:r>
    </w:p>
    <w:p w14:paraId="51112D0F" w14:textId="77777777" w:rsidR="000869AD" w:rsidRDefault="000869AD" w:rsidP="000869AD">
      <w:pPr>
        <w:suppressAutoHyphens w:val="0"/>
        <w:ind w:firstLine="709"/>
        <w:jc w:val="both"/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</w:pPr>
    </w:p>
    <w:p w14:paraId="1AFA76DD" w14:textId="0421A319" w:rsidR="00915E16" w:rsidRDefault="00CF2DC8" w:rsidP="004A4CE7">
      <w:pPr>
        <w:suppressAutoHyphens w:val="0"/>
        <w:ind w:firstLine="709"/>
        <w:jc w:val="both"/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</w:pP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Особое внимание и опасения вызывает динамика </w:t>
      </w:r>
      <w:r w:rsidR="00F5063C" w:rsidRPr="000869AD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тако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го</w:t>
      </w:r>
      <w:r w:rsidR="000869AD" w:rsidRPr="000869AD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</w:t>
      </w:r>
      <w:r w:rsidR="00F5063C" w:rsidRPr="000869AD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показател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я,</w:t>
      </w:r>
      <w:r w:rsidR="000869AD" w:rsidRPr="000869AD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как </w:t>
      </w:r>
      <w:r w:rsidR="000869AD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ч</w:t>
      </w:r>
      <w:r w:rsidR="000869AD" w:rsidRPr="000869AD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исленность исследователей, имеющих ученую степень, по </w:t>
      </w:r>
      <w:r w:rsidR="000869AD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субъектам Российской Федерации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, в особенности в разрезе возрастной структуры</w:t>
      </w:r>
      <w:r w:rsidR="000869AD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. </w:t>
      </w:r>
      <w:r w:rsid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Согласно информации, опубликованной в паспорте национального проекта «Наука», по данным </w:t>
      </w:r>
      <w:r w:rsidR="00915E16" w:rsidRP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Организаци</w:t>
      </w:r>
      <w:r w:rsid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и</w:t>
      </w:r>
      <w:r w:rsidR="00915E16" w:rsidRP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экономического </w:t>
      </w:r>
      <w:r w:rsidR="00915E16" w:rsidRP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lastRenderedPageBreak/>
        <w:t>сотрудничества и развития</w:t>
      </w:r>
      <w:r w:rsid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на конец 2016 года Россия занимала 5 место в мире по численности исследователей в эквиваленте полной занятости среди ведущих стран мира. Планируется, что к 2024 году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будет обеспечен рост количества исследователей, </w:t>
      </w:r>
      <w:r w:rsid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Российская Федерация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поднимется на одну строчку вверх и </w:t>
      </w:r>
      <w:r w:rsid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будет находиться на 4 месте.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При этом</w:t>
      </w:r>
      <w:r w:rsidR="007B676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,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в настоящий момент мы констатируем, что численность </w:t>
      </w:r>
      <w:r w:rsidR="00C22425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исследователей в Российской Федерации снизилась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с </w:t>
      </w:r>
      <w:r w:rsidR="00C22425" w:rsidRPr="00C22425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368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F5063C" w:rsidRPr="00C22425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915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C22425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че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softHyphen/>
      </w:r>
      <w:r w:rsidR="00C22425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ло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softHyphen/>
      </w:r>
      <w:r w:rsidR="00C22425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век в 2010 году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до </w:t>
      </w:r>
      <w:proofErr w:type="gramStart"/>
      <w:r w:rsidR="00C22425" w:rsidRPr="00C22425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348</w:t>
      </w:r>
      <w:r w:rsidR="00C22425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F5063C" w:rsidRPr="00C22425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221</w:t>
      </w:r>
      <w:proofErr w:type="gramEnd"/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C22425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че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softHyphen/>
      </w:r>
      <w:r w:rsidR="00C22425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ло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softHyphen/>
      </w:r>
      <w:r w:rsidR="00C22425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век</w:t>
      </w:r>
      <w:r w:rsidR="00F5063C" w:rsidRP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в 2019 году</w:t>
      </w:r>
      <w:r w:rsidR="00C22425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. </w:t>
      </w:r>
      <w:r w:rsidR="00915E16" w:rsidRP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Согласно статистике в целом по Российской Федерации, приведенной Федеральной службой государственной статистики, доля исследователей до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2</w:t>
      </w:r>
      <w:r w:rsidR="004A4CE7" w:rsidRP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9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лет (включительно)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в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2019 </w:t>
      </w:r>
      <w:r w:rsidR="004A4CE7" w:rsidRP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году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составляла 16,8%,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от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30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до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39 лет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–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27,4%,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от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40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до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49 лет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– 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16,1%,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от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50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до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59 лет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–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14,9%,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от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60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до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69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–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15,8%,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от 70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лет и старше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–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9%. Доля же исследователей, имеющих степени кандидата или доктора наук, в общем объеме исследователей данной возрастной категории составляет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для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</w:t>
      </w:r>
      <w:r w:rsidR="004A4CE7" w:rsidRP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исследователей </w:t>
      </w:r>
      <w:r w:rsidR="00F5063C" w:rsidRP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до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2</w:t>
      </w:r>
      <w:r w:rsidR="00F5063C" w:rsidRP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9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лет (включительно) 3,7%,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от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30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до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39 лет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–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22,1%,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от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40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до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49 лет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–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34%,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от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50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до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59 лет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–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31,4%,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от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60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до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69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–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40,3%, 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от 70 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лет и старше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–</w:t>
      </w:r>
      <w:r w:rsidR="004A4CE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61,4</w:t>
      </w:r>
      <w:r w:rsidR="007B676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%. </w:t>
      </w:r>
      <w:r w:rsidR="00915E16" w:rsidRP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Таким образом, доля </w:t>
      </w:r>
      <w:r w:rsidR="00C812EB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наиболее восприимчивых к инновациям </w:t>
      </w:r>
      <w:r w:rsidR="00915E16" w:rsidRP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исследователей до 40 лет составляет менее 45%, и</w:t>
      </w:r>
      <w:r w:rsidR="00F5063C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только </w:t>
      </w:r>
      <w:r w:rsidR="00621D2E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менее 7% из них имеют </w:t>
      </w:r>
      <w:r w:rsidR="00C812EB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ученую</w:t>
      </w:r>
      <w:r w:rsidR="00621D2E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степень.</w:t>
      </w:r>
      <w:r w:rsidR="00915E16" w:rsidRP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</w:t>
      </w:r>
      <w:r w:rsidR="00621D2E" w:rsidRP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Более того, выпуск из аспирантуры с защитой диссертации (что, бесспорно, характеризует факт становления исследователя</w:t>
      </w:r>
      <w:r w:rsidR="00621D2E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как научного работника</w:t>
      </w:r>
      <w:r w:rsidR="00621D2E" w:rsidRP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) в целом по России снизился с 9 611 человек в 2010 году до 1 629 человек в 2019 году</w:t>
      </w:r>
      <w:r w:rsidR="00621D2E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.</w:t>
      </w:r>
      <w:r w:rsidR="00C812EB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По словам </w:t>
      </w:r>
      <w:proofErr w:type="gramStart"/>
      <w:r w:rsidR="00031C9F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Президента Российской академии наук А.М. Сергеева до защиты кандидатской диссертации</w:t>
      </w:r>
      <w:proofErr w:type="gramEnd"/>
      <w:r w:rsidR="00057F3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доходят лишь 9% аспирантов.</w:t>
      </w:r>
      <w:r w:rsidR="00621D2E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</w:t>
      </w:r>
      <w:r w:rsidR="00621D2E" w:rsidRP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Если </w:t>
      </w:r>
      <w:r w:rsidR="00915E16" w:rsidRPr="00915E16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не предпринять меры по развитию кадрового потенциала в сфере исследований и разработок, к 2024 году ситуация может только ухудшиться.</w:t>
      </w:r>
    </w:p>
    <w:p w14:paraId="15AEAAAB" w14:textId="77777777" w:rsidR="00915E16" w:rsidRPr="000869AD" w:rsidRDefault="00915E16" w:rsidP="000869AD">
      <w:pPr>
        <w:suppressAutoHyphens w:val="0"/>
        <w:ind w:firstLine="709"/>
        <w:jc w:val="both"/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</w:pPr>
    </w:p>
    <w:p w14:paraId="68D6264E" w14:textId="78C8F6C9" w:rsidR="00F41E3F" w:rsidRPr="00B64259" w:rsidRDefault="00B64259" w:rsidP="00F41E3F">
      <w:pPr>
        <w:spacing w:line="36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B06E29" wp14:editId="1B7EFF87">
            <wp:extent cx="4572000" cy="2483954"/>
            <wp:effectExtent l="0" t="0" r="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A886369" w14:textId="41E3E611" w:rsidR="00F41E3F" w:rsidRPr="00B64259" w:rsidRDefault="00F41E3F" w:rsidP="00C22425">
      <w:pPr>
        <w:jc w:val="center"/>
        <w:rPr>
          <w:rFonts w:ascii="Times New Roman" w:eastAsia="Times New Roman" w:hAnsi="Times New Roman"/>
          <w:sz w:val="24"/>
          <w:lang w:eastAsia="ru-RU"/>
        </w:rPr>
      </w:pPr>
      <w:r w:rsidRPr="00B64259">
        <w:rPr>
          <w:rFonts w:ascii="Times New Roman" w:eastAsia="Times New Roman" w:hAnsi="Times New Roman"/>
          <w:sz w:val="24"/>
          <w:lang w:eastAsia="ru-RU"/>
        </w:rPr>
        <w:t xml:space="preserve">Рисунок 1. </w:t>
      </w:r>
      <w:r w:rsidR="00C22425" w:rsidRPr="00B64259">
        <w:rPr>
          <w:rFonts w:ascii="Times New Roman" w:eastAsia="Times New Roman" w:hAnsi="Times New Roman"/>
          <w:sz w:val="24"/>
          <w:lang w:eastAsia="ru-RU"/>
        </w:rPr>
        <w:t>Динамика численност</w:t>
      </w:r>
      <w:r w:rsidR="00031C9F">
        <w:rPr>
          <w:rFonts w:ascii="Times New Roman" w:eastAsia="Times New Roman" w:hAnsi="Times New Roman"/>
          <w:sz w:val="24"/>
          <w:lang w:eastAsia="ru-RU"/>
        </w:rPr>
        <w:t>и</w:t>
      </w:r>
      <w:r w:rsidR="00C22425" w:rsidRPr="00B64259">
        <w:rPr>
          <w:rFonts w:ascii="Times New Roman" w:eastAsia="Times New Roman" w:hAnsi="Times New Roman"/>
          <w:sz w:val="24"/>
          <w:lang w:eastAsia="ru-RU"/>
        </w:rPr>
        <w:t xml:space="preserve"> исследователей, имеющих ученую степень</w:t>
      </w:r>
      <w:r w:rsidRPr="00B64259">
        <w:rPr>
          <w:rFonts w:ascii="Times New Roman" w:eastAsia="Times New Roman" w:hAnsi="Times New Roman"/>
          <w:sz w:val="24"/>
          <w:lang w:eastAsia="ru-RU"/>
        </w:rPr>
        <w:t>,</w:t>
      </w:r>
      <w:r w:rsidR="00C22425" w:rsidRPr="00B64259">
        <w:rPr>
          <w:rFonts w:ascii="Times New Roman" w:eastAsia="Times New Roman" w:hAnsi="Times New Roman"/>
          <w:sz w:val="24"/>
          <w:lang w:eastAsia="ru-RU"/>
        </w:rPr>
        <w:t xml:space="preserve"> в регионах, входящих в Уральский федеральный округ, 2015-2019</w:t>
      </w:r>
      <w:r w:rsidRPr="00B64259">
        <w:rPr>
          <w:rFonts w:ascii="Times New Roman" w:eastAsia="Times New Roman" w:hAnsi="Times New Roman"/>
          <w:sz w:val="24"/>
          <w:lang w:eastAsia="ru-RU"/>
        </w:rPr>
        <w:t xml:space="preserve"> г</w:t>
      </w:r>
      <w:r w:rsidR="00C22425" w:rsidRPr="00B64259">
        <w:rPr>
          <w:rFonts w:ascii="Times New Roman" w:eastAsia="Times New Roman" w:hAnsi="Times New Roman"/>
          <w:sz w:val="24"/>
          <w:lang w:eastAsia="ru-RU"/>
        </w:rPr>
        <w:t>оды</w:t>
      </w:r>
      <w:r w:rsidRPr="00B64259">
        <w:rPr>
          <w:rFonts w:ascii="Times New Roman" w:eastAsia="Times New Roman" w:hAnsi="Times New Roman"/>
          <w:sz w:val="24"/>
          <w:lang w:eastAsia="ru-RU"/>
        </w:rPr>
        <w:t>.</w:t>
      </w:r>
    </w:p>
    <w:p w14:paraId="5D5AB49F" w14:textId="77777777" w:rsidR="00F41E3F" w:rsidRPr="00B64259" w:rsidRDefault="00F41E3F" w:rsidP="00F41E3F">
      <w:pPr>
        <w:jc w:val="center"/>
        <w:rPr>
          <w:rFonts w:ascii="Times New Roman" w:eastAsia="Times New Roman" w:hAnsi="Times New Roman"/>
          <w:sz w:val="24"/>
          <w:lang w:eastAsia="ru-RU"/>
        </w:rPr>
      </w:pPr>
      <w:r w:rsidRPr="00B64259">
        <w:rPr>
          <w:rFonts w:ascii="Times New Roman" w:eastAsia="Times New Roman" w:hAnsi="Times New Roman"/>
          <w:sz w:val="24"/>
          <w:lang w:eastAsia="ru-RU"/>
        </w:rPr>
        <w:t xml:space="preserve">Источник: </w:t>
      </w:r>
      <w:r w:rsidR="00C22425" w:rsidRPr="00B64259">
        <w:rPr>
          <w:rFonts w:ascii="Times New Roman" w:eastAsia="Times New Roman" w:hAnsi="Times New Roman"/>
          <w:sz w:val="24"/>
          <w:lang w:eastAsia="ru-RU"/>
        </w:rPr>
        <w:t xml:space="preserve">сайт Федеральной службы государственной статистики, раздел Наука и инновации </w:t>
      </w:r>
      <w:r w:rsidR="00C22425" w:rsidRPr="00B64259">
        <w:rPr>
          <w:rFonts w:ascii="Times New Roman" w:eastAsia="Times New Roman" w:hAnsi="Times New Roman"/>
          <w:sz w:val="24"/>
          <w:lang w:val="en-US" w:eastAsia="ru-RU"/>
        </w:rPr>
        <w:t>URL</w:t>
      </w:r>
      <w:r w:rsidR="00C22425" w:rsidRPr="00B64259">
        <w:rPr>
          <w:rFonts w:ascii="Times New Roman" w:eastAsia="Times New Roman" w:hAnsi="Times New Roman"/>
          <w:sz w:val="24"/>
          <w:lang w:eastAsia="ru-RU"/>
        </w:rPr>
        <w:t>: https://rosstat.gov.ru/folder/14477</w:t>
      </w:r>
    </w:p>
    <w:p w14:paraId="7BD00CCD" w14:textId="77777777" w:rsidR="00F41E3F" w:rsidRDefault="00F41E3F" w:rsidP="00F41E3F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14:paraId="25890A50" w14:textId="237E7D4D" w:rsidR="00B64259" w:rsidRPr="00B64259" w:rsidRDefault="00B64259" w:rsidP="00B64259">
      <w:pPr>
        <w:suppressAutoHyphens w:val="0"/>
        <w:ind w:firstLine="709"/>
        <w:jc w:val="both"/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</w:pPr>
      <w:r w:rsidRPr="00B6425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Таким образом, в настоящее время 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явно видны </w:t>
      </w:r>
      <w:r w:rsidRPr="00B6425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негативные тенденции 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изменения </w:t>
      </w:r>
      <w:r w:rsidRPr="00B6425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как количественного, так и качественного состава исследователей, что неизбежно приведет к сокращению всех показателей инновационной деятельности даже при обеспечени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и относительно</w:t>
      </w:r>
      <w:r w:rsidRPr="00B6425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стабильного финансирования </w:t>
      </w:r>
      <w:r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из всех государственных и иных источников</w:t>
      </w:r>
      <w:r w:rsidRPr="00B6425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. В Уральском федеральном округе при росте внутренних затрат на исследования и разработки идет стабильное снижение числа выданных патентов</w:t>
      </w:r>
      <w:r w:rsidR="000C29F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, причем данный процесс начался ранее </w:t>
      </w:r>
      <w:r w:rsidRPr="00B6425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2020 года, </w:t>
      </w:r>
      <w:r w:rsidR="000C29F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и не может быть целиком отнесен на последствия пандемии</w:t>
      </w:r>
      <w:r w:rsidRPr="00B6425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COVID-19</w:t>
      </w:r>
      <w:r w:rsidR="000C29F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.</w:t>
      </w:r>
      <w:r w:rsidRPr="00B6425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</w:t>
      </w:r>
      <w:r w:rsidR="000C29F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Кроме того,</w:t>
      </w:r>
      <w:r w:rsidRPr="00B6425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в </w:t>
      </w:r>
      <w:r w:rsidR="000C29F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большинстве</w:t>
      </w:r>
      <w:r w:rsidRPr="00B6425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регионов</w:t>
      </w:r>
      <w:r w:rsidR="000C29F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округа</w:t>
      </w:r>
      <w:r w:rsidRPr="00B6425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 (за исключением Челябинской и Тюменской областей) снижается доля инновационных товаров, работ, услуг, в общем объеме экспорта организаций промышленного производства. Все это говорит о </w:t>
      </w:r>
      <w:r w:rsidR="000C29F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насущной </w:t>
      </w:r>
      <w:r w:rsidRPr="00B6425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необходимости пересмотра и корректировки инновационных стратегий развития регионов, входящих в Уральский федеральный округ</w:t>
      </w:r>
      <w:r w:rsidR="000C29F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 xml:space="preserve">, осуществления скоординированной на уровне округа </w:t>
      </w:r>
      <w:r w:rsidR="000C29F7" w:rsidRPr="00B6425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научно-</w:t>
      </w:r>
      <w:r w:rsidR="000C29F7" w:rsidRPr="00B6425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lastRenderedPageBreak/>
        <w:t>техническ</w:t>
      </w:r>
      <w:r w:rsidR="000C29F7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ой политики</w:t>
      </w:r>
      <w:r w:rsidRPr="00B64259">
        <w:rPr>
          <w:rFonts w:ascii="Times New Roman" w:eastAsia="Courier New" w:hAnsi="Times New Roman" w:cs="Courier New"/>
          <w:color w:val="000000"/>
          <w:kern w:val="0"/>
          <w:sz w:val="24"/>
          <w:lang w:eastAsia="ru-RU"/>
        </w:rPr>
        <w:t>.</w:t>
      </w:r>
    </w:p>
    <w:p w14:paraId="6040805B" w14:textId="77777777" w:rsidR="00B64259" w:rsidRPr="00C22425" w:rsidRDefault="00B64259" w:rsidP="00F41E3F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14:paraId="77881AE4" w14:textId="7841B871" w:rsidR="00F41E3F" w:rsidRDefault="00F41E3F" w:rsidP="00F41E3F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DF0C78">
        <w:rPr>
          <w:rFonts w:ascii="Times New Roman" w:eastAsia="Times New Roman" w:hAnsi="Times New Roman"/>
          <w:sz w:val="24"/>
          <w:lang w:eastAsia="ru-RU"/>
        </w:rPr>
        <w:t>Статья подготовлена в рамках государственного задания</w:t>
      </w:r>
      <w:r w:rsidR="006A558F" w:rsidRPr="00DF0C78">
        <w:rPr>
          <w:rFonts w:ascii="Times New Roman" w:eastAsia="Times New Roman" w:hAnsi="Times New Roman"/>
          <w:sz w:val="24"/>
          <w:lang w:eastAsia="ru-RU"/>
        </w:rPr>
        <w:t xml:space="preserve"> ИЭ УрО РАН</w:t>
      </w:r>
      <w:r w:rsidRPr="00DF0C78">
        <w:rPr>
          <w:rFonts w:ascii="Times New Roman" w:eastAsia="Times New Roman" w:hAnsi="Times New Roman"/>
          <w:sz w:val="24"/>
          <w:lang w:eastAsia="ru-RU"/>
        </w:rPr>
        <w:t>.</w:t>
      </w:r>
      <w:r w:rsidRPr="000C7A90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14:paraId="0C4DB712" w14:textId="77777777" w:rsidR="00DF0C78" w:rsidRPr="000C7A90" w:rsidRDefault="00DF0C78" w:rsidP="00F41E3F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6D1C0DA1" w14:textId="77777777" w:rsidR="00B64259" w:rsidRPr="000C7A90" w:rsidRDefault="00B64259" w:rsidP="00B64259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0C7A90">
        <w:rPr>
          <w:rFonts w:ascii="Times New Roman" w:eastAsia="Times New Roman" w:hAnsi="Times New Roman"/>
          <w:b/>
          <w:sz w:val="24"/>
          <w:lang w:eastAsia="ru-RU"/>
        </w:rPr>
        <w:t>Библиографический список</w:t>
      </w:r>
    </w:p>
    <w:p w14:paraId="6843BC51" w14:textId="1DCC5149" w:rsidR="00B64259" w:rsidRPr="002C0B3F" w:rsidRDefault="00B64259" w:rsidP="00B64259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C0B3F">
        <w:rPr>
          <w:rFonts w:ascii="Times New Roman" w:eastAsia="Times New Roman" w:hAnsi="Times New Roman"/>
          <w:sz w:val="24"/>
          <w:lang w:eastAsia="ru-RU"/>
        </w:rPr>
        <w:t xml:space="preserve">1. Теория инноваций: инновации в условиях цифровой экономики: учебное пособие / С. А. Дятлов, Д.В. </w:t>
      </w:r>
      <w:proofErr w:type="spellStart"/>
      <w:r w:rsidRPr="002C0B3F">
        <w:rPr>
          <w:rFonts w:ascii="Times New Roman" w:eastAsia="Times New Roman" w:hAnsi="Times New Roman"/>
          <w:sz w:val="24"/>
          <w:lang w:eastAsia="ru-RU"/>
        </w:rPr>
        <w:t>Гил</w:t>
      </w:r>
      <w:r w:rsidR="00CF2DC8">
        <w:rPr>
          <w:rFonts w:ascii="Times New Roman" w:eastAsia="Times New Roman" w:hAnsi="Times New Roman"/>
          <w:sz w:val="24"/>
          <w:lang w:eastAsia="ru-RU"/>
        </w:rPr>
        <w:t>ьманов</w:t>
      </w:r>
      <w:proofErr w:type="spellEnd"/>
      <w:r w:rsidR="00CF2DC8">
        <w:rPr>
          <w:rFonts w:ascii="Times New Roman" w:eastAsia="Times New Roman" w:hAnsi="Times New Roman"/>
          <w:sz w:val="24"/>
          <w:lang w:eastAsia="ru-RU"/>
        </w:rPr>
        <w:t xml:space="preserve">, В.П. </w:t>
      </w:r>
      <w:proofErr w:type="spellStart"/>
      <w:r w:rsidR="00CF2DC8">
        <w:rPr>
          <w:rFonts w:ascii="Times New Roman" w:eastAsia="Times New Roman" w:hAnsi="Times New Roman"/>
          <w:sz w:val="24"/>
          <w:lang w:eastAsia="ru-RU"/>
        </w:rPr>
        <w:t>Марьяненко</w:t>
      </w:r>
      <w:proofErr w:type="spellEnd"/>
      <w:r w:rsidR="00CF2DC8">
        <w:rPr>
          <w:rFonts w:ascii="Times New Roman" w:eastAsia="Times New Roman" w:hAnsi="Times New Roman"/>
          <w:sz w:val="24"/>
          <w:lang w:eastAsia="ru-RU"/>
        </w:rPr>
        <w:t xml:space="preserve">. – </w:t>
      </w:r>
      <w:proofErr w:type="gramStart"/>
      <w:r w:rsidR="00CF2DC8">
        <w:rPr>
          <w:rFonts w:ascii="Times New Roman" w:eastAsia="Times New Roman" w:hAnsi="Times New Roman"/>
          <w:sz w:val="24"/>
          <w:lang w:eastAsia="ru-RU"/>
        </w:rPr>
        <w:t>СПб.</w:t>
      </w:r>
      <w:r w:rsidRPr="002C0B3F">
        <w:rPr>
          <w:rFonts w:ascii="Times New Roman" w:eastAsia="Times New Roman" w:hAnsi="Times New Roman"/>
          <w:sz w:val="24"/>
          <w:lang w:eastAsia="ru-RU"/>
        </w:rPr>
        <w:t>:</w:t>
      </w:r>
      <w:proofErr w:type="gramEnd"/>
      <w:r w:rsidRPr="002C0B3F">
        <w:rPr>
          <w:rFonts w:ascii="Times New Roman" w:eastAsia="Times New Roman" w:hAnsi="Times New Roman"/>
          <w:sz w:val="24"/>
          <w:lang w:eastAsia="ru-RU"/>
        </w:rPr>
        <w:t xml:space="preserve"> Изд-во </w:t>
      </w:r>
      <w:proofErr w:type="spellStart"/>
      <w:r w:rsidRPr="002C0B3F">
        <w:rPr>
          <w:rFonts w:ascii="Times New Roman" w:eastAsia="Times New Roman" w:hAnsi="Times New Roman"/>
          <w:sz w:val="24"/>
          <w:lang w:eastAsia="ru-RU"/>
        </w:rPr>
        <w:t>СПбГЭУ</w:t>
      </w:r>
      <w:proofErr w:type="spellEnd"/>
      <w:r w:rsidRPr="002C0B3F">
        <w:rPr>
          <w:rFonts w:ascii="Times New Roman" w:eastAsia="Times New Roman" w:hAnsi="Times New Roman"/>
          <w:sz w:val="24"/>
          <w:lang w:eastAsia="ru-RU"/>
        </w:rPr>
        <w:t>, 2018. – 286 с</w:t>
      </w:r>
    </w:p>
    <w:p w14:paraId="099C5FBF" w14:textId="77777777" w:rsidR="00B64259" w:rsidRPr="002C0B3F" w:rsidRDefault="00B64259" w:rsidP="00B64259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C0B3F">
        <w:rPr>
          <w:rFonts w:ascii="Times New Roman" w:eastAsia="Times New Roman" w:hAnsi="Times New Roman"/>
          <w:sz w:val="24"/>
          <w:lang w:eastAsia="ru-RU"/>
        </w:rPr>
        <w:t xml:space="preserve">2. Семенова Н.Н. </w:t>
      </w:r>
      <w:proofErr w:type="spellStart"/>
      <w:r w:rsidRPr="002C0B3F">
        <w:rPr>
          <w:rFonts w:ascii="Times New Roman" w:eastAsia="Times New Roman" w:hAnsi="Times New Roman"/>
          <w:sz w:val="24"/>
          <w:lang w:eastAsia="ru-RU"/>
        </w:rPr>
        <w:t>Импортозамещение</w:t>
      </w:r>
      <w:proofErr w:type="spellEnd"/>
      <w:r w:rsidRPr="002C0B3F">
        <w:rPr>
          <w:rFonts w:ascii="Times New Roman" w:eastAsia="Times New Roman" w:hAnsi="Times New Roman"/>
          <w:sz w:val="24"/>
          <w:lang w:eastAsia="ru-RU"/>
        </w:rPr>
        <w:t xml:space="preserve"> в АПК и </w:t>
      </w:r>
      <w:proofErr w:type="spellStart"/>
      <w:r w:rsidRPr="002C0B3F">
        <w:rPr>
          <w:rFonts w:ascii="Times New Roman" w:eastAsia="Times New Roman" w:hAnsi="Times New Roman"/>
          <w:sz w:val="24"/>
          <w:lang w:eastAsia="ru-RU"/>
        </w:rPr>
        <w:t>неоиндустриализация</w:t>
      </w:r>
      <w:proofErr w:type="spellEnd"/>
      <w:r w:rsidRPr="002C0B3F">
        <w:rPr>
          <w:rFonts w:ascii="Times New Roman" w:eastAsia="Times New Roman" w:hAnsi="Times New Roman"/>
          <w:sz w:val="24"/>
          <w:lang w:eastAsia="ru-RU"/>
        </w:rPr>
        <w:t>: вопросы финансового обеспечения // Большая Евразия: Развитие, безопасность, сотрудничество. – 2018. - Выпуск 1, Часть 1. – C. 487-490.</w:t>
      </w:r>
    </w:p>
    <w:p w14:paraId="4F11E094" w14:textId="77777777" w:rsidR="00B64259" w:rsidRDefault="00B64259" w:rsidP="00B64259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3. </w:t>
      </w:r>
      <w:r w:rsidRPr="002C0B3F">
        <w:rPr>
          <w:rFonts w:ascii="Times New Roman" w:eastAsia="Times New Roman" w:hAnsi="Times New Roman"/>
          <w:sz w:val="24"/>
          <w:lang w:eastAsia="ru-RU"/>
        </w:rPr>
        <w:t xml:space="preserve">Формирование и развитие инновационной экосистемы на основе корпоративной модели открытых </w:t>
      </w:r>
      <w:proofErr w:type="gramStart"/>
      <w:r w:rsidRPr="002C0B3F">
        <w:rPr>
          <w:rFonts w:ascii="Times New Roman" w:eastAsia="Times New Roman" w:hAnsi="Times New Roman"/>
          <w:sz w:val="24"/>
          <w:lang w:eastAsia="ru-RU"/>
        </w:rPr>
        <w:t>инноваций :</w:t>
      </w:r>
      <w:proofErr w:type="gramEnd"/>
      <w:r w:rsidRPr="002C0B3F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 w:rsidRPr="002C0B3F">
        <w:rPr>
          <w:rFonts w:ascii="Times New Roman" w:eastAsia="Times New Roman" w:hAnsi="Times New Roman"/>
          <w:sz w:val="24"/>
          <w:lang w:eastAsia="ru-RU"/>
        </w:rPr>
        <w:t>дис</w:t>
      </w:r>
      <w:proofErr w:type="spellEnd"/>
      <w:r w:rsidRPr="002C0B3F">
        <w:rPr>
          <w:rFonts w:ascii="Times New Roman" w:eastAsia="Times New Roman" w:hAnsi="Times New Roman"/>
          <w:sz w:val="24"/>
          <w:lang w:eastAsia="ru-RU"/>
        </w:rPr>
        <w:t xml:space="preserve">. кандидата экономических наук : 08.00.05 / </w:t>
      </w:r>
      <w:proofErr w:type="spellStart"/>
      <w:r w:rsidRPr="002C0B3F">
        <w:rPr>
          <w:rFonts w:ascii="Times New Roman" w:eastAsia="Times New Roman" w:hAnsi="Times New Roman"/>
          <w:sz w:val="24"/>
          <w:lang w:eastAsia="ru-RU"/>
        </w:rPr>
        <w:t>Казарцева</w:t>
      </w:r>
      <w:proofErr w:type="spellEnd"/>
      <w:r w:rsidRPr="002C0B3F">
        <w:rPr>
          <w:rFonts w:ascii="Times New Roman" w:eastAsia="Times New Roman" w:hAnsi="Times New Roman"/>
          <w:sz w:val="24"/>
          <w:lang w:eastAsia="ru-RU"/>
        </w:rPr>
        <w:t xml:space="preserve"> Алина Игоревна. – Воронеж, 2020. – 237 с.</w:t>
      </w:r>
    </w:p>
    <w:p w14:paraId="7BE15E76" w14:textId="77777777" w:rsidR="00B64259" w:rsidRDefault="00B64259" w:rsidP="00B64259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4. З</w:t>
      </w:r>
      <w:r w:rsidRPr="00504E91">
        <w:rPr>
          <w:rFonts w:ascii="Times New Roman" w:eastAsia="Times New Roman" w:hAnsi="Times New Roman"/>
          <w:sz w:val="24"/>
          <w:lang w:eastAsia="ru-RU"/>
        </w:rPr>
        <w:t xml:space="preserve">ахарова В.В. Оценка влияния внешнеэкономического фактора на реализацию приоритетов социально-экономического и инновационного развития на примере федеральных округов // Вопросы инновационной экономики. – 2020. – Том 10. – № 2. – С. 891-900. </w:t>
      </w:r>
      <w:proofErr w:type="spellStart"/>
      <w:r w:rsidRPr="00504E91">
        <w:rPr>
          <w:rFonts w:ascii="Times New Roman" w:eastAsia="Times New Roman" w:hAnsi="Times New Roman"/>
          <w:sz w:val="24"/>
          <w:lang w:eastAsia="ru-RU"/>
        </w:rPr>
        <w:t>doi</w:t>
      </w:r>
      <w:proofErr w:type="spellEnd"/>
      <w:r w:rsidRPr="00504E91">
        <w:rPr>
          <w:rFonts w:ascii="Times New Roman" w:eastAsia="Times New Roman" w:hAnsi="Times New Roman"/>
          <w:sz w:val="24"/>
          <w:lang w:eastAsia="ru-RU"/>
        </w:rPr>
        <w:t>: 10.18334/vinec.10.2.102146</w:t>
      </w:r>
    </w:p>
    <w:p w14:paraId="0FF1C6C3" w14:textId="77777777" w:rsidR="00B64259" w:rsidRPr="00B04B6E" w:rsidRDefault="00B64259" w:rsidP="00B64259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4962DDE9" w14:textId="77777777" w:rsidR="00B64259" w:rsidRPr="000C7A90" w:rsidRDefault="00B64259" w:rsidP="00B64259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0C7A90">
        <w:rPr>
          <w:rFonts w:ascii="Times New Roman" w:eastAsia="Times New Roman" w:hAnsi="Times New Roman"/>
          <w:b/>
          <w:sz w:val="24"/>
          <w:lang w:eastAsia="ru-RU"/>
        </w:rPr>
        <w:t>Информация об авторе</w:t>
      </w:r>
    </w:p>
    <w:p w14:paraId="70E820E3" w14:textId="77777777" w:rsidR="00B64259" w:rsidRPr="006A558F" w:rsidRDefault="00B64259" w:rsidP="00B64259">
      <w:pPr>
        <w:ind w:firstLine="709"/>
        <w:jc w:val="both"/>
        <w:rPr>
          <w:rFonts w:ascii="Times New Roman" w:eastAsia="Times New Roman" w:hAnsi="Times New Roman"/>
          <w:sz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Захарова Виктория Владимировна</w:t>
      </w:r>
      <w:r w:rsidRPr="000C7A90">
        <w:rPr>
          <w:rFonts w:ascii="Times New Roman" w:eastAsia="Times New Roman" w:hAnsi="Times New Roman"/>
          <w:color w:val="000000"/>
          <w:sz w:val="24"/>
          <w:lang w:eastAsia="ru-RU"/>
        </w:rPr>
        <w:t xml:space="preserve"> (Россия,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Екатеринбург</w:t>
      </w:r>
      <w:r w:rsidRPr="000C7A90">
        <w:rPr>
          <w:rFonts w:ascii="Times New Roman" w:eastAsia="Times New Roman" w:hAnsi="Times New Roman"/>
          <w:color w:val="000000"/>
          <w:sz w:val="24"/>
          <w:lang w:eastAsia="ru-RU"/>
        </w:rPr>
        <w:t xml:space="preserve">) –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младший </w:t>
      </w:r>
      <w:r w:rsidRPr="000C7A90">
        <w:rPr>
          <w:rFonts w:ascii="Times New Roman" w:eastAsia="Times New Roman" w:hAnsi="Times New Roman"/>
          <w:color w:val="000000"/>
          <w:sz w:val="24"/>
          <w:lang w:eastAsia="ru-RU"/>
        </w:rPr>
        <w:t xml:space="preserve">научный сотрудник, Федеральное государственное бюджетное учреждение науки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Институт экономики Уральского отделения</w:t>
      </w:r>
      <w:r w:rsidRPr="000C7A90"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Российской академии наук (Россия, </w:t>
      </w:r>
      <w:r w:rsidRPr="005334EB">
        <w:rPr>
          <w:rFonts w:ascii="Times New Roman" w:eastAsia="Times New Roman" w:hAnsi="Times New Roman"/>
          <w:color w:val="000000"/>
          <w:sz w:val="24"/>
          <w:lang w:eastAsia="ru-RU"/>
        </w:rPr>
        <w:t>620014</w:t>
      </w:r>
      <w:r w:rsidRPr="000C7A90">
        <w:rPr>
          <w:rFonts w:ascii="Times New Roman" w:eastAsia="Times New Roman" w:hAnsi="Times New Roman"/>
          <w:color w:val="000000"/>
          <w:sz w:val="24"/>
          <w:lang w:eastAsia="ru-RU"/>
        </w:rPr>
        <w:t xml:space="preserve">, г.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Екатеринбург</w:t>
      </w:r>
      <w:r w:rsidRPr="000C7A90">
        <w:rPr>
          <w:rFonts w:ascii="Times New Roman" w:eastAsia="Times New Roman" w:hAnsi="Times New Roman"/>
          <w:color w:val="000000"/>
          <w:sz w:val="24"/>
          <w:lang w:eastAsia="ru-RU"/>
        </w:rPr>
        <w:t xml:space="preserve">, ул. </w:t>
      </w:r>
      <w:r w:rsidRPr="005334EB">
        <w:rPr>
          <w:rFonts w:ascii="Times New Roman" w:eastAsia="Times New Roman" w:hAnsi="Times New Roman"/>
          <w:color w:val="000000"/>
          <w:sz w:val="24"/>
          <w:lang w:eastAsia="ru-RU"/>
        </w:rPr>
        <w:t>Московская</w:t>
      </w:r>
      <w:r w:rsidRPr="006A558F">
        <w:rPr>
          <w:rFonts w:ascii="Times New Roman" w:eastAsia="Times New Roman" w:hAnsi="Times New Roman"/>
          <w:color w:val="000000"/>
          <w:sz w:val="24"/>
          <w:lang w:val="en-US" w:eastAsia="ru-RU"/>
        </w:rPr>
        <w:t xml:space="preserve">, 29, </w:t>
      </w:r>
      <w:r w:rsidRPr="005334EB">
        <w:rPr>
          <w:rFonts w:ascii="Times New Roman" w:eastAsia="Times New Roman" w:hAnsi="Times New Roman"/>
          <w:color w:val="000000"/>
          <w:sz w:val="24"/>
          <w:lang w:val="en-US" w:eastAsia="ru-RU"/>
        </w:rPr>
        <w:t>zakharovavika</w:t>
      </w:r>
      <w:r w:rsidRPr="006A558F">
        <w:rPr>
          <w:rFonts w:ascii="Times New Roman" w:eastAsia="Times New Roman" w:hAnsi="Times New Roman"/>
          <w:color w:val="000000"/>
          <w:sz w:val="24"/>
          <w:lang w:val="en-US" w:eastAsia="ru-RU"/>
        </w:rPr>
        <w:t>@</w:t>
      </w:r>
      <w:r w:rsidRPr="005334EB">
        <w:rPr>
          <w:rFonts w:ascii="Times New Roman" w:eastAsia="Times New Roman" w:hAnsi="Times New Roman"/>
          <w:color w:val="000000"/>
          <w:sz w:val="24"/>
          <w:lang w:val="en-US" w:eastAsia="ru-RU"/>
        </w:rPr>
        <w:t>gmail</w:t>
      </w:r>
      <w:r w:rsidRPr="006A558F">
        <w:rPr>
          <w:rFonts w:ascii="Times New Roman" w:eastAsia="Times New Roman" w:hAnsi="Times New Roman"/>
          <w:color w:val="000000"/>
          <w:sz w:val="24"/>
          <w:lang w:val="en-US" w:eastAsia="ru-RU"/>
        </w:rPr>
        <w:t>.</w:t>
      </w:r>
      <w:r w:rsidRPr="005334EB">
        <w:rPr>
          <w:rFonts w:ascii="Times New Roman" w:eastAsia="Times New Roman" w:hAnsi="Times New Roman"/>
          <w:color w:val="000000"/>
          <w:sz w:val="24"/>
          <w:lang w:val="en-US" w:eastAsia="ru-RU"/>
        </w:rPr>
        <w:t>com</w:t>
      </w:r>
      <w:r w:rsidRPr="006A558F">
        <w:rPr>
          <w:rFonts w:ascii="Times New Roman" w:eastAsia="Times New Roman" w:hAnsi="Times New Roman"/>
          <w:color w:val="000000"/>
          <w:sz w:val="24"/>
          <w:lang w:val="en-US" w:eastAsia="ru-RU"/>
        </w:rPr>
        <w:t>)</w:t>
      </w:r>
    </w:p>
    <w:p w14:paraId="14429E3A" w14:textId="77777777" w:rsidR="00B64259" w:rsidRPr="00843D9E" w:rsidRDefault="00B64259" w:rsidP="00B64259">
      <w:pPr>
        <w:jc w:val="right"/>
        <w:rPr>
          <w:rFonts w:ascii="Times New Roman" w:eastAsia="Times New Roman" w:hAnsi="Times New Roman"/>
          <w:b/>
          <w:sz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lang w:val="en-US" w:eastAsia="ru-RU"/>
        </w:rPr>
        <w:t>Zakharova</w:t>
      </w:r>
      <w:proofErr w:type="spellEnd"/>
      <w:r>
        <w:rPr>
          <w:rFonts w:ascii="Times New Roman" w:eastAsia="Times New Roman" w:hAnsi="Times New Roman"/>
          <w:b/>
          <w:sz w:val="24"/>
          <w:lang w:val="en-US" w:eastAsia="ru-RU"/>
        </w:rPr>
        <w:t xml:space="preserve"> V</w:t>
      </w:r>
      <w:r w:rsidRPr="00843D9E">
        <w:rPr>
          <w:rFonts w:ascii="Times New Roman" w:eastAsia="Times New Roman" w:hAnsi="Times New Roman"/>
          <w:b/>
          <w:sz w:val="24"/>
          <w:lang w:val="en-US" w:eastAsia="ru-RU"/>
        </w:rPr>
        <w:t>.</w:t>
      </w:r>
      <w:r>
        <w:rPr>
          <w:rFonts w:ascii="Times New Roman" w:eastAsia="Times New Roman" w:hAnsi="Times New Roman"/>
          <w:b/>
          <w:sz w:val="24"/>
          <w:lang w:val="en-US" w:eastAsia="ru-RU"/>
        </w:rPr>
        <w:t>V.</w:t>
      </w:r>
    </w:p>
    <w:p w14:paraId="5ABCD0FD" w14:textId="77777777" w:rsidR="00B64259" w:rsidRPr="00EF63A4" w:rsidRDefault="00B64259" w:rsidP="00B64259">
      <w:pPr>
        <w:jc w:val="center"/>
        <w:rPr>
          <w:rFonts w:ascii="Times New Roman" w:eastAsia="Times New Roman" w:hAnsi="Times New Roman"/>
          <w:b/>
          <w:sz w:val="24"/>
          <w:lang w:val="en-US" w:eastAsia="ru-RU"/>
        </w:rPr>
      </w:pPr>
      <w:r w:rsidRPr="00EF63A4">
        <w:rPr>
          <w:rFonts w:ascii="Times New Roman" w:eastAsia="Times New Roman" w:hAnsi="Times New Roman"/>
          <w:b/>
          <w:sz w:val="24"/>
          <w:lang w:val="en-US" w:eastAsia="ru-RU"/>
        </w:rPr>
        <w:t xml:space="preserve">DYNAMICS OF SCIENTIFIC, TECHNICAL AND </w:t>
      </w:r>
    </w:p>
    <w:p w14:paraId="18AA6369" w14:textId="75A2EF49" w:rsidR="00B64259" w:rsidRPr="00EF63A4" w:rsidRDefault="00B64259" w:rsidP="00B64259">
      <w:pPr>
        <w:jc w:val="center"/>
        <w:rPr>
          <w:rFonts w:ascii="Times New Roman" w:eastAsia="Times New Roman" w:hAnsi="Times New Roman"/>
          <w:b/>
          <w:sz w:val="24"/>
          <w:lang w:val="en-US" w:eastAsia="ru-RU"/>
        </w:rPr>
      </w:pPr>
      <w:r w:rsidRPr="00EF63A4">
        <w:rPr>
          <w:rFonts w:ascii="Times New Roman" w:eastAsia="Times New Roman" w:hAnsi="Times New Roman"/>
          <w:b/>
          <w:sz w:val="24"/>
          <w:lang w:val="en-US" w:eastAsia="ru-RU"/>
        </w:rPr>
        <w:t xml:space="preserve">INNOVATIVE POSITIONING </w:t>
      </w:r>
      <w:r w:rsidR="009D228C">
        <w:rPr>
          <w:rFonts w:ascii="Times New Roman" w:eastAsia="Times New Roman" w:hAnsi="Times New Roman"/>
          <w:b/>
          <w:sz w:val="24"/>
          <w:lang w:val="en-US" w:eastAsia="ru-RU"/>
        </w:rPr>
        <w:t xml:space="preserve">IN </w:t>
      </w:r>
      <w:r w:rsidR="009D228C" w:rsidRPr="009D228C">
        <w:rPr>
          <w:rFonts w:ascii="Times New Roman" w:eastAsia="Times New Roman" w:hAnsi="Times New Roman"/>
          <w:b/>
          <w:sz w:val="24"/>
          <w:lang w:val="en-US" w:eastAsia="ru-RU"/>
        </w:rPr>
        <w:t>URAL FEDERAL DISTRICT</w:t>
      </w:r>
    </w:p>
    <w:p w14:paraId="5BB48364" w14:textId="77777777" w:rsidR="00B64259" w:rsidRPr="00EF63A4" w:rsidRDefault="00B64259" w:rsidP="00B64259">
      <w:pPr>
        <w:ind w:firstLine="709"/>
        <w:jc w:val="both"/>
        <w:rPr>
          <w:rFonts w:ascii="Times New Roman" w:eastAsia="Times New Roman" w:hAnsi="Times New Roman"/>
          <w:b/>
          <w:i/>
          <w:sz w:val="24"/>
          <w:lang w:val="en-US" w:eastAsia="ru-RU"/>
        </w:rPr>
      </w:pPr>
    </w:p>
    <w:p w14:paraId="372181C6" w14:textId="10BD5C8B" w:rsidR="00B64259" w:rsidRPr="002D2FFC" w:rsidRDefault="00B64259" w:rsidP="00B64259">
      <w:pPr>
        <w:ind w:firstLine="709"/>
        <w:jc w:val="both"/>
        <w:rPr>
          <w:rFonts w:ascii="Times New Roman" w:eastAsia="Times New Roman" w:hAnsi="Times New Roman"/>
          <w:i/>
          <w:sz w:val="24"/>
          <w:lang w:val="en-US" w:eastAsia="ru-RU"/>
        </w:rPr>
      </w:pPr>
      <w:r w:rsidRPr="002D2FFC">
        <w:rPr>
          <w:rFonts w:ascii="Times New Roman" w:eastAsia="Times New Roman" w:hAnsi="Times New Roman"/>
          <w:b/>
          <w:i/>
          <w:sz w:val="24"/>
          <w:lang w:val="en-US" w:eastAsia="ru-RU"/>
        </w:rPr>
        <w:t xml:space="preserve">Abstract. </w:t>
      </w:r>
      <w:r w:rsidRPr="002D2FFC">
        <w:rPr>
          <w:rFonts w:ascii="Times New Roman" w:eastAsia="Times New Roman" w:hAnsi="Times New Roman"/>
          <w:i/>
          <w:sz w:val="24"/>
          <w:lang w:val="en-US" w:eastAsia="ru-RU"/>
        </w:rPr>
        <w:t xml:space="preserve">The article analyzes dynamics of positioning of </w:t>
      </w:r>
      <w:proofErr w:type="gramStart"/>
      <w:r w:rsidRPr="002D2FFC">
        <w:rPr>
          <w:rFonts w:ascii="Times New Roman" w:eastAsia="Times New Roman" w:hAnsi="Times New Roman"/>
          <w:i/>
          <w:sz w:val="24"/>
          <w:lang w:val="en-US" w:eastAsia="ru-RU"/>
        </w:rPr>
        <w:t>6</w:t>
      </w:r>
      <w:proofErr w:type="gramEnd"/>
      <w:r w:rsidR="009D228C">
        <w:rPr>
          <w:rFonts w:ascii="Times New Roman" w:eastAsia="Times New Roman" w:hAnsi="Times New Roman"/>
          <w:i/>
          <w:sz w:val="24"/>
          <w:lang w:val="en-US" w:eastAsia="ru-RU"/>
        </w:rPr>
        <w:t> </w:t>
      </w:r>
      <w:r w:rsidR="009D228C" w:rsidRPr="009D228C">
        <w:rPr>
          <w:rFonts w:ascii="Times New Roman" w:eastAsia="Times New Roman" w:hAnsi="Times New Roman"/>
          <w:i/>
          <w:sz w:val="24"/>
          <w:lang w:val="en-US" w:eastAsia="ru-RU"/>
        </w:rPr>
        <w:t>federal subjects</w:t>
      </w:r>
      <w:r w:rsidR="009D228C" w:rsidRPr="002D2FFC">
        <w:rPr>
          <w:rFonts w:ascii="Times New Roman" w:eastAsia="Times New Roman" w:hAnsi="Times New Roman"/>
          <w:i/>
          <w:sz w:val="24"/>
          <w:lang w:val="en-US" w:eastAsia="ru-RU"/>
        </w:rPr>
        <w:t xml:space="preserve"> </w:t>
      </w:r>
      <w:r w:rsidRPr="002D2FFC">
        <w:rPr>
          <w:rFonts w:ascii="Times New Roman" w:eastAsia="Times New Roman" w:hAnsi="Times New Roman"/>
          <w:i/>
          <w:sz w:val="24"/>
          <w:lang w:val="en-US" w:eastAsia="ru-RU"/>
        </w:rPr>
        <w:t xml:space="preserve">included in the Ural Federal District, from 2015 to 2019-2020. The state of human resources in the sphere of science and innovation is analyzed both in Russia in general and in the Ural Federal District in particular. In conclusion, conclusions </w:t>
      </w:r>
      <w:proofErr w:type="gramStart"/>
      <w:r w:rsidRPr="002D2FFC">
        <w:rPr>
          <w:rFonts w:ascii="Times New Roman" w:eastAsia="Times New Roman" w:hAnsi="Times New Roman"/>
          <w:i/>
          <w:sz w:val="24"/>
          <w:lang w:val="en-US" w:eastAsia="ru-RU"/>
        </w:rPr>
        <w:t>are drawn</w:t>
      </w:r>
      <w:proofErr w:type="gramEnd"/>
      <w:r w:rsidRPr="002D2FFC">
        <w:rPr>
          <w:rFonts w:ascii="Times New Roman" w:eastAsia="Times New Roman" w:hAnsi="Times New Roman"/>
          <w:i/>
          <w:sz w:val="24"/>
          <w:lang w:val="en-US" w:eastAsia="ru-RU"/>
        </w:rPr>
        <w:t xml:space="preserve"> with an emphasis on the search for new strategies for the development of regions in the field of scientific and technological development.</w:t>
      </w:r>
    </w:p>
    <w:p w14:paraId="1B7C58BB" w14:textId="77777777" w:rsidR="00B64259" w:rsidRPr="002D2FFC" w:rsidRDefault="00B64259" w:rsidP="00B64259">
      <w:pPr>
        <w:ind w:firstLine="709"/>
        <w:jc w:val="both"/>
        <w:rPr>
          <w:rFonts w:ascii="Times New Roman" w:eastAsia="Times New Roman" w:hAnsi="Times New Roman"/>
          <w:i/>
          <w:sz w:val="24"/>
          <w:lang w:val="en-US" w:eastAsia="ru-RU"/>
        </w:rPr>
      </w:pPr>
      <w:r w:rsidRPr="002D2FFC">
        <w:rPr>
          <w:rFonts w:ascii="Times New Roman" w:eastAsia="Times New Roman" w:hAnsi="Times New Roman"/>
          <w:b/>
          <w:i/>
          <w:sz w:val="24"/>
          <w:lang w:val="en-US" w:eastAsia="ru-RU"/>
        </w:rPr>
        <w:t>Key words:</w:t>
      </w:r>
      <w:r w:rsidRPr="002D2FFC">
        <w:rPr>
          <w:rFonts w:ascii="Times New Roman" w:eastAsia="Times New Roman" w:hAnsi="Times New Roman"/>
          <w:i/>
          <w:sz w:val="24"/>
          <w:lang w:val="en-US" w:eastAsia="ru-RU"/>
        </w:rPr>
        <w:t xml:space="preserve"> scientific and technical development, innovative development, Ural Federal District.</w:t>
      </w:r>
    </w:p>
    <w:p w14:paraId="0C64C292" w14:textId="77777777" w:rsidR="00B64259" w:rsidRPr="000C7A90" w:rsidRDefault="00B64259" w:rsidP="00B64259">
      <w:pPr>
        <w:rPr>
          <w:rFonts w:ascii="Times New Roman" w:eastAsia="Times New Roman" w:hAnsi="Times New Roman"/>
          <w:b/>
          <w:sz w:val="24"/>
          <w:lang w:val="en-US" w:eastAsia="ru-RU"/>
        </w:rPr>
      </w:pPr>
    </w:p>
    <w:p w14:paraId="10891D34" w14:textId="77777777" w:rsidR="00B64259" w:rsidRPr="000C7A90" w:rsidRDefault="00B64259" w:rsidP="00B64259">
      <w:pPr>
        <w:jc w:val="center"/>
        <w:rPr>
          <w:rFonts w:ascii="Times New Roman" w:eastAsia="Times New Roman" w:hAnsi="Times New Roman"/>
          <w:b/>
          <w:sz w:val="24"/>
          <w:lang w:val="en-US" w:eastAsia="ru-RU"/>
        </w:rPr>
      </w:pPr>
      <w:r w:rsidRPr="000C7A90">
        <w:rPr>
          <w:rFonts w:ascii="Times New Roman" w:eastAsia="Times New Roman" w:hAnsi="Times New Roman"/>
          <w:b/>
          <w:sz w:val="24"/>
          <w:lang w:val="en-US" w:eastAsia="ru-RU"/>
        </w:rPr>
        <w:t>Information about the author</w:t>
      </w:r>
    </w:p>
    <w:p w14:paraId="77321646" w14:textId="77777777" w:rsidR="00B64259" w:rsidRPr="00EF63A4" w:rsidRDefault="00B64259" w:rsidP="00B64259">
      <w:pPr>
        <w:ind w:firstLine="709"/>
        <w:jc w:val="both"/>
        <w:rPr>
          <w:rFonts w:ascii="Times New Roman" w:eastAsia="Calibri" w:hAnsi="Times New Roman"/>
          <w:sz w:val="24"/>
          <w:lang w:val="en-US" w:eastAsia="ru-RU"/>
        </w:rPr>
      </w:pPr>
      <w:proofErr w:type="spellStart"/>
      <w:r>
        <w:rPr>
          <w:rFonts w:ascii="Times New Roman" w:eastAsia="Calibri" w:hAnsi="Times New Roman"/>
          <w:sz w:val="24"/>
          <w:lang w:val="en-US" w:eastAsia="ru-RU"/>
        </w:rPr>
        <w:t>Zakharova</w:t>
      </w:r>
      <w:proofErr w:type="spellEnd"/>
      <w:r>
        <w:rPr>
          <w:rFonts w:ascii="Times New Roman" w:eastAsia="Calibri" w:hAnsi="Times New Roman"/>
          <w:sz w:val="24"/>
          <w:lang w:val="en-US" w:eastAsia="ru-RU"/>
        </w:rPr>
        <w:t xml:space="preserve"> Victoria </w:t>
      </w:r>
      <w:proofErr w:type="spellStart"/>
      <w:r>
        <w:rPr>
          <w:rFonts w:ascii="Times New Roman" w:eastAsia="Calibri" w:hAnsi="Times New Roman"/>
          <w:sz w:val="24"/>
          <w:lang w:val="en-US" w:eastAsia="ru-RU"/>
        </w:rPr>
        <w:t>Vladimirovna</w:t>
      </w:r>
      <w:proofErr w:type="spellEnd"/>
      <w:r w:rsidRPr="000C7A90">
        <w:rPr>
          <w:rFonts w:ascii="Times New Roman" w:eastAsia="Calibri" w:hAnsi="Times New Roman"/>
          <w:sz w:val="24"/>
          <w:lang w:val="en-US" w:eastAsia="ru-RU"/>
        </w:rPr>
        <w:t xml:space="preserve"> (Russia, </w:t>
      </w:r>
      <w:r>
        <w:rPr>
          <w:rFonts w:ascii="Times New Roman" w:eastAsia="Calibri" w:hAnsi="Times New Roman"/>
          <w:sz w:val="24"/>
          <w:lang w:val="en-US" w:eastAsia="ru-RU"/>
        </w:rPr>
        <w:t>Ekaterinburg</w:t>
      </w:r>
      <w:r w:rsidRPr="000C7A90">
        <w:rPr>
          <w:rFonts w:ascii="Times New Roman" w:eastAsia="Calibri" w:hAnsi="Times New Roman"/>
          <w:sz w:val="24"/>
          <w:lang w:val="en-US" w:eastAsia="ru-RU"/>
        </w:rPr>
        <w:t xml:space="preserve">) – </w:t>
      </w:r>
      <w:r w:rsidRPr="005334EB">
        <w:rPr>
          <w:rFonts w:ascii="Times New Roman" w:eastAsia="Calibri" w:hAnsi="Times New Roman"/>
          <w:sz w:val="24"/>
          <w:lang w:val="en-US" w:eastAsia="ru-RU"/>
        </w:rPr>
        <w:t>junior researcher</w:t>
      </w:r>
      <w:r w:rsidRPr="000C7A90">
        <w:rPr>
          <w:rFonts w:ascii="Times New Roman" w:eastAsia="Calibri" w:hAnsi="Times New Roman"/>
          <w:sz w:val="24"/>
          <w:lang w:val="en-US" w:eastAsia="ru-RU"/>
        </w:rPr>
        <w:t xml:space="preserve">, </w:t>
      </w:r>
      <w:r>
        <w:rPr>
          <w:rFonts w:ascii="Times New Roman" w:eastAsia="Calibri" w:hAnsi="Times New Roman"/>
          <w:sz w:val="24"/>
          <w:lang w:val="en-US" w:eastAsia="ru-RU"/>
        </w:rPr>
        <w:t>Institute of Economics of the Ural Branch of the Russian Academy of Sciences</w:t>
      </w:r>
      <w:r w:rsidRPr="000C7A90">
        <w:rPr>
          <w:rFonts w:ascii="Times New Roman" w:eastAsia="Calibri" w:hAnsi="Times New Roman"/>
          <w:sz w:val="24"/>
          <w:lang w:val="en-US" w:eastAsia="ru-RU"/>
        </w:rPr>
        <w:t xml:space="preserve"> (</w:t>
      </w:r>
      <w:r w:rsidRPr="006A558F">
        <w:rPr>
          <w:rFonts w:ascii="Times New Roman" w:eastAsia="Calibri" w:hAnsi="Times New Roman"/>
          <w:sz w:val="24"/>
          <w:lang w:val="en-US" w:eastAsia="ru-RU"/>
        </w:rPr>
        <w:t xml:space="preserve">Russia, 620014, Yekaterinburg, Moscow </w:t>
      </w:r>
      <w:proofErr w:type="spellStart"/>
      <w:r w:rsidRPr="006A558F">
        <w:rPr>
          <w:rFonts w:ascii="Times New Roman" w:eastAsia="Calibri" w:hAnsi="Times New Roman"/>
          <w:sz w:val="24"/>
          <w:lang w:val="en-US" w:eastAsia="ru-RU"/>
        </w:rPr>
        <w:t>st.</w:t>
      </w:r>
      <w:proofErr w:type="spellEnd"/>
      <w:r w:rsidRPr="006A558F">
        <w:rPr>
          <w:rFonts w:ascii="Times New Roman" w:eastAsia="Calibri" w:hAnsi="Times New Roman"/>
          <w:sz w:val="24"/>
          <w:lang w:val="en-US" w:eastAsia="ru-RU"/>
        </w:rPr>
        <w:t>, 29, zakharovavika@gmail.com</w:t>
      </w:r>
      <w:r w:rsidRPr="000C7A90">
        <w:rPr>
          <w:rFonts w:ascii="Times New Roman" w:eastAsia="Calibri" w:hAnsi="Times New Roman"/>
          <w:sz w:val="24"/>
          <w:lang w:val="en-US" w:eastAsia="ru-RU"/>
        </w:rPr>
        <w:t>)</w:t>
      </w:r>
    </w:p>
    <w:p w14:paraId="578D7915" w14:textId="77777777" w:rsidR="00B64259" w:rsidRPr="00EF63A4" w:rsidRDefault="00B64259" w:rsidP="00B64259">
      <w:pPr>
        <w:ind w:firstLine="709"/>
        <w:jc w:val="both"/>
        <w:rPr>
          <w:rFonts w:ascii="Times New Roman" w:eastAsia="Calibri" w:hAnsi="Times New Roman"/>
          <w:sz w:val="24"/>
          <w:lang w:val="en-US" w:eastAsia="ru-RU"/>
        </w:rPr>
      </w:pPr>
    </w:p>
    <w:p w14:paraId="696B0BFE" w14:textId="77777777" w:rsidR="00B64259" w:rsidRPr="00EF63A4" w:rsidRDefault="00B64259" w:rsidP="00B64259">
      <w:pPr>
        <w:jc w:val="center"/>
        <w:rPr>
          <w:rFonts w:ascii="Times New Roman" w:eastAsia="Times New Roman" w:hAnsi="Times New Roman"/>
          <w:b/>
          <w:sz w:val="24"/>
          <w:lang w:val="en-US" w:eastAsia="ru-RU"/>
        </w:rPr>
      </w:pPr>
      <w:r w:rsidRPr="00EF63A4">
        <w:rPr>
          <w:rFonts w:ascii="Times New Roman" w:eastAsia="Times New Roman" w:hAnsi="Times New Roman"/>
          <w:b/>
          <w:sz w:val="24"/>
          <w:lang w:val="en-US" w:eastAsia="ru-RU"/>
        </w:rPr>
        <w:t>References</w:t>
      </w:r>
    </w:p>
    <w:p w14:paraId="4AB808A8" w14:textId="77777777" w:rsidR="00B64259" w:rsidRDefault="00B64259" w:rsidP="00B64259">
      <w:pPr>
        <w:ind w:firstLine="709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EF63A4">
        <w:rPr>
          <w:rFonts w:ascii="Times New Roman" w:eastAsia="Times New Roman" w:hAnsi="Times New Roman"/>
          <w:sz w:val="24"/>
          <w:lang w:val="en-US" w:eastAsia="ru-RU"/>
        </w:rPr>
        <w:t xml:space="preserve">1. Theory of innovations: innovations in the digital economy / S. A. </w:t>
      </w:r>
      <w:proofErr w:type="spellStart"/>
      <w:r w:rsidRPr="00EF63A4">
        <w:rPr>
          <w:rFonts w:ascii="Times New Roman" w:eastAsia="Times New Roman" w:hAnsi="Times New Roman"/>
          <w:sz w:val="24"/>
          <w:lang w:val="en-US" w:eastAsia="ru-RU"/>
        </w:rPr>
        <w:t>Dyatlov</w:t>
      </w:r>
      <w:proofErr w:type="spellEnd"/>
      <w:r w:rsidRPr="00EF63A4">
        <w:rPr>
          <w:rFonts w:ascii="Times New Roman" w:eastAsia="Times New Roman" w:hAnsi="Times New Roman"/>
          <w:sz w:val="24"/>
          <w:lang w:val="en-US" w:eastAsia="ru-RU"/>
        </w:rPr>
        <w:t xml:space="preserve">, D. V. </w:t>
      </w:r>
      <w:proofErr w:type="spellStart"/>
      <w:r w:rsidRPr="00EF63A4">
        <w:rPr>
          <w:rFonts w:ascii="Times New Roman" w:eastAsia="Times New Roman" w:hAnsi="Times New Roman"/>
          <w:sz w:val="24"/>
          <w:lang w:val="en-US" w:eastAsia="ru-RU"/>
        </w:rPr>
        <w:t>Gilmanov</w:t>
      </w:r>
      <w:proofErr w:type="spellEnd"/>
      <w:r w:rsidRPr="00EF63A4">
        <w:rPr>
          <w:rFonts w:ascii="Times New Roman" w:eastAsia="Times New Roman" w:hAnsi="Times New Roman"/>
          <w:sz w:val="24"/>
          <w:lang w:val="en-US" w:eastAsia="ru-RU"/>
        </w:rPr>
        <w:t xml:space="preserve">, V.P. </w:t>
      </w:r>
      <w:proofErr w:type="spellStart"/>
      <w:r w:rsidRPr="00EF63A4">
        <w:rPr>
          <w:rFonts w:ascii="Times New Roman" w:eastAsia="Times New Roman" w:hAnsi="Times New Roman"/>
          <w:sz w:val="24"/>
          <w:lang w:val="en-US" w:eastAsia="ru-RU"/>
        </w:rPr>
        <w:t>Maryanenko</w:t>
      </w:r>
      <w:proofErr w:type="spellEnd"/>
      <w:r w:rsidRPr="00EF63A4">
        <w:rPr>
          <w:rFonts w:ascii="Times New Roman" w:eastAsia="Times New Roman" w:hAnsi="Times New Roman"/>
          <w:sz w:val="24"/>
          <w:lang w:val="en-US" w:eastAsia="ru-RU"/>
        </w:rPr>
        <w:t>. -</w:t>
      </w:r>
      <w:proofErr w:type="spellStart"/>
      <w:r w:rsidRPr="00EF63A4">
        <w:rPr>
          <w:rFonts w:ascii="Times New Roman" w:eastAsia="Times New Roman" w:hAnsi="Times New Roman"/>
          <w:sz w:val="24"/>
          <w:lang w:val="en-US" w:eastAsia="ru-RU"/>
        </w:rPr>
        <w:t>SPb</w:t>
      </w:r>
      <w:proofErr w:type="spellEnd"/>
      <w:proofErr w:type="gramStart"/>
      <w:r w:rsidRPr="00EF63A4">
        <w:rPr>
          <w:rFonts w:ascii="Times New Roman" w:eastAsia="Times New Roman" w:hAnsi="Times New Roman"/>
          <w:sz w:val="24"/>
          <w:lang w:val="en-US" w:eastAsia="ru-RU"/>
        </w:rPr>
        <w:t>. :</w:t>
      </w:r>
      <w:proofErr w:type="gramEnd"/>
      <w:r w:rsidRPr="00EF63A4">
        <w:rPr>
          <w:rFonts w:ascii="Times New Roman" w:eastAsia="Times New Roman" w:hAnsi="Times New Roman"/>
          <w:sz w:val="24"/>
          <w:lang w:val="en-US" w:eastAsia="ru-RU"/>
        </w:rPr>
        <w:t xml:space="preserve"> Publishing house of St. Petersburg State University of Economics, 2018 .-- 286 p.</w:t>
      </w:r>
    </w:p>
    <w:p w14:paraId="1130F8C4" w14:textId="77777777" w:rsidR="00B64259" w:rsidRPr="00EF63A4" w:rsidRDefault="00B64259" w:rsidP="00B64259">
      <w:pPr>
        <w:ind w:firstLine="709"/>
        <w:jc w:val="both"/>
        <w:rPr>
          <w:rFonts w:ascii="Times New Roman" w:eastAsia="Times New Roman" w:hAnsi="Times New Roman"/>
          <w:sz w:val="24"/>
          <w:lang w:val="en-US" w:eastAsia="ru-RU"/>
        </w:rPr>
      </w:pPr>
      <w:r>
        <w:rPr>
          <w:rFonts w:ascii="Times New Roman" w:eastAsia="Times New Roman" w:hAnsi="Times New Roman"/>
          <w:sz w:val="24"/>
          <w:lang w:val="en-US" w:eastAsia="ru-RU"/>
        </w:rPr>
        <w:t>2. </w:t>
      </w:r>
      <w:proofErr w:type="spellStart"/>
      <w:r w:rsidRPr="00EF63A4">
        <w:rPr>
          <w:rFonts w:ascii="Times New Roman" w:eastAsia="Times New Roman" w:hAnsi="Times New Roman"/>
          <w:sz w:val="24"/>
          <w:lang w:val="en-US" w:eastAsia="ru-RU"/>
        </w:rPr>
        <w:t>Semenova</w:t>
      </w:r>
      <w:proofErr w:type="spellEnd"/>
      <w:r w:rsidRPr="00EF63A4">
        <w:rPr>
          <w:rFonts w:ascii="Times New Roman" w:eastAsia="Times New Roman" w:hAnsi="Times New Roman"/>
          <w:sz w:val="24"/>
          <w:lang w:val="en-US" w:eastAsia="ru-RU"/>
        </w:rPr>
        <w:t xml:space="preserve"> N.N. Import substitution in the agro-industrial complex and neo-industrialization: issues of financial support // Greater Eurasia: Development, security, cooperation. - 2018. - Issue </w:t>
      </w:r>
      <w:proofErr w:type="gramStart"/>
      <w:r w:rsidRPr="00EF63A4">
        <w:rPr>
          <w:rFonts w:ascii="Times New Roman" w:eastAsia="Times New Roman" w:hAnsi="Times New Roman"/>
          <w:sz w:val="24"/>
          <w:lang w:val="en-US" w:eastAsia="ru-RU"/>
        </w:rPr>
        <w:t>1</w:t>
      </w:r>
      <w:proofErr w:type="gramEnd"/>
      <w:r w:rsidRPr="00EF63A4">
        <w:rPr>
          <w:rFonts w:ascii="Times New Roman" w:eastAsia="Times New Roman" w:hAnsi="Times New Roman"/>
          <w:sz w:val="24"/>
          <w:lang w:val="en-US" w:eastAsia="ru-RU"/>
        </w:rPr>
        <w:t>, Part 1. - P. 487-490</w:t>
      </w:r>
    </w:p>
    <w:p w14:paraId="1EC4219D" w14:textId="77777777" w:rsidR="00B64259" w:rsidRDefault="00B64259" w:rsidP="00B64259">
      <w:pPr>
        <w:ind w:firstLine="709"/>
        <w:jc w:val="both"/>
        <w:rPr>
          <w:rFonts w:ascii="Times New Roman" w:eastAsia="Times New Roman" w:hAnsi="Times New Roman"/>
          <w:sz w:val="24"/>
          <w:lang w:val="en-US" w:eastAsia="ru-RU"/>
        </w:rPr>
      </w:pPr>
      <w:r>
        <w:rPr>
          <w:rFonts w:ascii="Times New Roman" w:eastAsia="Times New Roman" w:hAnsi="Times New Roman"/>
          <w:sz w:val="24"/>
          <w:lang w:val="en-US" w:eastAsia="ru-RU"/>
        </w:rPr>
        <w:t>3. </w:t>
      </w:r>
      <w:r w:rsidRPr="00EF63A4">
        <w:rPr>
          <w:rFonts w:ascii="Times New Roman" w:eastAsia="Times New Roman" w:hAnsi="Times New Roman"/>
          <w:sz w:val="24"/>
          <w:lang w:val="en-US" w:eastAsia="ru-RU"/>
        </w:rPr>
        <w:t xml:space="preserve">Formation and development of an innovation ecosystem based on a corporate model of open innovation: dis. Candidate of Economic Sciences: 08.00.05 / </w:t>
      </w:r>
      <w:proofErr w:type="spellStart"/>
      <w:r w:rsidRPr="00EF63A4">
        <w:rPr>
          <w:rFonts w:ascii="Times New Roman" w:eastAsia="Times New Roman" w:hAnsi="Times New Roman"/>
          <w:sz w:val="24"/>
          <w:lang w:val="en-US" w:eastAsia="ru-RU"/>
        </w:rPr>
        <w:t>Kazartseva</w:t>
      </w:r>
      <w:proofErr w:type="spellEnd"/>
      <w:r w:rsidRPr="00EF63A4">
        <w:rPr>
          <w:rFonts w:ascii="Times New Roman" w:eastAsia="Times New Roman" w:hAnsi="Times New Roman"/>
          <w:sz w:val="24"/>
          <w:lang w:val="en-US" w:eastAsia="ru-RU"/>
        </w:rPr>
        <w:t xml:space="preserve"> Alin</w:t>
      </w:r>
      <w:r>
        <w:rPr>
          <w:rFonts w:ascii="Times New Roman" w:eastAsia="Times New Roman" w:hAnsi="Times New Roman"/>
          <w:sz w:val="24"/>
          <w:lang w:val="en-US" w:eastAsia="ru-RU"/>
        </w:rPr>
        <w:t xml:space="preserve">a </w:t>
      </w:r>
      <w:proofErr w:type="spellStart"/>
      <w:r>
        <w:rPr>
          <w:rFonts w:ascii="Times New Roman" w:eastAsia="Times New Roman" w:hAnsi="Times New Roman"/>
          <w:sz w:val="24"/>
          <w:lang w:val="en-US" w:eastAsia="ru-RU"/>
        </w:rPr>
        <w:t>Igorevna</w:t>
      </w:r>
      <w:proofErr w:type="spellEnd"/>
      <w:r>
        <w:rPr>
          <w:rFonts w:ascii="Times New Roman" w:eastAsia="Times New Roman" w:hAnsi="Times New Roman"/>
          <w:sz w:val="24"/>
          <w:lang w:val="en-US" w:eastAsia="ru-RU"/>
        </w:rPr>
        <w:t xml:space="preserve">. - Voronezh, </w:t>
      </w:r>
      <w:proofErr w:type="gramStart"/>
      <w:r>
        <w:rPr>
          <w:rFonts w:ascii="Times New Roman" w:eastAsia="Times New Roman" w:hAnsi="Times New Roman"/>
          <w:sz w:val="24"/>
          <w:lang w:val="en-US" w:eastAsia="ru-RU"/>
        </w:rPr>
        <w:t>2020 .-</w:t>
      </w:r>
      <w:proofErr w:type="gramEnd"/>
      <w:r w:rsidRPr="00EF63A4">
        <w:rPr>
          <w:rFonts w:ascii="Times New Roman" w:eastAsia="Times New Roman" w:hAnsi="Times New Roman"/>
          <w:sz w:val="24"/>
          <w:lang w:val="en-US" w:eastAsia="ru-RU"/>
        </w:rPr>
        <w:t xml:space="preserve"> 237 p.</w:t>
      </w:r>
    </w:p>
    <w:p w14:paraId="441CDA33" w14:textId="60636594" w:rsidR="00700C41" w:rsidRPr="00F41E3F" w:rsidRDefault="00B64259" w:rsidP="004A0751">
      <w:pPr>
        <w:ind w:firstLine="709"/>
        <w:jc w:val="both"/>
        <w:rPr>
          <w:lang w:val="en-US"/>
        </w:rPr>
      </w:pPr>
      <w:r>
        <w:rPr>
          <w:rFonts w:ascii="Times New Roman" w:eastAsia="Times New Roman" w:hAnsi="Times New Roman"/>
          <w:sz w:val="24"/>
          <w:lang w:val="en-US" w:eastAsia="ru-RU"/>
        </w:rPr>
        <w:t>4. </w:t>
      </w:r>
      <w:proofErr w:type="spellStart"/>
      <w:r w:rsidRPr="00EF63A4">
        <w:rPr>
          <w:rFonts w:ascii="Times New Roman" w:eastAsia="Times New Roman" w:hAnsi="Times New Roman"/>
          <w:sz w:val="24"/>
          <w:lang w:val="en-US" w:eastAsia="ru-RU"/>
        </w:rPr>
        <w:t>Zakharova</w:t>
      </w:r>
      <w:proofErr w:type="spellEnd"/>
      <w:r w:rsidRPr="00EF63A4">
        <w:rPr>
          <w:rFonts w:ascii="Times New Roman" w:eastAsia="Times New Roman" w:hAnsi="Times New Roman"/>
          <w:sz w:val="24"/>
          <w:lang w:val="en-US" w:eastAsia="ru-RU"/>
        </w:rPr>
        <w:t xml:space="preserve"> V.V.</w:t>
      </w:r>
      <w:r>
        <w:rPr>
          <w:rFonts w:ascii="Times New Roman" w:eastAsia="Times New Roman" w:hAnsi="Times New Roman"/>
          <w:sz w:val="24"/>
          <w:lang w:val="en-US" w:eastAsia="ru-RU"/>
        </w:rPr>
        <w:t xml:space="preserve"> </w:t>
      </w:r>
      <w:r w:rsidRPr="00EF63A4">
        <w:rPr>
          <w:rFonts w:ascii="Times New Roman" w:eastAsia="Times New Roman" w:hAnsi="Times New Roman"/>
          <w:sz w:val="24"/>
          <w:lang w:val="en-US" w:eastAsia="ru-RU"/>
        </w:rPr>
        <w:t xml:space="preserve">Assessment of the impact of external economic factors on the implementation of the priorities of socio-economic and innovative development on the example of the federal districts - 2020. - Volume 10. - No. 2. - P. 891-900. </w:t>
      </w:r>
      <w:proofErr w:type="spellStart"/>
      <w:proofErr w:type="gramStart"/>
      <w:r w:rsidRPr="00EF63A4">
        <w:rPr>
          <w:rFonts w:ascii="Times New Roman" w:eastAsia="Times New Roman" w:hAnsi="Times New Roman"/>
          <w:sz w:val="24"/>
          <w:lang w:val="en-US" w:eastAsia="ru-RU"/>
        </w:rPr>
        <w:t>doi</w:t>
      </w:r>
      <w:proofErr w:type="spellEnd"/>
      <w:proofErr w:type="gramEnd"/>
      <w:r w:rsidRPr="00EF63A4">
        <w:rPr>
          <w:rFonts w:ascii="Times New Roman" w:eastAsia="Times New Roman" w:hAnsi="Times New Roman"/>
          <w:sz w:val="24"/>
          <w:lang w:val="en-US" w:eastAsia="ru-RU"/>
        </w:rPr>
        <w:t>: 10.18334 / vinec.10.2.102146</w:t>
      </w:r>
      <w:bookmarkStart w:id="0" w:name="_GoBack"/>
      <w:bookmarkEnd w:id="0"/>
    </w:p>
    <w:sectPr w:rsidR="00700C41" w:rsidRPr="00F41E3F" w:rsidSect="00C57E2F">
      <w:footnotePr>
        <w:pos w:val="beneathText"/>
      </w:footnotePr>
      <w:pgSz w:w="11905" w:h="16837"/>
      <w:pgMar w:top="1134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2863"/>
    <w:multiLevelType w:val="hybridMultilevel"/>
    <w:tmpl w:val="EB5EF614"/>
    <w:lvl w:ilvl="0" w:tplc="51FA354C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BC687B"/>
    <w:multiLevelType w:val="hybridMultilevel"/>
    <w:tmpl w:val="9286C208"/>
    <w:lvl w:ilvl="0" w:tplc="1D68874A">
      <w:start w:val="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1F"/>
    <w:rsid w:val="0000509D"/>
    <w:rsid w:val="00031C9F"/>
    <w:rsid w:val="00057F37"/>
    <w:rsid w:val="000869AD"/>
    <w:rsid w:val="000C29F7"/>
    <w:rsid w:val="002C0B3F"/>
    <w:rsid w:val="002D5AEC"/>
    <w:rsid w:val="00432670"/>
    <w:rsid w:val="004A0751"/>
    <w:rsid w:val="004A4CE7"/>
    <w:rsid w:val="00504E91"/>
    <w:rsid w:val="005E3D9F"/>
    <w:rsid w:val="00621D2E"/>
    <w:rsid w:val="00694516"/>
    <w:rsid w:val="006A558F"/>
    <w:rsid w:val="00700C41"/>
    <w:rsid w:val="00736EF9"/>
    <w:rsid w:val="007B676F"/>
    <w:rsid w:val="008B17F6"/>
    <w:rsid w:val="008C2C68"/>
    <w:rsid w:val="008C2F7D"/>
    <w:rsid w:val="00915E16"/>
    <w:rsid w:val="009D228C"/>
    <w:rsid w:val="00B64259"/>
    <w:rsid w:val="00C1141F"/>
    <w:rsid w:val="00C22425"/>
    <w:rsid w:val="00C812EB"/>
    <w:rsid w:val="00CF2DC8"/>
    <w:rsid w:val="00D04149"/>
    <w:rsid w:val="00D32076"/>
    <w:rsid w:val="00DC2118"/>
    <w:rsid w:val="00DF0C78"/>
    <w:rsid w:val="00F13CF2"/>
    <w:rsid w:val="00F30EE7"/>
    <w:rsid w:val="00F41E3F"/>
    <w:rsid w:val="00F5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9DCD"/>
  <w15:docId w15:val="{AA5BF7EE-F765-4DE9-AABC-C525B625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3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41E3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1E3F"/>
    <w:pPr>
      <w:shd w:val="clear" w:color="auto" w:fill="FFFFFF"/>
      <w:suppressAutoHyphens w:val="0"/>
      <w:spacing w:line="0" w:lineRule="atLeast"/>
      <w:ind w:hanging="840"/>
      <w:jc w:val="center"/>
    </w:pPr>
    <w:rPr>
      <w:rFonts w:ascii="Times New Roman" w:eastAsiaTheme="minorHAnsi" w:hAnsi="Times New Roman" w:cstheme="minorBidi"/>
      <w:b/>
      <w:bCs/>
      <w:kern w:val="0"/>
      <w:sz w:val="28"/>
      <w:szCs w:val="28"/>
    </w:rPr>
  </w:style>
  <w:style w:type="paragraph" w:styleId="a3">
    <w:name w:val="List Paragraph"/>
    <w:basedOn w:val="a"/>
    <w:uiPriority w:val="34"/>
    <w:qFormat/>
    <w:rsid w:val="00086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EE7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E3D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3D9F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3D9F"/>
    <w:rPr>
      <w:rFonts w:ascii="Arial" w:eastAsia="Lucida Sans Unicode" w:hAnsi="Arial" w:cs="Times New Roman"/>
      <w:kern w:val="1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3D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3D9F"/>
    <w:rPr>
      <w:rFonts w:ascii="Arial" w:eastAsia="Lucida Sans Unicode" w:hAnsi="Arial" w:cs="Times New Roman"/>
      <w:b/>
      <w:bCs/>
      <w:kern w:val="1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D2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Лист1!$G$3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Лист1!$F$4:$F$9</c:f>
              <c:strCache>
                <c:ptCount val="6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 (без АО)</c:v>
                </c:pt>
                <c:pt idx="3">
                  <c:v>ХМАО</c:v>
                </c:pt>
                <c:pt idx="4">
                  <c:v>ЯНАО</c:v>
                </c:pt>
                <c:pt idx="5">
                  <c:v>Челябинская область</c:v>
                </c:pt>
              </c:strCache>
            </c:strRef>
          </c:cat>
          <c:val>
            <c:numRef>
              <c:f>Лист1!$G$4:$G$9</c:f>
              <c:numCache>
                <c:formatCode>General</c:formatCode>
                <c:ptCount val="6"/>
                <c:pt idx="0">
                  <c:v>180</c:v>
                </c:pt>
                <c:pt idx="1">
                  <c:v>3009</c:v>
                </c:pt>
                <c:pt idx="2">
                  <c:v>770</c:v>
                </c:pt>
                <c:pt idx="3">
                  <c:v>209</c:v>
                </c:pt>
                <c:pt idx="4">
                  <c:v>19</c:v>
                </c:pt>
                <c:pt idx="5">
                  <c:v>928</c:v>
                </c:pt>
              </c:numCache>
            </c:numRef>
          </c:val>
        </c:ser>
        <c:ser>
          <c:idx val="1"/>
          <c:order val="1"/>
          <c:tx>
            <c:strRef>
              <c:f>Лист1!$H$3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Лист1!$F$4:$F$9</c:f>
              <c:strCache>
                <c:ptCount val="6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 (без АО)</c:v>
                </c:pt>
                <c:pt idx="3">
                  <c:v>ХМАО</c:v>
                </c:pt>
                <c:pt idx="4">
                  <c:v>ЯНАО</c:v>
                </c:pt>
                <c:pt idx="5">
                  <c:v>Челябинская область</c:v>
                </c:pt>
              </c:strCache>
            </c:strRef>
          </c:cat>
          <c:val>
            <c:numRef>
              <c:f>Лист1!$H$4:$H$9</c:f>
              <c:numCache>
                <c:formatCode>General</c:formatCode>
                <c:ptCount val="6"/>
                <c:pt idx="0">
                  <c:v>155</c:v>
                </c:pt>
                <c:pt idx="1">
                  <c:v>2674</c:v>
                </c:pt>
                <c:pt idx="2">
                  <c:v>737</c:v>
                </c:pt>
                <c:pt idx="3">
                  <c:v>149</c:v>
                </c:pt>
                <c:pt idx="4">
                  <c:v>22</c:v>
                </c:pt>
                <c:pt idx="5">
                  <c:v>1138</c:v>
                </c:pt>
              </c:numCache>
            </c:numRef>
          </c:val>
        </c:ser>
        <c:ser>
          <c:idx val="2"/>
          <c:order val="2"/>
          <c:tx>
            <c:strRef>
              <c:f>Лист1!$I$3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Лист1!$F$4:$F$9</c:f>
              <c:strCache>
                <c:ptCount val="6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 (без АО)</c:v>
                </c:pt>
                <c:pt idx="3">
                  <c:v>ХМАО</c:v>
                </c:pt>
                <c:pt idx="4">
                  <c:v>ЯНАО</c:v>
                </c:pt>
                <c:pt idx="5">
                  <c:v>Челябинская область</c:v>
                </c:pt>
              </c:strCache>
            </c:strRef>
          </c:cat>
          <c:val>
            <c:numRef>
              <c:f>Лист1!$I$4:$I$9</c:f>
              <c:numCache>
                <c:formatCode>General</c:formatCode>
                <c:ptCount val="6"/>
                <c:pt idx="0">
                  <c:v>143</c:v>
                </c:pt>
                <c:pt idx="1">
                  <c:v>2627</c:v>
                </c:pt>
                <c:pt idx="2">
                  <c:v>539</c:v>
                </c:pt>
                <c:pt idx="3">
                  <c:v>101</c:v>
                </c:pt>
                <c:pt idx="4">
                  <c:v>18</c:v>
                </c:pt>
                <c:pt idx="5">
                  <c:v>1127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9655384"/>
        <c:axId val="479655776"/>
      </c:barChart>
      <c:catAx>
        <c:axId val="479655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9655776"/>
        <c:crosses val="autoZero"/>
        <c:auto val="1"/>
        <c:lblAlgn val="ctr"/>
        <c:lblOffset val="100"/>
        <c:noMultiLvlLbl val="0"/>
      </c:catAx>
      <c:valAx>
        <c:axId val="47965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9655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ZakharovaVV</dc:creator>
  <cp:lastModifiedBy>ZakharovaVV</cp:lastModifiedBy>
  <cp:revision>9</cp:revision>
  <cp:lastPrinted>2021-06-07T13:19:00Z</cp:lastPrinted>
  <dcterms:created xsi:type="dcterms:W3CDTF">2021-06-07T13:35:00Z</dcterms:created>
  <dcterms:modified xsi:type="dcterms:W3CDTF">2021-06-10T06:12:00Z</dcterms:modified>
</cp:coreProperties>
</file>