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568" w:rsidRPr="006F7B65" w:rsidRDefault="00144407" w:rsidP="0074140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УДК </w:t>
      </w:r>
      <w:r w:rsidR="006F7B65" w:rsidRPr="006F7B65">
        <w:rPr>
          <w:rFonts w:ascii="Times New Roman" w:hAnsi="Times New Roman" w:cs="Times New Roman"/>
          <w:b/>
          <w:sz w:val="24"/>
          <w:szCs w:val="24"/>
          <w:lang w:val="en-US"/>
        </w:rPr>
        <w:t>332.1</w:t>
      </w:r>
      <w:r w:rsidR="00FA1A02" w:rsidRPr="006F7B65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ББК </w:t>
      </w:r>
      <w:r w:rsidR="006F7B65" w:rsidRPr="006F7B65">
        <w:rPr>
          <w:rFonts w:ascii="Times New Roman" w:hAnsi="Times New Roman" w:cs="Times New Roman"/>
          <w:b/>
          <w:sz w:val="24"/>
          <w:szCs w:val="24"/>
        </w:rPr>
        <w:t>65.9(2Рос…)</w:t>
      </w:r>
    </w:p>
    <w:p w:rsidR="0074140E" w:rsidRPr="006F7B65" w:rsidRDefault="0074140E" w:rsidP="0074140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7B65">
        <w:rPr>
          <w:rFonts w:ascii="Times New Roman" w:hAnsi="Times New Roman" w:cs="Times New Roman"/>
          <w:b/>
          <w:sz w:val="24"/>
          <w:szCs w:val="24"/>
        </w:rPr>
        <w:t>Широкова Е.Ю.</w:t>
      </w:r>
    </w:p>
    <w:p w:rsidR="0074140E" w:rsidRPr="006F7B65" w:rsidRDefault="00C32A12" w:rsidP="007414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B65">
        <w:rPr>
          <w:rFonts w:ascii="Times New Roman" w:hAnsi="Times New Roman" w:cs="Times New Roman"/>
          <w:b/>
          <w:sz w:val="24"/>
          <w:szCs w:val="24"/>
        </w:rPr>
        <w:t>ДИНАМИКА</w:t>
      </w:r>
      <w:r w:rsidR="0074140E" w:rsidRPr="006F7B65">
        <w:rPr>
          <w:rFonts w:ascii="Times New Roman" w:hAnsi="Times New Roman" w:cs="Times New Roman"/>
          <w:b/>
          <w:sz w:val="24"/>
          <w:szCs w:val="24"/>
        </w:rPr>
        <w:t xml:space="preserve"> ИННОВАЦИОННОЙ АКТИВНОСТИ ПРЕДПРИЯТИЙ</w:t>
      </w:r>
    </w:p>
    <w:p w:rsidR="0074140E" w:rsidRPr="006F7B65" w:rsidRDefault="0074140E" w:rsidP="007414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40E" w:rsidRDefault="00144407" w:rsidP="007414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Аннотация. </w:t>
      </w:r>
      <w:r w:rsidR="003D1990">
        <w:rPr>
          <w:rFonts w:ascii="Times New Roman" w:hAnsi="Times New Roman" w:cs="Times New Roman"/>
          <w:i/>
          <w:sz w:val="24"/>
          <w:szCs w:val="24"/>
        </w:rPr>
        <w:t>В исследовании выявлена динамика инновационной активности предприятий по четырем индикаторам в целом для страны, для региона-лидера и аутсайдера по конкретному показателю. Явный рост определен лишь по затратам на инновационную деятельность, в то время как остальные индикаторы указывают на стагнационные процессы в данной сфере.</w:t>
      </w:r>
    </w:p>
    <w:p w:rsidR="0074140E" w:rsidRDefault="00144407" w:rsidP="007414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Ключевые слова: </w:t>
      </w:r>
      <w:r>
        <w:rPr>
          <w:rFonts w:ascii="Times New Roman" w:hAnsi="Times New Roman" w:cs="Times New Roman"/>
          <w:i/>
          <w:sz w:val="24"/>
          <w:szCs w:val="24"/>
        </w:rPr>
        <w:t>инновации</w:t>
      </w:r>
      <w:r w:rsidR="003D199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F7B65">
        <w:rPr>
          <w:rFonts w:ascii="Times New Roman" w:hAnsi="Times New Roman" w:cs="Times New Roman"/>
          <w:i/>
          <w:sz w:val="24"/>
          <w:szCs w:val="24"/>
        </w:rPr>
        <w:t>страна</w:t>
      </w:r>
      <w:r w:rsidR="006F7B65" w:rsidRPr="00144407">
        <w:rPr>
          <w:rFonts w:ascii="Times New Roman" w:hAnsi="Times New Roman" w:cs="Times New Roman"/>
          <w:i/>
          <w:sz w:val="24"/>
          <w:szCs w:val="24"/>
        </w:rPr>
        <w:t>,</w:t>
      </w:r>
      <w:r w:rsidR="006F7B65">
        <w:rPr>
          <w:rFonts w:ascii="Times New Roman" w:hAnsi="Times New Roman" w:cs="Times New Roman"/>
          <w:i/>
          <w:sz w:val="24"/>
          <w:szCs w:val="24"/>
        </w:rPr>
        <w:t xml:space="preserve"> регион, активность, импортозависимость</w:t>
      </w:r>
    </w:p>
    <w:p w:rsidR="0074140E" w:rsidRDefault="0074140E" w:rsidP="007414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140E" w:rsidRDefault="004603A3" w:rsidP="00741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3A3">
        <w:rPr>
          <w:rFonts w:ascii="Times New Roman" w:hAnsi="Times New Roman" w:cs="Times New Roman"/>
          <w:sz w:val="24"/>
          <w:szCs w:val="24"/>
        </w:rPr>
        <w:t>Инновации в современном мире являются основой эффективно</w:t>
      </w:r>
      <w:r>
        <w:rPr>
          <w:rFonts w:ascii="Times New Roman" w:hAnsi="Times New Roman" w:cs="Times New Roman"/>
          <w:sz w:val="24"/>
          <w:szCs w:val="24"/>
        </w:rPr>
        <w:t xml:space="preserve">сти предприятий. Развитие научно-технического прогресса проходит в режиме цифровизации и внедрения большого числа современных технических средств </w:t>
      </w:r>
      <w:r w:rsidR="0036377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повседневн</w:t>
      </w:r>
      <w:r w:rsidR="0036377F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="0036377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предприятий и организаций. Ряд отраслей экономики напрямую зависят от уровня </w:t>
      </w:r>
      <w:r w:rsidR="0036377F">
        <w:rPr>
          <w:rFonts w:ascii="Times New Roman" w:hAnsi="Times New Roman" w:cs="Times New Roman"/>
          <w:sz w:val="24"/>
          <w:szCs w:val="24"/>
        </w:rPr>
        <w:t>вводимых</w:t>
      </w:r>
      <w:r>
        <w:rPr>
          <w:rFonts w:ascii="Times New Roman" w:hAnsi="Times New Roman" w:cs="Times New Roman"/>
          <w:sz w:val="24"/>
          <w:szCs w:val="24"/>
        </w:rPr>
        <w:t xml:space="preserve"> в производственный процесс технологий и, при отсутствии необходимых отечественных разработок, становятся импортозависимыми от зарубежных</w:t>
      </w:r>
      <w:r w:rsidR="00EA1379">
        <w:rPr>
          <w:rFonts w:ascii="Times New Roman" w:hAnsi="Times New Roman" w:cs="Times New Roman"/>
          <w:sz w:val="24"/>
          <w:szCs w:val="24"/>
        </w:rPr>
        <w:t xml:space="preserve"> торговых партнеров. </w:t>
      </w:r>
      <w:r w:rsidR="0036377F">
        <w:rPr>
          <w:rFonts w:ascii="Times New Roman" w:hAnsi="Times New Roman" w:cs="Times New Roman"/>
          <w:sz w:val="24"/>
          <w:szCs w:val="24"/>
        </w:rPr>
        <w:t xml:space="preserve">В </w:t>
      </w:r>
      <w:r w:rsidR="000F5ED1">
        <w:rPr>
          <w:rFonts w:ascii="Times New Roman" w:hAnsi="Times New Roman" w:cs="Times New Roman"/>
          <w:sz w:val="24"/>
          <w:szCs w:val="24"/>
        </w:rPr>
        <w:t xml:space="preserve">отношениях с </w:t>
      </w:r>
      <w:r w:rsidR="00EA1379">
        <w:rPr>
          <w:rFonts w:ascii="Times New Roman" w:hAnsi="Times New Roman" w:cs="Times New Roman"/>
          <w:sz w:val="24"/>
          <w:szCs w:val="24"/>
        </w:rPr>
        <w:t>развиты</w:t>
      </w:r>
      <w:r w:rsidR="000F5ED1">
        <w:rPr>
          <w:rFonts w:ascii="Times New Roman" w:hAnsi="Times New Roman" w:cs="Times New Roman"/>
          <w:sz w:val="24"/>
          <w:szCs w:val="24"/>
        </w:rPr>
        <w:t>ми</w:t>
      </w:r>
      <w:r w:rsidR="00EA1379">
        <w:rPr>
          <w:rFonts w:ascii="Times New Roman" w:hAnsi="Times New Roman" w:cs="Times New Roman"/>
          <w:sz w:val="24"/>
          <w:szCs w:val="24"/>
        </w:rPr>
        <w:t xml:space="preserve"> страна</w:t>
      </w:r>
      <w:r w:rsidR="000F5ED1">
        <w:rPr>
          <w:rFonts w:ascii="Times New Roman" w:hAnsi="Times New Roman" w:cs="Times New Roman"/>
          <w:sz w:val="24"/>
          <w:szCs w:val="24"/>
        </w:rPr>
        <w:t>ми</w:t>
      </w:r>
      <w:r w:rsidR="00EA1379">
        <w:rPr>
          <w:rFonts w:ascii="Times New Roman" w:hAnsi="Times New Roman" w:cs="Times New Roman"/>
          <w:sz w:val="24"/>
          <w:szCs w:val="24"/>
        </w:rPr>
        <w:t xml:space="preserve"> существует особенность</w:t>
      </w:r>
      <w:r w:rsidR="000F5ED1">
        <w:rPr>
          <w:rFonts w:ascii="Times New Roman" w:hAnsi="Times New Roman" w:cs="Times New Roman"/>
          <w:sz w:val="24"/>
          <w:szCs w:val="24"/>
        </w:rPr>
        <w:t>:</w:t>
      </w:r>
      <w:r w:rsidR="00EA1379">
        <w:rPr>
          <w:rFonts w:ascii="Times New Roman" w:hAnsi="Times New Roman" w:cs="Times New Roman"/>
          <w:sz w:val="24"/>
          <w:szCs w:val="24"/>
        </w:rPr>
        <w:t xml:space="preserve"> торговля высокотехнологичными товарами осуществляется беспрепятственно, в то время как покупка технологий практически невозможна</w:t>
      </w:r>
      <w:r w:rsidR="0036377F">
        <w:rPr>
          <w:rFonts w:ascii="Times New Roman" w:hAnsi="Times New Roman" w:cs="Times New Roman"/>
          <w:sz w:val="24"/>
          <w:szCs w:val="24"/>
        </w:rPr>
        <w:t>.</w:t>
      </w:r>
      <w:r w:rsidR="00EA1379">
        <w:rPr>
          <w:rFonts w:ascii="Times New Roman" w:hAnsi="Times New Roman" w:cs="Times New Roman"/>
          <w:sz w:val="24"/>
          <w:szCs w:val="24"/>
        </w:rPr>
        <w:t xml:space="preserve"> </w:t>
      </w:r>
      <w:r w:rsidR="0036377F">
        <w:rPr>
          <w:rFonts w:ascii="Times New Roman" w:hAnsi="Times New Roman" w:cs="Times New Roman"/>
          <w:sz w:val="24"/>
          <w:szCs w:val="24"/>
        </w:rPr>
        <w:t>Таким образом</w:t>
      </w:r>
      <w:r w:rsidR="000F5ED1">
        <w:rPr>
          <w:rFonts w:ascii="Times New Roman" w:hAnsi="Times New Roman" w:cs="Times New Roman"/>
          <w:sz w:val="24"/>
          <w:szCs w:val="24"/>
        </w:rPr>
        <w:t xml:space="preserve"> </w:t>
      </w:r>
      <w:r w:rsidR="00EA1379">
        <w:rPr>
          <w:rFonts w:ascii="Times New Roman" w:hAnsi="Times New Roman" w:cs="Times New Roman"/>
          <w:sz w:val="24"/>
          <w:szCs w:val="24"/>
        </w:rPr>
        <w:t>страна-импортер заведомо обрекает себя на подчиненное технологическое положение.</w:t>
      </w:r>
      <w:r w:rsidR="000F5ED1">
        <w:rPr>
          <w:rFonts w:ascii="Times New Roman" w:hAnsi="Times New Roman" w:cs="Times New Roman"/>
          <w:sz w:val="24"/>
          <w:szCs w:val="24"/>
        </w:rPr>
        <w:t xml:space="preserve"> С учетом уже существующего лага в технологическом развитии России</w:t>
      </w:r>
      <w:r w:rsidR="000F5ED1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="000F5ED1">
        <w:rPr>
          <w:rFonts w:ascii="Times New Roman" w:hAnsi="Times New Roman" w:cs="Times New Roman"/>
          <w:sz w:val="24"/>
          <w:szCs w:val="24"/>
        </w:rPr>
        <w:t xml:space="preserve"> с развитыми странами мира, его увеличение приведет к негативным последствиям для социально-экономической системы в будущем.</w:t>
      </w:r>
    </w:p>
    <w:p w:rsidR="0036377F" w:rsidRDefault="0072516E" w:rsidP="00741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показатели, характеризующие инновационную активность организаций в стране</w:t>
      </w:r>
      <w:r w:rsidR="00A467BE">
        <w:rPr>
          <w:rFonts w:ascii="Times New Roman" w:hAnsi="Times New Roman" w:cs="Times New Roman"/>
          <w:sz w:val="24"/>
          <w:szCs w:val="24"/>
        </w:rPr>
        <w:t>, в регионе-лидере и регионе-аутсайдере</w:t>
      </w:r>
      <w:r w:rsidR="0036377F">
        <w:rPr>
          <w:rFonts w:ascii="Times New Roman" w:hAnsi="Times New Roman" w:cs="Times New Roman"/>
          <w:sz w:val="24"/>
          <w:szCs w:val="24"/>
        </w:rPr>
        <w:t xml:space="preserve"> по конкретному индикатору</w:t>
      </w:r>
      <w:r w:rsidR="00A467BE">
        <w:rPr>
          <w:rFonts w:ascii="Times New Roman" w:hAnsi="Times New Roman" w:cs="Times New Roman"/>
          <w:sz w:val="24"/>
          <w:szCs w:val="24"/>
        </w:rPr>
        <w:t xml:space="preserve">. В исследовании принимают участие регионы, для которых статистические данные с 2006 по 2019 год представлены в полной мере. </w:t>
      </w:r>
      <w:r w:rsidR="0036377F">
        <w:rPr>
          <w:rFonts w:ascii="Times New Roman" w:hAnsi="Times New Roman" w:cs="Times New Roman"/>
          <w:sz w:val="24"/>
          <w:szCs w:val="24"/>
        </w:rPr>
        <w:t xml:space="preserve">В качестве информационной базы работы выбраны данные Росстата. </w:t>
      </w:r>
    </w:p>
    <w:p w:rsidR="000F5ED1" w:rsidRDefault="00082CB8" w:rsidP="00741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Российской Федерации уровень инновационной активности предприятий</w:t>
      </w:r>
      <w:r w:rsidR="00E6342E">
        <w:rPr>
          <w:rFonts w:ascii="Times New Roman" w:hAnsi="Times New Roman" w:cs="Times New Roman"/>
          <w:sz w:val="24"/>
          <w:szCs w:val="24"/>
        </w:rPr>
        <w:t xml:space="preserve"> в последние годы снижается (рис. 1).</w:t>
      </w:r>
    </w:p>
    <w:p w:rsidR="00E6342E" w:rsidRDefault="00E6342E" w:rsidP="00741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42E" w:rsidRPr="0036377F" w:rsidRDefault="00E6342E" w:rsidP="006353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35355" w:rsidRDefault="00635355" w:rsidP="006353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Рис</w:t>
      </w:r>
      <w:r w:rsidR="00CC4A74">
        <w:rPr>
          <w:rFonts w:ascii="Times New Roman" w:hAnsi="Times New Roman" w:cs="Times New Roman"/>
          <w:sz w:val="24"/>
          <w:szCs w:val="24"/>
        </w:rPr>
        <w:t>унок</w:t>
      </w:r>
      <w:r>
        <w:rPr>
          <w:rFonts w:ascii="Times New Roman" w:hAnsi="Times New Roman" w:cs="Times New Roman"/>
          <w:sz w:val="24"/>
          <w:szCs w:val="24"/>
        </w:rPr>
        <w:t xml:space="preserve"> 1. Уровень инновационной активности организаций</w:t>
      </w:r>
      <w:r w:rsidR="00CC4A74">
        <w:rPr>
          <w:rFonts w:ascii="Times New Roman" w:hAnsi="Times New Roman" w:cs="Times New Roman"/>
          <w:sz w:val="24"/>
          <w:szCs w:val="24"/>
        </w:rPr>
        <w:t xml:space="preserve"> (2006–2019 гг.)</w:t>
      </w:r>
      <w:r>
        <w:rPr>
          <w:rFonts w:ascii="Times New Roman" w:hAnsi="Times New Roman" w:cs="Times New Roman"/>
          <w:sz w:val="24"/>
          <w:szCs w:val="24"/>
        </w:rPr>
        <w:t>, %</w:t>
      </w:r>
    </w:p>
    <w:p w:rsidR="00635355" w:rsidRDefault="00144407" w:rsidP="001444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Пояснение:</w:t>
      </w:r>
      <w:r w:rsidR="00635355">
        <w:rPr>
          <w:rFonts w:ascii="Times New Roman" w:hAnsi="Times New Roman" w:cs="Times New Roman"/>
          <w:sz w:val="20"/>
          <w:szCs w:val="24"/>
        </w:rPr>
        <w:t>* – по критериям 3 редакции Руководства Осло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r w:rsidR="00635355">
        <w:rPr>
          <w:rFonts w:ascii="Times New Roman" w:hAnsi="Times New Roman" w:cs="Times New Roman"/>
          <w:sz w:val="20"/>
          <w:szCs w:val="24"/>
        </w:rPr>
        <w:t>** – по критериям 4 редакции Руководства Осло</w:t>
      </w:r>
    </w:p>
    <w:p w:rsidR="00635355" w:rsidRPr="00635355" w:rsidRDefault="00635355" w:rsidP="001444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Источник: Росстат.</w:t>
      </w:r>
    </w:p>
    <w:p w:rsidR="000F5ED1" w:rsidRDefault="000F5ED1" w:rsidP="00741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BB3" w:rsidRDefault="00085BB3" w:rsidP="00741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Отметим, что в России регионом с самым низким уровнем инновационной активности предприятий в 2019 г. явля</w:t>
      </w:r>
      <w:r w:rsidR="0036377F">
        <w:rPr>
          <w:rFonts w:ascii="Times New Roman" w:hAnsi="Times New Roman" w:cs="Times New Roman"/>
          <w:sz w:val="24"/>
          <w:szCs w:val="24"/>
        </w:rPr>
        <w:t>лась</w:t>
      </w:r>
      <w:r>
        <w:rPr>
          <w:rFonts w:ascii="Times New Roman" w:hAnsi="Times New Roman" w:cs="Times New Roman"/>
          <w:sz w:val="24"/>
          <w:szCs w:val="24"/>
        </w:rPr>
        <w:t xml:space="preserve"> Чеченская Республика (0,2%), но для нее нет полного ряда показателей с 2006 года, поэтому на графике представлен субъект РФ с самым низким значением показателя при наличии полного ряда данных.</w:t>
      </w:r>
    </w:p>
    <w:p w:rsidR="00085BB3" w:rsidRDefault="00423FE6" w:rsidP="00741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переходе к расчету показателя по новой методике </w:t>
      </w:r>
      <w:r w:rsidR="0036377F">
        <w:rPr>
          <w:rFonts w:ascii="Times New Roman" w:hAnsi="Times New Roman" w:cs="Times New Roman"/>
          <w:sz w:val="24"/>
          <w:szCs w:val="24"/>
        </w:rPr>
        <w:t xml:space="preserve">в 2017 г. </w:t>
      </w:r>
      <w:r>
        <w:rPr>
          <w:rFonts w:ascii="Times New Roman" w:hAnsi="Times New Roman" w:cs="Times New Roman"/>
          <w:sz w:val="24"/>
          <w:szCs w:val="24"/>
        </w:rPr>
        <w:t xml:space="preserve">уровень инновационной активности в среднем повысился, но за два последующих года </w:t>
      </w:r>
      <w:r w:rsidR="0036377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регион</w:t>
      </w:r>
      <w:r w:rsidR="0036377F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страны в среднем </w:t>
      </w:r>
      <w:r w:rsidR="0036377F">
        <w:rPr>
          <w:rFonts w:ascii="Times New Roman" w:hAnsi="Times New Roman" w:cs="Times New Roman"/>
          <w:sz w:val="24"/>
          <w:szCs w:val="24"/>
        </w:rPr>
        <w:t xml:space="preserve">инновационная активность </w:t>
      </w:r>
      <w:r>
        <w:rPr>
          <w:rFonts w:ascii="Times New Roman" w:hAnsi="Times New Roman" w:cs="Times New Roman"/>
          <w:sz w:val="24"/>
          <w:szCs w:val="24"/>
        </w:rPr>
        <w:t>снизил</w:t>
      </w:r>
      <w:r w:rsidR="0036377F">
        <w:rPr>
          <w:rFonts w:ascii="Times New Roman" w:hAnsi="Times New Roman" w:cs="Times New Roman"/>
          <w:sz w:val="24"/>
          <w:szCs w:val="24"/>
        </w:rPr>
        <w:t>ась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0C459E">
        <w:rPr>
          <w:rFonts w:ascii="Times New Roman" w:hAnsi="Times New Roman" w:cs="Times New Roman"/>
          <w:sz w:val="24"/>
          <w:szCs w:val="24"/>
        </w:rPr>
        <w:t xml:space="preserve"> При этом</w:t>
      </w:r>
      <w:r w:rsidR="004B57C0">
        <w:rPr>
          <w:rFonts w:ascii="Times New Roman" w:hAnsi="Times New Roman" w:cs="Times New Roman"/>
          <w:sz w:val="24"/>
          <w:szCs w:val="24"/>
        </w:rPr>
        <w:t xml:space="preserve"> можно отметить, что удельный вес организаций, осуществлявших технологические инновации, немного вырос (рис. 2).</w:t>
      </w:r>
    </w:p>
    <w:p w:rsidR="0074140E" w:rsidRPr="00FA1A02" w:rsidRDefault="0074140E" w:rsidP="007414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A1A02" w:rsidRDefault="004B57C0" w:rsidP="007414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57C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E42D6" w:rsidRDefault="005E42D6" w:rsidP="005E42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</w:t>
      </w:r>
      <w:r w:rsidR="00CC4A74">
        <w:rPr>
          <w:rFonts w:ascii="Times New Roman" w:hAnsi="Times New Roman" w:cs="Times New Roman"/>
          <w:sz w:val="24"/>
          <w:szCs w:val="24"/>
        </w:rPr>
        <w:t>унок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Pr="005E42D6">
        <w:rPr>
          <w:rFonts w:ascii="Times New Roman" w:hAnsi="Times New Roman" w:cs="Times New Roman"/>
          <w:sz w:val="24"/>
          <w:szCs w:val="24"/>
        </w:rPr>
        <w:t>Удельный вес организаций</w:t>
      </w:r>
      <w:r w:rsidR="00CC4A74">
        <w:rPr>
          <w:rFonts w:ascii="Times New Roman" w:hAnsi="Times New Roman" w:cs="Times New Roman"/>
          <w:sz w:val="24"/>
          <w:szCs w:val="24"/>
        </w:rPr>
        <w:t xml:space="preserve"> (2006–2019 гг.)</w:t>
      </w:r>
      <w:r w:rsidRPr="005E42D6">
        <w:rPr>
          <w:rFonts w:ascii="Times New Roman" w:hAnsi="Times New Roman" w:cs="Times New Roman"/>
          <w:sz w:val="24"/>
          <w:szCs w:val="24"/>
        </w:rPr>
        <w:t>, осуществлявших технологические инновации</w:t>
      </w:r>
      <w:r>
        <w:rPr>
          <w:rFonts w:ascii="Times New Roman" w:hAnsi="Times New Roman" w:cs="Times New Roman"/>
          <w:sz w:val="24"/>
          <w:szCs w:val="24"/>
        </w:rPr>
        <w:t>, %</w:t>
      </w:r>
    </w:p>
    <w:p w:rsidR="005E42D6" w:rsidRDefault="00144407" w:rsidP="001444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Пояснение: </w:t>
      </w:r>
      <w:r w:rsidR="005E42D6">
        <w:rPr>
          <w:rFonts w:ascii="Times New Roman" w:hAnsi="Times New Roman" w:cs="Times New Roman"/>
          <w:sz w:val="20"/>
          <w:szCs w:val="24"/>
        </w:rPr>
        <w:t>* – по критериям 3 редакции Руководства Осло</w:t>
      </w:r>
      <w:r>
        <w:rPr>
          <w:rFonts w:ascii="Times New Roman" w:hAnsi="Times New Roman" w:cs="Times New Roman"/>
          <w:sz w:val="20"/>
          <w:szCs w:val="24"/>
        </w:rPr>
        <w:t>,</w:t>
      </w:r>
      <w:r w:rsidR="005E42D6">
        <w:rPr>
          <w:rFonts w:ascii="Times New Roman" w:hAnsi="Times New Roman" w:cs="Times New Roman"/>
          <w:sz w:val="20"/>
          <w:szCs w:val="24"/>
        </w:rPr>
        <w:t>** – по критериям 4 редакции Руководства Осло</w:t>
      </w:r>
    </w:p>
    <w:p w:rsidR="005E42D6" w:rsidRPr="00635355" w:rsidRDefault="005E42D6" w:rsidP="001444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Источник: Росстат.</w:t>
      </w:r>
    </w:p>
    <w:p w:rsidR="005E42D6" w:rsidRDefault="005E42D6" w:rsidP="005E4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2D6" w:rsidRDefault="00AF44D2" w:rsidP="00AF4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Динамика показателя для Республики Дагестан за период с 2006 по 2017 г. указывает на снижение более чем в 9 раз, хотя в начале рассматриваемого периода и в 2014 г. доля организаций, осуществлявших технологические инновации </w:t>
      </w:r>
      <w:r w:rsidR="005505C9">
        <w:rPr>
          <w:rFonts w:ascii="Times New Roman" w:hAnsi="Times New Roman" w:cs="Times New Roman"/>
          <w:sz w:val="24"/>
          <w:szCs w:val="24"/>
        </w:rPr>
        <w:t xml:space="preserve">в регионе </w:t>
      </w:r>
      <w:r>
        <w:rPr>
          <w:rFonts w:ascii="Times New Roman" w:hAnsi="Times New Roman" w:cs="Times New Roman"/>
          <w:sz w:val="24"/>
          <w:szCs w:val="24"/>
        </w:rPr>
        <w:t xml:space="preserve">находилась на среднем для страны уровне или даже превышала его. Переход на новую методологию расчета индикатора в ряде регионов привел к резкому изменению доли таких организаций. Так, в Москве показатель вырос с 13,6 до 40,5%. </w:t>
      </w:r>
    </w:p>
    <w:p w:rsidR="00161756" w:rsidRDefault="00161756" w:rsidP="00AF4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рассматривать объем финансирования инновационной деятельности, то в среднем по стране он вырос в текущих ценах в 9,2 раза, а в ценах 2006 года - в 3,5 раза (табл. 1).</w:t>
      </w:r>
    </w:p>
    <w:p w:rsidR="00161756" w:rsidRDefault="00161756" w:rsidP="00AF4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756" w:rsidRDefault="00F7774D" w:rsidP="00F7774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1.</w:t>
      </w:r>
    </w:p>
    <w:p w:rsidR="00F7774D" w:rsidRDefault="00F7774D" w:rsidP="00F777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инновационную деятельность организаций</w:t>
      </w:r>
      <w:r w:rsidR="00CC4A74">
        <w:rPr>
          <w:rFonts w:ascii="Times New Roman" w:hAnsi="Times New Roman" w:cs="Times New Roman"/>
          <w:sz w:val="24"/>
          <w:szCs w:val="24"/>
        </w:rPr>
        <w:t xml:space="preserve"> (2006–2019 гг.)</w:t>
      </w:r>
      <w:r>
        <w:rPr>
          <w:rFonts w:ascii="Times New Roman" w:hAnsi="Times New Roman" w:cs="Times New Roman"/>
          <w:sz w:val="24"/>
          <w:szCs w:val="24"/>
        </w:rPr>
        <w:t>*, млн. руб.</w:t>
      </w:r>
    </w:p>
    <w:tbl>
      <w:tblPr>
        <w:tblStyle w:val="a8"/>
        <w:tblW w:w="5000" w:type="pct"/>
        <w:tblLook w:val="04A0"/>
      </w:tblPr>
      <w:tblGrid>
        <w:gridCol w:w="1433"/>
        <w:gridCol w:w="1297"/>
        <w:gridCol w:w="1297"/>
        <w:gridCol w:w="1437"/>
        <w:gridCol w:w="1437"/>
        <w:gridCol w:w="1437"/>
        <w:gridCol w:w="1515"/>
      </w:tblGrid>
      <w:tr w:rsidR="00C75B1B" w:rsidTr="00144407">
        <w:tc>
          <w:tcPr>
            <w:tcW w:w="1433" w:type="dxa"/>
          </w:tcPr>
          <w:p w:rsidR="00F7774D" w:rsidRPr="00F7774D" w:rsidRDefault="00F7774D" w:rsidP="00F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4D"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1297" w:type="dxa"/>
          </w:tcPr>
          <w:p w:rsidR="00F7774D" w:rsidRPr="00F7774D" w:rsidRDefault="00F7774D" w:rsidP="00F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 г.</w:t>
            </w:r>
          </w:p>
        </w:tc>
        <w:tc>
          <w:tcPr>
            <w:tcW w:w="1297" w:type="dxa"/>
          </w:tcPr>
          <w:p w:rsidR="00F7774D" w:rsidRPr="00F7774D" w:rsidRDefault="00F7774D" w:rsidP="00F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1437" w:type="dxa"/>
          </w:tcPr>
          <w:p w:rsidR="00F7774D" w:rsidRPr="00F7774D" w:rsidRDefault="00F7774D" w:rsidP="00F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437" w:type="dxa"/>
          </w:tcPr>
          <w:p w:rsidR="00F7774D" w:rsidRPr="00F7774D" w:rsidRDefault="00F7774D" w:rsidP="00F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37" w:type="dxa"/>
          </w:tcPr>
          <w:p w:rsidR="00F7774D" w:rsidRPr="00F7774D" w:rsidRDefault="00F7774D" w:rsidP="00F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515" w:type="dxa"/>
          </w:tcPr>
          <w:p w:rsidR="00F7774D" w:rsidRPr="00F7774D" w:rsidRDefault="00F7774D" w:rsidP="00F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2019/2006, раз</w:t>
            </w:r>
          </w:p>
        </w:tc>
      </w:tr>
      <w:tr w:rsidR="00C75B1B" w:rsidTr="00144407">
        <w:tc>
          <w:tcPr>
            <w:tcW w:w="1433" w:type="dxa"/>
          </w:tcPr>
          <w:p w:rsidR="00F7774D" w:rsidRPr="00F12E60" w:rsidRDefault="00F7774D" w:rsidP="00F777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2E60">
              <w:rPr>
                <w:rFonts w:ascii="Times New Roman" w:hAnsi="Times New Roman" w:cs="Times New Roman"/>
                <w:i/>
                <w:sz w:val="24"/>
                <w:szCs w:val="24"/>
              </w:rPr>
              <w:t>РФ</w:t>
            </w:r>
          </w:p>
        </w:tc>
        <w:tc>
          <w:tcPr>
            <w:tcW w:w="1297" w:type="dxa"/>
            <w:vAlign w:val="center"/>
          </w:tcPr>
          <w:p w:rsidR="00F7774D" w:rsidRPr="005505C9" w:rsidRDefault="00F7774D" w:rsidP="005505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5C9">
              <w:rPr>
                <w:rFonts w:ascii="Times New Roman" w:hAnsi="Times New Roman" w:cs="Times New Roman"/>
                <w:i/>
                <w:sz w:val="24"/>
                <w:szCs w:val="24"/>
              </w:rPr>
              <w:t>211392</w:t>
            </w:r>
            <w:r w:rsidR="000519C9" w:rsidRPr="005505C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5505C9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  <w:p w:rsidR="00F7774D" w:rsidRPr="005505C9" w:rsidRDefault="00F7774D" w:rsidP="0055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F7774D" w:rsidRPr="00F12E60" w:rsidRDefault="00F7774D" w:rsidP="000519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2E60">
              <w:rPr>
                <w:rFonts w:ascii="Times New Roman" w:hAnsi="Times New Roman" w:cs="Times New Roman"/>
                <w:i/>
                <w:sz w:val="24"/>
                <w:szCs w:val="24"/>
              </w:rPr>
              <w:t>400803</w:t>
            </w:r>
            <w:r w:rsidR="000519C9" w:rsidRPr="00F12E6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F12E60">
              <w:rPr>
                <w:rFonts w:ascii="Times New Roman" w:hAnsi="Times New Roman" w:cs="Times New Roman"/>
                <w:i/>
                <w:sz w:val="24"/>
                <w:szCs w:val="24"/>
              </w:rPr>
              <w:t>8 267063</w:t>
            </w:r>
            <w:r w:rsidR="000519C9" w:rsidRPr="00F12E6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F12E6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37" w:type="dxa"/>
          </w:tcPr>
          <w:p w:rsidR="00F7774D" w:rsidRPr="00F12E60" w:rsidRDefault="00F7774D" w:rsidP="000519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2E60">
              <w:rPr>
                <w:rFonts w:ascii="Times New Roman" w:hAnsi="Times New Roman" w:cs="Times New Roman"/>
                <w:i/>
                <w:sz w:val="24"/>
                <w:szCs w:val="24"/>
              </w:rPr>
              <w:t>1211897</w:t>
            </w:r>
            <w:r w:rsidR="000519C9" w:rsidRPr="00F12E6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F12E60">
              <w:rPr>
                <w:rFonts w:ascii="Times New Roman" w:hAnsi="Times New Roman" w:cs="Times New Roman"/>
                <w:i/>
                <w:sz w:val="24"/>
                <w:szCs w:val="24"/>
              </w:rPr>
              <w:t>1 601783</w:t>
            </w:r>
            <w:r w:rsidR="000519C9" w:rsidRPr="00F12E6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F12E60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437" w:type="dxa"/>
          </w:tcPr>
          <w:p w:rsidR="00F7774D" w:rsidRPr="00F12E60" w:rsidRDefault="00F7774D" w:rsidP="000519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2E60">
              <w:rPr>
                <w:rFonts w:ascii="Times New Roman" w:hAnsi="Times New Roman" w:cs="Times New Roman"/>
                <w:i/>
                <w:sz w:val="24"/>
                <w:szCs w:val="24"/>
              </w:rPr>
              <w:t>1472822</w:t>
            </w:r>
            <w:r w:rsidR="000519C9" w:rsidRPr="00F12E6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F12E60">
              <w:rPr>
                <w:rFonts w:ascii="Times New Roman" w:hAnsi="Times New Roman" w:cs="Times New Roman"/>
                <w:i/>
                <w:sz w:val="24"/>
                <w:szCs w:val="24"/>
              </w:rPr>
              <w:t>3 574887</w:t>
            </w:r>
            <w:r w:rsidR="000519C9" w:rsidRPr="00F12E6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F12E6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37" w:type="dxa"/>
          </w:tcPr>
          <w:p w:rsidR="00F7774D" w:rsidRPr="00F12E60" w:rsidRDefault="00F7774D" w:rsidP="000519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2E60">
              <w:rPr>
                <w:rFonts w:ascii="Times New Roman" w:hAnsi="Times New Roman" w:cs="Times New Roman"/>
                <w:i/>
                <w:sz w:val="24"/>
                <w:szCs w:val="24"/>
              </w:rPr>
              <w:t>1954133</w:t>
            </w:r>
            <w:r w:rsidR="000519C9" w:rsidRPr="00F12E6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F12E60">
              <w:rPr>
                <w:rFonts w:ascii="Times New Roman" w:hAnsi="Times New Roman" w:cs="Times New Roman"/>
                <w:i/>
                <w:sz w:val="24"/>
                <w:szCs w:val="24"/>
              </w:rPr>
              <w:t>3 740540</w:t>
            </w:r>
            <w:r w:rsidR="000519C9" w:rsidRPr="00F12E6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F12E60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515" w:type="dxa"/>
          </w:tcPr>
          <w:p w:rsidR="00F7774D" w:rsidRPr="00F12E60" w:rsidRDefault="00F7774D" w:rsidP="00F777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2E60">
              <w:rPr>
                <w:rFonts w:ascii="Times New Roman" w:hAnsi="Times New Roman" w:cs="Times New Roman"/>
                <w:i/>
                <w:sz w:val="24"/>
                <w:szCs w:val="24"/>
              </w:rPr>
              <w:t>9,24</w:t>
            </w:r>
          </w:p>
          <w:p w:rsidR="00F7774D" w:rsidRPr="00F12E60" w:rsidRDefault="00F7774D" w:rsidP="00F777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2E60">
              <w:rPr>
                <w:rFonts w:ascii="Times New Roman" w:hAnsi="Times New Roman" w:cs="Times New Roman"/>
                <w:i/>
                <w:sz w:val="24"/>
                <w:szCs w:val="24"/>
              </w:rPr>
              <w:t>3,50</w:t>
            </w:r>
          </w:p>
        </w:tc>
      </w:tr>
      <w:tr w:rsidR="00C75B1B" w:rsidTr="00144407">
        <w:tc>
          <w:tcPr>
            <w:tcW w:w="1433" w:type="dxa"/>
          </w:tcPr>
          <w:p w:rsidR="00F7774D" w:rsidRPr="00F12E60" w:rsidRDefault="008B5E80" w:rsidP="00F7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</w:t>
            </w:r>
          </w:p>
        </w:tc>
        <w:tc>
          <w:tcPr>
            <w:tcW w:w="1297" w:type="dxa"/>
            <w:vAlign w:val="center"/>
          </w:tcPr>
          <w:p w:rsidR="00F7774D" w:rsidRPr="00F12E60" w:rsidRDefault="008B5E80" w:rsidP="0055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60">
              <w:rPr>
                <w:rFonts w:ascii="Times New Roman" w:hAnsi="Times New Roman" w:cs="Times New Roman"/>
                <w:sz w:val="24"/>
                <w:szCs w:val="24"/>
              </w:rPr>
              <w:t>21225</w:t>
            </w:r>
            <w:r w:rsidR="000519C9" w:rsidRPr="00F12E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2E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7" w:type="dxa"/>
          </w:tcPr>
          <w:p w:rsidR="00F7774D" w:rsidRPr="00F12E60" w:rsidRDefault="008B5E80" w:rsidP="0005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60">
              <w:rPr>
                <w:rFonts w:ascii="Times New Roman" w:hAnsi="Times New Roman" w:cs="Times New Roman"/>
                <w:sz w:val="24"/>
                <w:szCs w:val="24"/>
              </w:rPr>
              <w:t>22941</w:t>
            </w:r>
            <w:r w:rsidR="000519C9" w:rsidRPr="00F12E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2E60">
              <w:rPr>
                <w:rFonts w:ascii="Times New Roman" w:hAnsi="Times New Roman" w:cs="Times New Roman"/>
                <w:sz w:val="24"/>
                <w:szCs w:val="24"/>
              </w:rPr>
              <w:t>4 15475</w:t>
            </w:r>
            <w:r w:rsidR="000519C9" w:rsidRPr="00F12E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2E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7" w:type="dxa"/>
          </w:tcPr>
          <w:p w:rsidR="00F7774D" w:rsidRPr="00F12E60" w:rsidRDefault="008B5E80" w:rsidP="0005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60">
              <w:rPr>
                <w:rFonts w:ascii="Times New Roman" w:hAnsi="Times New Roman" w:cs="Times New Roman"/>
                <w:sz w:val="24"/>
                <w:szCs w:val="24"/>
              </w:rPr>
              <w:t>177475</w:t>
            </w:r>
            <w:r w:rsidR="000519C9" w:rsidRPr="00F12E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2E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75B1B" w:rsidRPr="00F12E60">
              <w:rPr>
                <w:rFonts w:ascii="Times New Roman" w:hAnsi="Times New Roman" w:cs="Times New Roman"/>
                <w:sz w:val="24"/>
                <w:szCs w:val="24"/>
              </w:rPr>
              <w:t xml:space="preserve"> 88395</w:t>
            </w:r>
            <w:r w:rsidR="000519C9" w:rsidRPr="00F12E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5B1B" w:rsidRPr="00F12E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7" w:type="dxa"/>
          </w:tcPr>
          <w:p w:rsidR="00F7774D" w:rsidRPr="00F12E60" w:rsidRDefault="008B5E80" w:rsidP="0005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60">
              <w:rPr>
                <w:rFonts w:ascii="Times New Roman" w:hAnsi="Times New Roman" w:cs="Times New Roman"/>
                <w:sz w:val="24"/>
                <w:szCs w:val="24"/>
              </w:rPr>
              <w:t>249579</w:t>
            </w:r>
            <w:r w:rsidR="000519C9" w:rsidRPr="00F12E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2E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5B1B" w:rsidRPr="00F12E60">
              <w:rPr>
                <w:rFonts w:ascii="Times New Roman" w:hAnsi="Times New Roman" w:cs="Times New Roman"/>
                <w:sz w:val="24"/>
                <w:szCs w:val="24"/>
              </w:rPr>
              <w:t xml:space="preserve"> 94673</w:t>
            </w:r>
            <w:r w:rsidR="000519C9" w:rsidRPr="00F12E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5B1B" w:rsidRPr="00F12E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7" w:type="dxa"/>
          </w:tcPr>
          <w:p w:rsidR="00F7774D" w:rsidRPr="00F12E60" w:rsidRDefault="008B5E80" w:rsidP="0005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60">
              <w:rPr>
                <w:rFonts w:ascii="Times New Roman" w:hAnsi="Times New Roman" w:cs="Times New Roman"/>
                <w:sz w:val="24"/>
                <w:szCs w:val="24"/>
              </w:rPr>
              <w:t>515945</w:t>
            </w:r>
            <w:r w:rsidR="000519C9" w:rsidRPr="00F12E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2E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75B1B" w:rsidRPr="00F12E60">
              <w:rPr>
                <w:rFonts w:ascii="Times New Roman" w:hAnsi="Times New Roman" w:cs="Times New Roman"/>
                <w:sz w:val="24"/>
                <w:szCs w:val="24"/>
              </w:rPr>
              <w:t xml:space="preserve"> 189279</w:t>
            </w:r>
            <w:r w:rsidR="000519C9" w:rsidRPr="00F12E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5B1B" w:rsidRPr="00F12E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5" w:type="dxa"/>
          </w:tcPr>
          <w:p w:rsidR="008B5E80" w:rsidRPr="00F12E60" w:rsidRDefault="008B5E80" w:rsidP="008B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60">
              <w:rPr>
                <w:rFonts w:ascii="Times New Roman" w:hAnsi="Times New Roman" w:cs="Times New Roman"/>
                <w:sz w:val="24"/>
                <w:szCs w:val="24"/>
              </w:rPr>
              <w:t>24,31</w:t>
            </w:r>
          </w:p>
          <w:p w:rsidR="00C75B1B" w:rsidRPr="00F12E60" w:rsidRDefault="00C75B1B" w:rsidP="008B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60">
              <w:rPr>
                <w:rFonts w:ascii="Times New Roman" w:hAnsi="Times New Roman" w:cs="Times New Roman"/>
                <w:sz w:val="24"/>
                <w:szCs w:val="24"/>
              </w:rPr>
              <w:t>8,90</w:t>
            </w:r>
          </w:p>
        </w:tc>
      </w:tr>
      <w:tr w:rsidR="00C75B1B" w:rsidTr="00144407">
        <w:tc>
          <w:tcPr>
            <w:tcW w:w="1433" w:type="dxa"/>
          </w:tcPr>
          <w:p w:rsidR="00F7774D" w:rsidRPr="00F12E60" w:rsidRDefault="000519C9" w:rsidP="00F7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60">
              <w:rPr>
                <w:rFonts w:ascii="Times New Roman" w:hAnsi="Times New Roman" w:cs="Times New Roman"/>
                <w:sz w:val="24"/>
                <w:szCs w:val="24"/>
              </w:rPr>
              <w:t>Ненецкий АО</w:t>
            </w:r>
          </w:p>
        </w:tc>
        <w:tc>
          <w:tcPr>
            <w:tcW w:w="1297" w:type="dxa"/>
            <w:vAlign w:val="center"/>
          </w:tcPr>
          <w:p w:rsidR="00F7774D" w:rsidRPr="00F12E60" w:rsidRDefault="000519C9" w:rsidP="0055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7" w:type="dxa"/>
          </w:tcPr>
          <w:p w:rsidR="00F7774D" w:rsidRPr="00F12E60" w:rsidRDefault="000519C9" w:rsidP="00F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6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0519C9" w:rsidRPr="00F12E60" w:rsidRDefault="000519C9" w:rsidP="00F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37" w:type="dxa"/>
          </w:tcPr>
          <w:p w:rsidR="00F7774D" w:rsidRPr="00F12E60" w:rsidRDefault="000519C9" w:rsidP="00F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60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  <w:p w:rsidR="000519C9" w:rsidRPr="00F12E60" w:rsidRDefault="000519C9" w:rsidP="00F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60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37" w:type="dxa"/>
          </w:tcPr>
          <w:p w:rsidR="00F7774D" w:rsidRPr="00F12E60" w:rsidRDefault="000519C9" w:rsidP="00F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60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  <w:p w:rsidR="000519C9" w:rsidRPr="00F12E60" w:rsidRDefault="000519C9" w:rsidP="00F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60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437" w:type="dxa"/>
          </w:tcPr>
          <w:p w:rsidR="00F7774D" w:rsidRPr="00F12E60" w:rsidRDefault="000519C9" w:rsidP="00F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60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  <w:p w:rsidR="000519C9" w:rsidRPr="00F12E60" w:rsidRDefault="001A0401" w:rsidP="00F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60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515" w:type="dxa"/>
          </w:tcPr>
          <w:p w:rsidR="00F7774D" w:rsidRPr="00F12E60" w:rsidRDefault="001A0401" w:rsidP="00F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A0401" w:rsidRPr="00F12E60" w:rsidRDefault="001A0401" w:rsidP="00F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4407" w:rsidTr="004F087A">
        <w:tc>
          <w:tcPr>
            <w:tcW w:w="9853" w:type="dxa"/>
            <w:gridSpan w:val="7"/>
          </w:tcPr>
          <w:p w:rsidR="00144407" w:rsidRPr="00F12E60" w:rsidRDefault="00144407" w:rsidP="0014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07">
              <w:rPr>
                <w:rFonts w:ascii="Times New Roman" w:hAnsi="Times New Roman" w:cs="Times New Roman"/>
                <w:sz w:val="24"/>
                <w:szCs w:val="24"/>
              </w:rPr>
              <w:t>Источник: Росстат.</w:t>
            </w:r>
          </w:p>
        </w:tc>
      </w:tr>
    </w:tbl>
    <w:p w:rsidR="00F7774D" w:rsidRDefault="00F7774D" w:rsidP="00F7774D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*– в верхней части ячейки представлен объем финансирования в текущих ценах, в нижней – в ценах 2006 г.</w:t>
      </w:r>
    </w:p>
    <w:p w:rsidR="001A0401" w:rsidRDefault="001A0401" w:rsidP="001A0401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4"/>
        </w:rPr>
      </w:pPr>
    </w:p>
    <w:p w:rsidR="00F12E60" w:rsidRDefault="000564CE" w:rsidP="008B0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</w:t>
      </w:r>
      <w:r w:rsidR="00097928">
        <w:rPr>
          <w:rFonts w:ascii="Times New Roman" w:hAnsi="Times New Roman" w:cs="Times New Roman"/>
          <w:sz w:val="24"/>
          <w:szCs w:val="24"/>
        </w:rPr>
        <w:t xml:space="preserve"> затрат на инновации в деятельности организации </w:t>
      </w:r>
      <w:r w:rsidR="008B0994">
        <w:rPr>
          <w:rFonts w:ascii="Times New Roman" w:hAnsi="Times New Roman" w:cs="Times New Roman"/>
          <w:sz w:val="24"/>
          <w:szCs w:val="24"/>
        </w:rPr>
        <w:t xml:space="preserve">в стране </w:t>
      </w:r>
      <w:r w:rsidR="00097928">
        <w:rPr>
          <w:rFonts w:ascii="Times New Roman" w:hAnsi="Times New Roman" w:cs="Times New Roman"/>
          <w:sz w:val="24"/>
          <w:szCs w:val="24"/>
        </w:rPr>
        <w:t>вырос</w:t>
      </w:r>
      <w:r>
        <w:rPr>
          <w:rFonts w:ascii="Times New Roman" w:hAnsi="Times New Roman" w:cs="Times New Roman"/>
          <w:sz w:val="24"/>
          <w:szCs w:val="24"/>
        </w:rPr>
        <w:t>ла</w:t>
      </w:r>
      <w:r w:rsidR="00097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относительно общего объема </w:t>
      </w:r>
      <w:r w:rsidRPr="000564CE">
        <w:rPr>
          <w:rFonts w:ascii="Times New Roman" w:hAnsi="Times New Roman" w:cs="Times New Roman"/>
          <w:sz w:val="24"/>
          <w:szCs w:val="24"/>
        </w:rPr>
        <w:t>отгруженных товаров, выполненных работ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0564CE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B0994">
        <w:rPr>
          <w:rFonts w:ascii="Times New Roman" w:hAnsi="Times New Roman" w:cs="Times New Roman"/>
          <w:sz w:val="24"/>
          <w:szCs w:val="24"/>
        </w:rPr>
        <w:t xml:space="preserve"> с 2006 г., но тенденция к снижению наблюдается начиная с 2014 г.</w:t>
      </w:r>
      <w:r>
        <w:rPr>
          <w:rFonts w:ascii="Times New Roman" w:hAnsi="Times New Roman" w:cs="Times New Roman"/>
          <w:sz w:val="24"/>
          <w:szCs w:val="24"/>
        </w:rPr>
        <w:t xml:space="preserve"> (рис. 3).</w:t>
      </w:r>
    </w:p>
    <w:p w:rsidR="000564CE" w:rsidRDefault="000564CE" w:rsidP="001A04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564CE" w:rsidRDefault="007A4C29" w:rsidP="00CC4A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C4A74" w:rsidRDefault="00CC4A74" w:rsidP="00CC4A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3. Затраты на инновационную деятельность организаций (2006–2019 гг.), % от </w:t>
      </w:r>
      <w:r w:rsidRPr="00CC4A74">
        <w:rPr>
          <w:rFonts w:ascii="Times New Roman" w:hAnsi="Times New Roman" w:cs="Times New Roman"/>
          <w:sz w:val="24"/>
          <w:szCs w:val="24"/>
        </w:rPr>
        <w:t>общего объема отгруженных товаров, выполненных работ, услуг</w:t>
      </w:r>
    </w:p>
    <w:p w:rsidR="00994F02" w:rsidRDefault="00994F02" w:rsidP="00CC4A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4F02" w:rsidRDefault="00994F02" w:rsidP="00994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по стране происходит планомерное снижение доли затрат на инновации в общем объеме выполненных работ, оказанных услуг и отгруженных товаров. В Нижегородской области, которая является одним из регионов с развитым высокотехнологичным кластером, показатель вырос более чем в 5 раз. </w:t>
      </w:r>
      <w:r w:rsidR="0082241F">
        <w:rPr>
          <w:rFonts w:ascii="Times New Roman" w:hAnsi="Times New Roman" w:cs="Times New Roman"/>
          <w:sz w:val="24"/>
          <w:szCs w:val="24"/>
        </w:rPr>
        <w:t xml:space="preserve">Республика Адыгея </w:t>
      </w:r>
      <w:r>
        <w:rPr>
          <w:rFonts w:ascii="Times New Roman" w:hAnsi="Times New Roman" w:cs="Times New Roman"/>
          <w:sz w:val="24"/>
          <w:szCs w:val="24"/>
        </w:rPr>
        <w:t xml:space="preserve">является одним из регионов с долей затрат на </w:t>
      </w:r>
      <w:r w:rsidR="005B2D40">
        <w:rPr>
          <w:rFonts w:ascii="Times New Roman" w:hAnsi="Times New Roman" w:cs="Times New Roman"/>
          <w:sz w:val="24"/>
          <w:szCs w:val="24"/>
        </w:rPr>
        <w:t>инновации в 2019 г.</w:t>
      </w:r>
      <w:r w:rsidR="0082241F">
        <w:rPr>
          <w:rFonts w:ascii="Times New Roman" w:hAnsi="Times New Roman" w:cs="Times New Roman"/>
          <w:sz w:val="24"/>
          <w:szCs w:val="24"/>
        </w:rPr>
        <w:t xml:space="preserve"> </w:t>
      </w:r>
      <w:r w:rsidR="005B2D40">
        <w:rPr>
          <w:rFonts w:ascii="Times New Roman" w:hAnsi="Times New Roman" w:cs="Times New Roman"/>
          <w:sz w:val="24"/>
          <w:szCs w:val="24"/>
        </w:rPr>
        <w:t>менее</w:t>
      </w:r>
      <w:r w:rsidR="0082241F">
        <w:rPr>
          <w:rFonts w:ascii="Times New Roman" w:hAnsi="Times New Roman" w:cs="Times New Roman"/>
          <w:sz w:val="24"/>
          <w:szCs w:val="24"/>
        </w:rPr>
        <w:t xml:space="preserve"> 0,1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  <w:r w:rsidR="0082241F">
        <w:rPr>
          <w:rFonts w:ascii="Times New Roman" w:hAnsi="Times New Roman" w:cs="Times New Roman"/>
          <w:sz w:val="24"/>
          <w:szCs w:val="24"/>
        </w:rPr>
        <w:t xml:space="preserve">С учетом того, что в начале рассматриваемого периода уровень показателя </w:t>
      </w:r>
      <w:r w:rsidR="008B0994">
        <w:rPr>
          <w:rFonts w:ascii="Times New Roman" w:hAnsi="Times New Roman" w:cs="Times New Roman"/>
          <w:sz w:val="24"/>
          <w:szCs w:val="24"/>
        </w:rPr>
        <w:t xml:space="preserve">в этом регионе </w:t>
      </w:r>
      <w:r w:rsidR="0082241F">
        <w:rPr>
          <w:rFonts w:ascii="Times New Roman" w:hAnsi="Times New Roman" w:cs="Times New Roman"/>
          <w:sz w:val="24"/>
          <w:szCs w:val="24"/>
        </w:rPr>
        <w:t>был выше среднего по стране, к 2019 году доля затрат на инновационную деятельность стала равн</w:t>
      </w:r>
      <w:r w:rsidR="002B3A04">
        <w:rPr>
          <w:rFonts w:ascii="Times New Roman" w:hAnsi="Times New Roman" w:cs="Times New Roman"/>
          <w:sz w:val="24"/>
          <w:szCs w:val="24"/>
        </w:rPr>
        <w:t>а</w:t>
      </w:r>
      <w:r w:rsidR="0082241F">
        <w:rPr>
          <w:rFonts w:ascii="Times New Roman" w:hAnsi="Times New Roman" w:cs="Times New Roman"/>
          <w:sz w:val="24"/>
          <w:szCs w:val="24"/>
        </w:rPr>
        <w:t xml:space="preserve"> нулю.</w:t>
      </w:r>
    </w:p>
    <w:p w:rsidR="00B9277F" w:rsidRDefault="00B9277F" w:rsidP="00994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рассмотренных четырех показателей только половина указывает на развитие инноваций в организациях. В то же время существенно выросли только затраты на этот вид деятельности, изменение же удельного веса организаций, осуществляющих технологические инновации, нельзя назвать активным. </w:t>
      </w:r>
    </w:p>
    <w:p w:rsidR="00B9277F" w:rsidRDefault="00B9277F" w:rsidP="00994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Проблема повышения инновационной активности в организациях является предметом интереса многих исследователей. Научные статьи посвящены как решению задачи роста инноваций в промышленных предприятиях </w:t>
      </w:r>
      <w:r w:rsidRPr="00B9277F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9277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 так и в высокотехнологичном секторе</w:t>
      </w:r>
      <w:r w:rsidRPr="00B9277F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9277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имеющем свою специфику. Рост импортной зависимости стал одной из причин, послуживших причиной рассмотрения задачи повышения инновационной активности отечественных предприятий </w:t>
      </w:r>
      <w:r w:rsidRPr="00B9277F">
        <w:rPr>
          <w:rFonts w:ascii="Times New Roman" w:hAnsi="Times New Roman" w:cs="Times New Roman"/>
          <w:sz w:val="24"/>
          <w:szCs w:val="24"/>
        </w:rPr>
        <w:t>[3]</w:t>
      </w:r>
      <w:r>
        <w:rPr>
          <w:rFonts w:ascii="Times New Roman" w:hAnsi="Times New Roman" w:cs="Times New Roman"/>
          <w:sz w:val="24"/>
          <w:szCs w:val="24"/>
        </w:rPr>
        <w:t xml:space="preserve">. Низкий уровень показателей в этой сфере частично связан с ограниченным финансированием затрат на НИОКР, посредственным уровнем </w:t>
      </w:r>
      <w:r>
        <w:rPr>
          <w:rFonts w:ascii="Times New Roman" w:hAnsi="Times New Roman" w:cs="Times New Roman"/>
          <w:sz w:val="24"/>
          <w:szCs w:val="24"/>
        </w:rPr>
        <w:lastRenderedPageBreak/>
        <w:t>коммерциализации их результатов, малым внутренним спросом на инновации и дефицитом квалифицированных кадров.</w:t>
      </w:r>
      <w:r w:rsidR="00C32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A12" w:rsidRDefault="00C32A12" w:rsidP="00205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динамика инновационной активности предприятий не свидетельствует об активном внедрении современных технологий и разработок в производственный процесс. Ряд отраслей экономики находятся в серьезной зависимости от импортных поставщиков, в это же время отечественные производители не могут удовлетворить внутренний спрос предприятий в силу ряда причин. </w:t>
      </w:r>
      <w:r w:rsidR="0020580B">
        <w:rPr>
          <w:rFonts w:ascii="Times New Roman" w:hAnsi="Times New Roman" w:cs="Times New Roman"/>
          <w:sz w:val="24"/>
          <w:szCs w:val="24"/>
        </w:rPr>
        <w:t>Об этой проблеме писал и В. Полтерович</w:t>
      </w:r>
      <w:r w:rsidR="00334ED6">
        <w:rPr>
          <w:rFonts w:ascii="Times New Roman" w:hAnsi="Times New Roman" w:cs="Times New Roman"/>
          <w:sz w:val="24"/>
          <w:szCs w:val="24"/>
        </w:rPr>
        <w:t xml:space="preserve"> </w:t>
      </w:r>
      <w:r w:rsidR="00334ED6" w:rsidRPr="00334ED6">
        <w:rPr>
          <w:rFonts w:ascii="Times New Roman" w:hAnsi="Times New Roman" w:cs="Times New Roman"/>
          <w:sz w:val="24"/>
          <w:szCs w:val="24"/>
        </w:rPr>
        <w:t>[3]</w:t>
      </w:r>
      <w:r w:rsidR="0020580B">
        <w:rPr>
          <w:rFonts w:ascii="Times New Roman" w:hAnsi="Times New Roman" w:cs="Times New Roman"/>
          <w:sz w:val="24"/>
          <w:szCs w:val="24"/>
        </w:rPr>
        <w:t xml:space="preserve">, предлагая выход из "ловушки недоразвития" с использованием преимущества страны – высокоразвитого человеческого капитала. Он считал, что необходимо взять на заметку исследования </w:t>
      </w:r>
      <w:r w:rsidR="0020580B" w:rsidRPr="0020580B">
        <w:rPr>
          <w:rFonts w:ascii="Times New Roman" w:hAnsi="Times New Roman" w:cs="Times New Roman"/>
          <w:sz w:val="24"/>
          <w:szCs w:val="24"/>
        </w:rPr>
        <w:t>знаменит</w:t>
      </w:r>
      <w:r w:rsidR="0020580B">
        <w:rPr>
          <w:rFonts w:ascii="Times New Roman" w:hAnsi="Times New Roman" w:cs="Times New Roman"/>
          <w:sz w:val="24"/>
          <w:szCs w:val="24"/>
        </w:rPr>
        <w:t>ого</w:t>
      </w:r>
      <w:r w:rsidR="0020580B" w:rsidRPr="0020580B">
        <w:rPr>
          <w:rFonts w:ascii="Times New Roman" w:hAnsi="Times New Roman" w:cs="Times New Roman"/>
          <w:sz w:val="24"/>
          <w:szCs w:val="24"/>
        </w:rPr>
        <w:t xml:space="preserve"> американск</w:t>
      </w:r>
      <w:r w:rsidR="0020580B">
        <w:rPr>
          <w:rFonts w:ascii="Times New Roman" w:hAnsi="Times New Roman" w:cs="Times New Roman"/>
          <w:sz w:val="24"/>
          <w:szCs w:val="24"/>
        </w:rPr>
        <w:t>ого</w:t>
      </w:r>
      <w:r w:rsidR="0020580B" w:rsidRPr="0020580B">
        <w:rPr>
          <w:rFonts w:ascii="Times New Roman" w:hAnsi="Times New Roman" w:cs="Times New Roman"/>
          <w:sz w:val="24"/>
          <w:szCs w:val="24"/>
        </w:rPr>
        <w:t xml:space="preserve"> экономист</w:t>
      </w:r>
      <w:r w:rsidR="0020580B">
        <w:rPr>
          <w:rFonts w:ascii="Times New Roman" w:hAnsi="Times New Roman" w:cs="Times New Roman"/>
          <w:sz w:val="24"/>
          <w:szCs w:val="24"/>
        </w:rPr>
        <w:t>а</w:t>
      </w:r>
      <w:r w:rsidR="0020580B" w:rsidRPr="0020580B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20580B">
        <w:rPr>
          <w:rFonts w:ascii="Times New Roman" w:hAnsi="Times New Roman" w:cs="Times New Roman"/>
          <w:sz w:val="24"/>
          <w:szCs w:val="24"/>
        </w:rPr>
        <w:t>а</w:t>
      </w:r>
      <w:r w:rsidR="0020580B" w:rsidRPr="0020580B">
        <w:rPr>
          <w:rFonts w:ascii="Times New Roman" w:hAnsi="Times New Roman" w:cs="Times New Roman"/>
          <w:sz w:val="24"/>
          <w:szCs w:val="24"/>
        </w:rPr>
        <w:t xml:space="preserve"> Гершенкрон</w:t>
      </w:r>
      <w:r w:rsidR="002C4157">
        <w:rPr>
          <w:rFonts w:ascii="Times New Roman" w:hAnsi="Times New Roman" w:cs="Times New Roman"/>
          <w:sz w:val="24"/>
          <w:szCs w:val="24"/>
        </w:rPr>
        <w:t>а</w:t>
      </w:r>
      <w:r w:rsidR="0020580B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A90631">
        <w:rPr>
          <w:rFonts w:ascii="Times New Roman" w:hAnsi="Times New Roman" w:cs="Times New Roman"/>
          <w:sz w:val="24"/>
          <w:szCs w:val="24"/>
        </w:rPr>
        <w:t>от</w:t>
      </w:r>
      <w:r w:rsidR="0020580B" w:rsidRPr="0020580B">
        <w:rPr>
          <w:rFonts w:ascii="Times New Roman" w:hAnsi="Times New Roman" w:cs="Times New Roman"/>
          <w:sz w:val="24"/>
          <w:szCs w:val="24"/>
        </w:rPr>
        <w:t>метил, что развивающаяся страна имеет только одно</w:t>
      </w:r>
      <w:r w:rsidR="0020580B">
        <w:rPr>
          <w:rFonts w:ascii="Times New Roman" w:hAnsi="Times New Roman" w:cs="Times New Roman"/>
          <w:sz w:val="24"/>
          <w:szCs w:val="24"/>
        </w:rPr>
        <w:t xml:space="preserve"> </w:t>
      </w:r>
      <w:r w:rsidR="0020580B" w:rsidRPr="0020580B">
        <w:rPr>
          <w:rFonts w:ascii="Times New Roman" w:hAnsi="Times New Roman" w:cs="Times New Roman"/>
          <w:sz w:val="24"/>
          <w:szCs w:val="24"/>
        </w:rPr>
        <w:t>преимущество перед развитыми — «преимущество отсталости»: возможность заимствовать созданные</w:t>
      </w:r>
      <w:r w:rsidR="0020580B">
        <w:rPr>
          <w:rFonts w:ascii="Times New Roman" w:hAnsi="Times New Roman" w:cs="Times New Roman"/>
          <w:sz w:val="24"/>
          <w:szCs w:val="24"/>
        </w:rPr>
        <w:t xml:space="preserve"> </w:t>
      </w:r>
      <w:r w:rsidR="0020580B" w:rsidRPr="0020580B">
        <w:rPr>
          <w:rFonts w:ascii="Times New Roman" w:hAnsi="Times New Roman" w:cs="Times New Roman"/>
          <w:sz w:val="24"/>
          <w:szCs w:val="24"/>
        </w:rPr>
        <w:t>ими институты, технологии и методы хозяйствования. Задача заимствования проще и связана</w:t>
      </w:r>
      <w:r w:rsidR="0020580B">
        <w:rPr>
          <w:rFonts w:ascii="Times New Roman" w:hAnsi="Times New Roman" w:cs="Times New Roman"/>
          <w:sz w:val="24"/>
          <w:szCs w:val="24"/>
        </w:rPr>
        <w:t xml:space="preserve"> </w:t>
      </w:r>
      <w:r w:rsidR="0020580B" w:rsidRPr="0020580B">
        <w:rPr>
          <w:rFonts w:ascii="Times New Roman" w:hAnsi="Times New Roman" w:cs="Times New Roman"/>
          <w:sz w:val="24"/>
          <w:szCs w:val="24"/>
        </w:rPr>
        <w:t>с меньшими издержками, чем разработка «принципиально нового». И все же она настолько сложна, что подавляющее большинство стран с ней не</w:t>
      </w:r>
      <w:r w:rsidR="0020580B">
        <w:rPr>
          <w:rFonts w:ascii="Times New Roman" w:hAnsi="Times New Roman" w:cs="Times New Roman"/>
          <w:sz w:val="24"/>
          <w:szCs w:val="24"/>
        </w:rPr>
        <w:t xml:space="preserve"> </w:t>
      </w:r>
      <w:r w:rsidR="0020580B" w:rsidRPr="0020580B">
        <w:rPr>
          <w:rFonts w:ascii="Times New Roman" w:hAnsi="Times New Roman" w:cs="Times New Roman"/>
          <w:sz w:val="24"/>
          <w:szCs w:val="24"/>
        </w:rPr>
        <w:t>справляется.</w:t>
      </w:r>
    </w:p>
    <w:p w:rsidR="00144407" w:rsidRPr="00144407" w:rsidRDefault="00144407" w:rsidP="00144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407">
        <w:rPr>
          <w:rFonts w:ascii="Times New Roman" w:hAnsi="Times New Roman" w:cs="Times New Roman"/>
          <w:sz w:val="24"/>
          <w:szCs w:val="24"/>
        </w:rPr>
        <w:t>Исследование подготовлено в соответствии с государственным заданием для ФГБУН «Вологодский научный центр РАН» по теме НИР № 0168-2019-0005 «Исследование факторов и методов устойчивого развития территориальных систем в изменяющихся мировых геополитических и геоэкономических условиях».</w:t>
      </w:r>
    </w:p>
    <w:p w:rsidR="00144407" w:rsidRDefault="00144407" w:rsidP="00205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77F" w:rsidRDefault="00B9277F" w:rsidP="00994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77F" w:rsidRDefault="00B9277F" w:rsidP="00B927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Библиографический список</w:t>
      </w:r>
    </w:p>
    <w:p w:rsidR="00B9277F" w:rsidRDefault="00B9277F" w:rsidP="003F3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9277F">
        <w:rPr>
          <w:rFonts w:ascii="Times New Roman" w:hAnsi="Times New Roman" w:cs="Times New Roman"/>
          <w:sz w:val="24"/>
          <w:szCs w:val="24"/>
        </w:rPr>
        <w:t>Грачева Н. В. Проблемы повышения инновационной активности промышленных предприятий и пути их решения в современных условиях // Вестник БГУ. 2011. №3. URL: https://cyberleninka.ru/article/n/problemy-povysheniya-innovatsionnoy-aktivnosti-promyshlennyh-predpriyatiy-i-puti-ih-resheniya-v-sovremennyh-usloviyah (дата обращения: 13.06.2021).</w:t>
      </w:r>
    </w:p>
    <w:p w:rsidR="00B9277F" w:rsidRPr="0036377F" w:rsidRDefault="00B9277F" w:rsidP="003F3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9277F">
        <w:rPr>
          <w:rFonts w:ascii="Times New Roman" w:hAnsi="Times New Roman" w:cs="Times New Roman"/>
          <w:sz w:val="24"/>
          <w:szCs w:val="24"/>
        </w:rPr>
        <w:t>Пискунов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277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277F">
        <w:rPr>
          <w:rFonts w:ascii="Times New Roman" w:hAnsi="Times New Roman" w:cs="Times New Roman"/>
          <w:sz w:val="24"/>
          <w:szCs w:val="24"/>
        </w:rPr>
        <w:t xml:space="preserve"> Современные проблемы повышения инновационной активности предприятий высокотехнологичного сектора экономики российской Федерации // Научный вестник ОПК России. 2012. №2. URL: https://cyberleninka.ru/article/n/sovremennye-problemy-povysheniya-innovatsionnoy-aktivnosti-predpriyatiy-vysokotehnologichnogo-sektora-ekonomiki-rossiyskoy (дата обращения: 13.06.2021).</w:t>
      </w:r>
    </w:p>
    <w:p w:rsidR="00334ED6" w:rsidRDefault="00334ED6" w:rsidP="003F3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ED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В. Полтерович </w:t>
      </w:r>
      <w:r w:rsidRPr="00334ED6">
        <w:rPr>
          <w:rFonts w:ascii="Times New Roman" w:hAnsi="Times New Roman" w:cs="Times New Roman"/>
          <w:sz w:val="24"/>
          <w:szCs w:val="24"/>
        </w:rPr>
        <w:t>Ловушка отсталости: Россия имеет шансы выйти из нее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hyperlink r:id="rId10" w:tooltip="Содержание выпусков этого журнала" w:history="1"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334ED6">
          <w:rPr>
            <w:rFonts w:ascii="Times New Roman" w:hAnsi="Times New Roman" w:cs="Times New Roman"/>
            <w:sz w:val="24"/>
            <w:szCs w:val="24"/>
          </w:rPr>
          <w:t>рямые инвестиции</w:t>
        </w:r>
      </w:hyperlink>
      <w:r>
        <w:rPr>
          <w:rFonts w:ascii="Times New Roman" w:hAnsi="Times New Roman" w:cs="Times New Roman"/>
          <w:sz w:val="24"/>
          <w:szCs w:val="24"/>
        </w:rPr>
        <w:t>. 2009. № 5 (85). С. 8-11.</w:t>
      </w:r>
    </w:p>
    <w:p w:rsidR="00D3134A" w:rsidRDefault="00D3134A" w:rsidP="003F3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34A" w:rsidRDefault="00D3134A" w:rsidP="00D313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авторе</w:t>
      </w:r>
    </w:p>
    <w:p w:rsidR="00D3134A" w:rsidRDefault="00D3134A" w:rsidP="00D31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Широкова Елена Юрьевна (Россия, г. Вологда) – младший научный сотрудник, </w:t>
      </w:r>
      <w:r w:rsidRPr="00D3134A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34A">
        <w:rPr>
          <w:rFonts w:ascii="Times New Roman" w:hAnsi="Times New Roman" w:cs="Times New Roman"/>
          <w:sz w:val="24"/>
          <w:szCs w:val="24"/>
        </w:rPr>
        <w:t>«Вологодский научный центр Российской академии наук» (</w:t>
      </w:r>
      <w:r w:rsidRPr="00D3134A">
        <w:rPr>
          <w:rFonts w:ascii="Times New Roman" w:hAnsi="Times New Roman" w:cs="Times New Roman"/>
          <w:sz w:val="24"/>
          <w:szCs w:val="24"/>
        </w:rPr>
        <w:t>Россия, 160014, г. Вологда, ул. Горького, д. 56а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shir11@bk.ru</w:t>
      </w:r>
      <w:r w:rsidRPr="00D313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7B65" w:rsidRDefault="006F7B65" w:rsidP="00D31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B65" w:rsidRPr="006F7B65" w:rsidRDefault="006F7B65" w:rsidP="006F7B6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7B65">
        <w:rPr>
          <w:rFonts w:ascii="Times New Roman" w:hAnsi="Times New Roman" w:cs="Times New Roman"/>
          <w:b/>
          <w:sz w:val="24"/>
          <w:szCs w:val="24"/>
          <w:lang w:val="en-US"/>
        </w:rPr>
        <w:t>Shirokova E.Yu.</w:t>
      </w:r>
    </w:p>
    <w:p w:rsidR="006F7B65" w:rsidRPr="006F7B65" w:rsidRDefault="006F7B65" w:rsidP="006F7B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B65">
        <w:rPr>
          <w:rFonts w:ascii="Times New Roman" w:hAnsi="Times New Roman" w:cs="Times New Roman"/>
          <w:b/>
          <w:sz w:val="24"/>
          <w:szCs w:val="24"/>
          <w:lang w:val="en-US"/>
        </w:rPr>
        <w:t>INNOVATIVE ACTIVITY DYNAMICS OF ENTERPRISES</w:t>
      </w:r>
    </w:p>
    <w:p w:rsidR="006F7B65" w:rsidRDefault="006F7B65" w:rsidP="006F7B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F7B65" w:rsidRPr="006F7B65" w:rsidRDefault="00165471" w:rsidP="006F7B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33D90">
        <w:rPr>
          <w:rFonts w:ascii="Times New Roman" w:eastAsia="Times New Roman" w:hAnsi="Times New Roman"/>
          <w:b/>
          <w:i/>
          <w:sz w:val="24"/>
          <w:lang w:val="en-US"/>
        </w:rPr>
        <w:t>Abstract.</w:t>
      </w:r>
      <w:r w:rsidRPr="00165471">
        <w:rPr>
          <w:rFonts w:ascii="Times New Roman" w:eastAsia="Times New Roman" w:hAnsi="Times New Roman"/>
          <w:b/>
          <w:i/>
          <w:sz w:val="24"/>
          <w:lang w:val="en-US"/>
        </w:rPr>
        <w:t xml:space="preserve"> </w:t>
      </w:r>
      <w:r w:rsidR="006F7B65" w:rsidRPr="006F7B65">
        <w:rPr>
          <w:rFonts w:ascii="Times New Roman" w:hAnsi="Times New Roman" w:cs="Times New Roman"/>
          <w:i/>
          <w:sz w:val="24"/>
          <w:szCs w:val="24"/>
          <w:lang w:val="en-US"/>
        </w:rPr>
        <w:t>The study reveals the dynamics of innovation activity of enterprises in four indicators for the country as a whole, for the region-the leader and the outsider for a specific indicator. A clear increase is determined only by the cost of innovation, while other indicators indicate stagnation in this area.</w:t>
      </w:r>
    </w:p>
    <w:p w:rsidR="006F7B65" w:rsidRPr="00165471" w:rsidRDefault="00165471" w:rsidP="006F7B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1589E">
        <w:rPr>
          <w:rFonts w:ascii="Times New Roman" w:eastAsia="Times New Roman" w:hAnsi="Times New Roman"/>
          <w:b/>
          <w:i/>
          <w:sz w:val="24"/>
          <w:lang w:val="en-US"/>
        </w:rPr>
        <w:t>Keywords:</w:t>
      </w:r>
      <w:r w:rsidRPr="00165471">
        <w:rPr>
          <w:rFonts w:ascii="Times New Roman" w:eastAsia="Times New Roman" w:hAnsi="Times New Roman"/>
          <w:b/>
          <w:i/>
          <w:sz w:val="24"/>
          <w:lang w:val="en-US"/>
        </w:rPr>
        <w:t xml:space="preserve"> </w:t>
      </w:r>
      <w:r w:rsidRPr="006F7B65">
        <w:rPr>
          <w:rFonts w:ascii="Times New Roman" w:hAnsi="Times New Roman" w:cs="Times New Roman"/>
          <w:i/>
          <w:sz w:val="24"/>
          <w:szCs w:val="24"/>
          <w:lang w:val="en-US"/>
        </w:rPr>
        <w:t>innovation</w:t>
      </w:r>
      <w:r w:rsidR="006F7B65" w:rsidRPr="006F7B65">
        <w:rPr>
          <w:rFonts w:ascii="Times New Roman" w:hAnsi="Times New Roman" w:cs="Times New Roman"/>
          <w:i/>
          <w:sz w:val="24"/>
          <w:szCs w:val="24"/>
          <w:lang w:val="en-US"/>
        </w:rPr>
        <w:t>, country</w:t>
      </w:r>
      <w:r w:rsidR="006F7B65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6F7B65" w:rsidRPr="006F7B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region, activity, import dependence</w:t>
      </w:r>
    </w:p>
    <w:p w:rsidR="00B21A51" w:rsidRPr="00165471" w:rsidRDefault="00B21A51" w:rsidP="006F7B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21A51" w:rsidRPr="00144407" w:rsidRDefault="00B21A51" w:rsidP="00B21A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4407">
        <w:rPr>
          <w:rFonts w:ascii="Times New Roman" w:hAnsi="Times New Roman" w:cs="Times New Roman"/>
          <w:b/>
          <w:sz w:val="24"/>
          <w:szCs w:val="24"/>
          <w:lang w:val="en-US"/>
        </w:rPr>
        <w:t>Information about the author</w:t>
      </w:r>
    </w:p>
    <w:p w:rsidR="00B21A51" w:rsidRDefault="00B21A51" w:rsidP="00B21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1A51">
        <w:rPr>
          <w:rFonts w:ascii="Times New Roman" w:hAnsi="Times New Roman" w:cs="Times New Roman"/>
          <w:sz w:val="24"/>
          <w:szCs w:val="24"/>
          <w:lang w:val="en-US"/>
        </w:rPr>
        <w:t xml:space="preserve">Elena Shirokova (Russia, Vologda) - junior research associate, </w:t>
      </w:r>
      <w:r w:rsidRPr="00B21A51">
        <w:rPr>
          <w:rFonts w:ascii="Times New Roman" w:hAnsi="Times New Roman" w:cs="Times New Roman"/>
          <w:sz w:val="24"/>
          <w:szCs w:val="24"/>
          <w:lang w:val="en-US"/>
        </w:rPr>
        <w:t>Federal State Budgetary Institution of Sciences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1A51">
        <w:rPr>
          <w:rFonts w:ascii="Times New Roman" w:hAnsi="Times New Roman" w:cs="Times New Roman"/>
          <w:sz w:val="24"/>
          <w:szCs w:val="24"/>
          <w:lang w:val="en-US"/>
        </w:rPr>
        <w:t>Vologda Research Center of the Russian Academy of Sciences</w:t>
      </w:r>
      <w:r w:rsidRPr="00B21A51">
        <w:rPr>
          <w:rFonts w:ascii="Times New Roman" w:hAnsi="Times New Roman" w:cs="Times New Roman"/>
          <w:sz w:val="24"/>
          <w:szCs w:val="24"/>
          <w:lang w:val="en-US"/>
        </w:rPr>
        <w:t xml:space="preserve"> (56A, Gorky Street, Vologda, 160014, Russia, shir11@bk.ru).</w:t>
      </w:r>
    </w:p>
    <w:p w:rsidR="006E6F48" w:rsidRDefault="006E6F48" w:rsidP="00B21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E6F48" w:rsidRPr="00144407" w:rsidRDefault="006E6F48" w:rsidP="006E6F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4407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6E6F48" w:rsidRPr="006E6F48" w:rsidRDefault="006E6F48" w:rsidP="006E6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6F48">
        <w:rPr>
          <w:rFonts w:ascii="Times New Roman" w:hAnsi="Times New Roman" w:cs="Times New Roman"/>
          <w:sz w:val="24"/>
          <w:szCs w:val="24"/>
          <w:lang w:val="en-US"/>
        </w:rPr>
        <w:t>1. Gracheva N. V. Problems of increasing the innovative activity of industrial enterprises and ways to solve them in modern conditions // Bulletin of BSU. 2011. No. 3. URL: https://cyberleninka.ru/article/n/problemy-povysheniya-innovatsionnoy-aktivnosti-promyshlennyh-predpriyatiy-i-puti-ih-resheniya-v-sovremennyh-usloviyah (accessed: 13.06.2021).</w:t>
      </w:r>
    </w:p>
    <w:p w:rsidR="006E6F48" w:rsidRPr="006E6F48" w:rsidRDefault="006E6F48" w:rsidP="006E6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6F48">
        <w:rPr>
          <w:rFonts w:ascii="Times New Roman" w:hAnsi="Times New Roman" w:cs="Times New Roman"/>
          <w:sz w:val="24"/>
          <w:szCs w:val="24"/>
          <w:lang w:val="en-US"/>
        </w:rPr>
        <w:t>2. Piskunov A.V. Modern problems of increasing the innovative activity of enterprises of the high-tech sector of the econ</w:t>
      </w:r>
      <w:r>
        <w:rPr>
          <w:rFonts w:ascii="Times New Roman" w:hAnsi="Times New Roman" w:cs="Times New Roman"/>
          <w:sz w:val="24"/>
          <w:szCs w:val="24"/>
          <w:lang w:val="en-US"/>
        </w:rPr>
        <w:t>omy of the Russian Federation /</w:t>
      </w:r>
      <w:r w:rsidRPr="006E6F48">
        <w:rPr>
          <w:rFonts w:ascii="Times New Roman" w:hAnsi="Times New Roman" w:cs="Times New Roman"/>
          <w:sz w:val="24"/>
          <w:szCs w:val="24"/>
          <w:lang w:val="en-US"/>
        </w:rPr>
        <w:t>/ Scientific Bulletin of the Defense Industry of Russia. 2012. No. 2. URL: https://cyberleninka.ru/article/n/sovremennye-problemy-povysheniya-innovatsionnoy-aktivnosti-predpriyatiy-vysokotehnologichnogo-sektora-ekonomiki-rossiyskoy (accessed: 13.06.2021).</w:t>
      </w:r>
    </w:p>
    <w:p w:rsidR="006E6F48" w:rsidRPr="00B21A51" w:rsidRDefault="006E6F48" w:rsidP="006E6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6F48">
        <w:rPr>
          <w:rFonts w:ascii="Times New Roman" w:hAnsi="Times New Roman" w:cs="Times New Roman"/>
          <w:sz w:val="24"/>
          <w:szCs w:val="24"/>
          <w:lang w:val="en-US"/>
        </w:rPr>
        <w:t xml:space="preserve">3. V. Polterovich The trap of backwardness: Russia </w:t>
      </w:r>
      <w:r>
        <w:rPr>
          <w:rFonts w:ascii="Times New Roman" w:hAnsi="Times New Roman" w:cs="Times New Roman"/>
          <w:sz w:val="24"/>
          <w:szCs w:val="24"/>
          <w:lang w:val="en-US"/>
        </w:rPr>
        <w:t>has a chance to get out of it /</w:t>
      </w:r>
      <w:r w:rsidRPr="006E6F48">
        <w:rPr>
          <w:rFonts w:ascii="Times New Roman" w:hAnsi="Times New Roman" w:cs="Times New Roman"/>
          <w:sz w:val="24"/>
          <w:szCs w:val="24"/>
          <w:lang w:val="en-US"/>
        </w:rPr>
        <w:t>/ Direct Investment. 2009. No. 5 (85). Pp. 8-11.</w:t>
      </w:r>
    </w:p>
    <w:p w:rsidR="0082241F" w:rsidRPr="006F7B65" w:rsidRDefault="0082241F" w:rsidP="00334ED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2241F" w:rsidRPr="006F7B65" w:rsidSect="00FA1A0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856" w:rsidRDefault="00C05856" w:rsidP="000F5ED1">
      <w:pPr>
        <w:spacing w:after="0" w:line="240" w:lineRule="auto"/>
      </w:pPr>
      <w:r>
        <w:separator/>
      </w:r>
    </w:p>
  </w:endnote>
  <w:endnote w:type="continuationSeparator" w:id="1">
    <w:p w:rsidR="00C05856" w:rsidRDefault="00C05856" w:rsidP="000F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856" w:rsidRDefault="00C05856" w:rsidP="000F5ED1">
      <w:pPr>
        <w:spacing w:after="0" w:line="240" w:lineRule="auto"/>
      </w:pPr>
      <w:r>
        <w:separator/>
      </w:r>
    </w:p>
  </w:footnote>
  <w:footnote w:type="continuationSeparator" w:id="1">
    <w:p w:rsidR="00C05856" w:rsidRDefault="00C05856" w:rsidP="000F5ED1">
      <w:pPr>
        <w:spacing w:after="0" w:line="240" w:lineRule="auto"/>
      </w:pPr>
      <w:r>
        <w:continuationSeparator/>
      </w:r>
    </w:p>
  </w:footnote>
  <w:footnote w:id="2">
    <w:p w:rsidR="000F5ED1" w:rsidRPr="000F5ED1" w:rsidRDefault="000F5ED1">
      <w:pPr>
        <w:pStyle w:val="a3"/>
        <w:rPr>
          <w:rFonts w:ascii="Times New Roman" w:hAnsi="Times New Roman" w:cs="Times New Roman"/>
        </w:rPr>
      </w:pPr>
      <w:r w:rsidRPr="000F5ED1">
        <w:rPr>
          <w:rStyle w:val="a5"/>
          <w:rFonts w:ascii="Times New Roman" w:hAnsi="Times New Roman" w:cs="Times New Roman"/>
        </w:rPr>
        <w:footnoteRef/>
      </w:r>
      <w:r w:rsidRPr="000F5ED1">
        <w:rPr>
          <w:rFonts w:ascii="Times New Roman" w:hAnsi="Times New Roman" w:cs="Times New Roman"/>
        </w:rPr>
        <w:t>Россия проигрывает Третью мировую войну: технологическое отставание стало критическим</w:t>
      </w:r>
      <w:r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  <w:lang w:val="en-US"/>
        </w:rPr>
        <w:t>MK</w:t>
      </w:r>
      <w:r w:rsidRPr="000F5E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  <w:r w:rsidRPr="000F5ED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US"/>
        </w:rPr>
        <w:t>URL</w:t>
      </w:r>
      <w:r>
        <w:rPr>
          <w:rFonts w:ascii="Times New Roman" w:hAnsi="Times New Roman" w:cs="Times New Roman"/>
        </w:rPr>
        <w:t xml:space="preserve">: </w:t>
      </w:r>
      <w:r w:rsidRPr="000F5ED1">
        <w:rPr>
          <w:rFonts w:ascii="Times New Roman" w:hAnsi="Times New Roman" w:cs="Times New Roman"/>
        </w:rPr>
        <w:t>https://www.mk.ru/politics/2019/08/19/rossiya-proigryvaet-tretyu-mirovuyu-voynu-tekhnologicheskoe-otstavanie-stalo-kriticheskim.html</w:t>
      </w:r>
      <w:r>
        <w:rPr>
          <w:rFonts w:ascii="Times New Roman" w:hAnsi="Times New Roman" w:cs="Times New Roman"/>
        </w:rPr>
        <w:t xml:space="preserve"> (дата обращения: 13.06.2021).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1A02"/>
    <w:rsid w:val="000519C9"/>
    <w:rsid w:val="000564CE"/>
    <w:rsid w:val="00082CB8"/>
    <w:rsid w:val="00085BB3"/>
    <w:rsid w:val="00097928"/>
    <w:rsid w:val="000C459E"/>
    <w:rsid w:val="000F5ED1"/>
    <w:rsid w:val="00144407"/>
    <w:rsid w:val="00161756"/>
    <w:rsid w:val="00165471"/>
    <w:rsid w:val="001A0401"/>
    <w:rsid w:val="001F735D"/>
    <w:rsid w:val="0020580B"/>
    <w:rsid w:val="002B3A04"/>
    <w:rsid w:val="002C4157"/>
    <w:rsid w:val="00334ED6"/>
    <w:rsid w:val="0036377F"/>
    <w:rsid w:val="003D1990"/>
    <w:rsid w:val="003F30D7"/>
    <w:rsid w:val="00423FE6"/>
    <w:rsid w:val="004603A3"/>
    <w:rsid w:val="004B57C0"/>
    <w:rsid w:val="005505C9"/>
    <w:rsid w:val="005B2D40"/>
    <w:rsid w:val="005E42D6"/>
    <w:rsid w:val="00635355"/>
    <w:rsid w:val="006E6F48"/>
    <w:rsid w:val="006F7B65"/>
    <w:rsid w:val="00704568"/>
    <w:rsid w:val="0072516E"/>
    <w:rsid w:val="0074140E"/>
    <w:rsid w:val="007A4C29"/>
    <w:rsid w:val="0082241F"/>
    <w:rsid w:val="008B0994"/>
    <w:rsid w:val="008B5E80"/>
    <w:rsid w:val="00994F02"/>
    <w:rsid w:val="00A467BE"/>
    <w:rsid w:val="00A90631"/>
    <w:rsid w:val="00AF44D2"/>
    <w:rsid w:val="00B21A51"/>
    <w:rsid w:val="00B9277F"/>
    <w:rsid w:val="00C05856"/>
    <w:rsid w:val="00C32A12"/>
    <w:rsid w:val="00C75B1B"/>
    <w:rsid w:val="00CC4A74"/>
    <w:rsid w:val="00D3134A"/>
    <w:rsid w:val="00E6342E"/>
    <w:rsid w:val="00EA1379"/>
    <w:rsid w:val="00F12E60"/>
    <w:rsid w:val="00F7774D"/>
    <w:rsid w:val="00FA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F5ED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F5ED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F5ED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6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42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777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334E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library.ru/contents.asp?id=33732099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РФ*</c:v>
                </c:pt>
              </c:strCache>
            </c:strRef>
          </c:tx>
          <c:marker>
            <c:symbol val="none"/>
          </c:marker>
          <c:dLbls>
            <c:dLbl>
              <c:idx val="1"/>
              <c:layout>
                <c:manualLayout>
                  <c:x val="-2.3148148148148147E-3"/>
                  <c:y val="-1.9841269841269816E-2"/>
                </c:manualLayout>
              </c:layout>
              <c:dLblPos val="t"/>
              <c:showVal val="1"/>
            </c:dLbl>
            <c:dLbl>
              <c:idx val="2"/>
              <c:layout>
                <c:manualLayout>
                  <c:x val="0"/>
                  <c:y val="-1.1904761904761911E-2"/>
                </c:manualLayout>
              </c:layout>
              <c:dLblPos val="t"/>
              <c:showVal val="1"/>
            </c:dLbl>
            <c:dLblPos val="t"/>
            <c:showVal val="1"/>
          </c:dLbls>
          <c:cat>
            <c:strRef>
              <c:f>Лист1!$A$2:$A$15</c:f>
              <c:strCache>
                <c:ptCount val="14"/>
                <c:pt idx="0">
                  <c:v>2006 г.</c:v>
                </c:pt>
                <c:pt idx="1">
                  <c:v>2007 г.</c:v>
                </c:pt>
                <c:pt idx="2">
                  <c:v>2008 г.</c:v>
                </c:pt>
                <c:pt idx="3">
                  <c:v>2009 г.</c:v>
                </c:pt>
                <c:pt idx="4">
                  <c:v>2010 г.</c:v>
                </c:pt>
                <c:pt idx="5">
                  <c:v>2011 г.</c:v>
                </c:pt>
                <c:pt idx="6">
                  <c:v>2012 г.</c:v>
                </c:pt>
                <c:pt idx="7">
                  <c:v>2013 г.</c:v>
                </c:pt>
                <c:pt idx="8">
                  <c:v>2014 г.</c:v>
                </c:pt>
                <c:pt idx="9">
                  <c:v>2015 г.</c:v>
                </c:pt>
                <c:pt idx="10">
                  <c:v>2016 г.</c:v>
                </c:pt>
                <c:pt idx="11">
                  <c:v>2017 г.</c:v>
                </c:pt>
                <c:pt idx="12">
                  <c:v>2018 г.</c:v>
                </c:pt>
                <c:pt idx="13">
                  <c:v>2019 г.</c:v>
                </c:pt>
              </c:strCache>
            </c:strRef>
          </c:cat>
          <c:val>
            <c:numRef>
              <c:f>Лист1!$B$2:$B$15</c:f>
              <c:numCache>
                <c:formatCode>0.0</c:formatCode>
                <c:ptCount val="14"/>
                <c:pt idx="0">
                  <c:v>9.9</c:v>
                </c:pt>
                <c:pt idx="1">
                  <c:v>10</c:v>
                </c:pt>
                <c:pt idx="2">
                  <c:v>9.4</c:v>
                </c:pt>
                <c:pt idx="3">
                  <c:v>9.3000000000000007</c:v>
                </c:pt>
                <c:pt idx="4">
                  <c:v>9.5</c:v>
                </c:pt>
                <c:pt idx="5">
                  <c:v>10.4</c:v>
                </c:pt>
                <c:pt idx="6">
                  <c:v>10.3</c:v>
                </c:pt>
                <c:pt idx="7">
                  <c:v>10.1</c:v>
                </c:pt>
                <c:pt idx="8">
                  <c:v>9.9</c:v>
                </c:pt>
                <c:pt idx="9">
                  <c:v>9.3000000000000007</c:v>
                </c:pt>
                <c:pt idx="10">
                  <c:v>8.4</c:v>
                </c:pt>
                <c:pt idx="11">
                  <c:v>8.5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РФ**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strRef>
              <c:f>Лист1!$A$2:$A$15</c:f>
              <c:strCache>
                <c:ptCount val="14"/>
                <c:pt idx="0">
                  <c:v>2006 г.</c:v>
                </c:pt>
                <c:pt idx="1">
                  <c:v>2007 г.</c:v>
                </c:pt>
                <c:pt idx="2">
                  <c:v>2008 г.</c:v>
                </c:pt>
                <c:pt idx="3">
                  <c:v>2009 г.</c:v>
                </c:pt>
                <c:pt idx="4">
                  <c:v>2010 г.</c:v>
                </c:pt>
                <c:pt idx="5">
                  <c:v>2011 г.</c:v>
                </c:pt>
                <c:pt idx="6">
                  <c:v>2012 г.</c:v>
                </c:pt>
                <c:pt idx="7">
                  <c:v>2013 г.</c:v>
                </c:pt>
                <c:pt idx="8">
                  <c:v>2014 г.</c:v>
                </c:pt>
                <c:pt idx="9">
                  <c:v>2015 г.</c:v>
                </c:pt>
                <c:pt idx="10">
                  <c:v>2016 г.</c:v>
                </c:pt>
                <c:pt idx="11">
                  <c:v>2017 г.</c:v>
                </c:pt>
                <c:pt idx="12">
                  <c:v>2018 г.</c:v>
                </c:pt>
                <c:pt idx="13">
                  <c:v>2019 г.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11" formatCode="0.0">
                  <c:v>14.605187775341276</c:v>
                </c:pt>
                <c:pt idx="12" formatCode="0.0">
                  <c:v>12.784008273811448</c:v>
                </c:pt>
                <c:pt idx="13" formatCode="0.0">
                  <c:v>9.1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Республика Мордовия*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0"/>
                  <c:y val="1.1904761904761911E-2"/>
                </c:manualLayout>
              </c:layout>
              <c:dLblPos val="t"/>
              <c:showVal val="1"/>
            </c:dLbl>
            <c:dLbl>
              <c:idx val="1"/>
              <c:layout>
                <c:manualLayout>
                  <c:x val="0"/>
                  <c:y val="1.5873015873015879E-2"/>
                </c:manualLayout>
              </c:layout>
              <c:dLblPos val="t"/>
              <c:showVal val="1"/>
            </c:dLbl>
            <c:dLbl>
              <c:idx val="2"/>
              <c:layout>
                <c:manualLayout>
                  <c:x val="2.3148148148148147E-3"/>
                  <c:y val="1.1904761904761911E-2"/>
                </c:manualLayout>
              </c:layout>
              <c:dLblPos val="t"/>
              <c:showVal val="1"/>
            </c:dLbl>
            <c:dLbl>
              <c:idx val="4"/>
              <c:layout>
                <c:manualLayout>
                  <c:x val="4.243778136006679E-17"/>
                  <c:y val="2.7777777777777811E-2"/>
                </c:manualLayout>
              </c:layout>
              <c:dLblPos val="t"/>
              <c:showVal val="1"/>
            </c:dLbl>
            <c:dLblPos val="t"/>
            <c:showVal val="1"/>
          </c:dLbls>
          <c:cat>
            <c:strRef>
              <c:f>Лист1!$A$2:$A$15</c:f>
              <c:strCache>
                <c:ptCount val="14"/>
                <c:pt idx="0">
                  <c:v>2006 г.</c:v>
                </c:pt>
                <c:pt idx="1">
                  <c:v>2007 г.</c:v>
                </c:pt>
                <c:pt idx="2">
                  <c:v>2008 г.</c:v>
                </c:pt>
                <c:pt idx="3">
                  <c:v>2009 г.</c:v>
                </c:pt>
                <c:pt idx="4">
                  <c:v>2010 г.</c:v>
                </c:pt>
                <c:pt idx="5">
                  <c:v>2011 г.</c:v>
                </c:pt>
                <c:pt idx="6">
                  <c:v>2012 г.</c:v>
                </c:pt>
                <c:pt idx="7">
                  <c:v>2013 г.</c:v>
                </c:pt>
                <c:pt idx="8">
                  <c:v>2014 г.</c:v>
                </c:pt>
                <c:pt idx="9">
                  <c:v>2015 г.</c:v>
                </c:pt>
                <c:pt idx="10">
                  <c:v>2016 г.</c:v>
                </c:pt>
                <c:pt idx="11">
                  <c:v>2017 г.</c:v>
                </c:pt>
                <c:pt idx="12">
                  <c:v>2018 г.</c:v>
                </c:pt>
                <c:pt idx="13">
                  <c:v>2019 г.</c:v>
                </c:pt>
              </c:strCache>
            </c:strRef>
          </c:cat>
          <c:val>
            <c:numRef>
              <c:f>Лист1!$D$2:$D$15</c:f>
              <c:numCache>
                <c:formatCode>0.0</c:formatCode>
                <c:ptCount val="14"/>
                <c:pt idx="0">
                  <c:v>8.8000000000000007</c:v>
                </c:pt>
                <c:pt idx="1">
                  <c:v>9.6</c:v>
                </c:pt>
                <c:pt idx="2">
                  <c:v>8.8000000000000007</c:v>
                </c:pt>
                <c:pt idx="3">
                  <c:v>10.6</c:v>
                </c:pt>
                <c:pt idx="4">
                  <c:v>9.4</c:v>
                </c:pt>
                <c:pt idx="5">
                  <c:v>12.4</c:v>
                </c:pt>
                <c:pt idx="6">
                  <c:v>13.1</c:v>
                </c:pt>
                <c:pt idx="7">
                  <c:v>16.899999999999999</c:v>
                </c:pt>
                <c:pt idx="8">
                  <c:v>18.3</c:v>
                </c:pt>
                <c:pt idx="9">
                  <c:v>16.600000000000001</c:v>
                </c:pt>
                <c:pt idx="10">
                  <c:v>13.4</c:v>
                </c:pt>
                <c:pt idx="11">
                  <c:v>12.5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Республика Мордовия**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dLbls>
            <c:showVal val="1"/>
          </c:dLbls>
          <c:cat>
            <c:strRef>
              <c:f>Лист1!$A$2:$A$15</c:f>
              <c:strCache>
                <c:ptCount val="14"/>
                <c:pt idx="0">
                  <c:v>2006 г.</c:v>
                </c:pt>
                <c:pt idx="1">
                  <c:v>2007 г.</c:v>
                </c:pt>
                <c:pt idx="2">
                  <c:v>2008 г.</c:v>
                </c:pt>
                <c:pt idx="3">
                  <c:v>2009 г.</c:v>
                </c:pt>
                <c:pt idx="4">
                  <c:v>2010 г.</c:v>
                </c:pt>
                <c:pt idx="5">
                  <c:v>2011 г.</c:v>
                </c:pt>
                <c:pt idx="6">
                  <c:v>2012 г.</c:v>
                </c:pt>
                <c:pt idx="7">
                  <c:v>2013 г.</c:v>
                </c:pt>
                <c:pt idx="8">
                  <c:v>2014 г.</c:v>
                </c:pt>
                <c:pt idx="9">
                  <c:v>2015 г.</c:v>
                </c:pt>
                <c:pt idx="10">
                  <c:v>2016 г.</c:v>
                </c:pt>
                <c:pt idx="11">
                  <c:v>2017 г.</c:v>
                </c:pt>
                <c:pt idx="12">
                  <c:v>2018 г.</c:v>
                </c:pt>
                <c:pt idx="13">
                  <c:v>2019 г.</c:v>
                </c:pt>
              </c:strCache>
            </c:strRef>
          </c:cat>
          <c:val>
            <c:numRef>
              <c:f>Лист1!$E$2:$E$15</c:f>
              <c:numCache>
                <c:formatCode>General</c:formatCode>
                <c:ptCount val="14"/>
                <c:pt idx="11" formatCode="0.0">
                  <c:v>18.933333333333323</c:v>
                </c:pt>
                <c:pt idx="12" formatCode="0.0">
                  <c:v>16.414686825053991</c:v>
                </c:pt>
                <c:pt idx="13" formatCode="0.0">
                  <c:v>21.2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Республика Дагестан*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dLbls>
            <c:dLbl>
              <c:idx val="8"/>
              <c:layout>
                <c:manualLayout>
                  <c:x val="2.3148148148148147E-3"/>
                  <c:y val="1.9841269841269851E-2"/>
                </c:manualLayout>
              </c:layout>
              <c:dLblPos val="b"/>
              <c:showVal val="1"/>
            </c:dLbl>
            <c:dLblPos val="b"/>
            <c:showVal val="1"/>
          </c:dLbls>
          <c:cat>
            <c:strRef>
              <c:f>Лист1!$A$2:$A$15</c:f>
              <c:strCache>
                <c:ptCount val="14"/>
                <c:pt idx="0">
                  <c:v>2006 г.</c:v>
                </c:pt>
                <c:pt idx="1">
                  <c:v>2007 г.</c:v>
                </c:pt>
                <c:pt idx="2">
                  <c:v>2008 г.</c:v>
                </c:pt>
                <c:pt idx="3">
                  <c:v>2009 г.</c:v>
                </c:pt>
                <c:pt idx="4">
                  <c:v>2010 г.</c:v>
                </c:pt>
                <c:pt idx="5">
                  <c:v>2011 г.</c:v>
                </c:pt>
                <c:pt idx="6">
                  <c:v>2012 г.</c:v>
                </c:pt>
                <c:pt idx="7">
                  <c:v>2013 г.</c:v>
                </c:pt>
                <c:pt idx="8">
                  <c:v>2014 г.</c:v>
                </c:pt>
                <c:pt idx="9">
                  <c:v>2015 г.</c:v>
                </c:pt>
                <c:pt idx="10">
                  <c:v>2016 г.</c:v>
                </c:pt>
                <c:pt idx="11">
                  <c:v>2017 г.</c:v>
                </c:pt>
                <c:pt idx="12">
                  <c:v>2018 г.</c:v>
                </c:pt>
                <c:pt idx="13">
                  <c:v>2019 г.</c:v>
                </c:pt>
              </c:strCache>
            </c:strRef>
          </c:cat>
          <c:val>
            <c:numRef>
              <c:f>Лист1!$F$2:$F$15</c:f>
              <c:numCache>
                <c:formatCode>0.0</c:formatCode>
                <c:ptCount val="14"/>
                <c:pt idx="0">
                  <c:v>10.9</c:v>
                </c:pt>
                <c:pt idx="1">
                  <c:v>10.7</c:v>
                </c:pt>
                <c:pt idx="2">
                  <c:v>8.3000000000000007</c:v>
                </c:pt>
                <c:pt idx="3">
                  <c:v>7.9</c:v>
                </c:pt>
                <c:pt idx="4">
                  <c:v>6.7</c:v>
                </c:pt>
                <c:pt idx="5">
                  <c:v>2.9</c:v>
                </c:pt>
                <c:pt idx="6">
                  <c:v>6.5</c:v>
                </c:pt>
                <c:pt idx="7">
                  <c:v>10.3</c:v>
                </c:pt>
                <c:pt idx="8">
                  <c:v>12.2</c:v>
                </c:pt>
                <c:pt idx="9">
                  <c:v>7.3</c:v>
                </c:pt>
                <c:pt idx="10">
                  <c:v>2.5</c:v>
                </c:pt>
                <c:pt idx="11">
                  <c:v>2.8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Республика Дагестан**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dLbls>
            <c:showVal val="1"/>
          </c:dLbls>
          <c:cat>
            <c:strRef>
              <c:f>Лист1!$A$2:$A$15</c:f>
              <c:strCache>
                <c:ptCount val="14"/>
                <c:pt idx="0">
                  <c:v>2006 г.</c:v>
                </c:pt>
                <c:pt idx="1">
                  <c:v>2007 г.</c:v>
                </c:pt>
                <c:pt idx="2">
                  <c:v>2008 г.</c:v>
                </c:pt>
                <c:pt idx="3">
                  <c:v>2009 г.</c:v>
                </c:pt>
                <c:pt idx="4">
                  <c:v>2010 г.</c:v>
                </c:pt>
                <c:pt idx="5">
                  <c:v>2011 г.</c:v>
                </c:pt>
                <c:pt idx="6">
                  <c:v>2012 г.</c:v>
                </c:pt>
                <c:pt idx="7">
                  <c:v>2013 г.</c:v>
                </c:pt>
                <c:pt idx="8">
                  <c:v>2014 г.</c:v>
                </c:pt>
                <c:pt idx="9">
                  <c:v>2015 г.</c:v>
                </c:pt>
                <c:pt idx="10">
                  <c:v>2016 г.</c:v>
                </c:pt>
                <c:pt idx="11">
                  <c:v>2017 г.</c:v>
                </c:pt>
                <c:pt idx="12">
                  <c:v>2018 г.</c:v>
                </c:pt>
                <c:pt idx="13">
                  <c:v>2019 г.</c:v>
                </c:pt>
              </c:strCache>
            </c:strRef>
          </c:cat>
          <c:val>
            <c:numRef>
              <c:f>Лист1!$G$2:$G$15</c:f>
              <c:numCache>
                <c:formatCode>General</c:formatCode>
                <c:ptCount val="14"/>
                <c:pt idx="11" formatCode="0.0">
                  <c:v>9.0909090909090935</c:v>
                </c:pt>
                <c:pt idx="12" formatCode="0.0">
                  <c:v>2.2399999999999998</c:v>
                </c:pt>
                <c:pt idx="13" formatCode="0.0">
                  <c:v>0.5</c:v>
                </c:pt>
              </c:numCache>
            </c:numRef>
          </c:val>
        </c:ser>
        <c:marker val="1"/>
        <c:axId val="149666816"/>
        <c:axId val="150475520"/>
      </c:lineChart>
      <c:catAx>
        <c:axId val="149666816"/>
        <c:scaling>
          <c:orientation val="minMax"/>
        </c:scaling>
        <c:axPos val="b"/>
        <c:tickLblPos val="nextTo"/>
        <c:crossAx val="150475520"/>
        <c:crosses val="autoZero"/>
        <c:auto val="1"/>
        <c:lblAlgn val="ctr"/>
        <c:lblOffset val="100"/>
      </c:catAx>
      <c:valAx>
        <c:axId val="150475520"/>
        <c:scaling>
          <c:orientation val="minMax"/>
        </c:scaling>
        <c:axPos val="l"/>
        <c:majorGridlines/>
        <c:numFmt formatCode="0.0" sourceLinked="1"/>
        <c:tickLblPos val="nextTo"/>
        <c:crossAx val="149666816"/>
        <c:crosses val="autoZero"/>
        <c:crossBetween val="between"/>
      </c:valAx>
    </c:plotArea>
    <c:legend>
      <c:legendPos val="b"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РФ*</c:v>
                </c:pt>
              </c:strCache>
            </c:strRef>
          </c:tx>
          <c:marker>
            <c:symbol val="none"/>
          </c:marker>
          <c:dLbls>
            <c:dLbl>
              <c:idx val="1"/>
              <c:layout>
                <c:manualLayout>
                  <c:x val="-2.3148148148147934E-3"/>
                  <c:y val="0"/>
                </c:manualLayout>
              </c:layout>
              <c:dLblPos val="t"/>
              <c:showVal val="1"/>
            </c:dLbl>
            <c:dLbl>
              <c:idx val="2"/>
              <c:layout>
                <c:manualLayout>
                  <c:x val="0"/>
                  <c:y val="-1.1904761904761915E-2"/>
                </c:manualLayout>
              </c:layout>
              <c:dLblPos val="t"/>
              <c:showVal val="1"/>
            </c:dLbl>
            <c:dLblPos val="t"/>
            <c:showVal val="1"/>
          </c:dLbls>
          <c:cat>
            <c:strRef>
              <c:f>Лист1!$A$2:$A$15</c:f>
              <c:strCache>
                <c:ptCount val="14"/>
                <c:pt idx="0">
                  <c:v>2006 г.</c:v>
                </c:pt>
                <c:pt idx="1">
                  <c:v>2007 г.</c:v>
                </c:pt>
                <c:pt idx="2">
                  <c:v>2008 г.</c:v>
                </c:pt>
                <c:pt idx="3">
                  <c:v>2009 г.</c:v>
                </c:pt>
                <c:pt idx="4">
                  <c:v>2010 г.</c:v>
                </c:pt>
                <c:pt idx="5">
                  <c:v>2011 г.</c:v>
                </c:pt>
                <c:pt idx="6">
                  <c:v>2012 г.</c:v>
                </c:pt>
                <c:pt idx="7">
                  <c:v>2013 г.</c:v>
                </c:pt>
                <c:pt idx="8">
                  <c:v>2014 г.</c:v>
                </c:pt>
                <c:pt idx="9">
                  <c:v>2015 г.</c:v>
                </c:pt>
                <c:pt idx="10">
                  <c:v>2016 г.</c:v>
                </c:pt>
                <c:pt idx="11">
                  <c:v>2017 г.</c:v>
                </c:pt>
                <c:pt idx="12">
                  <c:v>2018 г.</c:v>
                </c:pt>
                <c:pt idx="13">
                  <c:v>2019 г.</c:v>
                </c:pt>
              </c:strCache>
            </c:strRef>
          </c:cat>
          <c:val>
            <c:numRef>
              <c:f>Лист1!$B$2:$B$15</c:f>
              <c:numCache>
                <c:formatCode>0.0</c:formatCode>
                <c:ptCount val="14"/>
                <c:pt idx="0">
                  <c:v>8.6</c:v>
                </c:pt>
                <c:pt idx="1">
                  <c:v>8.5</c:v>
                </c:pt>
                <c:pt idx="2">
                  <c:v>8</c:v>
                </c:pt>
                <c:pt idx="3">
                  <c:v>7.7</c:v>
                </c:pt>
                <c:pt idx="4">
                  <c:v>7.9</c:v>
                </c:pt>
                <c:pt idx="5">
                  <c:v>8.9</c:v>
                </c:pt>
                <c:pt idx="6">
                  <c:v>9.1</c:v>
                </c:pt>
                <c:pt idx="7">
                  <c:v>8.9</c:v>
                </c:pt>
                <c:pt idx="8">
                  <c:v>8.8000000000000007</c:v>
                </c:pt>
                <c:pt idx="9">
                  <c:v>8.3000000000000007</c:v>
                </c:pt>
                <c:pt idx="10">
                  <c:v>7.3</c:v>
                </c:pt>
                <c:pt idx="11">
                  <c:v>7.5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РФ**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strRef>
              <c:f>Лист1!$A$2:$A$15</c:f>
              <c:strCache>
                <c:ptCount val="14"/>
                <c:pt idx="0">
                  <c:v>2006 г.</c:v>
                </c:pt>
                <c:pt idx="1">
                  <c:v>2007 г.</c:v>
                </c:pt>
                <c:pt idx="2">
                  <c:v>2008 г.</c:v>
                </c:pt>
                <c:pt idx="3">
                  <c:v>2009 г.</c:v>
                </c:pt>
                <c:pt idx="4">
                  <c:v>2010 г.</c:v>
                </c:pt>
                <c:pt idx="5">
                  <c:v>2011 г.</c:v>
                </c:pt>
                <c:pt idx="6">
                  <c:v>2012 г.</c:v>
                </c:pt>
                <c:pt idx="7">
                  <c:v>2013 г.</c:v>
                </c:pt>
                <c:pt idx="8">
                  <c:v>2014 г.</c:v>
                </c:pt>
                <c:pt idx="9">
                  <c:v>2015 г.</c:v>
                </c:pt>
                <c:pt idx="10">
                  <c:v>2016 г.</c:v>
                </c:pt>
                <c:pt idx="11">
                  <c:v>2017 г.</c:v>
                </c:pt>
                <c:pt idx="12">
                  <c:v>2018 г.</c:v>
                </c:pt>
                <c:pt idx="13">
                  <c:v>2019 г.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11" formatCode="0.0">
                  <c:v>20.785908747990938</c:v>
                </c:pt>
                <c:pt idx="12" formatCode="0.0">
                  <c:v>19.8</c:v>
                </c:pt>
                <c:pt idx="13" formatCode="0.0">
                  <c:v>21.6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г. Москва*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0"/>
                  <c:y val="1.1904761904761915E-2"/>
                </c:manualLayout>
              </c:layout>
              <c:dLblPos val="t"/>
              <c:showVal val="1"/>
            </c:dLbl>
            <c:dLbl>
              <c:idx val="1"/>
              <c:layout>
                <c:manualLayout>
                  <c:x val="2.1218890680033395E-17"/>
                  <c:y val="-7.9365079365079413E-3"/>
                </c:manualLayout>
              </c:layout>
              <c:dLblPos val="t"/>
              <c:showVal val="1"/>
            </c:dLbl>
            <c:dLbl>
              <c:idx val="2"/>
              <c:layout>
                <c:manualLayout>
                  <c:x val="2.3148148148148147E-3"/>
                  <c:y val="1.1904761904761915E-2"/>
                </c:manualLayout>
              </c:layout>
              <c:dLblPos val="t"/>
              <c:showVal val="1"/>
            </c:dLbl>
            <c:dLbl>
              <c:idx val="4"/>
              <c:layout>
                <c:manualLayout>
                  <c:x val="2.3148148148148147E-3"/>
                  <c:y val="-3.9682539682539706E-3"/>
                </c:manualLayout>
              </c:layout>
              <c:dLblPos val="t"/>
              <c:showVal val="1"/>
            </c:dLbl>
            <c:dLblPos val="t"/>
            <c:showVal val="1"/>
          </c:dLbls>
          <c:cat>
            <c:strRef>
              <c:f>Лист1!$A$2:$A$15</c:f>
              <c:strCache>
                <c:ptCount val="14"/>
                <c:pt idx="0">
                  <c:v>2006 г.</c:v>
                </c:pt>
                <c:pt idx="1">
                  <c:v>2007 г.</c:v>
                </c:pt>
                <c:pt idx="2">
                  <c:v>2008 г.</c:v>
                </c:pt>
                <c:pt idx="3">
                  <c:v>2009 г.</c:v>
                </c:pt>
                <c:pt idx="4">
                  <c:v>2010 г.</c:v>
                </c:pt>
                <c:pt idx="5">
                  <c:v>2011 г.</c:v>
                </c:pt>
                <c:pt idx="6">
                  <c:v>2012 г.</c:v>
                </c:pt>
                <c:pt idx="7">
                  <c:v>2013 г.</c:v>
                </c:pt>
                <c:pt idx="8">
                  <c:v>2014 г.</c:v>
                </c:pt>
                <c:pt idx="9">
                  <c:v>2015 г.</c:v>
                </c:pt>
                <c:pt idx="10">
                  <c:v>2016 г.</c:v>
                </c:pt>
                <c:pt idx="11">
                  <c:v>2017 г.</c:v>
                </c:pt>
                <c:pt idx="12">
                  <c:v>2018 г.</c:v>
                </c:pt>
                <c:pt idx="13">
                  <c:v>2019 г.</c:v>
                </c:pt>
              </c:strCache>
            </c:strRef>
          </c:cat>
          <c:val>
            <c:numRef>
              <c:f>Лист1!$D$2:$D$15</c:f>
              <c:numCache>
                <c:formatCode>0.0</c:formatCode>
                <c:ptCount val="14"/>
                <c:pt idx="0">
                  <c:v>13.2</c:v>
                </c:pt>
                <c:pt idx="1">
                  <c:v>11.6</c:v>
                </c:pt>
                <c:pt idx="2">
                  <c:v>13.8</c:v>
                </c:pt>
                <c:pt idx="3">
                  <c:v>12.8</c:v>
                </c:pt>
                <c:pt idx="4">
                  <c:v>11.6</c:v>
                </c:pt>
                <c:pt idx="5">
                  <c:v>16.899999999999999</c:v>
                </c:pt>
                <c:pt idx="6">
                  <c:v>17.7</c:v>
                </c:pt>
                <c:pt idx="7">
                  <c:v>17.399999999999999</c:v>
                </c:pt>
                <c:pt idx="8">
                  <c:v>18</c:v>
                </c:pt>
                <c:pt idx="9">
                  <c:v>18.5</c:v>
                </c:pt>
                <c:pt idx="10">
                  <c:v>14.9</c:v>
                </c:pt>
                <c:pt idx="11">
                  <c:v>13.6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г. Москва**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dLbls>
            <c:showVal val="1"/>
          </c:dLbls>
          <c:cat>
            <c:strRef>
              <c:f>Лист1!$A$2:$A$15</c:f>
              <c:strCache>
                <c:ptCount val="14"/>
                <c:pt idx="0">
                  <c:v>2006 г.</c:v>
                </c:pt>
                <c:pt idx="1">
                  <c:v>2007 г.</c:v>
                </c:pt>
                <c:pt idx="2">
                  <c:v>2008 г.</c:v>
                </c:pt>
                <c:pt idx="3">
                  <c:v>2009 г.</c:v>
                </c:pt>
                <c:pt idx="4">
                  <c:v>2010 г.</c:v>
                </c:pt>
                <c:pt idx="5">
                  <c:v>2011 г.</c:v>
                </c:pt>
                <c:pt idx="6">
                  <c:v>2012 г.</c:v>
                </c:pt>
                <c:pt idx="7">
                  <c:v>2013 г.</c:v>
                </c:pt>
                <c:pt idx="8">
                  <c:v>2014 г.</c:v>
                </c:pt>
                <c:pt idx="9">
                  <c:v>2015 г.</c:v>
                </c:pt>
                <c:pt idx="10">
                  <c:v>2016 г.</c:v>
                </c:pt>
                <c:pt idx="11">
                  <c:v>2017 г.</c:v>
                </c:pt>
                <c:pt idx="12">
                  <c:v>2018 г.</c:v>
                </c:pt>
                <c:pt idx="13">
                  <c:v>2019 г.</c:v>
                </c:pt>
              </c:strCache>
            </c:strRef>
          </c:cat>
          <c:val>
            <c:numRef>
              <c:f>Лист1!$E$2:$E$15</c:f>
              <c:numCache>
                <c:formatCode>General</c:formatCode>
                <c:ptCount val="14"/>
                <c:pt idx="11" formatCode="0.0">
                  <c:v>40.534521158129181</c:v>
                </c:pt>
                <c:pt idx="12" formatCode="0.0">
                  <c:v>41.3</c:v>
                </c:pt>
                <c:pt idx="13" formatCode="0.0">
                  <c:v>45.1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Республика Дагестан*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dLbls>
            <c:dLbl>
              <c:idx val="5"/>
              <c:layout>
                <c:manualLayout>
                  <c:x val="0"/>
                  <c:y val="-5.9523809523809507E-2"/>
                </c:manualLayout>
              </c:layout>
              <c:dLblPos val="b"/>
              <c:showVal val="1"/>
            </c:dLbl>
            <c:dLbl>
              <c:idx val="8"/>
              <c:layout>
                <c:manualLayout>
                  <c:x val="2.3148148148148147E-3"/>
                  <c:y val="1.9841269841269861E-2"/>
                </c:manualLayout>
              </c:layout>
              <c:dLblPos val="b"/>
              <c:showVal val="1"/>
            </c:dLbl>
            <c:dLbl>
              <c:idx val="10"/>
              <c:layout>
                <c:manualLayout>
                  <c:x val="0"/>
                  <c:y val="-3.5714285714285712E-2"/>
                </c:manualLayout>
              </c:layout>
              <c:dLblPos val="b"/>
              <c:showVal val="1"/>
            </c:dLbl>
            <c:dLbl>
              <c:idx val="11"/>
              <c:layout>
                <c:manualLayout>
                  <c:x val="4.629629629629632E-3"/>
                  <c:y val="-5.1587301587301577E-2"/>
                </c:manualLayout>
              </c:layout>
              <c:dLblPos val="b"/>
              <c:showVal val="1"/>
            </c:dLbl>
            <c:dLblPos val="b"/>
            <c:showVal val="1"/>
          </c:dLbls>
          <c:cat>
            <c:strRef>
              <c:f>Лист1!$A$2:$A$15</c:f>
              <c:strCache>
                <c:ptCount val="14"/>
                <c:pt idx="0">
                  <c:v>2006 г.</c:v>
                </c:pt>
                <c:pt idx="1">
                  <c:v>2007 г.</c:v>
                </c:pt>
                <c:pt idx="2">
                  <c:v>2008 г.</c:v>
                </c:pt>
                <c:pt idx="3">
                  <c:v>2009 г.</c:v>
                </c:pt>
                <c:pt idx="4">
                  <c:v>2010 г.</c:v>
                </c:pt>
                <c:pt idx="5">
                  <c:v>2011 г.</c:v>
                </c:pt>
                <c:pt idx="6">
                  <c:v>2012 г.</c:v>
                </c:pt>
                <c:pt idx="7">
                  <c:v>2013 г.</c:v>
                </c:pt>
                <c:pt idx="8">
                  <c:v>2014 г.</c:v>
                </c:pt>
                <c:pt idx="9">
                  <c:v>2015 г.</c:v>
                </c:pt>
                <c:pt idx="10">
                  <c:v>2016 г.</c:v>
                </c:pt>
                <c:pt idx="11">
                  <c:v>2017 г.</c:v>
                </c:pt>
                <c:pt idx="12">
                  <c:v>2018 г.</c:v>
                </c:pt>
                <c:pt idx="13">
                  <c:v>2019 г.</c:v>
                </c:pt>
              </c:strCache>
            </c:strRef>
          </c:cat>
          <c:val>
            <c:numRef>
              <c:f>Лист1!$F$2:$F$15</c:f>
              <c:numCache>
                <c:formatCode>0.0</c:formatCode>
                <c:ptCount val="14"/>
                <c:pt idx="0">
                  <c:v>10.1</c:v>
                </c:pt>
                <c:pt idx="1">
                  <c:v>8.3000000000000007</c:v>
                </c:pt>
                <c:pt idx="2">
                  <c:v>7.4</c:v>
                </c:pt>
                <c:pt idx="3">
                  <c:v>5.9</c:v>
                </c:pt>
                <c:pt idx="4">
                  <c:v>3.8</c:v>
                </c:pt>
                <c:pt idx="5">
                  <c:v>1</c:v>
                </c:pt>
                <c:pt idx="6">
                  <c:v>4.3</c:v>
                </c:pt>
                <c:pt idx="7">
                  <c:v>5.7</c:v>
                </c:pt>
                <c:pt idx="8">
                  <c:v>8.5</c:v>
                </c:pt>
                <c:pt idx="9">
                  <c:v>6.1</c:v>
                </c:pt>
                <c:pt idx="10">
                  <c:v>1.9000000000000001</c:v>
                </c:pt>
                <c:pt idx="11">
                  <c:v>1.1000000000000001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Республика Дагестан**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dLbls>
            <c:showVal val="1"/>
          </c:dLbls>
          <c:cat>
            <c:strRef>
              <c:f>Лист1!$A$2:$A$15</c:f>
              <c:strCache>
                <c:ptCount val="14"/>
                <c:pt idx="0">
                  <c:v>2006 г.</c:v>
                </c:pt>
                <c:pt idx="1">
                  <c:v>2007 г.</c:v>
                </c:pt>
                <c:pt idx="2">
                  <c:v>2008 г.</c:v>
                </c:pt>
                <c:pt idx="3">
                  <c:v>2009 г.</c:v>
                </c:pt>
                <c:pt idx="4">
                  <c:v>2010 г.</c:v>
                </c:pt>
                <c:pt idx="5">
                  <c:v>2011 г.</c:v>
                </c:pt>
                <c:pt idx="6">
                  <c:v>2012 г.</c:v>
                </c:pt>
                <c:pt idx="7">
                  <c:v>2013 г.</c:v>
                </c:pt>
                <c:pt idx="8">
                  <c:v>2014 г.</c:v>
                </c:pt>
                <c:pt idx="9">
                  <c:v>2015 г.</c:v>
                </c:pt>
                <c:pt idx="10">
                  <c:v>2016 г.</c:v>
                </c:pt>
                <c:pt idx="11">
                  <c:v>2017 г.</c:v>
                </c:pt>
                <c:pt idx="12">
                  <c:v>2018 г.</c:v>
                </c:pt>
                <c:pt idx="13">
                  <c:v>2019 г.</c:v>
                </c:pt>
              </c:strCache>
            </c:strRef>
          </c:cat>
          <c:val>
            <c:numRef>
              <c:f>Лист1!$G$2:$G$15</c:f>
              <c:numCache>
                <c:formatCode>General</c:formatCode>
                <c:ptCount val="14"/>
                <c:pt idx="11" formatCode="0.0">
                  <c:v>10.294117647058815</c:v>
                </c:pt>
                <c:pt idx="12" formatCode="0.0">
                  <c:v>3.6</c:v>
                </c:pt>
                <c:pt idx="13" formatCode="0.0">
                  <c:v>4</c:v>
                </c:pt>
              </c:numCache>
            </c:numRef>
          </c:val>
        </c:ser>
        <c:marker val="1"/>
        <c:axId val="151151360"/>
        <c:axId val="151152896"/>
      </c:lineChart>
      <c:catAx>
        <c:axId val="151151360"/>
        <c:scaling>
          <c:orientation val="minMax"/>
        </c:scaling>
        <c:axPos val="b"/>
        <c:tickLblPos val="nextTo"/>
        <c:crossAx val="151152896"/>
        <c:crosses val="autoZero"/>
        <c:auto val="1"/>
        <c:lblAlgn val="ctr"/>
        <c:lblOffset val="100"/>
      </c:catAx>
      <c:valAx>
        <c:axId val="151152896"/>
        <c:scaling>
          <c:orientation val="minMax"/>
        </c:scaling>
        <c:axPos val="l"/>
        <c:majorGridlines/>
        <c:numFmt formatCode="0.0" sourceLinked="1"/>
        <c:tickLblPos val="nextTo"/>
        <c:crossAx val="151151360"/>
        <c:crosses val="autoZero"/>
        <c:crossBetween val="between"/>
      </c:valAx>
    </c:plotArea>
    <c:legend>
      <c:legendPos val="b"/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6.9446267133275071E-3"/>
                  <c:y val="-4.3650793650793676E-2"/>
                </c:manualLayout>
              </c:layout>
              <c:dLblPos val="b"/>
              <c:showVal val="1"/>
            </c:dLbl>
            <c:dLbl>
              <c:idx val="5"/>
              <c:layout>
                <c:manualLayout>
                  <c:x val="2.3148148148148147E-3"/>
                  <c:y val="-3.5714285714285712E-2"/>
                </c:manualLayout>
              </c:layout>
              <c:dLblPos val="b"/>
              <c:showVal val="1"/>
            </c:dLbl>
            <c:dLbl>
              <c:idx val="6"/>
              <c:layout>
                <c:manualLayout>
                  <c:x val="-2.3148148148148147E-3"/>
                  <c:y val="-1.9841269841269851E-2"/>
                </c:manualLayout>
              </c:layout>
              <c:dLblPos val="b"/>
              <c:showVal val="1"/>
            </c:dLbl>
            <c:dLbl>
              <c:idx val="12"/>
              <c:layout>
                <c:manualLayout>
                  <c:x val="0"/>
                  <c:y val="-1.9841269841269851E-2"/>
                </c:manualLayout>
              </c:layout>
              <c:dLblPos val="b"/>
              <c:showVal val="1"/>
            </c:dLbl>
            <c:dLblPos val="b"/>
            <c:showVal val="1"/>
          </c:dLbls>
          <c:cat>
            <c:strRef>
              <c:f>Лист1!$A$2:$A$15</c:f>
              <c:strCache>
                <c:ptCount val="14"/>
                <c:pt idx="0">
                  <c:v>2006 г.</c:v>
                </c:pt>
                <c:pt idx="1">
                  <c:v>2007 г.</c:v>
                </c:pt>
                <c:pt idx="2">
                  <c:v>2008 г.</c:v>
                </c:pt>
                <c:pt idx="3">
                  <c:v>2009 г.</c:v>
                </c:pt>
                <c:pt idx="4">
                  <c:v>2010 г.</c:v>
                </c:pt>
                <c:pt idx="5">
                  <c:v>2011 г.</c:v>
                </c:pt>
                <c:pt idx="6">
                  <c:v>2012 г.</c:v>
                </c:pt>
                <c:pt idx="7">
                  <c:v>2013 г.</c:v>
                </c:pt>
                <c:pt idx="8">
                  <c:v>2014 г.</c:v>
                </c:pt>
                <c:pt idx="9">
                  <c:v>2015 г.</c:v>
                </c:pt>
                <c:pt idx="10">
                  <c:v>2016 г.</c:v>
                </c:pt>
                <c:pt idx="11">
                  <c:v>2017 г.</c:v>
                </c:pt>
                <c:pt idx="12">
                  <c:v>2018 г.</c:v>
                </c:pt>
                <c:pt idx="13">
                  <c:v>2019 г.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1.3</c:v>
                </c:pt>
                <c:pt idx="1">
                  <c:v>1.1000000000000001</c:v>
                </c:pt>
                <c:pt idx="2">
                  <c:v>1.4</c:v>
                </c:pt>
                <c:pt idx="3">
                  <c:v>2.1</c:v>
                </c:pt>
                <c:pt idx="4">
                  <c:v>1.6</c:v>
                </c:pt>
                <c:pt idx="5">
                  <c:v>2.2000000000000002</c:v>
                </c:pt>
                <c:pt idx="6">
                  <c:v>2.5</c:v>
                </c:pt>
                <c:pt idx="7">
                  <c:v>2.9</c:v>
                </c:pt>
                <c:pt idx="8">
                  <c:v>2.9</c:v>
                </c:pt>
                <c:pt idx="9">
                  <c:v>2.6</c:v>
                </c:pt>
                <c:pt idx="10">
                  <c:v>2.5</c:v>
                </c:pt>
                <c:pt idx="11">
                  <c:v>2.4</c:v>
                </c:pt>
                <c:pt idx="12">
                  <c:v>2.1</c:v>
                </c:pt>
                <c:pt idx="13">
                  <c:v>2.1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Нижегородская область</c:v>
                </c:pt>
              </c:strCache>
            </c:strRef>
          </c:tx>
          <c:marker>
            <c:symbol val="none"/>
          </c:marker>
          <c:dLbls>
            <c:dLbl>
              <c:idx val="2"/>
              <c:layout>
                <c:manualLayout>
                  <c:x val="2.3148148148148147E-3"/>
                  <c:y val="-7.1428571428571383E-2"/>
                </c:manualLayout>
              </c:layout>
              <c:showVal val="1"/>
            </c:dLbl>
            <c:showVal val="1"/>
          </c:dLbls>
          <c:cat>
            <c:strRef>
              <c:f>Лист1!$A$2:$A$15</c:f>
              <c:strCache>
                <c:ptCount val="14"/>
                <c:pt idx="0">
                  <c:v>2006 г.</c:v>
                </c:pt>
                <c:pt idx="1">
                  <c:v>2007 г.</c:v>
                </c:pt>
                <c:pt idx="2">
                  <c:v>2008 г.</c:v>
                </c:pt>
                <c:pt idx="3">
                  <c:v>2009 г.</c:v>
                </c:pt>
                <c:pt idx="4">
                  <c:v>2010 г.</c:v>
                </c:pt>
                <c:pt idx="5">
                  <c:v>2011 г.</c:v>
                </c:pt>
                <c:pt idx="6">
                  <c:v>2012 г.</c:v>
                </c:pt>
                <c:pt idx="7">
                  <c:v>2013 г.</c:v>
                </c:pt>
                <c:pt idx="8">
                  <c:v>2014 г.</c:v>
                </c:pt>
                <c:pt idx="9">
                  <c:v>2015 г.</c:v>
                </c:pt>
                <c:pt idx="10">
                  <c:v>2016 г.</c:v>
                </c:pt>
                <c:pt idx="11">
                  <c:v>2017 г.</c:v>
                </c:pt>
                <c:pt idx="12">
                  <c:v>2018 г.</c:v>
                </c:pt>
                <c:pt idx="13">
                  <c:v>2019 г.</c:v>
                </c:pt>
              </c:strCache>
            </c:strRef>
          </c:cat>
          <c:val>
            <c:numRef>
              <c:f>Лист1!$C$2:$C$15</c:f>
              <c:numCache>
                <c:formatCode>0.0</c:formatCode>
                <c:ptCount val="14"/>
                <c:pt idx="0">
                  <c:v>1.5</c:v>
                </c:pt>
                <c:pt idx="1">
                  <c:v>1.1955028054165462</c:v>
                </c:pt>
                <c:pt idx="2">
                  <c:v>1.4960335605155515</c:v>
                </c:pt>
                <c:pt idx="3">
                  <c:v>4.502005491032703</c:v>
                </c:pt>
                <c:pt idx="4">
                  <c:v>2.5</c:v>
                </c:pt>
                <c:pt idx="5">
                  <c:v>3.4</c:v>
                </c:pt>
                <c:pt idx="6">
                  <c:v>6.6</c:v>
                </c:pt>
                <c:pt idx="7">
                  <c:v>6.4</c:v>
                </c:pt>
                <c:pt idx="8">
                  <c:v>4.5</c:v>
                </c:pt>
                <c:pt idx="9">
                  <c:v>4.7</c:v>
                </c:pt>
                <c:pt idx="10">
                  <c:v>4</c:v>
                </c:pt>
                <c:pt idx="11">
                  <c:v>6.7</c:v>
                </c:pt>
                <c:pt idx="12">
                  <c:v>6.08</c:v>
                </c:pt>
                <c:pt idx="13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Республика Адыгея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6.9444444444444579E-3"/>
                  <c:y val="3.5714285714285712E-2"/>
                </c:manualLayout>
              </c:layout>
              <c:dLblPos val="t"/>
              <c:showVal val="1"/>
            </c:dLbl>
            <c:dLbl>
              <c:idx val="5"/>
              <c:layout>
                <c:manualLayout>
                  <c:x val="0"/>
                  <c:y val="3.5714285714285712E-2"/>
                </c:manualLayout>
              </c:layout>
              <c:dLblPos val="t"/>
              <c:showVal val="1"/>
            </c:dLbl>
            <c:dLbl>
              <c:idx val="6"/>
              <c:layout>
                <c:manualLayout>
                  <c:x val="0"/>
                  <c:y val="3.1746031746031744E-2"/>
                </c:manualLayout>
              </c:layout>
              <c:dLblPos val="t"/>
              <c:showVal val="1"/>
            </c:dLbl>
            <c:dLbl>
              <c:idx val="12"/>
              <c:layout>
                <c:manualLayout>
                  <c:x val="0"/>
                  <c:y val="2.3809523809523812E-2"/>
                </c:manualLayout>
              </c:layout>
              <c:dLblPos val="t"/>
              <c:showVal val="1"/>
            </c:dLbl>
            <c:dLblPos val="t"/>
            <c:showVal val="1"/>
          </c:dLbls>
          <c:cat>
            <c:strRef>
              <c:f>Лист1!$A$2:$A$15</c:f>
              <c:strCache>
                <c:ptCount val="14"/>
                <c:pt idx="0">
                  <c:v>2006 г.</c:v>
                </c:pt>
                <c:pt idx="1">
                  <c:v>2007 г.</c:v>
                </c:pt>
                <c:pt idx="2">
                  <c:v>2008 г.</c:v>
                </c:pt>
                <c:pt idx="3">
                  <c:v>2009 г.</c:v>
                </c:pt>
                <c:pt idx="4">
                  <c:v>2010 г.</c:v>
                </c:pt>
                <c:pt idx="5">
                  <c:v>2011 г.</c:v>
                </c:pt>
                <c:pt idx="6">
                  <c:v>2012 г.</c:v>
                </c:pt>
                <c:pt idx="7">
                  <c:v>2013 г.</c:v>
                </c:pt>
                <c:pt idx="8">
                  <c:v>2014 г.</c:v>
                </c:pt>
                <c:pt idx="9">
                  <c:v>2015 г.</c:v>
                </c:pt>
                <c:pt idx="10">
                  <c:v>2016 г.</c:v>
                </c:pt>
                <c:pt idx="11">
                  <c:v>2017 г.</c:v>
                </c:pt>
                <c:pt idx="12">
                  <c:v>2018 г.</c:v>
                </c:pt>
                <c:pt idx="13">
                  <c:v>2019 г.</c:v>
                </c:pt>
              </c:strCache>
            </c:strRef>
          </c:cat>
          <c:val>
            <c:numRef>
              <c:f>Лист1!$D$2:$D$15</c:f>
              <c:numCache>
                <c:formatCode>0.0</c:formatCode>
                <c:ptCount val="14"/>
                <c:pt idx="0">
                  <c:v>2.2000000000000002</c:v>
                </c:pt>
                <c:pt idx="1">
                  <c:v>1.1553672991326844</c:v>
                </c:pt>
                <c:pt idx="2">
                  <c:v>3.1636284669510841</c:v>
                </c:pt>
                <c:pt idx="3">
                  <c:v>1.2675171014502387</c:v>
                </c:pt>
                <c:pt idx="4">
                  <c:v>1.3</c:v>
                </c:pt>
                <c:pt idx="5">
                  <c:v>0.60000000000000031</c:v>
                </c:pt>
                <c:pt idx="6">
                  <c:v>2.9</c:v>
                </c:pt>
                <c:pt idx="7">
                  <c:v>0.60000000000000031</c:v>
                </c:pt>
                <c:pt idx="8">
                  <c:v>0.5</c:v>
                </c:pt>
                <c:pt idx="9">
                  <c:v>0.2</c:v>
                </c:pt>
                <c:pt idx="10">
                  <c:v>0.30000000000000016</c:v>
                </c:pt>
                <c:pt idx="11">
                  <c:v>0.4</c:v>
                </c:pt>
                <c:pt idx="12">
                  <c:v>0.62000000000000033</c:v>
                </c:pt>
                <c:pt idx="13">
                  <c:v>0</c:v>
                </c:pt>
              </c:numCache>
            </c:numRef>
          </c:val>
        </c:ser>
        <c:marker val="1"/>
        <c:axId val="151501824"/>
        <c:axId val="151711104"/>
      </c:lineChart>
      <c:catAx>
        <c:axId val="151501824"/>
        <c:scaling>
          <c:orientation val="minMax"/>
        </c:scaling>
        <c:axPos val="b"/>
        <c:tickLblPos val="nextTo"/>
        <c:crossAx val="151711104"/>
        <c:crosses val="autoZero"/>
        <c:auto val="1"/>
        <c:lblAlgn val="ctr"/>
        <c:lblOffset val="100"/>
      </c:catAx>
      <c:valAx>
        <c:axId val="151711104"/>
        <c:scaling>
          <c:orientation val="minMax"/>
        </c:scaling>
        <c:axPos val="l"/>
        <c:majorGridlines/>
        <c:numFmt formatCode="General" sourceLinked="1"/>
        <c:tickLblPos val="nextTo"/>
        <c:crossAx val="151501824"/>
        <c:crosses val="autoZero"/>
        <c:crossBetween val="between"/>
      </c:valAx>
    </c:plotArea>
    <c:legend>
      <c:legendPos val="b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D1F94-4498-4141-8CE5-7363B29B8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OZZZ</dc:creator>
  <cp:keywords/>
  <dc:description/>
  <cp:lastModifiedBy>OZZZ</cp:lastModifiedBy>
  <cp:revision>43</cp:revision>
  <dcterms:created xsi:type="dcterms:W3CDTF">2021-06-13T11:44:00Z</dcterms:created>
  <dcterms:modified xsi:type="dcterms:W3CDTF">2021-06-14T09:26:00Z</dcterms:modified>
</cp:coreProperties>
</file>