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7572" w:rsidRPr="00F87572" w:rsidRDefault="00F87572" w:rsidP="00F87572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7572">
        <w:rPr>
          <w:rFonts w:ascii="Times New Roman" w:eastAsia="Times New Roman" w:hAnsi="Times New Roman" w:cs="Times New Roman"/>
          <w:sz w:val="24"/>
          <w:szCs w:val="24"/>
          <w:lang w:eastAsia="ru-RU"/>
        </w:rPr>
        <w:t>УДК 330.341;332.1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r w:rsidRPr="00F87572">
        <w:rPr>
          <w:rFonts w:ascii="Times New Roman" w:eastAsia="Times New Roman" w:hAnsi="Times New Roman" w:cs="Times New Roman"/>
          <w:sz w:val="24"/>
          <w:szCs w:val="24"/>
          <w:lang w:eastAsia="ru-RU"/>
        </w:rPr>
        <w:t>ББК 65.206</w:t>
      </w:r>
    </w:p>
    <w:p w:rsidR="00F87572" w:rsidRPr="00F87572" w:rsidRDefault="00F87572" w:rsidP="00F87572">
      <w:pPr>
        <w:spacing w:after="160" w:line="259" w:lineRule="auto"/>
        <w:jc w:val="right"/>
        <w:rPr>
          <w:rFonts w:ascii="Times New Roman" w:eastAsia="Times New Roman" w:hAnsi="Times New Roman" w:cs="Times New Roman"/>
          <w:b/>
          <w:color w:val="020C22"/>
          <w:sz w:val="24"/>
          <w:szCs w:val="24"/>
          <w:shd w:val="clear" w:color="auto" w:fill="FEFEFE"/>
          <w:lang w:eastAsia="ru-RU"/>
        </w:rPr>
      </w:pPr>
      <w:r w:rsidRPr="00F87572">
        <w:rPr>
          <w:rFonts w:ascii="Times New Roman" w:eastAsia="Times New Roman" w:hAnsi="Times New Roman" w:cs="Times New Roman"/>
          <w:b/>
          <w:color w:val="020C22"/>
          <w:sz w:val="24"/>
          <w:szCs w:val="24"/>
          <w:shd w:val="clear" w:color="auto" w:fill="FEFEFE"/>
          <w:lang w:eastAsia="ru-RU"/>
        </w:rPr>
        <w:t>Косыгина К.Е.</w:t>
      </w:r>
    </w:p>
    <w:p w:rsidR="00F87572" w:rsidRPr="00F87572" w:rsidRDefault="00F87572" w:rsidP="00FC4FF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</w:pPr>
    </w:p>
    <w:p w:rsidR="00546E0C" w:rsidRPr="00546E0C" w:rsidRDefault="00CD597A" w:rsidP="00FC4FFB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</w:pPr>
      <w:r w:rsidRPr="00F87572"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  <w:t>Тенденции и проблемы формирования сектора социально ориентированных некоммерческих организаций</w:t>
      </w:r>
      <w:r w:rsidR="00546E0C" w:rsidRPr="00546E0C">
        <w:rPr>
          <w:rFonts w:ascii="Times New Roman" w:eastAsia="Times New Roman" w:hAnsi="Times New Roman" w:cs="Times New Roman"/>
          <w:b/>
          <w:caps/>
          <w:color w:val="000000"/>
          <w:sz w:val="24"/>
          <w:szCs w:val="24"/>
          <w:lang w:eastAsia="ru-RU"/>
        </w:rPr>
        <w:t xml:space="preserve"> </w:t>
      </w:r>
    </w:p>
    <w:p w:rsidR="00546E0C" w:rsidRPr="00FC4FFB" w:rsidRDefault="00546E0C" w:rsidP="00FC4FF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</w:p>
    <w:p w:rsidR="00111A7F" w:rsidRPr="00FC4FFB" w:rsidRDefault="00111A7F" w:rsidP="006F1C73">
      <w:pPr>
        <w:widowControl w:val="0"/>
        <w:autoSpaceDE w:val="0"/>
        <w:autoSpaceDN w:val="0"/>
        <w:adjustRightInd w:val="0"/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FC4FF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Аннотация</w:t>
      </w:r>
    </w:p>
    <w:p w:rsidR="00111A7F" w:rsidRPr="00FC4FFB" w:rsidRDefault="00CD5907" w:rsidP="006F1C73">
      <w:pPr>
        <w:widowControl w:val="0"/>
        <w:autoSpaceDE w:val="0"/>
        <w:autoSpaceDN w:val="0"/>
        <w:adjustRightInd w:val="0"/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FC4FF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В статье на </w:t>
      </w:r>
      <w:r w:rsidR="00546E0C" w:rsidRPr="00FC4FF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основании данных официальной статистики, проанализировано изменение количества зарегистрированных социально ориентированных некоммерческих организаций</w:t>
      </w:r>
      <w:r w:rsidRPr="00FC4FF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(СО НКО)</w:t>
      </w:r>
      <w:r w:rsidR="00546E0C" w:rsidRPr="00FC4FF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и численности занятых в секторе по федеральным округам с 2012 по 2016 гг. Выявлена неравномерность в развитии </w:t>
      </w:r>
      <w:r w:rsidRPr="00FC4FF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СО НКО </w:t>
      </w:r>
      <w:r w:rsidR="00546E0C" w:rsidRPr="00FC4FFB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по регионам.</w:t>
      </w:r>
    </w:p>
    <w:p w:rsidR="00470232" w:rsidRPr="00FC4FFB" w:rsidRDefault="00470232" w:rsidP="006F1C73">
      <w:pPr>
        <w:widowControl w:val="0"/>
        <w:autoSpaceDE w:val="0"/>
        <w:autoSpaceDN w:val="0"/>
        <w:adjustRightInd w:val="0"/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</w:p>
    <w:p w:rsidR="00546E0C" w:rsidRPr="00FC4FFB" w:rsidRDefault="00CD5907" w:rsidP="006F1C73">
      <w:pPr>
        <w:widowControl w:val="0"/>
        <w:autoSpaceDE w:val="0"/>
        <w:autoSpaceDN w:val="0"/>
        <w:adjustRightInd w:val="0"/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FC4FFB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Ключевые слова: </w:t>
      </w:r>
      <w:r w:rsidRPr="00FC4FFB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гражданское общество, социально ориентированные некоммерческие организации, СО НКО, некоммерческий сектор, регион</w:t>
      </w:r>
    </w:p>
    <w:p w:rsidR="00CD5907" w:rsidRPr="00FC4FFB" w:rsidRDefault="00CD5907" w:rsidP="006F1C73">
      <w:pPr>
        <w:widowControl w:val="0"/>
        <w:autoSpaceDE w:val="0"/>
        <w:autoSpaceDN w:val="0"/>
        <w:adjustRightInd w:val="0"/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0049" w:rsidRPr="00BF605D" w:rsidRDefault="00DE0049" w:rsidP="00BF605D">
      <w:pPr>
        <w:widowControl w:val="0"/>
        <w:autoSpaceDE w:val="0"/>
        <w:autoSpaceDN w:val="0"/>
        <w:adjustRightInd w:val="0"/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F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Гражданское общество является неотъемлемой частью современной общественной и политической жизни. Развитое гражданское общество способно постоянно поддерживать </w:t>
      </w:r>
      <w:r w:rsidRPr="00FC4FF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легитимность,</w:t>
      </w:r>
      <w:r w:rsidRPr="00FC4FF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FC4F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баланс отношений власти и общества, обеспечивать условия устойчивого функционирования и развития политической системы государства. </w:t>
      </w:r>
      <w:r w:rsidRPr="00FC4FFB">
        <w:rPr>
          <w:rFonts w:ascii="Times New Roman" w:eastAsia="Times New Roman" w:hAnsi="Times New Roman" w:cs="Times New Roman"/>
          <w:color w:val="020C22"/>
          <w:sz w:val="24"/>
          <w:szCs w:val="24"/>
          <w:shd w:val="clear" w:color="auto" w:fill="FEFEFE"/>
          <w:lang w:eastAsia="ru-RU"/>
        </w:rPr>
        <w:t>Создание условий для развития гражданского общества, некоммерческого сектора было и остаётся одним из безусловных приоритетов государственной политики</w:t>
      </w:r>
      <w:r w:rsidR="00BF605D">
        <w:rPr>
          <w:rFonts w:ascii="Times New Roman" w:eastAsia="Times New Roman" w:hAnsi="Times New Roman" w:cs="Times New Roman"/>
          <w:color w:val="020C22"/>
          <w:sz w:val="24"/>
          <w:szCs w:val="24"/>
          <w:shd w:val="clear" w:color="auto" w:fill="FEFEFE"/>
          <w:lang w:eastAsia="ru-RU"/>
        </w:rPr>
        <w:t xml:space="preserve"> </w:t>
      </w:r>
      <w:r w:rsidR="00BF605D" w:rsidRPr="00BF605D">
        <w:rPr>
          <w:rFonts w:ascii="Times New Roman" w:eastAsia="Times New Roman" w:hAnsi="Times New Roman" w:cs="Times New Roman"/>
          <w:color w:val="020C22"/>
          <w:sz w:val="24"/>
          <w:szCs w:val="24"/>
          <w:shd w:val="clear" w:color="auto" w:fill="FEFEFE"/>
          <w:lang w:eastAsia="ru-RU"/>
        </w:rPr>
        <w:t>[2].</w:t>
      </w:r>
    </w:p>
    <w:p w:rsidR="00DE0049" w:rsidRPr="00FC4FFB" w:rsidRDefault="00DE0049" w:rsidP="00BF605D">
      <w:pPr>
        <w:widowControl w:val="0"/>
        <w:autoSpaceDE w:val="0"/>
        <w:autoSpaceDN w:val="0"/>
        <w:adjustRightInd w:val="0"/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FFB">
        <w:rPr>
          <w:rFonts w:ascii="Times New Roman" w:eastAsia="Times New Roman" w:hAnsi="Times New Roman" w:cs="Times New Roman"/>
          <w:sz w:val="24"/>
          <w:szCs w:val="24"/>
          <w:lang w:eastAsia="ru-RU"/>
        </w:rPr>
        <w:t>Институциональная структура гражданского общества включает в себя добровольные ассоциации граждан, благотворительные фонды, клубы по интересам, творческие и кооперативные объединения, потребительские, спортивные, религиозные, общественно-политические и иные организации и союзы. Одним из основных институтов гражданского общества являются социально ориентированные некоммерческие организации.</w:t>
      </w:r>
    </w:p>
    <w:p w:rsidR="00546E0C" w:rsidRPr="00546E0C" w:rsidRDefault="00CD5907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</w:t>
      </w:r>
      <w:r w:rsidR="00546E0C"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анный статус</w:t>
      </w:r>
      <w:r w:rsidRPr="00F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некоммерческих организаций</w:t>
      </w:r>
      <w:r w:rsidR="00546E0C"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был введен в 2010 г</w:t>
      </w:r>
      <w:r w:rsidRPr="00FC4FF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оду</w:t>
      </w:r>
      <w:r w:rsidR="00546E0C"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каждым годом число таких объединений увеличивается. Можно сказать, что в настоящий момент именно СО НКО составляют ядро/основу некоммерческого сектора, поэтому в нашем исследовании им уделяется особое внимание. Эти организации преимущественно занимаются решением социальных проблем и развитием гражданского общества.</w:t>
      </w:r>
      <w:r w:rsidRPr="00FC4F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C4F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Согласно государственной программе </w:t>
      </w:r>
      <w:r w:rsidRPr="00FC4FFB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«Создание условий для развития гражданского общества и потенциала молодежи в Вологодской области на 2014 – 2018 годы», утверждённой </w:t>
      </w:r>
      <w:r w:rsidRPr="00FC4FFB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постановлением Правительства области от 28.10.2013 № 1102, д</w:t>
      </w:r>
      <w:r w:rsidRPr="00FC4FFB">
        <w:rPr>
          <w:rFonts w:ascii="Times New Roman" w:eastAsia="Calibri" w:hAnsi="Times New Roman" w:cs="Times New Roman"/>
          <w:color w:val="000000"/>
          <w:sz w:val="24"/>
          <w:szCs w:val="24"/>
        </w:rPr>
        <w:t>еятельность социально ориентированных некоммерческих организаций следует расценивать как один из способов достижения нового качества экономического роста, развития инновационных технологий, сохранения и преумножения образовательного, научного, культурного, духовного потенциала общества, реализации профессиональных, общественных, любительских интересов населения, защиты прав потребителей, экологической безопасности</w:t>
      </w:r>
      <w:r w:rsidR="00BF605D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 w:rsidR="00BF605D" w:rsidRPr="00BF605D">
        <w:rPr>
          <w:rFonts w:ascii="Times New Roman" w:eastAsia="Calibri" w:hAnsi="Times New Roman" w:cs="Times New Roman"/>
          <w:color w:val="000000"/>
          <w:sz w:val="24"/>
          <w:szCs w:val="24"/>
        </w:rPr>
        <w:t>[3].</w:t>
      </w:r>
    </w:p>
    <w:p w:rsidR="00F87572" w:rsidRDefault="00546E0C" w:rsidP="00F87572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Количество СО НКО в целом по России увеличилось с 44 тыс. в 2012 г. до 143 тыс. к концу 2016 г., рост составил около 70 %. В процентном отношении на долю этих организаций приходится 65 % от общего количества НКО, что соответствует показателям развитых стран, в которых число социально ориентированных организаций составляет 60-70 % </w:t>
      </w:r>
      <w:r w:rsidR="00C660EC">
        <w:rPr>
          <w:rFonts w:ascii="Times New Roman" w:eastAsia="Calibri" w:hAnsi="Times New Roman" w:cs="Times New Roman"/>
          <w:color w:val="000000"/>
          <w:sz w:val="24"/>
          <w:szCs w:val="24"/>
        </w:rPr>
        <w:t>[5</w:t>
      </w:r>
      <w:r w:rsidRPr="00546E0C">
        <w:rPr>
          <w:rFonts w:ascii="Times New Roman" w:eastAsia="Calibri" w:hAnsi="Times New Roman" w:cs="Times New Roman"/>
          <w:color w:val="000000"/>
          <w:sz w:val="24"/>
          <w:szCs w:val="24"/>
        </w:rPr>
        <w:t>]. По итогам 2016 г. большая часть таких организаций зарегистрирована в Центральном федеральном</w:t>
      </w: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округе (32649), срединное положение занимает Северо-Западный федеральный округ (13792). Менее всего СО НКО в Северо - Кавказском федеральном округе (7965), однако по этому округу наблюдается самый значительный прирост по количеству организаций с 2012 года он составил 78 %. В целом за пятилетний период наблюдается стабильный рост количества СО НКО по всем федеральным округам (Табл. 1). С одной стороны, такой рост обусловлен востребованностью у населения и желанием граждан объединяться для решения социальных проблем. С другой стороны, все больше НКО формально относятся к категории социально ориентированных </w:t>
      </w: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организаций – для этого достаточно упоминания в уставе хотя бы одного направления деятельности, признанного социально ориентированным</w:t>
      </w:r>
      <w:r w:rsidR="00C660EC" w:rsidRPr="00C660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[</w:t>
      </w:r>
      <w:r w:rsidR="00C660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="00C660EC" w:rsidRPr="00C660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</w:p>
    <w:p w:rsidR="00F87572" w:rsidRPr="00546E0C" w:rsidRDefault="00F87572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46E0C" w:rsidRDefault="00546E0C" w:rsidP="00C660E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546E0C">
        <w:rPr>
          <w:rFonts w:ascii="Times New Roman" w:eastAsia="Calibri" w:hAnsi="Times New Roman" w:cs="Times New Roman"/>
          <w:sz w:val="24"/>
          <w:szCs w:val="24"/>
        </w:rPr>
        <w:t>Таблица 1 –</w:t>
      </w:r>
      <w:r w:rsidRPr="00546E0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546E0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Количество СО НКО по федеральным округам 2012 – 2016 гг.</w:t>
      </w:r>
    </w:p>
    <w:p w:rsidR="00F87572" w:rsidRPr="00546E0C" w:rsidRDefault="00F87572" w:rsidP="00C660EC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980"/>
        <w:gridCol w:w="936"/>
        <w:gridCol w:w="936"/>
        <w:gridCol w:w="1049"/>
        <w:gridCol w:w="992"/>
        <w:gridCol w:w="1418"/>
      </w:tblGrid>
      <w:tr w:rsidR="00546E0C" w:rsidRPr="00546E0C" w:rsidTr="00FC4FFB">
        <w:trPr>
          <w:jc w:val="center"/>
        </w:trPr>
        <w:tc>
          <w:tcPr>
            <w:tcW w:w="3040" w:type="dxa"/>
            <w:vMerge w:val="restart"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Наименование федерального округа </w:t>
            </w:r>
          </w:p>
        </w:tc>
        <w:tc>
          <w:tcPr>
            <w:tcW w:w="6311" w:type="dxa"/>
            <w:gridSpan w:val="6"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Количество СО НКО (тыс.)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vMerge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980" w:type="dxa"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2012 г.</w:t>
            </w:r>
          </w:p>
        </w:tc>
        <w:tc>
          <w:tcPr>
            <w:tcW w:w="936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2013 г.</w:t>
            </w:r>
          </w:p>
        </w:tc>
        <w:tc>
          <w:tcPr>
            <w:tcW w:w="936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2014 г.</w:t>
            </w:r>
          </w:p>
        </w:tc>
        <w:tc>
          <w:tcPr>
            <w:tcW w:w="1049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2015 г.</w:t>
            </w:r>
          </w:p>
        </w:tc>
        <w:tc>
          <w:tcPr>
            <w:tcW w:w="992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1418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2016 г. к 2012 г, в %</w:t>
            </w:r>
          </w:p>
        </w:tc>
      </w:tr>
      <w:tr w:rsidR="00FC4FFB" w:rsidRPr="00546E0C" w:rsidTr="00FC4FFB">
        <w:trPr>
          <w:trHeight w:val="328"/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Центральный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9807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26533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27234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31961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32649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Приволжский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9539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24396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12771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31688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32004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Сибирский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7196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18417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20284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20617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20880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Южный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5081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13600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12799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14105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15642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67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Северо-Западный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4486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11811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12771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12754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13792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67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Уральский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3460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5187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8276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10180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10664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67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Дальневосточный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2705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8379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10167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9215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9840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73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Северо – Кавказский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1735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4914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8241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7683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7965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78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44009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113237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132087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140031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143436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69</w:t>
            </w:r>
          </w:p>
        </w:tc>
      </w:tr>
      <w:tr w:rsidR="00FC4FFB" w:rsidRPr="00546E0C" w:rsidTr="00FC4FFB">
        <w:trPr>
          <w:jc w:val="center"/>
        </w:trPr>
        <w:tc>
          <w:tcPr>
            <w:tcW w:w="3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highlight w:val="yellow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% СО НКО от общего количества НКО (по РФ)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51</w:t>
            </w:r>
          </w:p>
        </w:tc>
        <w:tc>
          <w:tcPr>
            <w:tcW w:w="9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</w:t>
            </w:r>
          </w:p>
        </w:tc>
      </w:tr>
      <w:tr w:rsidR="00546E0C" w:rsidRPr="00546E0C" w:rsidTr="00FC4FFB">
        <w:trPr>
          <w:jc w:val="center"/>
        </w:trPr>
        <w:tc>
          <w:tcPr>
            <w:tcW w:w="9351" w:type="dxa"/>
            <w:gridSpan w:val="7"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46E0C">
              <w:rPr>
                <w:rFonts w:ascii="Times New Roman" w:eastAsia="Calibri" w:hAnsi="Times New Roman" w:cs="Times New Roman"/>
                <w:sz w:val="24"/>
                <w:szCs w:val="24"/>
              </w:rPr>
              <w:t>Составлено по:</w:t>
            </w: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Основные сведения о деятельности СО НКО по Российской Федерации за 2012, 2013, 2014, 2015, 2016 годы. [Электронный ресурс]. - Режим доступа: </w:t>
            </w:r>
            <w:hyperlink r:id="rId7" w:history="1">
              <w:r w:rsidRPr="00546E0C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http://www.gks.ru</w:t>
              </w:r>
            </w:hyperlink>
          </w:p>
        </w:tc>
      </w:tr>
    </w:tbl>
    <w:p w:rsidR="00FC4FFB" w:rsidRDefault="00FC4FFB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46E0C" w:rsidRPr="00546E0C" w:rsidRDefault="00546E0C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Следует отметить, что среди регионов Северо-Западного федерального округа, который включает 10 субъектов и город федерального значения Санкт-Петербург, Вологодская область находится на втором месте по количеству зарегистрированных СО НКО, пропуская вперед только г. Санкт-Петербург. Однако при расчете на 1000 жителей в лидеры списка выходит Республика Карелия, а Санкт-Петербург отпускается на предпоследнее место, положение Вологодской области меняется незначительно, что говорит о достаточно стабильном уровне развития региона по данному показателю (Табл. 2). </w:t>
      </w:r>
    </w:p>
    <w:p w:rsidR="00FC4FFB" w:rsidRDefault="00FC4FFB" w:rsidP="00FC4FFB">
      <w:pPr>
        <w:spacing w:after="0" w:line="240" w:lineRule="auto"/>
        <w:ind w:left="-567"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546E0C" w:rsidRDefault="00546E0C" w:rsidP="00FC4FFB">
      <w:pPr>
        <w:spacing w:after="0" w:line="240" w:lineRule="auto"/>
        <w:ind w:left="-567"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46E0C">
        <w:rPr>
          <w:rFonts w:ascii="Times New Roman" w:eastAsia="Calibri" w:hAnsi="Times New Roman" w:cs="Times New Roman"/>
          <w:sz w:val="24"/>
          <w:szCs w:val="24"/>
        </w:rPr>
        <w:t>Таблица 2 -</w:t>
      </w:r>
      <w:r w:rsidRPr="00546E0C">
        <w:rPr>
          <w:rFonts w:ascii="Times New Roman" w:eastAsia="Calibri" w:hAnsi="Times New Roman" w:cs="Times New Roman"/>
          <w:b/>
          <w:sz w:val="24"/>
          <w:szCs w:val="24"/>
        </w:rPr>
        <w:t xml:space="preserve"> Количество СО НКО в Северо – Западном федеральном округе, в 2016 г.</w:t>
      </w:r>
    </w:p>
    <w:p w:rsidR="00F87572" w:rsidRPr="00546E0C" w:rsidRDefault="00F87572" w:rsidP="00FC4FFB">
      <w:pPr>
        <w:spacing w:after="0" w:line="240" w:lineRule="auto"/>
        <w:ind w:left="-567"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W w:w="9796" w:type="dxa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482"/>
        <w:gridCol w:w="1984"/>
        <w:gridCol w:w="2204"/>
        <w:gridCol w:w="2126"/>
      </w:tblGrid>
      <w:tr w:rsidR="00546E0C" w:rsidRPr="00546E0C" w:rsidTr="002928FE">
        <w:trPr>
          <w:trHeight w:val="249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ru-RU"/>
              </w:rPr>
              <w:t xml:space="preserve">Наименование субъекта РФ 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ru-RU"/>
              </w:rPr>
              <w:t>Количество СО НКО (тыс.) 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ru-RU"/>
              </w:rPr>
              <w:t xml:space="preserve">Количество </w:t>
            </w:r>
          </w:p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ru-RU"/>
              </w:rPr>
              <w:t>СО НКО, в %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ru-RU"/>
              </w:rPr>
              <w:t>Количество</w:t>
            </w:r>
          </w:p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b/>
                <w:bCs/>
                <w:color w:val="000000"/>
                <w:kern w:val="24"/>
                <w:sz w:val="24"/>
                <w:szCs w:val="24"/>
                <w:lang w:eastAsia="ru-RU"/>
              </w:rPr>
              <w:t xml:space="preserve"> СО НКО на 1000 жителей </w:t>
            </w:r>
          </w:p>
        </w:tc>
      </w:tr>
      <w:tr w:rsidR="00546E0C" w:rsidRPr="00546E0C" w:rsidTr="002928FE">
        <w:trPr>
          <w:trHeight w:val="45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Республика Карелия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1124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8,1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1,8</w:t>
            </w:r>
          </w:p>
        </w:tc>
      </w:tr>
      <w:tr w:rsidR="00546E0C" w:rsidRPr="00546E0C" w:rsidTr="002928FE">
        <w:trPr>
          <w:trHeight w:val="45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Мурманская область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1231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8,9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1,6</w:t>
            </w:r>
          </w:p>
        </w:tc>
      </w:tr>
      <w:tr w:rsidR="00546E0C" w:rsidRPr="00546E0C" w:rsidTr="002928FE">
        <w:trPr>
          <w:trHeight w:val="201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Вологодская область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1752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12,7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1,5</w:t>
            </w:r>
          </w:p>
        </w:tc>
      </w:tr>
      <w:tr w:rsidR="00546E0C" w:rsidRPr="00546E0C" w:rsidTr="002928FE">
        <w:trPr>
          <w:trHeight w:val="45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Новгородская область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848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6,1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1,4</w:t>
            </w:r>
          </w:p>
        </w:tc>
      </w:tr>
      <w:tr w:rsidR="00546E0C" w:rsidRPr="00546E0C" w:rsidTr="002928FE">
        <w:trPr>
          <w:trHeight w:val="45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Псковская область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918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6,7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1,4</w:t>
            </w:r>
          </w:p>
        </w:tc>
      </w:tr>
      <w:tr w:rsidR="00546E0C" w:rsidRPr="00546E0C" w:rsidTr="002928FE">
        <w:trPr>
          <w:trHeight w:val="45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Республика Коми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1103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8,0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1,3</w:t>
            </w:r>
          </w:p>
        </w:tc>
      </w:tr>
      <w:tr w:rsidR="00546E0C" w:rsidRPr="00546E0C" w:rsidTr="002928FE">
        <w:trPr>
          <w:trHeight w:val="140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Архангельская область с НАО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1506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10,9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1,3</w:t>
            </w:r>
          </w:p>
        </w:tc>
      </w:tr>
      <w:tr w:rsidR="00546E0C" w:rsidRPr="00546E0C" w:rsidTr="002928FE">
        <w:trPr>
          <w:trHeight w:val="45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Калининградская область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775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5,6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0,8</w:t>
            </w:r>
          </w:p>
        </w:tc>
      </w:tr>
      <w:tr w:rsidR="00546E0C" w:rsidRPr="00546E0C" w:rsidTr="002928FE">
        <w:trPr>
          <w:trHeight w:val="45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г. Санкт-Петербург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3600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26,1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0,7</w:t>
            </w:r>
          </w:p>
        </w:tc>
      </w:tr>
      <w:tr w:rsidR="00546E0C" w:rsidRPr="00546E0C" w:rsidTr="002928FE">
        <w:trPr>
          <w:trHeight w:val="45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Ленинградская область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935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6,8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0,5</w:t>
            </w:r>
          </w:p>
        </w:tc>
      </w:tr>
      <w:tr w:rsidR="00546E0C" w:rsidRPr="00546E0C" w:rsidTr="002928FE">
        <w:trPr>
          <w:trHeight w:val="45"/>
          <w:jc w:val="center"/>
        </w:trPr>
        <w:tc>
          <w:tcPr>
            <w:tcW w:w="34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b/>
                <w:color w:val="000000"/>
                <w:kern w:val="24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13792</w:t>
            </w:r>
          </w:p>
        </w:tc>
        <w:tc>
          <w:tcPr>
            <w:tcW w:w="2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100</w:t>
            </w:r>
          </w:p>
        </w:tc>
        <w:tc>
          <w:tcPr>
            <w:tcW w:w="21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Calibri" w:hAnsi="Times New Roman" w:cs="Times New Roman"/>
                <w:color w:val="000000"/>
                <w:kern w:val="24"/>
                <w:sz w:val="24"/>
                <w:szCs w:val="24"/>
                <w:lang w:eastAsia="ru-RU"/>
              </w:rPr>
              <w:t>-</w:t>
            </w:r>
          </w:p>
        </w:tc>
      </w:tr>
    </w:tbl>
    <w:p w:rsidR="00546E0C" w:rsidRPr="00546E0C" w:rsidRDefault="00546E0C" w:rsidP="00FC4F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46E0C" w:rsidRDefault="00546E0C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Если рассматривать вклад некоммерческого сектора в обеспечение занятости и самозанятости населения, то в территориальном разрезе структура рабочей силы в исследуемых организациях по федеральным округам будет выглядеть следующим образом (Табл. 3).</w:t>
      </w:r>
    </w:p>
    <w:p w:rsidR="00F87572" w:rsidRDefault="00F87572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46E0C" w:rsidRPr="00546E0C" w:rsidRDefault="00546E0C" w:rsidP="00FC4FFB">
      <w:pPr>
        <w:spacing w:after="0" w:line="240" w:lineRule="auto"/>
        <w:ind w:left="-567"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46E0C">
        <w:rPr>
          <w:rFonts w:ascii="Times New Roman" w:eastAsia="Calibri" w:hAnsi="Times New Roman" w:cs="Times New Roman"/>
          <w:sz w:val="24"/>
          <w:szCs w:val="24"/>
        </w:rPr>
        <w:t>Таблица 3-</w:t>
      </w:r>
      <w:r w:rsidRPr="00546E0C">
        <w:rPr>
          <w:rFonts w:ascii="Times New Roman" w:eastAsia="Calibri" w:hAnsi="Times New Roman" w:cs="Times New Roman"/>
          <w:b/>
          <w:sz w:val="24"/>
          <w:szCs w:val="24"/>
        </w:rPr>
        <w:t xml:space="preserve"> Численность работников в СО НКО по федеральным округам </w:t>
      </w:r>
    </w:p>
    <w:p w:rsidR="00546E0C" w:rsidRPr="00546E0C" w:rsidRDefault="00546E0C" w:rsidP="00FC4FFB">
      <w:pPr>
        <w:spacing w:after="0" w:line="240" w:lineRule="auto"/>
        <w:ind w:left="-567"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546E0C">
        <w:rPr>
          <w:rFonts w:ascii="Times New Roman" w:eastAsia="Calibri" w:hAnsi="Times New Roman" w:cs="Times New Roman"/>
          <w:b/>
          <w:sz w:val="24"/>
          <w:szCs w:val="24"/>
        </w:rPr>
        <w:t>в 2012 – 2016 гг.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6"/>
        <w:gridCol w:w="1199"/>
        <w:gridCol w:w="979"/>
        <w:gridCol w:w="1056"/>
        <w:gridCol w:w="1039"/>
        <w:gridCol w:w="1102"/>
        <w:gridCol w:w="1554"/>
      </w:tblGrid>
      <w:tr w:rsidR="00546E0C" w:rsidRPr="00546E0C" w:rsidTr="00F87572">
        <w:tc>
          <w:tcPr>
            <w:tcW w:w="2518" w:type="dxa"/>
            <w:vMerge w:val="restart"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Наименование федерального округа </w:t>
            </w:r>
          </w:p>
        </w:tc>
        <w:tc>
          <w:tcPr>
            <w:tcW w:w="7336" w:type="dxa"/>
            <w:gridSpan w:val="6"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Количество, человек </w:t>
            </w:r>
          </w:p>
        </w:tc>
      </w:tr>
      <w:tr w:rsidR="00546E0C" w:rsidRPr="00546E0C" w:rsidTr="00F87572">
        <w:tc>
          <w:tcPr>
            <w:tcW w:w="2518" w:type="dxa"/>
            <w:vMerge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276" w:type="dxa"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2012 г.</w:t>
            </w:r>
          </w:p>
        </w:tc>
        <w:tc>
          <w:tcPr>
            <w:tcW w:w="992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2013 г.</w:t>
            </w:r>
          </w:p>
        </w:tc>
        <w:tc>
          <w:tcPr>
            <w:tcW w:w="1056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2014 г.</w:t>
            </w:r>
          </w:p>
        </w:tc>
        <w:tc>
          <w:tcPr>
            <w:tcW w:w="1070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2015 г.</w:t>
            </w:r>
          </w:p>
        </w:tc>
        <w:tc>
          <w:tcPr>
            <w:tcW w:w="1134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2016 г.</w:t>
            </w:r>
          </w:p>
        </w:tc>
        <w:tc>
          <w:tcPr>
            <w:tcW w:w="1808" w:type="dxa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  <w:t>2016 г. к 2012 г, в %</w:t>
            </w:r>
          </w:p>
        </w:tc>
      </w:tr>
      <w:tr w:rsidR="00546E0C" w:rsidRPr="00546E0C" w:rsidTr="00F87572">
        <w:trPr>
          <w:trHeight w:val="190"/>
        </w:trPr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Центральный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137203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209296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397049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372088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222402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38</w:t>
            </w:r>
          </w:p>
        </w:tc>
      </w:tr>
      <w:tr w:rsidR="00546E0C" w:rsidRPr="00546E0C" w:rsidTr="00F87572"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Приволжский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82859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117734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198346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174143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114201 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27</w:t>
            </w:r>
          </w:p>
        </w:tc>
      </w:tr>
      <w:tr w:rsidR="00546E0C" w:rsidRPr="00546E0C" w:rsidTr="00F87572">
        <w:trPr>
          <w:trHeight w:val="121"/>
        </w:trPr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Сибирский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58969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74200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115646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106062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84199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</w:tr>
      <w:tr w:rsidR="00546E0C" w:rsidRPr="00546E0C" w:rsidTr="00F87572"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Южный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45987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65415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70096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72716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57401 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20</w:t>
            </w:r>
          </w:p>
        </w:tc>
      </w:tr>
      <w:tr w:rsidR="00546E0C" w:rsidRPr="00546E0C" w:rsidTr="00F87572"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Северо-Западный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42226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55868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81594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83654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60434 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30</w:t>
            </w:r>
          </w:p>
        </w:tc>
      </w:tr>
      <w:tr w:rsidR="00546E0C" w:rsidRPr="00546E0C" w:rsidTr="00F87572"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Уральский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44326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49443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70151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73566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67036 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34</w:t>
            </w:r>
          </w:p>
        </w:tc>
      </w:tr>
      <w:tr w:rsidR="00546E0C" w:rsidRPr="00546E0C" w:rsidTr="00F87572"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 xml:space="preserve">Дальневосточный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58969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20381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59801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55675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29031 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i/>
                <w:color w:val="000000"/>
                <w:sz w:val="24"/>
                <w:szCs w:val="24"/>
                <w:lang w:eastAsia="ru-RU"/>
              </w:rPr>
              <w:t>- 51</w:t>
            </w:r>
          </w:p>
        </w:tc>
      </w:tr>
      <w:tr w:rsidR="00546E0C" w:rsidRPr="00546E0C" w:rsidTr="00F87572"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Северо – Кавказский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26161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33545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69569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53177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37758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31</w:t>
            </w:r>
          </w:p>
        </w:tc>
      </w:tr>
      <w:tr w:rsidR="00546E0C" w:rsidRPr="00546E0C" w:rsidTr="00F87572">
        <w:trPr>
          <w:trHeight w:val="89"/>
        </w:trPr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454932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625882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1062252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991081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672462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32 </w:t>
            </w:r>
          </w:p>
        </w:tc>
      </w:tr>
      <w:tr w:rsidR="00546E0C" w:rsidRPr="00546E0C" w:rsidTr="00F87572">
        <w:tc>
          <w:tcPr>
            <w:tcW w:w="25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% от экономически активного населения (в целом по РФ)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1,4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0,9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546E0C" w:rsidRPr="00546E0C" w:rsidRDefault="00546E0C" w:rsidP="00FC4F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:rsidR="00546E0C" w:rsidRPr="00546E0C" w:rsidRDefault="00546E0C" w:rsidP="00FC4F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0,3</w:t>
            </w:r>
          </w:p>
        </w:tc>
      </w:tr>
      <w:tr w:rsidR="00546E0C" w:rsidRPr="00546E0C" w:rsidTr="00F87572">
        <w:tc>
          <w:tcPr>
            <w:tcW w:w="9854" w:type="dxa"/>
            <w:gridSpan w:val="7"/>
            <w:shd w:val="clear" w:color="auto" w:fill="auto"/>
          </w:tcPr>
          <w:p w:rsidR="00546E0C" w:rsidRPr="00546E0C" w:rsidRDefault="00546E0C" w:rsidP="00FC4FFB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546E0C">
              <w:rPr>
                <w:rFonts w:ascii="Times New Roman" w:eastAsia="Calibri" w:hAnsi="Times New Roman" w:cs="Times New Roman"/>
                <w:sz w:val="24"/>
                <w:szCs w:val="24"/>
              </w:rPr>
              <w:t>Составлено по:</w:t>
            </w:r>
            <w:r w:rsidRPr="00546E0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Основные сведения о деятельности социально ориентированных некоммерческих организаций по Российской Федерации за 2012, 2013, 2014, 2015, 2016 годы. [Электронный ресурс]. - Режим доступа: http://www.gks.ru</w:t>
            </w:r>
          </w:p>
        </w:tc>
      </w:tr>
    </w:tbl>
    <w:p w:rsidR="00546E0C" w:rsidRPr="00546E0C" w:rsidRDefault="00546E0C" w:rsidP="00FC4FF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546E0C" w:rsidRPr="00546E0C" w:rsidRDefault="00546E0C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Данные показывают, что, начиная с 2012 г. по 2014 г. число работников в рассматриваемой сфере выросло практически в три раза. По доле трудящихся в секторе СО НКО в 2016 году лидирует Центральный федеральный округ (222402 чел.), объясняется тем, что в этом округе сосредоточен</w:t>
      </w:r>
      <w:r w:rsidR="00350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ы более крупные </w:t>
      </w:r>
      <w:r w:rsidR="003505F0"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 НКО</w:t>
      </w:r>
      <w:r w:rsidR="00350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которые создают больше рабочих мест и в которых занято значительное количество экономически активного населения страны.</w:t>
      </w:r>
    </w:p>
    <w:p w:rsidR="00546E0C" w:rsidRPr="00546E0C" w:rsidRDefault="00546E0C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Обращает на себя внимание тот факт, что в Дальневосточном федеральном округе произошло снижение работающих в секторе наполовину. Среди причин сложившейся ситуации эксперты называют ухудшение общего состояния социального капитала в Дальневосточном федеральном округе. По данным исследования «Анализ третьего сектора в России: взаимодействие и субъекты», выполненного по заказу Общественной палаты Российской Федерации, самая слабая компонента социального капитала на Дальнем Востоке — доверие людей друг другу, а также государственным, правовым и общественным институтам [</w:t>
      </w:r>
      <w:r w:rsidR="00C660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].В свою очередь, доверие способствует консолидации общества, являясь основанием для отношений сотрудничества и солидарности, формирования гражданских ассоциаций, общественных и других некоммерческих институтов </w:t>
      </w:r>
      <w:r w:rsidR="00C660E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с. 8]. Как следствие, низкий уровень социального капитала порождает слабую заинтересованность в трудоустройстве в данные структуры.</w:t>
      </w:r>
    </w:p>
    <w:p w:rsidR="00546E0C" w:rsidRPr="00546E0C" w:rsidRDefault="00546E0C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 целом по России с 2014 г. число занятых в рассматриваемом сегменте также снижется, особенно это проявилось в 2015 г. и 2016 г. Можно предположить, что на сокращение количества работников повлияла социально-экономическая ситуация в стране и усиление финансового кризиса. </w:t>
      </w:r>
    </w:p>
    <w:p w:rsidR="00546E0C" w:rsidRPr="00546E0C" w:rsidRDefault="00546E0C" w:rsidP="00FC4FFB">
      <w:pPr>
        <w:spacing w:after="0" w:line="240" w:lineRule="auto"/>
        <w:ind w:left="-567" w:firstLine="56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Необходимо заметить, что все-таки данные Росстата о секторе СО НКО вызывают вопросы. Каким образом за один год численность сотрудников могла уменьшиться более чем на 300 тыс. человек, когда государство увеличивает финансовую поддержку некоммерческого сектора, СО НКО подключаются к оказанию социальных услуг, количество СО НКО с каждым годом </w:t>
      </w:r>
      <w:r w:rsidRPr="00546E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увеличивается по всем регионам? Из-за отсутствия достоверной информации о данном секторе экономики, остается руководствоваться настоящими статистическими данными.</w:t>
      </w:r>
    </w:p>
    <w:p w:rsidR="00CD597A" w:rsidRPr="00CD597A" w:rsidRDefault="00CD597A" w:rsidP="00FC4FFB">
      <w:pPr>
        <w:shd w:val="clear" w:color="auto" w:fill="FFFFFF"/>
        <w:tabs>
          <w:tab w:val="left" w:pos="851"/>
        </w:tabs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C4FFB">
        <w:rPr>
          <w:rFonts w:ascii="Times New Roman" w:eastAsia="Calibri" w:hAnsi="Times New Roman" w:cs="Times New Roman"/>
          <w:sz w:val="24"/>
          <w:szCs w:val="24"/>
        </w:rPr>
        <w:t>Таким образом, п</w:t>
      </w:r>
      <w:r w:rsidRPr="00CD597A">
        <w:rPr>
          <w:rFonts w:ascii="Times New Roman" w:eastAsia="Calibri" w:hAnsi="Times New Roman" w:cs="Times New Roman"/>
          <w:sz w:val="24"/>
          <w:szCs w:val="24"/>
        </w:rPr>
        <w:t xml:space="preserve">роведенный анализ статистических данных показал положительную динамику в развитии СО НКО в России. Если в 2012 г. было зарегистрировано 44 тыс. организаций, то уже </w:t>
      </w:r>
      <w:r w:rsidRPr="00CD59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 концу 2016 г. их количество увеличилось до 143 тыс. единиц, рост составил около 70 %. Тот же тренд наблюдается по количеству занятых в </w:t>
      </w:r>
      <w:r w:rsidRPr="00CD597A">
        <w:rPr>
          <w:rFonts w:ascii="Times New Roman" w:eastAsia="Calibri" w:hAnsi="Times New Roman" w:cs="Times New Roman"/>
          <w:sz w:val="24"/>
          <w:szCs w:val="24"/>
        </w:rPr>
        <w:t>секторе. Так, за</w:t>
      </w:r>
      <w:r w:rsidRPr="00CD59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рассматриваемый пятилетний период число трудящихся в СО НКО в целом по стане увеличилось на 32 %. В территориальном разрезе по этим же показателям имеются </w:t>
      </w:r>
      <w:r w:rsidRPr="00CD597A">
        <w:rPr>
          <w:rFonts w:ascii="Times New Roman" w:eastAsia="Calibri" w:hAnsi="Times New Roman" w:cs="Times New Roman"/>
          <w:sz w:val="24"/>
          <w:szCs w:val="24"/>
        </w:rPr>
        <w:t xml:space="preserve">значительные различия. В частности, количество </w:t>
      </w:r>
      <w:r w:rsidRPr="00CD59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 НКО</w:t>
      </w:r>
      <w:r w:rsidRPr="00CD597A">
        <w:rPr>
          <w:rFonts w:ascii="Times New Roman" w:eastAsia="Calibri" w:hAnsi="Times New Roman" w:cs="Times New Roman"/>
          <w:sz w:val="24"/>
          <w:szCs w:val="24"/>
        </w:rPr>
        <w:t xml:space="preserve"> варьируется по регионам. Наблюдается высокая концентрация </w:t>
      </w:r>
      <w:r w:rsidRPr="00CD59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 НКО</w:t>
      </w:r>
      <w:r w:rsidRPr="00CD597A">
        <w:rPr>
          <w:rFonts w:ascii="Times New Roman" w:eastAsia="Calibri" w:hAnsi="Times New Roman" w:cs="Times New Roman"/>
          <w:sz w:val="24"/>
          <w:szCs w:val="24"/>
        </w:rPr>
        <w:t xml:space="preserve"> в Центральном и Приволжском федеральном округах (в совокупности 50 % всех СО НКО России</w:t>
      </w:r>
      <w:r w:rsidRPr="00CD59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). </w:t>
      </w:r>
      <w:r w:rsidRPr="00CD597A">
        <w:rPr>
          <w:rFonts w:ascii="Times New Roman" w:eastAsia="Calibri" w:hAnsi="Times New Roman" w:cs="Times New Roman"/>
          <w:sz w:val="24"/>
          <w:szCs w:val="24"/>
        </w:rPr>
        <w:t xml:space="preserve">В дальневосточных и северокавказских регионах </w:t>
      </w:r>
      <w:r w:rsidRPr="00CD59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данный показатель</w:t>
      </w:r>
      <w:r w:rsidRPr="00CD597A">
        <w:rPr>
          <w:rFonts w:ascii="Times New Roman" w:eastAsia="Calibri" w:hAnsi="Times New Roman" w:cs="Times New Roman"/>
          <w:sz w:val="24"/>
          <w:szCs w:val="24"/>
        </w:rPr>
        <w:t xml:space="preserve"> значительно ниже. Изучение причин разного уровня развития </w:t>
      </w:r>
      <w:r w:rsidRPr="00CD59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 НКО </w:t>
      </w:r>
      <w:r w:rsidRPr="00CD597A">
        <w:rPr>
          <w:rFonts w:ascii="Times New Roman" w:eastAsia="Calibri" w:hAnsi="Times New Roman" w:cs="Times New Roman"/>
          <w:sz w:val="24"/>
          <w:szCs w:val="24"/>
        </w:rPr>
        <w:t xml:space="preserve">относительно территорий в пределах российского государства и сравнение с зарубежными странами может стать следующим этапом исследования. </w:t>
      </w:r>
    </w:p>
    <w:p w:rsidR="00FC4FFB" w:rsidRDefault="00FC4FFB" w:rsidP="00FC4FFB">
      <w:pPr>
        <w:spacing w:after="0" w:line="240" w:lineRule="auto"/>
        <w:ind w:left="-567"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CD597A" w:rsidRPr="00FC4FFB" w:rsidRDefault="00CD597A" w:rsidP="00FC4FFB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D597A">
        <w:rPr>
          <w:rFonts w:ascii="Times New Roman" w:eastAsia="Calibri" w:hAnsi="Times New Roman" w:cs="Times New Roman"/>
          <w:b/>
          <w:sz w:val="24"/>
          <w:szCs w:val="24"/>
        </w:rPr>
        <w:t>Библиографический список</w:t>
      </w:r>
    </w:p>
    <w:p w:rsidR="00470232" w:rsidRPr="00CD597A" w:rsidRDefault="00470232" w:rsidP="00FC4FFB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BF605D" w:rsidRPr="00073A3C" w:rsidRDefault="00BF605D" w:rsidP="00BF605D">
      <w:pPr>
        <w:pStyle w:val="a6"/>
        <w:numPr>
          <w:ilvl w:val="0"/>
          <w:numId w:val="2"/>
        </w:num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73A3C">
        <w:rPr>
          <w:rFonts w:ascii="Times New Roman" w:eastAsia="Calibri" w:hAnsi="Times New Roman" w:cs="Times New Roman"/>
          <w:sz w:val="24"/>
          <w:szCs w:val="24"/>
        </w:rPr>
        <w:t xml:space="preserve">Анализ третьего сектора в России: субъекты и взаимодействия </w:t>
      </w:r>
      <w:r w:rsidRPr="00073A3C">
        <w:rPr>
          <w:rFonts w:ascii="Times New Roman" w:eastAsia="Calibri" w:hAnsi="Times New Roman" w:cs="Times New Roman"/>
          <w:sz w:val="24"/>
          <w:szCs w:val="24"/>
        </w:rPr>
        <w:t>URL</w:t>
      </w:r>
      <w:r w:rsidRPr="00FC4FFB">
        <w:rPr>
          <w:rFonts w:ascii="Times New Roman" w:eastAsia="Calibri" w:hAnsi="Times New Roman" w:cs="Times New Roman"/>
          <w:sz w:val="24"/>
          <w:szCs w:val="24"/>
        </w:rPr>
        <w:t>:</w:t>
      </w:r>
      <w:hyperlink r:id="rId8" w:history="1">
        <w:r w:rsidRPr="00C660EC">
          <w:rPr>
            <w:rFonts w:ascii="Times New Roman" w:eastAsia="Calibri" w:hAnsi="Times New Roman" w:cs="Times New Roman"/>
            <w:sz w:val="24"/>
            <w:szCs w:val="24"/>
          </w:rPr>
          <w:t>http://www.opkhv.ru/files/files/2015/24d0515d2be551293eb3.pdf</w:t>
        </w:r>
      </w:hyperlink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474798">
        <w:rPr>
          <w:rFonts w:ascii="Times New Roman" w:eastAsia="Calibri" w:hAnsi="Times New Roman" w:cs="Times New Roman"/>
          <w:sz w:val="24"/>
          <w:szCs w:val="24"/>
        </w:rPr>
        <w:t>(дата обращения 18.01.2018).</w:t>
      </w:r>
    </w:p>
    <w:p w:rsidR="00BF605D" w:rsidRPr="00073A3C" w:rsidRDefault="00BF605D" w:rsidP="00BF605D">
      <w:pPr>
        <w:pStyle w:val="a6"/>
        <w:numPr>
          <w:ilvl w:val="0"/>
          <w:numId w:val="2"/>
        </w:num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C4FFB">
        <w:rPr>
          <w:rFonts w:ascii="Times New Roman" w:eastAsia="Calibri" w:hAnsi="Times New Roman" w:cs="Times New Roman"/>
          <w:sz w:val="24"/>
          <w:szCs w:val="24"/>
        </w:rPr>
        <w:t>Выступление Президента РФ В. Путина на Форуме активных граждан «Сообщество»</w:t>
      </w:r>
      <w:r>
        <w:rPr>
          <w:rFonts w:ascii="Times New Roman" w:eastAsia="Calibri" w:hAnsi="Times New Roman" w:cs="Times New Roman"/>
          <w:sz w:val="24"/>
          <w:szCs w:val="24"/>
        </w:rPr>
        <w:t xml:space="preserve">. Москва, 3 ноября 2016 года. </w:t>
      </w:r>
      <w:r w:rsidRPr="00073A3C">
        <w:rPr>
          <w:rFonts w:ascii="Times New Roman" w:eastAsia="Calibri" w:hAnsi="Times New Roman" w:cs="Times New Roman"/>
          <w:sz w:val="24"/>
          <w:szCs w:val="24"/>
        </w:rPr>
        <w:t>URL</w:t>
      </w:r>
      <w:r w:rsidRPr="00FC4FFB">
        <w:rPr>
          <w:rFonts w:ascii="Times New Roman" w:eastAsia="Calibri" w:hAnsi="Times New Roman" w:cs="Times New Roman"/>
          <w:sz w:val="24"/>
          <w:szCs w:val="24"/>
        </w:rPr>
        <w:t>:</w:t>
      </w:r>
      <w:hyperlink r:id="rId9" w:history="1">
        <w:r w:rsidRPr="00BF605D">
          <w:rPr>
            <w:rFonts w:ascii="Times New Roman" w:eastAsia="Calibri" w:hAnsi="Times New Roman" w:cs="Times New Roman"/>
            <w:sz w:val="24"/>
            <w:szCs w:val="24"/>
          </w:rPr>
          <w:t>http://kremlin.ru/events/president/news/53197</w:t>
        </w:r>
      </w:hyperlink>
    </w:p>
    <w:p w:rsidR="00BF605D" w:rsidRDefault="00BF605D" w:rsidP="00BF605D">
      <w:pPr>
        <w:pStyle w:val="a6"/>
        <w:numPr>
          <w:ilvl w:val="0"/>
          <w:numId w:val="2"/>
        </w:num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Государственная программа Вологодской области</w:t>
      </w:r>
      <w:r w:rsidRPr="00FC4FFB">
        <w:rPr>
          <w:rFonts w:ascii="Times New Roman" w:eastAsia="Calibri" w:hAnsi="Times New Roman" w:cs="Times New Roman"/>
          <w:sz w:val="24"/>
          <w:szCs w:val="24"/>
        </w:rPr>
        <w:t xml:space="preserve"> «Создание условий для развития гражданского общества и потенциала молодежи в Вологодск</w:t>
      </w:r>
      <w:r>
        <w:rPr>
          <w:rFonts w:ascii="Times New Roman" w:eastAsia="Calibri" w:hAnsi="Times New Roman" w:cs="Times New Roman"/>
          <w:sz w:val="24"/>
          <w:szCs w:val="24"/>
        </w:rPr>
        <w:t xml:space="preserve">ой области на 2014-2018 годы». </w:t>
      </w:r>
      <w:r w:rsidRPr="00073A3C">
        <w:rPr>
          <w:rFonts w:ascii="Times New Roman" w:eastAsia="Calibri" w:hAnsi="Times New Roman" w:cs="Times New Roman"/>
          <w:sz w:val="24"/>
          <w:szCs w:val="24"/>
        </w:rPr>
        <w:t>URL</w:t>
      </w:r>
      <w:r w:rsidRPr="00FC4FFB">
        <w:rPr>
          <w:rFonts w:ascii="Times New Roman" w:eastAsia="Calibri" w:hAnsi="Times New Roman" w:cs="Times New Roman"/>
          <w:sz w:val="24"/>
          <w:szCs w:val="24"/>
        </w:rPr>
        <w:t>:</w:t>
      </w:r>
      <w:hyperlink r:id="rId10" w:history="1">
        <w:r w:rsidRPr="00BF605D">
          <w:rPr>
            <w:rFonts w:ascii="Times New Roman" w:eastAsia="Calibri" w:hAnsi="Times New Roman" w:cs="Times New Roman"/>
            <w:sz w:val="24"/>
            <w:szCs w:val="24"/>
          </w:rPr>
          <w:t>http://economy.gov35.ru/docs/Gosudarstvennaya_programma_VO_Sozdanie_usloviy_dlya_razvitiya_grazhdanskogo_obschestva_i_potentsiala_17/</w:t>
        </w:r>
      </w:hyperlink>
    </w:p>
    <w:p w:rsidR="00BF605D" w:rsidRDefault="00BF605D" w:rsidP="00BF605D">
      <w:pPr>
        <w:pStyle w:val="a6"/>
        <w:numPr>
          <w:ilvl w:val="0"/>
          <w:numId w:val="2"/>
        </w:num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F605D">
        <w:rPr>
          <w:rFonts w:ascii="Times New Roman" w:eastAsia="Calibri" w:hAnsi="Times New Roman" w:cs="Times New Roman"/>
          <w:sz w:val="24"/>
          <w:szCs w:val="24"/>
        </w:rPr>
        <w:t>Доклад о состоянии гражданского общества в Российской Федерации за 2017 год. URL: https://report2017.oprf.ru/2.html (дата обращения 30.01.2018)</w:t>
      </w:r>
    </w:p>
    <w:p w:rsidR="00BF605D" w:rsidRPr="00BF605D" w:rsidRDefault="00BF605D" w:rsidP="00BF605D">
      <w:pPr>
        <w:pStyle w:val="a6"/>
        <w:numPr>
          <w:ilvl w:val="0"/>
          <w:numId w:val="2"/>
        </w:num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F605D">
        <w:rPr>
          <w:rFonts w:ascii="Times New Roman" w:eastAsia="Calibri" w:hAnsi="Times New Roman" w:cs="Times New Roman"/>
          <w:sz w:val="24"/>
          <w:szCs w:val="24"/>
        </w:rPr>
        <w:t xml:space="preserve">Либоракина М. И. Некоммерческий сектор: международный опыт. 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URL</w:t>
      </w:r>
      <w:r w:rsidRPr="00BF605D">
        <w:rPr>
          <w:rFonts w:ascii="Times New Roman" w:eastAsia="Calibri" w:hAnsi="Times New Roman" w:cs="Times New Roman"/>
          <w:sz w:val="24"/>
          <w:szCs w:val="24"/>
        </w:rPr>
        <w:t xml:space="preserve">:  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http</w:t>
      </w:r>
      <w:r w:rsidRPr="00BF605D">
        <w:rPr>
          <w:rFonts w:ascii="Times New Roman" w:eastAsia="Calibri" w:hAnsi="Times New Roman" w:cs="Times New Roman"/>
          <w:sz w:val="24"/>
          <w:szCs w:val="24"/>
        </w:rPr>
        <w:t>://www.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socpolitika</w:t>
      </w:r>
      <w:r w:rsidRPr="00BF605D">
        <w:rPr>
          <w:rFonts w:ascii="Times New Roman" w:eastAsia="Calibri" w:hAnsi="Times New Roman" w:cs="Times New Roman"/>
          <w:sz w:val="24"/>
          <w:szCs w:val="24"/>
        </w:rPr>
        <w:t>.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r w:rsidRPr="00BF605D">
        <w:rPr>
          <w:rFonts w:ascii="Times New Roman" w:eastAsia="Calibri" w:hAnsi="Times New Roman" w:cs="Times New Roman"/>
          <w:sz w:val="24"/>
          <w:szCs w:val="24"/>
        </w:rPr>
        <w:t>/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rus</w:t>
      </w:r>
      <w:r w:rsidRPr="00BF605D">
        <w:rPr>
          <w:rFonts w:ascii="Times New Roman" w:eastAsia="Calibri" w:hAnsi="Times New Roman" w:cs="Times New Roman"/>
          <w:sz w:val="24"/>
          <w:szCs w:val="24"/>
        </w:rPr>
        <w:t>/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ngo</w:t>
      </w:r>
      <w:r w:rsidRPr="00BF605D">
        <w:rPr>
          <w:rFonts w:ascii="Times New Roman" w:eastAsia="Calibri" w:hAnsi="Times New Roman" w:cs="Times New Roman"/>
          <w:sz w:val="24"/>
          <w:szCs w:val="24"/>
        </w:rPr>
        <w:t>/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foreign</w:t>
      </w:r>
      <w:r w:rsidRPr="00BF605D">
        <w:rPr>
          <w:rFonts w:ascii="Times New Roman" w:eastAsia="Calibri" w:hAnsi="Times New Roman" w:cs="Times New Roman"/>
          <w:sz w:val="24"/>
          <w:szCs w:val="24"/>
        </w:rPr>
        <w:t>_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experience</w:t>
      </w:r>
      <w:r w:rsidRPr="00BF605D">
        <w:rPr>
          <w:rFonts w:ascii="Times New Roman" w:eastAsia="Calibri" w:hAnsi="Times New Roman" w:cs="Times New Roman"/>
          <w:sz w:val="24"/>
          <w:szCs w:val="24"/>
        </w:rPr>
        <w:t>/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document</w:t>
      </w:r>
      <w:r w:rsidRPr="00BF605D">
        <w:rPr>
          <w:rFonts w:ascii="Times New Roman" w:eastAsia="Calibri" w:hAnsi="Times New Roman" w:cs="Times New Roman"/>
          <w:sz w:val="24"/>
          <w:szCs w:val="24"/>
        </w:rPr>
        <w:t>115.</w:t>
      </w:r>
      <w:r w:rsidRPr="00BF605D">
        <w:rPr>
          <w:rFonts w:ascii="Times New Roman" w:eastAsia="Calibri" w:hAnsi="Times New Roman" w:cs="Times New Roman"/>
          <w:sz w:val="24"/>
          <w:szCs w:val="24"/>
          <w:lang w:val="en-US"/>
        </w:rPr>
        <w:t>shtml</w:t>
      </w:r>
      <w:r w:rsidRPr="00BF605D">
        <w:rPr>
          <w:rFonts w:ascii="Times New Roman" w:eastAsia="Calibri" w:hAnsi="Times New Roman" w:cs="Times New Roman"/>
          <w:sz w:val="24"/>
          <w:szCs w:val="24"/>
        </w:rPr>
        <w:t xml:space="preserve"> (дата обращения 03.05.2017)</w:t>
      </w:r>
    </w:p>
    <w:p w:rsidR="00BF605D" w:rsidRPr="00474798" w:rsidRDefault="00BF605D" w:rsidP="00BF605D">
      <w:pPr>
        <w:pStyle w:val="a6"/>
        <w:numPr>
          <w:ilvl w:val="0"/>
          <w:numId w:val="2"/>
        </w:numPr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74798">
        <w:rPr>
          <w:rFonts w:ascii="Times New Roman" w:eastAsia="Calibri" w:hAnsi="Times New Roman" w:cs="Times New Roman"/>
          <w:sz w:val="24"/>
          <w:szCs w:val="24"/>
        </w:rPr>
        <w:t xml:space="preserve">Шабунова А. А., Гужавина Т. А., Кожина Т. П. Доверие и общественное развитие в России // Проблемы развития территории. 2015. №2 (76). С.7-19 </w:t>
      </w:r>
    </w:p>
    <w:p w:rsidR="00CD597A" w:rsidRDefault="00CD597A" w:rsidP="00BF605D">
      <w:pPr>
        <w:spacing w:after="0" w:line="240" w:lineRule="auto"/>
        <w:ind w:left="-567" w:firstLine="567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CD597A">
        <w:rPr>
          <w:rFonts w:ascii="Times New Roman" w:eastAsia="Calibri" w:hAnsi="Times New Roman" w:cs="Times New Roman"/>
          <w:b/>
          <w:sz w:val="24"/>
          <w:szCs w:val="24"/>
        </w:rPr>
        <w:t>Информация об авторе (-ах) на русском языке</w:t>
      </w:r>
    </w:p>
    <w:p w:rsidR="00474798" w:rsidRPr="00CD597A" w:rsidRDefault="00474798" w:rsidP="00FC4FFB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CD597A" w:rsidRPr="00CD597A" w:rsidRDefault="00CD597A" w:rsidP="00C660E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D597A">
        <w:rPr>
          <w:rFonts w:ascii="Times New Roman" w:eastAsia="Calibri" w:hAnsi="Times New Roman" w:cs="Times New Roman"/>
          <w:sz w:val="24"/>
          <w:szCs w:val="24"/>
        </w:rPr>
        <w:t xml:space="preserve">Фамилия Имя Отчество (страна, город): </w:t>
      </w:r>
      <w:r w:rsidRPr="00FC4FFB">
        <w:rPr>
          <w:rFonts w:ascii="Times New Roman" w:eastAsia="Calibri" w:hAnsi="Times New Roman" w:cs="Times New Roman"/>
          <w:sz w:val="24"/>
          <w:szCs w:val="24"/>
        </w:rPr>
        <w:t xml:space="preserve">Косыгина Ксения Евгеньевна </w:t>
      </w:r>
      <w:r w:rsidRPr="00CD597A">
        <w:rPr>
          <w:rFonts w:ascii="Times New Roman" w:eastAsia="Calibri" w:hAnsi="Times New Roman" w:cs="Times New Roman"/>
          <w:sz w:val="24"/>
          <w:szCs w:val="24"/>
        </w:rPr>
        <w:t>(Россия, г. Вологда)</w:t>
      </w:r>
    </w:p>
    <w:p w:rsidR="00CD597A" w:rsidRPr="00CD597A" w:rsidRDefault="00CD597A" w:rsidP="00C660E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D597A">
        <w:rPr>
          <w:rFonts w:ascii="Times New Roman" w:eastAsia="Calibri" w:hAnsi="Times New Roman" w:cs="Times New Roman"/>
          <w:color w:val="000000"/>
          <w:sz w:val="24"/>
          <w:szCs w:val="24"/>
        </w:rPr>
        <w:t>Ученая степень: -</w:t>
      </w:r>
    </w:p>
    <w:p w:rsidR="00CD597A" w:rsidRPr="00CD597A" w:rsidRDefault="00CD597A" w:rsidP="00C660E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D597A">
        <w:rPr>
          <w:rFonts w:ascii="Times New Roman" w:eastAsia="Calibri" w:hAnsi="Times New Roman" w:cs="Times New Roman"/>
          <w:color w:val="000000"/>
          <w:sz w:val="24"/>
          <w:szCs w:val="24"/>
        </w:rPr>
        <w:t>Должность</w:t>
      </w:r>
      <w:r w:rsidRPr="00FC4FFB">
        <w:rPr>
          <w:rFonts w:ascii="Times New Roman" w:eastAsia="Calibri" w:hAnsi="Times New Roman" w:cs="Times New Roman"/>
          <w:color w:val="000000"/>
          <w:sz w:val="24"/>
          <w:szCs w:val="24"/>
        </w:rPr>
        <w:t>: аспирант</w:t>
      </w:r>
    </w:p>
    <w:p w:rsidR="00CD597A" w:rsidRPr="00CD597A" w:rsidRDefault="00CD597A" w:rsidP="00C660E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CD597A">
        <w:rPr>
          <w:rFonts w:ascii="Times New Roman" w:eastAsia="Calibri" w:hAnsi="Times New Roman" w:cs="Times New Roman"/>
          <w:color w:val="000000"/>
          <w:sz w:val="24"/>
          <w:szCs w:val="24"/>
        </w:rPr>
        <w:t>Название организации (полный адрес организации): Федеральное государственное бюджетное учреждение науки «Вологодский научный центр Российской академии наук»</w:t>
      </w:r>
    </w:p>
    <w:p w:rsidR="00CD597A" w:rsidRPr="00CD597A" w:rsidRDefault="00CD597A" w:rsidP="00C660EC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</w:pPr>
      <w:r w:rsidRPr="00CD597A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Е-mail: </w:t>
      </w:r>
      <w:r w:rsidRPr="00FC4FFB">
        <w:rPr>
          <w:rFonts w:ascii="Times New Roman" w:eastAsia="Calibri" w:hAnsi="Times New Roman" w:cs="Times New Roman"/>
          <w:color w:val="000000"/>
          <w:sz w:val="24"/>
          <w:szCs w:val="24"/>
          <w:lang w:val="en-US"/>
        </w:rPr>
        <w:t>sene4ka.87@mail.ru</w:t>
      </w:r>
    </w:p>
    <w:p w:rsidR="00546E0C" w:rsidRDefault="00546E0C" w:rsidP="00C660EC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87572" w:rsidRPr="00F87572" w:rsidRDefault="00F87572" w:rsidP="00F87572">
      <w:pPr>
        <w:spacing w:after="160" w:line="259" w:lineRule="auto"/>
        <w:jc w:val="center"/>
        <w:rPr>
          <w:rFonts w:ascii="Times New Roman" w:eastAsia="Calibri" w:hAnsi="Times New Roman" w:cs="Times New Roman"/>
          <w:b/>
          <w:caps/>
          <w:sz w:val="28"/>
          <w:szCs w:val="28"/>
          <w:lang w:val="en-US"/>
        </w:rPr>
      </w:pPr>
      <w:r w:rsidRPr="00F87572">
        <w:rPr>
          <w:rFonts w:ascii="Times New Roman" w:eastAsia="Calibri" w:hAnsi="Times New Roman" w:cs="Times New Roman"/>
          <w:b/>
          <w:caps/>
          <w:sz w:val="28"/>
          <w:szCs w:val="28"/>
          <w:lang w:val="en-US"/>
        </w:rPr>
        <w:t>Trends and problems of forming a sector of socially-oriented non-profit organizations</w:t>
      </w:r>
    </w:p>
    <w:p w:rsidR="00991BBD" w:rsidRPr="00991BBD" w:rsidRDefault="006B73A2" w:rsidP="00991BBD">
      <w:pPr>
        <w:spacing w:after="160" w:line="259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US"/>
        </w:rPr>
        <w:t>Annotation:</w:t>
      </w:r>
      <w:r w:rsidR="00991BBD" w:rsidRPr="00991BBD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The article analyzes the changes in the number of registered socially-oriented non-profit organizations (NGOs) and the number of the employed in the sector by federal districts from 2012 to 2016. </w:t>
      </w:r>
      <w:r w:rsidR="00991BBD" w:rsidRPr="00991BBD">
        <w:rPr>
          <w:rFonts w:ascii="Times New Roman" w:eastAsia="Calibri" w:hAnsi="Times New Roman" w:cs="Times New Roman"/>
          <w:sz w:val="24"/>
          <w:szCs w:val="24"/>
        </w:rPr>
        <w:t>The analythis is based on official statistics. Unevenness in the development of NGOs by regions has been revealed.</w:t>
      </w:r>
    </w:p>
    <w:p w:rsidR="00991BBD" w:rsidRPr="00991BBD" w:rsidRDefault="00991BBD" w:rsidP="00991BBD">
      <w:pPr>
        <w:spacing w:after="160" w:line="259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91BBD" w:rsidRPr="00991BBD" w:rsidRDefault="00991BBD" w:rsidP="00991BBD">
      <w:pPr>
        <w:spacing w:after="160" w:line="259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91BBD">
        <w:rPr>
          <w:rFonts w:ascii="Times New Roman" w:eastAsia="Calibri" w:hAnsi="Times New Roman" w:cs="Times New Roman"/>
          <w:b/>
          <w:sz w:val="24"/>
          <w:szCs w:val="24"/>
        </w:rPr>
        <w:lastRenderedPageBreak/>
        <w:t>Keywords:</w:t>
      </w:r>
      <w:r w:rsidRPr="00991BBD">
        <w:rPr>
          <w:rFonts w:ascii="Times New Roman" w:eastAsia="Calibri" w:hAnsi="Times New Roman" w:cs="Times New Roman"/>
          <w:sz w:val="24"/>
          <w:szCs w:val="24"/>
        </w:rPr>
        <w:t xml:space="preserve"> civil society, socially oriented non-profit organizations, NGOs, non-profit sector, region</w:t>
      </w:r>
    </w:p>
    <w:p w:rsidR="006B73A2" w:rsidRPr="006B73A2" w:rsidRDefault="006B73A2" w:rsidP="006B73A2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6B73A2">
        <w:rPr>
          <w:rFonts w:ascii="Times New Roman" w:eastAsia="Calibri" w:hAnsi="Times New Roman" w:cs="Times New Roman"/>
          <w:b/>
          <w:sz w:val="24"/>
          <w:szCs w:val="24"/>
          <w:lang w:val="en-US"/>
        </w:rPr>
        <w:t>INFORMATION ABOUT THE AUTHOR</w:t>
      </w:r>
      <w:r w:rsidRPr="006B73A2">
        <w:rPr>
          <w:rFonts w:ascii="Times New Roman" w:eastAsia="Calibri" w:hAnsi="Times New Roman" w:cs="Times New Roman"/>
          <w:b/>
          <w:sz w:val="24"/>
          <w:szCs w:val="24"/>
          <w:lang w:val="en-US"/>
        </w:rPr>
        <w:t>:</w:t>
      </w:r>
    </w:p>
    <w:p w:rsidR="006B73A2" w:rsidRPr="006B73A2" w:rsidRDefault="006B73A2" w:rsidP="006B73A2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B73A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Kosygina Kseniya Evgen’evna – </w:t>
      </w:r>
      <w:r w:rsidRPr="006B73A2">
        <w:rPr>
          <w:rFonts w:ascii="Times New Roman" w:eastAsia="Calibri" w:hAnsi="Times New Roman" w:cs="Times New Roman"/>
          <w:sz w:val="24"/>
          <w:szCs w:val="24"/>
          <w:lang w:val="en-US"/>
        </w:rPr>
        <w:t>graduate student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Pr="006B73A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Fede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ral State Budgetary Institution</w:t>
      </w:r>
      <w:r w:rsidRPr="006B73A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6B73A2">
        <w:rPr>
          <w:rFonts w:ascii="Times New Roman" w:eastAsia="Calibri" w:hAnsi="Times New Roman" w:cs="Times New Roman"/>
          <w:sz w:val="24"/>
          <w:szCs w:val="24"/>
          <w:lang w:val="en-US"/>
        </w:rPr>
        <w:t>of Science “Vologda Research Center of the Russian A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cademy of Sciences”. 56A, Gorky</w:t>
      </w:r>
      <w:r w:rsidRPr="006B73A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Pr="006B73A2">
        <w:rPr>
          <w:rFonts w:ascii="Times New Roman" w:eastAsia="Calibri" w:hAnsi="Times New Roman" w:cs="Times New Roman"/>
          <w:sz w:val="24"/>
          <w:szCs w:val="24"/>
          <w:lang w:val="en-US"/>
        </w:rPr>
        <w:t>Street, Vologda, Russia, 160014. E-mail: sene4ka.87@mail.ru. Phone: +7(8172) 52-78-03</w:t>
      </w:r>
    </w:p>
    <w:p w:rsidR="00F87572" w:rsidRPr="00991BBD" w:rsidRDefault="00F87572" w:rsidP="00C660EC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0" w:name="_GoBack"/>
      <w:bookmarkEnd w:id="0"/>
    </w:p>
    <w:sectPr w:rsidR="00F87572" w:rsidRPr="00991BBD" w:rsidSect="003059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0049" w:rsidRDefault="00DE0049" w:rsidP="00DE0049">
      <w:pPr>
        <w:spacing w:after="0" w:line="240" w:lineRule="auto"/>
      </w:pPr>
      <w:r>
        <w:separator/>
      </w:r>
    </w:p>
  </w:endnote>
  <w:endnote w:type="continuationSeparator" w:id="0">
    <w:p w:rsidR="00DE0049" w:rsidRDefault="00DE0049" w:rsidP="00DE00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charset w:val="CC"/>
    <w:family w:val="swiss"/>
    <w:pitch w:val="variable"/>
    <w:sig w:usb0="E10002FF" w:usb1="4000ACFF" w:usb2="00000009" w:usb3="00000000" w:csb0="0000019F" w:csb1="00000000"/>
  </w:font>
  <w:font w:name="Cambria"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0049" w:rsidRDefault="00DE0049" w:rsidP="00DE0049">
      <w:pPr>
        <w:spacing w:after="0" w:line="240" w:lineRule="auto"/>
      </w:pPr>
      <w:r>
        <w:separator/>
      </w:r>
    </w:p>
  </w:footnote>
  <w:footnote w:type="continuationSeparator" w:id="0">
    <w:p w:rsidR="00DE0049" w:rsidRDefault="00DE0049" w:rsidP="00DE00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300533"/>
    <w:multiLevelType w:val="hybridMultilevel"/>
    <w:tmpl w:val="F3A47DA0"/>
    <w:lvl w:ilvl="0" w:tplc="7EE80E1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52D339BE"/>
    <w:multiLevelType w:val="hybridMultilevel"/>
    <w:tmpl w:val="94AE6028"/>
    <w:lvl w:ilvl="0" w:tplc="1D605962">
      <w:start w:val="1"/>
      <w:numFmt w:val="decimal"/>
      <w:lvlText w:val="%1."/>
      <w:lvlJc w:val="left"/>
      <w:pPr>
        <w:ind w:left="1084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0B8"/>
    <w:rsid w:val="00065D67"/>
    <w:rsid w:val="00073A3C"/>
    <w:rsid w:val="00111A7F"/>
    <w:rsid w:val="001458C8"/>
    <w:rsid w:val="0017375D"/>
    <w:rsid w:val="00234168"/>
    <w:rsid w:val="00265A24"/>
    <w:rsid w:val="002F26F7"/>
    <w:rsid w:val="00305901"/>
    <w:rsid w:val="003505F0"/>
    <w:rsid w:val="003571F2"/>
    <w:rsid w:val="00366423"/>
    <w:rsid w:val="00461B0D"/>
    <w:rsid w:val="00470232"/>
    <w:rsid w:val="00474798"/>
    <w:rsid w:val="004A12C7"/>
    <w:rsid w:val="00546E0C"/>
    <w:rsid w:val="0062156D"/>
    <w:rsid w:val="006459C5"/>
    <w:rsid w:val="006610B8"/>
    <w:rsid w:val="00665BD1"/>
    <w:rsid w:val="006B5397"/>
    <w:rsid w:val="006B73A2"/>
    <w:rsid w:val="006D1405"/>
    <w:rsid w:val="006F1C73"/>
    <w:rsid w:val="007125A7"/>
    <w:rsid w:val="00781B64"/>
    <w:rsid w:val="00927E81"/>
    <w:rsid w:val="00947FF0"/>
    <w:rsid w:val="00956410"/>
    <w:rsid w:val="00970FAE"/>
    <w:rsid w:val="00991BBD"/>
    <w:rsid w:val="00A67A36"/>
    <w:rsid w:val="00A8190B"/>
    <w:rsid w:val="00A84346"/>
    <w:rsid w:val="00AC4140"/>
    <w:rsid w:val="00AF352E"/>
    <w:rsid w:val="00B270E9"/>
    <w:rsid w:val="00B768B9"/>
    <w:rsid w:val="00BF605D"/>
    <w:rsid w:val="00C05330"/>
    <w:rsid w:val="00C60E6A"/>
    <w:rsid w:val="00C660EC"/>
    <w:rsid w:val="00C959F8"/>
    <w:rsid w:val="00CC1FD6"/>
    <w:rsid w:val="00CD5907"/>
    <w:rsid w:val="00CD597A"/>
    <w:rsid w:val="00CF3E46"/>
    <w:rsid w:val="00D14D2C"/>
    <w:rsid w:val="00DD1923"/>
    <w:rsid w:val="00DE0049"/>
    <w:rsid w:val="00DE4285"/>
    <w:rsid w:val="00DF79D9"/>
    <w:rsid w:val="00E45E5B"/>
    <w:rsid w:val="00EB6E8D"/>
    <w:rsid w:val="00F87572"/>
    <w:rsid w:val="00FC4FFB"/>
    <w:rsid w:val="00FE3F29"/>
    <w:rsid w:val="00FE5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569BEF"/>
  <w15:docId w15:val="{95ABDBCE-EBCB-4299-9B73-6DEACF172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05901"/>
  </w:style>
  <w:style w:type="paragraph" w:styleId="1">
    <w:name w:val="heading 1"/>
    <w:basedOn w:val="a"/>
    <w:next w:val="a"/>
    <w:link w:val="10"/>
    <w:uiPriority w:val="9"/>
    <w:qFormat/>
    <w:rsid w:val="00DE004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rsid w:val="00DE00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DE004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aliases w:val="Знак сноски-FN,Ciae niinee-FN,Знак сноски 1,Referencia nota al pie"/>
    <w:basedOn w:val="a0"/>
    <w:uiPriority w:val="99"/>
    <w:semiHidden/>
    <w:rsid w:val="00DE0049"/>
    <w:rPr>
      <w:rFonts w:cs="Times New Roman"/>
      <w:vertAlign w:val="superscript"/>
    </w:rPr>
  </w:style>
  <w:style w:type="character" w:customStyle="1" w:styleId="10">
    <w:name w:val="Заголовок 1 Знак"/>
    <w:basedOn w:val="a0"/>
    <w:link w:val="1"/>
    <w:uiPriority w:val="9"/>
    <w:rsid w:val="00DE004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6">
    <w:name w:val="List Paragraph"/>
    <w:basedOn w:val="a"/>
    <w:uiPriority w:val="34"/>
    <w:qFormat/>
    <w:rsid w:val="00FE52F8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FE52F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2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pkhv.ru/files/files/2015/24d0515d2be551293eb3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gks.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economy.gov35.ru/docs/Gosudarstvennaya_programma_VO_Sozdanie_usloviy_dlya_razvitiya_grazhdanskogo_obschestva_i_potentsiala_17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kremlin.ru/events/president/news/5319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1861</Words>
  <Characters>10610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Ксения Е. Косыгина</cp:lastModifiedBy>
  <cp:revision>3</cp:revision>
  <cp:lastPrinted>2018-01-30T14:24:00Z</cp:lastPrinted>
  <dcterms:created xsi:type="dcterms:W3CDTF">2018-03-26T11:05:00Z</dcterms:created>
  <dcterms:modified xsi:type="dcterms:W3CDTF">2018-03-26T11:09:00Z</dcterms:modified>
</cp:coreProperties>
</file>