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0CCA19" w14:textId="36610333" w:rsidR="00CF4279" w:rsidRPr="00116107" w:rsidRDefault="00CF4279" w:rsidP="00CF4279">
      <w:pPr>
        <w:jc w:val="center"/>
        <w:rPr>
          <w:rFonts w:ascii="Times New Roman" w:hAnsi="Times New Roman" w:cs="Times New Roman"/>
          <w:b/>
          <w:bCs/>
          <w:i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aps/>
          <w:sz w:val="24"/>
          <w:szCs w:val="24"/>
        </w:rPr>
        <w:t>ПОСЛЕДСТВИЯ ЦИФРОВОЙ ЭКОНОМИКИ ДЛЯ МЕЖДУНАРОДНЫХ ИНВЕСТИЦИОННЫХ МОДЕЛЕЙ</w:t>
      </w:r>
    </w:p>
    <w:p w14:paraId="41776D7F" w14:textId="47E23B76" w:rsidR="00CE0F78" w:rsidRDefault="00116107" w:rsidP="00B67D55">
      <w:pPr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16107">
        <w:rPr>
          <w:rFonts w:ascii="Times New Roman" w:hAnsi="Times New Roman" w:cs="Times New Roman"/>
          <w:i/>
          <w:sz w:val="24"/>
          <w:szCs w:val="24"/>
        </w:rPr>
        <w:t>Аннотация:</w:t>
      </w:r>
      <w:r w:rsidR="0084374C" w:rsidRPr="0011610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>Ци</w:t>
      </w:r>
      <w:r w:rsidR="00CF4279">
        <w:rPr>
          <w:rFonts w:ascii="Times New Roman" w:hAnsi="Times New Roman" w:cs="Times New Roman"/>
          <w:i/>
          <w:sz w:val="24"/>
          <w:szCs w:val="24"/>
        </w:rPr>
        <w:t>фровая экономика оказала огромно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 xml:space="preserve">е влияние на </w:t>
      </w:r>
      <w:r w:rsidR="00B67D55">
        <w:rPr>
          <w:rFonts w:ascii="Times New Roman" w:hAnsi="Times New Roman" w:cs="Times New Roman"/>
          <w:i/>
          <w:sz w:val="24"/>
          <w:szCs w:val="24"/>
        </w:rPr>
        <w:t>международный бизнес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>. Он</w:t>
      </w:r>
      <w:r w:rsidR="00B67D55">
        <w:rPr>
          <w:rFonts w:ascii="Times New Roman" w:hAnsi="Times New Roman" w:cs="Times New Roman"/>
          <w:i/>
          <w:sz w:val="24"/>
          <w:szCs w:val="24"/>
        </w:rPr>
        <w:t>а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 xml:space="preserve"> привел</w:t>
      </w:r>
      <w:r w:rsidR="00B67D55">
        <w:rPr>
          <w:rFonts w:ascii="Times New Roman" w:hAnsi="Times New Roman" w:cs="Times New Roman"/>
          <w:i/>
          <w:sz w:val="24"/>
          <w:szCs w:val="24"/>
        </w:rPr>
        <w:t>а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 xml:space="preserve"> к появлению новых фирм и отраслей, трансформировал</w:t>
      </w:r>
      <w:r w:rsidR="00B67D55">
        <w:rPr>
          <w:rFonts w:ascii="Times New Roman" w:hAnsi="Times New Roman" w:cs="Times New Roman"/>
          <w:i/>
          <w:sz w:val="24"/>
          <w:szCs w:val="24"/>
        </w:rPr>
        <w:t>а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 xml:space="preserve"> бизнес-мо</w:t>
      </w:r>
      <w:r w:rsidR="00B67D55">
        <w:rPr>
          <w:rFonts w:ascii="Times New Roman" w:hAnsi="Times New Roman" w:cs="Times New Roman"/>
          <w:i/>
          <w:sz w:val="24"/>
          <w:szCs w:val="24"/>
        </w:rPr>
        <w:t xml:space="preserve">дели в традиционных отраслях и 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>изменил</w:t>
      </w:r>
      <w:r w:rsidR="00B67D55">
        <w:rPr>
          <w:rFonts w:ascii="Times New Roman" w:hAnsi="Times New Roman" w:cs="Times New Roman"/>
          <w:i/>
          <w:sz w:val="24"/>
          <w:szCs w:val="24"/>
        </w:rPr>
        <w:t>а</w:t>
      </w:r>
      <w:r w:rsidR="00CF4279" w:rsidRPr="00CF4279">
        <w:rPr>
          <w:rFonts w:ascii="Times New Roman" w:hAnsi="Times New Roman" w:cs="Times New Roman"/>
          <w:i/>
          <w:sz w:val="24"/>
          <w:szCs w:val="24"/>
        </w:rPr>
        <w:t xml:space="preserve"> организацию мировой экономики. Это порождает новые вызовы и возможности для международного сообщества, занимающегося инвестиционной политикой.</w:t>
      </w:r>
    </w:p>
    <w:p w14:paraId="16B63D30" w14:textId="493B11DA" w:rsidR="00B67D55" w:rsidRPr="00116107" w:rsidRDefault="004B4CA6" w:rsidP="00B67D5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Ключевые слова: </w:t>
      </w:r>
      <w:r w:rsidR="00B67D55">
        <w:rPr>
          <w:rFonts w:ascii="Times New Roman" w:hAnsi="Times New Roman" w:cs="Times New Roman"/>
          <w:i/>
          <w:sz w:val="24"/>
          <w:szCs w:val="24"/>
        </w:rPr>
        <w:t>инвестиционная деятельность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B67D55">
        <w:rPr>
          <w:rFonts w:ascii="Times New Roman" w:hAnsi="Times New Roman" w:cs="Times New Roman"/>
          <w:i/>
          <w:sz w:val="24"/>
          <w:szCs w:val="24"/>
        </w:rPr>
        <w:t>прямые иностранные инвестиции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B67D55">
        <w:rPr>
          <w:rFonts w:ascii="Times New Roman" w:hAnsi="Times New Roman" w:cs="Times New Roman"/>
          <w:i/>
          <w:sz w:val="24"/>
          <w:szCs w:val="24"/>
        </w:rPr>
        <w:t>цифровизация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B67D55">
        <w:rPr>
          <w:rFonts w:ascii="Times New Roman" w:hAnsi="Times New Roman" w:cs="Times New Roman"/>
          <w:i/>
          <w:sz w:val="24"/>
          <w:szCs w:val="24"/>
        </w:rPr>
        <w:t>инвестиционный режим.</w:t>
      </w:r>
    </w:p>
    <w:p w14:paraId="76053962" w14:textId="77777777" w:rsidR="00CE0F78" w:rsidRDefault="00CE0F78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8DF7DF8" w14:textId="77777777" w:rsidR="00B67D55" w:rsidRPr="00172FCF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Огромный</w:t>
      </w:r>
      <w:r w:rsidRPr="00172FCF">
        <w:rPr>
          <w:rFonts w:ascii="Times New Roman" w:hAnsi="Times New Roman" w:cs="Times New Roman"/>
          <w:sz w:val="24"/>
          <w:szCs w:val="24"/>
        </w:rPr>
        <w:t xml:space="preserve"> объем литературы подтверждает растущее значение цифровой экономики для широкого круга экономических и социальных проблем, </w:t>
      </w:r>
      <w:r>
        <w:rPr>
          <w:rFonts w:ascii="Times New Roman" w:hAnsi="Times New Roman" w:cs="Times New Roman"/>
          <w:sz w:val="24"/>
          <w:szCs w:val="24"/>
        </w:rPr>
        <w:t xml:space="preserve">однако </w:t>
      </w:r>
      <w:r w:rsidRPr="00172FCF">
        <w:rPr>
          <w:rFonts w:ascii="Times New Roman" w:hAnsi="Times New Roman" w:cs="Times New Roman"/>
          <w:sz w:val="24"/>
          <w:szCs w:val="24"/>
        </w:rPr>
        <w:t>только недавно исследователи начали проливать свет на последствия цифровой экономики для международных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FCF">
        <w:rPr>
          <w:rFonts w:ascii="Times New Roman" w:hAnsi="Times New Roman" w:cs="Times New Roman"/>
          <w:sz w:val="24"/>
          <w:szCs w:val="24"/>
        </w:rPr>
        <w:t xml:space="preserve">инвестиционных тенденций. </w:t>
      </w:r>
    </w:p>
    <w:p w14:paraId="60F075FF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Одно</w:t>
      </w:r>
      <w:r w:rsidRPr="004A1A57">
        <w:rPr>
          <w:rFonts w:ascii="Times New Roman" w:hAnsi="Times New Roman" w:cs="Times New Roman"/>
          <w:sz w:val="24"/>
          <w:szCs w:val="24"/>
        </w:rPr>
        <w:t xml:space="preserve"> из наиболее важных из них касается различных способов, которыми, как ожидается, цифровая экономика снизит потребность в физическом присутствии для обслуживания зарубежных рынков, облегчая передачу широкого спектра товаров и услуг в цифровой форме; наприме</w:t>
      </w:r>
      <w:r>
        <w:rPr>
          <w:rFonts w:ascii="Times New Roman" w:hAnsi="Times New Roman" w:cs="Times New Roman"/>
          <w:sz w:val="24"/>
          <w:szCs w:val="24"/>
        </w:rPr>
        <w:t xml:space="preserve">р, музыка, публикации и услуги </w:t>
      </w:r>
      <w:r w:rsidRPr="004A1A57">
        <w:rPr>
          <w:rFonts w:ascii="Times New Roman" w:hAnsi="Times New Roman" w:cs="Times New Roman"/>
          <w:sz w:val="24"/>
          <w:szCs w:val="24"/>
        </w:rPr>
        <w:t xml:space="preserve">теперь могут поставляться по всему миру в цифровой форме. </w:t>
      </w:r>
    </w:p>
    <w:p w14:paraId="03EBAEDA" w14:textId="77777777" w:rsidR="00B67D55" w:rsidRPr="00172FCF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2A3C">
        <w:rPr>
          <w:rFonts w:ascii="Times New Roman" w:hAnsi="Times New Roman" w:cs="Times New Roman"/>
          <w:sz w:val="24"/>
          <w:szCs w:val="24"/>
        </w:rPr>
        <w:t>С точки зрения ме</w:t>
      </w:r>
      <w:r>
        <w:rPr>
          <w:rFonts w:ascii="Times New Roman" w:hAnsi="Times New Roman" w:cs="Times New Roman"/>
          <w:sz w:val="24"/>
          <w:szCs w:val="24"/>
        </w:rPr>
        <w:t>ждународных инвестиций, смысл</w:t>
      </w:r>
      <w:r w:rsidRPr="00772A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заключается в том, что, сравнивая экспорт и прямые иностранные инвестиции (ПИИ), рассматриваемые как способ выхода на международный рынок с целью сбыта продукции в ведущие страны, преимущество будет на стороне экспорта. Ц</w:t>
      </w:r>
      <w:r w:rsidRPr="00172FCF">
        <w:rPr>
          <w:rFonts w:ascii="Times New Roman" w:hAnsi="Times New Roman" w:cs="Times New Roman"/>
          <w:sz w:val="24"/>
          <w:szCs w:val="24"/>
        </w:rPr>
        <w:t xml:space="preserve">ифровая экономика по-прежнему будет иметь </w:t>
      </w:r>
      <w:r>
        <w:rPr>
          <w:rFonts w:ascii="Times New Roman" w:hAnsi="Times New Roman" w:cs="Times New Roman"/>
          <w:sz w:val="24"/>
          <w:szCs w:val="24"/>
        </w:rPr>
        <w:t>не наилучшие</w:t>
      </w:r>
      <w:r w:rsidRPr="00172FCF">
        <w:rPr>
          <w:rFonts w:ascii="Times New Roman" w:hAnsi="Times New Roman" w:cs="Times New Roman"/>
          <w:sz w:val="24"/>
          <w:szCs w:val="24"/>
        </w:rPr>
        <w:t xml:space="preserve"> последствия для бизнеса, </w:t>
      </w:r>
      <w:r>
        <w:rPr>
          <w:rFonts w:ascii="Times New Roman" w:hAnsi="Times New Roman" w:cs="Times New Roman"/>
          <w:sz w:val="24"/>
          <w:szCs w:val="24"/>
        </w:rPr>
        <w:t>ожидаются серьезные</w:t>
      </w:r>
      <w:r w:rsidRPr="00172FCF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отрясения</w:t>
      </w:r>
      <w:r w:rsidRPr="00172FCF">
        <w:rPr>
          <w:rFonts w:ascii="Times New Roman" w:hAnsi="Times New Roman" w:cs="Times New Roman"/>
          <w:sz w:val="24"/>
          <w:szCs w:val="24"/>
        </w:rPr>
        <w:t xml:space="preserve"> для транснациональных корпораций и международных</w:t>
      </w:r>
      <w:r>
        <w:rPr>
          <w:rFonts w:ascii="Times New Roman" w:hAnsi="Times New Roman" w:cs="Times New Roman"/>
          <w:sz w:val="24"/>
          <w:szCs w:val="24"/>
        </w:rPr>
        <w:t xml:space="preserve"> инвестиционных тенденций, такие</w:t>
      </w:r>
      <w:r w:rsidRPr="00172FCF">
        <w:rPr>
          <w:rFonts w:ascii="Times New Roman" w:hAnsi="Times New Roman" w:cs="Times New Roman"/>
          <w:sz w:val="24"/>
          <w:szCs w:val="24"/>
        </w:rPr>
        <w:t xml:space="preserve"> как сокращение использования ПИИ компаниями в ка</w:t>
      </w:r>
      <w:r>
        <w:rPr>
          <w:rFonts w:ascii="Times New Roman" w:hAnsi="Times New Roman" w:cs="Times New Roman"/>
          <w:sz w:val="24"/>
          <w:szCs w:val="24"/>
        </w:rPr>
        <w:t>честве способа выйти на новые рынки</w:t>
      </w:r>
      <w:r w:rsidRPr="00172FCF">
        <w:rPr>
          <w:rFonts w:ascii="Times New Roman" w:hAnsi="Times New Roman" w:cs="Times New Roman"/>
          <w:sz w:val="24"/>
          <w:szCs w:val="24"/>
        </w:rPr>
        <w:t xml:space="preserve">. Цифровые технологии привели к появлению новых бизнесов и международных бизнес-моделей, которые позволили некоторым фирмам выйти на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72FCF">
        <w:rPr>
          <w:rFonts w:ascii="Times New Roman" w:hAnsi="Times New Roman" w:cs="Times New Roman"/>
          <w:sz w:val="24"/>
          <w:szCs w:val="24"/>
        </w:rPr>
        <w:t>глобальное присутствие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172FCF">
        <w:rPr>
          <w:rFonts w:ascii="Times New Roman" w:hAnsi="Times New Roman" w:cs="Times New Roman"/>
          <w:sz w:val="24"/>
          <w:szCs w:val="24"/>
        </w:rPr>
        <w:t xml:space="preserve"> без значительных объемов </w:t>
      </w:r>
      <w:r>
        <w:rPr>
          <w:rFonts w:ascii="Times New Roman" w:hAnsi="Times New Roman" w:cs="Times New Roman"/>
          <w:sz w:val="24"/>
          <w:szCs w:val="24"/>
        </w:rPr>
        <w:t>ПИИ</w:t>
      </w:r>
      <w:r w:rsidRPr="00172FCF">
        <w:rPr>
          <w:rFonts w:ascii="Times New Roman" w:hAnsi="Times New Roman" w:cs="Times New Roman"/>
          <w:sz w:val="24"/>
          <w:szCs w:val="24"/>
        </w:rPr>
        <w:t xml:space="preserve">, однако </w:t>
      </w:r>
      <w:r>
        <w:rPr>
          <w:rFonts w:ascii="Times New Roman" w:hAnsi="Times New Roman" w:cs="Times New Roman"/>
          <w:sz w:val="24"/>
          <w:szCs w:val="24"/>
        </w:rPr>
        <w:t>ПИИ</w:t>
      </w:r>
      <w:r w:rsidRPr="00172FCF">
        <w:rPr>
          <w:rFonts w:ascii="Times New Roman" w:hAnsi="Times New Roman" w:cs="Times New Roman"/>
          <w:sz w:val="24"/>
          <w:szCs w:val="24"/>
        </w:rPr>
        <w:t xml:space="preserve"> продолжают лежать в основе </w:t>
      </w:r>
      <w:r>
        <w:rPr>
          <w:rFonts w:ascii="Times New Roman" w:hAnsi="Times New Roman" w:cs="Times New Roman"/>
          <w:sz w:val="24"/>
          <w:szCs w:val="24"/>
        </w:rPr>
        <w:t>многих традиционных отраслей.</w:t>
      </w:r>
    </w:p>
    <w:p w14:paraId="039F944D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38A7">
        <w:rPr>
          <w:rFonts w:ascii="Times New Roman" w:hAnsi="Times New Roman" w:cs="Times New Roman"/>
          <w:sz w:val="24"/>
          <w:szCs w:val="24"/>
        </w:rPr>
        <w:t>Хотя вклад цифровых фирм в международные инвестиционные потоки до настоящего времени был скромным, ряд последних тенденций свидетельствует о возрастании роли цифровых технологий в международном инвестиционном режиме. В то время как глобальные трансграничные слияния и поглощения</w:t>
      </w:r>
      <w:r>
        <w:rPr>
          <w:rFonts w:ascii="Times New Roman" w:hAnsi="Times New Roman" w:cs="Times New Roman"/>
          <w:sz w:val="24"/>
          <w:szCs w:val="24"/>
        </w:rPr>
        <w:t xml:space="preserve"> (СИП)</w:t>
      </w:r>
      <w:r w:rsidRPr="000B38A7">
        <w:rPr>
          <w:rFonts w:ascii="Times New Roman" w:hAnsi="Times New Roman" w:cs="Times New Roman"/>
          <w:sz w:val="24"/>
          <w:szCs w:val="24"/>
        </w:rPr>
        <w:t xml:space="preserve"> демонстрируют среднегодовые темпы роста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0B38A7">
        <w:rPr>
          <w:rFonts w:ascii="Times New Roman" w:hAnsi="Times New Roman" w:cs="Times New Roman"/>
          <w:sz w:val="24"/>
          <w:szCs w:val="24"/>
        </w:rPr>
        <w:t>9% с 2010 года, среднегодовые темпы роста трансграничных слияний и поглощений цифровых фирм в этот период составляли 30%. 100 крупнейших цифровых фи</w:t>
      </w:r>
      <w:r>
        <w:rPr>
          <w:rFonts w:ascii="Times New Roman" w:hAnsi="Times New Roman" w:cs="Times New Roman"/>
          <w:sz w:val="24"/>
          <w:szCs w:val="24"/>
        </w:rPr>
        <w:t>рм, определенных в ЮНКТАД</w:t>
      </w:r>
      <w:r w:rsidRPr="000B38A7">
        <w:rPr>
          <w:rFonts w:ascii="Times New Roman" w:hAnsi="Times New Roman" w:cs="Times New Roman"/>
          <w:sz w:val="24"/>
          <w:szCs w:val="24"/>
        </w:rPr>
        <w:t xml:space="preserve">, увеличивали свои трансграничные приобретения в среднем на 90% ежегодно за тот же период. Другими словами, хотя многие из этих фирм следуют бизнес-моделям, основанным на относительно небольшом </w:t>
      </w:r>
      <w:r>
        <w:rPr>
          <w:rFonts w:ascii="Times New Roman" w:hAnsi="Times New Roman" w:cs="Times New Roman"/>
          <w:sz w:val="24"/>
          <w:szCs w:val="24"/>
        </w:rPr>
        <w:t>объеме</w:t>
      </w:r>
      <w:r w:rsidRPr="000B38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ПИИ</w:t>
      </w:r>
      <w:r w:rsidRPr="000B38A7">
        <w:rPr>
          <w:rFonts w:ascii="Times New Roman" w:hAnsi="Times New Roman" w:cs="Times New Roman"/>
          <w:sz w:val="24"/>
          <w:szCs w:val="24"/>
        </w:rPr>
        <w:t>, они, тем не менее, быстро расширяют свое физическое присутствие за границей.</w:t>
      </w:r>
    </w:p>
    <w:p w14:paraId="1C08FCCE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2FCF">
        <w:rPr>
          <w:rFonts w:ascii="Times New Roman" w:hAnsi="Times New Roman" w:cs="Times New Roman"/>
          <w:sz w:val="24"/>
          <w:szCs w:val="24"/>
        </w:rPr>
        <w:t xml:space="preserve">Большая часть этих международных инвестиций </w:t>
      </w:r>
      <w:r>
        <w:rPr>
          <w:rFonts w:ascii="Times New Roman" w:hAnsi="Times New Roman" w:cs="Times New Roman"/>
          <w:sz w:val="24"/>
          <w:szCs w:val="24"/>
        </w:rPr>
        <w:t xml:space="preserve">идет в цифровую инфраструктуру. </w:t>
      </w:r>
      <w:r w:rsidRPr="00172FCF">
        <w:rPr>
          <w:rFonts w:ascii="Times New Roman" w:hAnsi="Times New Roman" w:cs="Times New Roman"/>
          <w:sz w:val="24"/>
          <w:szCs w:val="24"/>
        </w:rPr>
        <w:t xml:space="preserve">Например, трансграничные инвестиции в приобретение активов для хранения цифровых данных достигли в 2016 году 13,8 млрд долларов США, что является самым высоким показателем за всю историю. Трансграничные инвестиции в приобретение нематериальных активов (то есть ПИИ с целью получения знаний) также были важным фактором роста </w:t>
      </w:r>
      <w:r w:rsidRPr="00172FCF">
        <w:rPr>
          <w:rFonts w:ascii="Times New Roman" w:hAnsi="Times New Roman" w:cs="Times New Roman"/>
          <w:sz w:val="24"/>
          <w:szCs w:val="24"/>
        </w:rPr>
        <w:lastRenderedPageBreak/>
        <w:t>трансграничных цифровых инвестиций. Например, трансграничные приобретения разработчиков программного обеспечения увеличились в пятнадцать раз с 2009 года и достигли 102 миллиардов доллар</w:t>
      </w:r>
      <w:r>
        <w:rPr>
          <w:rFonts w:ascii="Times New Roman" w:hAnsi="Times New Roman" w:cs="Times New Roman"/>
          <w:sz w:val="24"/>
          <w:szCs w:val="24"/>
        </w:rPr>
        <w:t>ов США в 2017 году</w:t>
      </w:r>
      <w:r w:rsidRPr="00172FCF">
        <w:rPr>
          <w:rFonts w:ascii="Times New Roman" w:hAnsi="Times New Roman" w:cs="Times New Roman"/>
          <w:sz w:val="24"/>
          <w:szCs w:val="24"/>
        </w:rPr>
        <w:t>. Ключевым фактором недавнего быстрого роста слияний и поглощений, направленных на приобретение цифровых активов, стало резкое увеличение количества приобретений цифровых активов</w:t>
      </w:r>
      <w:r>
        <w:rPr>
          <w:rFonts w:ascii="Times New Roman" w:hAnsi="Times New Roman" w:cs="Times New Roman"/>
          <w:sz w:val="24"/>
          <w:szCs w:val="24"/>
        </w:rPr>
        <w:t xml:space="preserve"> нецифровыми фирмами</w:t>
      </w:r>
      <w:r w:rsidRPr="00172FCF">
        <w:rPr>
          <w:rFonts w:ascii="Times New Roman" w:hAnsi="Times New Roman" w:cs="Times New Roman"/>
          <w:sz w:val="24"/>
          <w:szCs w:val="24"/>
        </w:rPr>
        <w:t xml:space="preserve">. Вплоть до 2014 года нецифровые и цифровые фирмы были примерно равны с точки зрения приобретения цифровых активов. </w:t>
      </w:r>
      <w:r w:rsidRPr="00C8527C">
        <w:rPr>
          <w:rFonts w:ascii="Times New Roman" w:hAnsi="Times New Roman" w:cs="Times New Roman"/>
          <w:sz w:val="24"/>
          <w:szCs w:val="24"/>
        </w:rPr>
        <w:t>Начиная с 2015 года, первые значительно увеличили свои цифровые приобретения: от приобретения цифровых активов на 78 млрд долларов США в 2013 году до 458 млрд долларов США в 2016 году.</w:t>
      </w:r>
    </w:p>
    <w:p w14:paraId="1FD73278" w14:textId="77777777" w:rsidR="00B67D55" w:rsidRPr="00172FCF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8527C">
        <w:rPr>
          <w:rFonts w:ascii="Times New Roman" w:hAnsi="Times New Roman" w:cs="Times New Roman"/>
          <w:sz w:val="24"/>
          <w:szCs w:val="24"/>
        </w:rPr>
        <w:t xml:space="preserve">Такое ускорение инвестиций в цифровую экономику со стороны нецифровых компаний может предвещать более выраженные международные инвестиционные эффекты, чем </w:t>
      </w:r>
      <w:r>
        <w:rPr>
          <w:rFonts w:ascii="Times New Roman" w:hAnsi="Times New Roman" w:cs="Times New Roman"/>
          <w:sz w:val="24"/>
          <w:szCs w:val="24"/>
        </w:rPr>
        <w:t xml:space="preserve">это </w:t>
      </w:r>
      <w:r w:rsidRPr="00C8527C">
        <w:rPr>
          <w:rFonts w:ascii="Times New Roman" w:hAnsi="Times New Roman" w:cs="Times New Roman"/>
          <w:sz w:val="24"/>
          <w:szCs w:val="24"/>
        </w:rPr>
        <w:t xml:space="preserve">наблюдалось до сих пор. </w:t>
      </w:r>
      <w:r w:rsidRPr="00172FCF">
        <w:rPr>
          <w:rFonts w:ascii="Times New Roman" w:hAnsi="Times New Roman" w:cs="Times New Roman"/>
          <w:sz w:val="24"/>
          <w:szCs w:val="24"/>
        </w:rPr>
        <w:t xml:space="preserve">Обратная тенденция - цифровые фирмы приобретают нецифровые активы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172F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встречается не так часто</w:t>
      </w:r>
      <w:r w:rsidRPr="00172FCF">
        <w:rPr>
          <w:rFonts w:ascii="Times New Roman" w:hAnsi="Times New Roman" w:cs="Times New Roman"/>
          <w:sz w:val="24"/>
          <w:szCs w:val="24"/>
        </w:rPr>
        <w:t>. В 2017 году цифровые фирмы приобрели 158 миллиардов долларов США у нецифровых фирм, что выше уровня после финансового кризиса, но все еще намного ниже 591 миллиарда долларов США цифровых активов, приобретенных</w:t>
      </w:r>
      <w:r>
        <w:rPr>
          <w:rFonts w:ascii="Times New Roman" w:hAnsi="Times New Roman" w:cs="Times New Roman"/>
          <w:sz w:val="24"/>
          <w:szCs w:val="24"/>
        </w:rPr>
        <w:t xml:space="preserve"> нецифровыми фирмами</w:t>
      </w:r>
      <w:r w:rsidRPr="00172FCF">
        <w:rPr>
          <w:rFonts w:ascii="Times New Roman" w:hAnsi="Times New Roman" w:cs="Times New Roman"/>
          <w:sz w:val="24"/>
          <w:szCs w:val="24"/>
        </w:rPr>
        <w:t>. Более высокий интерес со стороны нецифровых фирм к пр</w:t>
      </w:r>
      <w:r>
        <w:rPr>
          <w:rFonts w:ascii="Times New Roman" w:hAnsi="Times New Roman" w:cs="Times New Roman"/>
          <w:sz w:val="24"/>
          <w:szCs w:val="24"/>
        </w:rPr>
        <w:t>иобретению цифровых активов, а не</w:t>
      </w:r>
      <w:r w:rsidRPr="00172FCF">
        <w:rPr>
          <w:rFonts w:ascii="Times New Roman" w:hAnsi="Times New Roman" w:cs="Times New Roman"/>
          <w:sz w:val="24"/>
          <w:szCs w:val="24"/>
        </w:rPr>
        <w:t xml:space="preserve"> наоборот, вероятно, отражает больший потенциал повышения производительности и конкурентоспособности цифровой адаптации для фирм в нецифровых секторах. Несмотря на общую тенденцию, в некоторых секторах гибридизация цифрового и нецифрового </w:t>
      </w:r>
      <w:r>
        <w:rPr>
          <w:rFonts w:ascii="Times New Roman" w:hAnsi="Times New Roman" w:cs="Times New Roman"/>
          <w:sz w:val="24"/>
          <w:szCs w:val="24"/>
        </w:rPr>
        <w:t>секторов больше, чем в других. Хорошим примером такого явления является с</w:t>
      </w:r>
      <w:r w:rsidRPr="00172FCF">
        <w:rPr>
          <w:rFonts w:ascii="Times New Roman" w:hAnsi="Times New Roman" w:cs="Times New Roman"/>
          <w:sz w:val="24"/>
          <w:szCs w:val="24"/>
        </w:rPr>
        <w:t>ектор розничной торговли.</w:t>
      </w:r>
    </w:p>
    <w:p w14:paraId="1DB7F1F3" w14:textId="77777777" w:rsidR="00B67D55" w:rsidRPr="00172FCF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2FCF">
        <w:rPr>
          <w:rFonts w:ascii="Times New Roman" w:hAnsi="Times New Roman" w:cs="Times New Roman"/>
          <w:sz w:val="24"/>
          <w:szCs w:val="24"/>
        </w:rPr>
        <w:t>География трансграничных инвестиций в цифровую экономику в значительной степени сконцентрирована в развитых странах, но не монополизирована ими. За пять лет, с 2013 по 2017 год, Соединенные Штаты и Великобритания получили более 100 миллиардов долларов США в виде внутренних инвестиций в слияния и поглощения цифровых активов, что вместе составляет 49% всех трансграничных цифровых</w:t>
      </w:r>
      <w:r>
        <w:rPr>
          <w:rFonts w:ascii="Times New Roman" w:hAnsi="Times New Roman" w:cs="Times New Roman"/>
          <w:sz w:val="24"/>
          <w:szCs w:val="24"/>
        </w:rPr>
        <w:t xml:space="preserve"> СИП</w:t>
      </w:r>
      <w:r w:rsidRPr="00172FCF">
        <w:rPr>
          <w:rFonts w:ascii="Times New Roman" w:hAnsi="Times New Roman" w:cs="Times New Roman"/>
          <w:sz w:val="24"/>
          <w:szCs w:val="24"/>
        </w:rPr>
        <w:t>. За ними последовала группа из четырех стран, которые получили более 20 миллиардов долларов США в виде внутренних инвестиций в слияния</w:t>
      </w:r>
      <w:r>
        <w:rPr>
          <w:rFonts w:ascii="Times New Roman" w:hAnsi="Times New Roman" w:cs="Times New Roman"/>
          <w:sz w:val="24"/>
          <w:szCs w:val="24"/>
        </w:rPr>
        <w:t xml:space="preserve"> и поглощения цифровых активов. </w:t>
      </w:r>
      <w:r w:rsidRPr="00172FCF">
        <w:rPr>
          <w:rFonts w:ascii="Times New Roman" w:hAnsi="Times New Roman" w:cs="Times New Roman"/>
          <w:sz w:val="24"/>
          <w:szCs w:val="24"/>
        </w:rPr>
        <w:t>20 веду</w:t>
      </w:r>
      <w:r>
        <w:rPr>
          <w:rFonts w:ascii="Times New Roman" w:hAnsi="Times New Roman" w:cs="Times New Roman"/>
          <w:sz w:val="24"/>
          <w:szCs w:val="24"/>
        </w:rPr>
        <w:t xml:space="preserve">щих экономик </w:t>
      </w:r>
      <w:r w:rsidRPr="00172FCF">
        <w:rPr>
          <w:rFonts w:ascii="Times New Roman" w:hAnsi="Times New Roman" w:cs="Times New Roman"/>
          <w:sz w:val="24"/>
          <w:szCs w:val="24"/>
        </w:rPr>
        <w:t xml:space="preserve">международных инвестиций в </w:t>
      </w:r>
      <w:r>
        <w:rPr>
          <w:rFonts w:ascii="Times New Roman" w:hAnsi="Times New Roman" w:cs="Times New Roman"/>
          <w:sz w:val="24"/>
          <w:szCs w:val="24"/>
        </w:rPr>
        <w:t xml:space="preserve">СИП </w:t>
      </w:r>
      <w:r w:rsidRPr="00172FCF">
        <w:rPr>
          <w:rFonts w:ascii="Times New Roman" w:hAnsi="Times New Roman" w:cs="Times New Roman"/>
          <w:sz w:val="24"/>
          <w:szCs w:val="24"/>
        </w:rPr>
        <w:t xml:space="preserve">в цифровые активы также сосредоточены в странах с более развитой экономикой, но </w:t>
      </w:r>
      <w:r>
        <w:rPr>
          <w:rFonts w:ascii="Times New Roman" w:hAnsi="Times New Roman" w:cs="Times New Roman"/>
          <w:sz w:val="24"/>
          <w:szCs w:val="24"/>
        </w:rPr>
        <w:t>тем не менее, включают Китай</w:t>
      </w:r>
      <w:r w:rsidRPr="00172FC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Южную Африку, </w:t>
      </w:r>
      <w:r w:rsidRPr="00172FCF">
        <w:rPr>
          <w:rFonts w:ascii="Times New Roman" w:hAnsi="Times New Roman" w:cs="Times New Roman"/>
          <w:sz w:val="24"/>
          <w:szCs w:val="24"/>
        </w:rPr>
        <w:t>Индию и Оман.</w:t>
      </w:r>
    </w:p>
    <w:p w14:paraId="34C9AE47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2FCF">
        <w:rPr>
          <w:rFonts w:ascii="Times New Roman" w:hAnsi="Times New Roman" w:cs="Times New Roman"/>
          <w:sz w:val="24"/>
          <w:szCs w:val="24"/>
        </w:rPr>
        <w:t xml:space="preserve">Пятнадцать стран входят в топ-20 как привлекательные направления для цифровых </w:t>
      </w:r>
      <w:r>
        <w:rPr>
          <w:rFonts w:ascii="Times New Roman" w:hAnsi="Times New Roman" w:cs="Times New Roman"/>
          <w:sz w:val="24"/>
          <w:szCs w:val="24"/>
        </w:rPr>
        <w:t>СИП</w:t>
      </w:r>
      <w:r w:rsidRPr="00172FCF">
        <w:rPr>
          <w:rFonts w:ascii="Times New Roman" w:hAnsi="Times New Roman" w:cs="Times New Roman"/>
          <w:sz w:val="24"/>
          <w:szCs w:val="24"/>
        </w:rPr>
        <w:t xml:space="preserve"> и как ведущие источники трансграничных инвестиций в </w:t>
      </w:r>
      <w:r>
        <w:rPr>
          <w:rFonts w:ascii="Times New Roman" w:hAnsi="Times New Roman" w:cs="Times New Roman"/>
          <w:sz w:val="24"/>
          <w:szCs w:val="24"/>
        </w:rPr>
        <w:t>СИП</w:t>
      </w:r>
      <w:r w:rsidRPr="00172FCF">
        <w:rPr>
          <w:rFonts w:ascii="Times New Roman" w:hAnsi="Times New Roman" w:cs="Times New Roman"/>
          <w:sz w:val="24"/>
          <w:szCs w:val="24"/>
        </w:rPr>
        <w:t xml:space="preserve">. </w:t>
      </w:r>
      <w:r w:rsidRPr="00613135">
        <w:rPr>
          <w:rFonts w:ascii="Times New Roman" w:hAnsi="Times New Roman" w:cs="Times New Roman"/>
          <w:sz w:val="24"/>
          <w:szCs w:val="24"/>
        </w:rPr>
        <w:t>Это означает, что десять стран фигурируют только в одном из двух списков.</w:t>
      </w:r>
      <w:r w:rsidRPr="00172FCF">
        <w:rPr>
          <w:rFonts w:ascii="Times New Roman" w:hAnsi="Times New Roman" w:cs="Times New Roman"/>
          <w:sz w:val="24"/>
          <w:szCs w:val="24"/>
        </w:rPr>
        <w:t xml:space="preserve"> </w:t>
      </w:r>
      <w:r w:rsidRPr="00613135">
        <w:rPr>
          <w:rFonts w:ascii="Times New Roman" w:hAnsi="Times New Roman" w:cs="Times New Roman"/>
          <w:sz w:val="24"/>
          <w:szCs w:val="24"/>
        </w:rPr>
        <w:t xml:space="preserve">Пять экономик, которые являются </w:t>
      </w:r>
      <w:r>
        <w:rPr>
          <w:rFonts w:ascii="Times New Roman" w:hAnsi="Times New Roman" w:cs="Times New Roman"/>
          <w:sz w:val="24"/>
          <w:szCs w:val="24"/>
        </w:rPr>
        <w:t>ведущими</w:t>
      </w:r>
      <w:r w:rsidRPr="00613135">
        <w:rPr>
          <w:rFonts w:ascii="Times New Roman" w:hAnsi="Times New Roman" w:cs="Times New Roman"/>
          <w:sz w:val="24"/>
          <w:szCs w:val="24"/>
        </w:rPr>
        <w:t>, но не входят в топ-20 источников цифровых слияний и поглощений, - это Сингапур, Финляндия, Австрия, Италия и Перу.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FCF">
        <w:rPr>
          <w:rFonts w:ascii="Times New Roman" w:hAnsi="Times New Roman" w:cs="Times New Roman"/>
          <w:sz w:val="24"/>
          <w:szCs w:val="24"/>
        </w:rPr>
        <w:t xml:space="preserve">Эти случаи поднимают интересный экономический и политический вопрос, поскольку мы обычно ожидаем, что факторы, определяющие привлекательность для иностранных цифровых инвесторов, будут такими же, как и факторы, определяющие способность генерировать исходящие цифровые инвестиции. </w:t>
      </w:r>
      <w:r w:rsidRPr="00613135">
        <w:rPr>
          <w:rFonts w:ascii="Times New Roman" w:hAnsi="Times New Roman" w:cs="Times New Roman"/>
          <w:sz w:val="24"/>
          <w:szCs w:val="24"/>
        </w:rPr>
        <w:t>Одно из возможных объяснений состоит в том, что страны следуют по пути цифрового развития, при котором страна сначала разрабатывает факторы, привлекающие внутренние цифровые инвестиции (человеческие ресурсы, хорошая цифровая инфраструктура), а на более позднем этапе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13135">
        <w:rPr>
          <w:rFonts w:ascii="Times New Roman" w:hAnsi="Times New Roman" w:cs="Times New Roman"/>
          <w:sz w:val="24"/>
          <w:szCs w:val="24"/>
        </w:rPr>
        <w:t xml:space="preserve"> после того, как эти цифровые инвестиции созреют, следуют внешние цифровые инвестиции. Развитие лучшего понимания этой динамики может стать целью будущих исследований.</w:t>
      </w:r>
    </w:p>
    <w:p w14:paraId="382F99B5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Таким образом</w:t>
      </w:r>
      <w:r w:rsidRPr="00F21F74">
        <w:rPr>
          <w:rFonts w:ascii="Times New Roman" w:hAnsi="Times New Roman" w:cs="Times New Roman"/>
          <w:sz w:val="24"/>
          <w:szCs w:val="24"/>
        </w:rPr>
        <w:t>, цифровая экономика пока не привела к серьезным изменениям в международном инвестиционном режиме. Прямые иностранные инвестиции продолжают играть важную роль для компаний за пределами цифровой экономики как средство расширения на меж</w:t>
      </w:r>
      <w:r>
        <w:rPr>
          <w:rFonts w:ascii="Times New Roman" w:hAnsi="Times New Roman" w:cs="Times New Roman"/>
          <w:sz w:val="24"/>
          <w:szCs w:val="24"/>
        </w:rPr>
        <w:t xml:space="preserve">дународном уровне. Однако </w:t>
      </w:r>
      <w:r w:rsidRPr="00F21F74">
        <w:rPr>
          <w:rFonts w:ascii="Times New Roman" w:hAnsi="Times New Roman" w:cs="Times New Roman"/>
          <w:sz w:val="24"/>
          <w:szCs w:val="24"/>
        </w:rPr>
        <w:t xml:space="preserve">последние данные указывают на резкое увеличение трансграничного приобретения цифровых корпоративных активов фирмами, не участвующими в цифровой экономике, начиная примерно с 2016 года. Если эта тенденция сохранится и приведет к широкому распространению </w:t>
      </w:r>
      <w:r>
        <w:rPr>
          <w:rFonts w:ascii="Times New Roman" w:hAnsi="Times New Roman" w:cs="Times New Roman"/>
          <w:sz w:val="24"/>
          <w:szCs w:val="24"/>
        </w:rPr>
        <w:t>смешанных</w:t>
      </w:r>
      <w:r w:rsidRPr="00F21F74">
        <w:rPr>
          <w:rFonts w:ascii="Times New Roman" w:hAnsi="Times New Roman" w:cs="Times New Roman"/>
          <w:sz w:val="24"/>
          <w:szCs w:val="24"/>
        </w:rPr>
        <w:t xml:space="preserve"> бизнес-моделей с </w:t>
      </w:r>
      <w:r>
        <w:rPr>
          <w:rFonts w:ascii="Times New Roman" w:hAnsi="Times New Roman" w:cs="Times New Roman"/>
          <w:sz w:val="24"/>
          <w:szCs w:val="24"/>
        </w:rPr>
        <w:t xml:space="preserve">применением цифровых технологий </w:t>
      </w:r>
      <w:r w:rsidRPr="00F21F74">
        <w:rPr>
          <w:rFonts w:ascii="Times New Roman" w:hAnsi="Times New Roman" w:cs="Times New Roman"/>
          <w:sz w:val="24"/>
          <w:szCs w:val="24"/>
        </w:rPr>
        <w:t>в более традиционных отраслях производства и услуг, это может иметь как минимум три основных последствия для международного сообщества инвестиционной политики:</w:t>
      </w:r>
    </w:p>
    <w:p w14:paraId="15288C46" w14:textId="77777777" w:rsidR="00B67D55" w:rsidRPr="00172FCF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Во-первых, нецифровые МИД могут стать </w:t>
      </w:r>
      <w:r w:rsidRPr="00172FCF">
        <w:rPr>
          <w:rFonts w:ascii="Times New Roman" w:hAnsi="Times New Roman" w:cs="Times New Roman"/>
          <w:sz w:val="24"/>
          <w:szCs w:val="24"/>
        </w:rPr>
        <w:t>более важными трансграничными каналами для цифровых данных и технологий, точно так же, как они служили важными трансграничными каналами для товаров, услуг, финансовых потоков и более традиционных технологий в прошлом;</w:t>
      </w:r>
    </w:p>
    <w:p w14:paraId="4F9A12E6" w14:textId="77777777" w:rsidR="00B67D55" w:rsidRDefault="00B67D55" w:rsidP="00B67D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172FCF">
        <w:rPr>
          <w:rFonts w:ascii="Times New Roman" w:hAnsi="Times New Roman" w:cs="Times New Roman"/>
          <w:sz w:val="24"/>
          <w:szCs w:val="24"/>
        </w:rPr>
        <w:t xml:space="preserve"> Во-вторых, цифрова</w:t>
      </w:r>
      <w:r>
        <w:rPr>
          <w:rFonts w:ascii="Times New Roman" w:hAnsi="Times New Roman" w:cs="Times New Roman"/>
          <w:sz w:val="24"/>
          <w:szCs w:val="24"/>
        </w:rPr>
        <w:t xml:space="preserve">я инфраструктура </w:t>
      </w:r>
      <w:r w:rsidRPr="00172FCF">
        <w:rPr>
          <w:rFonts w:ascii="Times New Roman" w:hAnsi="Times New Roman" w:cs="Times New Roman"/>
          <w:sz w:val="24"/>
          <w:szCs w:val="24"/>
        </w:rPr>
        <w:t>будет становиться все более важным опред</w:t>
      </w:r>
      <w:r>
        <w:rPr>
          <w:rFonts w:ascii="Times New Roman" w:hAnsi="Times New Roman" w:cs="Times New Roman"/>
          <w:sz w:val="24"/>
          <w:szCs w:val="24"/>
        </w:rPr>
        <w:t>еляющим фактором для решений МИД о локализации ПИИ;</w:t>
      </w:r>
    </w:p>
    <w:p w14:paraId="33E0EFEA" w14:textId="64D3E79B" w:rsidR="00973960" w:rsidRPr="00116107" w:rsidRDefault="00B67D55" w:rsidP="00B67D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172FCF">
        <w:rPr>
          <w:rFonts w:ascii="Times New Roman" w:hAnsi="Times New Roman" w:cs="Times New Roman"/>
          <w:sz w:val="24"/>
          <w:szCs w:val="24"/>
        </w:rPr>
        <w:t xml:space="preserve"> В-третьих, политика в отношении сбора, хранения и использования цифровых данных будет все больше влиять на способы организации своих международных производственных сетей и методы, которые они выбирают (например, прямые иностранные инвестиции вместо лицензирования) для </w:t>
      </w:r>
      <w:r>
        <w:rPr>
          <w:rFonts w:ascii="Times New Roman" w:hAnsi="Times New Roman" w:cs="Times New Roman"/>
          <w:sz w:val="24"/>
          <w:szCs w:val="24"/>
        </w:rPr>
        <w:t>выхода на зарубежные рынки</w:t>
      </w:r>
    </w:p>
    <w:p w14:paraId="39FA3B4A" w14:textId="4354280C" w:rsidR="002B2A56" w:rsidRDefault="002B2A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E911CE5" w14:textId="77777777" w:rsidR="00AD5A95" w:rsidRPr="00116107" w:rsidRDefault="00AD5A95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583D2490" w14:textId="7B32BBFC" w:rsidR="00AD5A95" w:rsidRPr="003E668A" w:rsidRDefault="00AD5A95" w:rsidP="00D26A4B">
      <w:pPr>
        <w:spacing w:line="240" w:lineRule="auto"/>
        <w:ind w:left="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668A">
        <w:rPr>
          <w:rFonts w:ascii="Times New Roman" w:hAnsi="Times New Roman" w:cs="Times New Roman"/>
          <w:b/>
          <w:sz w:val="24"/>
          <w:szCs w:val="24"/>
        </w:rPr>
        <w:t>С</w:t>
      </w:r>
      <w:r w:rsidR="00D26A4B" w:rsidRPr="003E668A">
        <w:rPr>
          <w:rFonts w:ascii="Times New Roman" w:hAnsi="Times New Roman" w:cs="Times New Roman"/>
          <w:b/>
          <w:sz w:val="24"/>
          <w:szCs w:val="24"/>
        </w:rPr>
        <w:t>писок использованной литературы</w:t>
      </w:r>
    </w:p>
    <w:p w14:paraId="1B7D3A09" w14:textId="77777777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lang w:val="en-US"/>
        </w:rPr>
        <w:t xml:space="preserve">Gauger, C., Gehres, B., Quinn, M., Schmieg, F., Xu, G. (2017), Building the Digital Car Company of </w:t>
      </w: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the Future, Boston Consulting Group Publications, www.bcg.com/publications/2017/automotivedigital-transformation-building-digital-car-company-future.aspx. </w:t>
      </w:r>
    </w:p>
    <w:p w14:paraId="1A2E0C85" w14:textId="77777777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Eden, L. (2016), Multinationals and Foreign Investment Policies in a Digital World, E15Initiative, International Centre for Trade and Sustainable Development and World Economic Forum, Geneva, http://e15initiative.org/wp-content/uploads/2015/09/E15-Investment-Eden-FINAL2.pdf. </w:t>
      </w:r>
    </w:p>
    <w:p w14:paraId="7F6E2FDC" w14:textId="77777777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>De Backer, K. and D. Flaig (2017), "The future of global value chains: Business as usual or “a new normal”?", OECD Science, Technology and Indu</w:t>
      </w:r>
    </w:p>
    <w:p w14:paraId="42ACC489" w14:textId="77777777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Bughin, Jacques and James Manyika (2013), “Measuring the full impact of digital capital”, McKinsey Quarterly, July 2013. </w:t>
      </w:r>
    </w:p>
    <w:p w14:paraId="463534E5" w14:textId="77777777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Khan, J. (2017), US lawmakers sharpen criticism of $1.2bn MoneyGram deal. Senators say takeover by China’s Ant Financial poses threat to national security, Financial Times Online, www.ft.com/content/193bbffc-38af-11e7-821a-6027b8a20f23. </w:t>
      </w:r>
    </w:p>
    <w:p w14:paraId="54A5D8B1" w14:textId="3B2327D9" w:rsidR="002B2A56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Jackson, J. (2017), The Committee on Foreign Investment in the United States (CFIUS), Congressional Research Service Report, </w:t>
      </w:r>
      <w:hyperlink r:id="rId5" w:history="1">
        <w:r w:rsidRPr="002B2A56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https://fas.org/sgp/crs/natsec/RL33388.pdf</w:t>
        </w:r>
      </w:hyperlink>
    </w:p>
    <w:p w14:paraId="172071D6" w14:textId="5D3FEDB7" w:rsidR="002B2A56" w:rsidRPr="00984624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>McKinsey (2013), The road to 2020 and beyond: What’s driving t</w:t>
      </w:r>
      <w:r w:rsidR="00984624">
        <w:rPr>
          <w:rFonts w:ascii="Times New Roman" w:hAnsi="Times New Roman" w:cs="Times New Roman"/>
          <w:sz w:val="24"/>
          <w:szCs w:val="24"/>
          <w:lang w:val="en-US"/>
        </w:rPr>
        <w:t xml:space="preserve">he global automotive industry?, </w:t>
      </w:r>
      <w:r w:rsidRPr="002B2A56">
        <w:rPr>
          <w:rFonts w:ascii="Times New Roman" w:hAnsi="Times New Roman" w:cs="Times New Roman"/>
          <w:sz w:val="24"/>
          <w:szCs w:val="24"/>
          <w:lang w:val="en-US"/>
        </w:rPr>
        <w:t xml:space="preserve">www.mckinsey.com/industries/automotive-and-assembly/our-insights/the-road-to-2020-andbeyond-whats-driving-the-global-automotive-industry. </w:t>
      </w:r>
    </w:p>
    <w:p w14:paraId="26A1902D" w14:textId="64DA41C1" w:rsidR="00536042" w:rsidRPr="002B2A56" w:rsidRDefault="002B2A56" w:rsidP="002B2A5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2A56">
        <w:rPr>
          <w:rFonts w:ascii="Times New Roman" w:hAnsi="Times New Roman" w:cs="Times New Roman"/>
          <w:sz w:val="24"/>
          <w:szCs w:val="24"/>
          <w:lang w:val="en-US"/>
        </w:rPr>
        <w:t>Neville, S. (2017), Pharma turns to big data to gauge care and pricing, Financial Times Online, www.ft.com/content/c148011a-4f43-11e7-a1f2-db19572361bb</w:t>
      </w:r>
      <w:r w:rsidRPr="002B2A56">
        <w:rPr>
          <w:lang w:val="en-US"/>
        </w:rPr>
        <w:t xml:space="preserve">. </w:t>
      </w:r>
    </w:p>
    <w:p w14:paraId="75F24B2F" w14:textId="6B3B331F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9251F93" w14:textId="428129C5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E550BFC" w14:textId="32E17004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E2D27F8" w14:textId="05634DCF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DACA337" w14:textId="6F1F9297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F95F1CF" w14:textId="566A64D8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AAB99B8" w14:textId="34350D39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2491454" w14:textId="789DC56F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7AC3B51" w14:textId="77777777" w:rsidR="004471BC" w:rsidRPr="002B2A56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471BC" w:rsidRPr="002B2A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40CE3"/>
    <w:multiLevelType w:val="hybridMultilevel"/>
    <w:tmpl w:val="3774E1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E6204"/>
    <w:multiLevelType w:val="hybridMultilevel"/>
    <w:tmpl w:val="ABEE576A"/>
    <w:lvl w:ilvl="0" w:tplc="0419000F">
      <w:start w:val="1"/>
      <w:numFmt w:val="decimal"/>
      <w:lvlText w:val="%1."/>
      <w:lvlJc w:val="left"/>
      <w:pPr>
        <w:ind w:left="769" w:hanging="360"/>
      </w:pPr>
    </w:lvl>
    <w:lvl w:ilvl="1" w:tplc="04190019" w:tentative="1">
      <w:start w:val="1"/>
      <w:numFmt w:val="lowerLetter"/>
      <w:lvlText w:val="%2."/>
      <w:lvlJc w:val="left"/>
      <w:pPr>
        <w:ind w:left="1489" w:hanging="360"/>
      </w:pPr>
    </w:lvl>
    <w:lvl w:ilvl="2" w:tplc="0419001B" w:tentative="1">
      <w:start w:val="1"/>
      <w:numFmt w:val="lowerRoman"/>
      <w:lvlText w:val="%3."/>
      <w:lvlJc w:val="right"/>
      <w:pPr>
        <w:ind w:left="2209" w:hanging="180"/>
      </w:pPr>
    </w:lvl>
    <w:lvl w:ilvl="3" w:tplc="0419000F" w:tentative="1">
      <w:start w:val="1"/>
      <w:numFmt w:val="decimal"/>
      <w:lvlText w:val="%4."/>
      <w:lvlJc w:val="left"/>
      <w:pPr>
        <w:ind w:left="2929" w:hanging="360"/>
      </w:pPr>
    </w:lvl>
    <w:lvl w:ilvl="4" w:tplc="04190019" w:tentative="1">
      <w:start w:val="1"/>
      <w:numFmt w:val="lowerLetter"/>
      <w:lvlText w:val="%5."/>
      <w:lvlJc w:val="left"/>
      <w:pPr>
        <w:ind w:left="3649" w:hanging="360"/>
      </w:pPr>
    </w:lvl>
    <w:lvl w:ilvl="5" w:tplc="0419001B" w:tentative="1">
      <w:start w:val="1"/>
      <w:numFmt w:val="lowerRoman"/>
      <w:lvlText w:val="%6."/>
      <w:lvlJc w:val="right"/>
      <w:pPr>
        <w:ind w:left="4369" w:hanging="180"/>
      </w:pPr>
    </w:lvl>
    <w:lvl w:ilvl="6" w:tplc="0419000F" w:tentative="1">
      <w:start w:val="1"/>
      <w:numFmt w:val="decimal"/>
      <w:lvlText w:val="%7."/>
      <w:lvlJc w:val="left"/>
      <w:pPr>
        <w:ind w:left="5089" w:hanging="360"/>
      </w:pPr>
    </w:lvl>
    <w:lvl w:ilvl="7" w:tplc="04190019" w:tentative="1">
      <w:start w:val="1"/>
      <w:numFmt w:val="lowerLetter"/>
      <w:lvlText w:val="%8."/>
      <w:lvlJc w:val="left"/>
      <w:pPr>
        <w:ind w:left="5809" w:hanging="360"/>
      </w:pPr>
    </w:lvl>
    <w:lvl w:ilvl="8" w:tplc="0419001B" w:tentative="1">
      <w:start w:val="1"/>
      <w:numFmt w:val="lowerRoman"/>
      <w:lvlText w:val="%9."/>
      <w:lvlJc w:val="right"/>
      <w:pPr>
        <w:ind w:left="6529" w:hanging="180"/>
      </w:pPr>
    </w:lvl>
  </w:abstractNum>
  <w:abstractNum w:abstractNumId="2" w15:restartNumberingAfterBreak="0">
    <w:nsid w:val="10413B7A"/>
    <w:multiLevelType w:val="hybridMultilevel"/>
    <w:tmpl w:val="38E4EF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51164"/>
    <w:multiLevelType w:val="hybridMultilevel"/>
    <w:tmpl w:val="C4E61FF4"/>
    <w:lvl w:ilvl="0" w:tplc="0419000F">
      <w:start w:val="1"/>
      <w:numFmt w:val="decimal"/>
      <w:lvlText w:val="%1."/>
      <w:lvlJc w:val="left"/>
      <w:pPr>
        <w:ind w:left="821" w:hanging="360"/>
      </w:pPr>
    </w:lvl>
    <w:lvl w:ilvl="1" w:tplc="04190019" w:tentative="1">
      <w:start w:val="1"/>
      <w:numFmt w:val="lowerLetter"/>
      <w:lvlText w:val="%2."/>
      <w:lvlJc w:val="left"/>
      <w:pPr>
        <w:ind w:left="1541" w:hanging="360"/>
      </w:pPr>
    </w:lvl>
    <w:lvl w:ilvl="2" w:tplc="0419001B" w:tentative="1">
      <w:start w:val="1"/>
      <w:numFmt w:val="lowerRoman"/>
      <w:lvlText w:val="%3."/>
      <w:lvlJc w:val="right"/>
      <w:pPr>
        <w:ind w:left="2261" w:hanging="180"/>
      </w:pPr>
    </w:lvl>
    <w:lvl w:ilvl="3" w:tplc="0419000F" w:tentative="1">
      <w:start w:val="1"/>
      <w:numFmt w:val="decimal"/>
      <w:lvlText w:val="%4."/>
      <w:lvlJc w:val="left"/>
      <w:pPr>
        <w:ind w:left="2981" w:hanging="360"/>
      </w:pPr>
    </w:lvl>
    <w:lvl w:ilvl="4" w:tplc="04190019" w:tentative="1">
      <w:start w:val="1"/>
      <w:numFmt w:val="lowerLetter"/>
      <w:lvlText w:val="%5."/>
      <w:lvlJc w:val="left"/>
      <w:pPr>
        <w:ind w:left="3701" w:hanging="360"/>
      </w:pPr>
    </w:lvl>
    <w:lvl w:ilvl="5" w:tplc="0419001B" w:tentative="1">
      <w:start w:val="1"/>
      <w:numFmt w:val="lowerRoman"/>
      <w:lvlText w:val="%6."/>
      <w:lvlJc w:val="right"/>
      <w:pPr>
        <w:ind w:left="4421" w:hanging="180"/>
      </w:pPr>
    </w:lvl>
    <w:lvl w:ilvl="6" w:tplc="0419000F" w:tentative="1">
      <w:start w:val="1"/>
      <w:numFmt w:val="decimal"/>
      <w:lvlText w:val="%7."/>
      <w:lvlJc w:val="left"/>
      <w:pPr>
        <w:ind w:left="5141" w:hanging="360"/>
      </w:pPr>
    </w:lvl>
    <w:lvl w:ilvl="7" w:tplc="04190019" w:tentative="1">
      <w:start w:val="1"/>
      <w:numFmt w:val="lowerLetter"/>
      <w:lvlText w:val="%8."/>
      <w:lvlJc w:val="left"/>
      <w:pPr>
        <w:ind w:left="5861" w:hanging="360"/>
      </w:pPr>
    </w:lvl>
    <w:lvl w:ilvl="8" w:tplc="041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1D59150C"/>
    <w:multiLevelType w:val="hybridMultilevel"/>
    <w:tmpl w:val="63D446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451CB0"/>
    <w:multiLevelType w:val="hybridMultilevel"/>
    <w:tmpl w:val="7F64B5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FF71F4"/>
    <w:multiLevelType w:val="hybridMultilevel"/>
    <w:tmpl w:val="D1F2E5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8D0B6E"/>
    <w:multiLevelType w:val="hybridMultilevel"/>
    <w:tmpl w:val="F55C73E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3E52ED"/>
    <w:multiLevelType w:val="hybridMultilevel"/>
    <w:tmpl w:val="4F18B9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B92F44"/>
    <w:multiLevelType w:val="hybridMultilevel"/>
    <w:tmpl w:val="FFF05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91060"/>
    <w:multiLevelType w:val="hybridMultilevel"/>
    <w:tmpl w:val="48C41014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1" w15:restartNumberingAfterBreak="0">
    <w:nsid w:val="430A140D"/>
    <w:multiLevelType w:val="hybridMultilevel"/>
    <w:tmpl w:val="6742C6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27565E"/>
    <w:multiLevelType w:val="hybridMultilevel"/>
    <w:tmpl w:val="27460E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BB5FE4"/>
    <w:multiLevelType w:val="hybridMultilevel"/>
    <w:tmpl w:val="B596C6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450FF3"/>
    <w:multiLevelType w:val="hybridMultilevel"/>
    <w:tmpl w:val="FD16ED6A"/>
    <w:lvl w:ilvl="0" w:tplc="FFFFFFFF">
      <w:start w:val="1"/>
      <w:numFmt w:val="decimal"/>
      <w:lvlText w:val="%1."/>
      <w:lvlJc w:val="left"/>
      <w:pPr>
        <w:ind w:left="4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9" w:hanging="360"/>
      </w:pPr>
    </w:lvl>
    <w:lvl w:ilvl="2" w:tplc="0419001B" w:tentative="1">
      <w:start w:val="1"/>
      <w:numFmt w:val="lowerRoman"/>
      <w:lvlText w:val="%3."/>
      <w:lvlJc w:val="right"/>
      <w:pPr>
        <w:ind w:left="1849" w:hanging="180"/>
      </w:pPr>
    </w:lvl>
    <w:lvl w:ilvl="3" w:tplc="0419000F" w:tentative="1">
      <w:start w:val="1"/>
      <w:numFmt w:val="decimal"/>
      <w:lvlText w:val="%4."/>
      <w:lvlJc w:val="left"/>
      <w:pPr>
        <w:ind w:left="2569" w:hanging="360"/>
      </w:pPr>
    </w:lvl>
    <w:lvl w:ilvl="4" w:tplc="04190019" w:tentative="1">
      <w:start w:val="1"/>
      <w:numFmt w:val="lowerLetter"/>
      <w:lvlText w:val="%5."/>
      <w:lvlJc w:val="left"/>
      <w:pPr>
        <w:ind w:left="3289" w:hanging="360"/>
      </w:pPr>
    </w:lvl>
    <w:lvl w:ilvl="5" w:tplc="0419001B" w:tentative="1">
      <w:start w:val="1"/>
      <w:numFmt w:val="lowerRoman"/>
      <w:lvlText w:val="%6."/>
      <w:lvlJc w:val="right"/>
      <w:pPr>
        <w:ind w:left="4009" w:hanging="180"/>
      </w:pPr>
    </w:lvl>
    <w:lvl w:ilvl="6" w:tplc="0419000F" w:tentative="1">
      <w:start w:val="1"/>
      <w:numFmt w:val="decimal"/>
      <w:lvlText w:val="%7."/>
      <w:lvlJc w:val="left"/>
      <w:pPr>
        <w:ind w:left="4729" w:hanging="360"/>
      </w:pPr>
    </w:lvl>
    <w:lvl w:ilvl="7" w:tplc="04190019" w:tentative="1">
      <w:start w:val="1"/>
      <w:numFmt w:val="lowerLetter"/>
      <w:lvlText w:val="%8."/>
      <w:lvlJc w:val="left"/>
      <w:pPr>
        <w:ind w:left="5449" w:hanging="360"/>
      </w:pPr>
    </w:lvl>
    <w:lvl w:ilvl="8" w:tplc="0419001B" w:tentative="1">
      <w:start w:val="1"/>
      <w:numFmt w:val="lowerRoman"/>
      <w:lvlText w:val="%9."/>
      <w:lvlJc w:val="right"/>
      <w:pPr>
        <w:ind w:left="6169" w:hanging="180"/>
      </w:pPr>
    </w:lvl>
  </w:abstractNum>
  <w:abstractNum w:abstractNumId="15" w15:restartNumberingAfterBreak="0">
    <w:nsid w:val="6CD4444D"/>
    <w:multiLevelType w:val="hybridMultilevel"/>
    <w:tmpl w:val="B69281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380D97"/>
    <w:multiLevelType w:val="hybridMultilevel"/>
    <w:tmpl w:val="36F4A1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EC5E27"/>
    <w:multiLevelType w:val="hybridMultilevel"/>
    <w:tmpl w:val="19540E2A"/>
    <w:lvl w:ilvl="0" w:tplc="0419000F">
      <w:start w:val="1"/>
      <w:numFmt w:val="decimal"/>
      <w:lvlText w:val="%1."/>
      <w:lvlJc w:val="left"/>
      <w:pPr>
        <w:ind w:left="828" w:hanging="360"/>
      </w:pPr>
    </w:lvl>
    <w:lvl w:ilvl="1" w:tplc="04190019" w:tentative="1">
      <w:start w:val="1"/>
      <w:numFmt w:val="lowerLetter"/>
      <w:lvlText w:val="%2."/>
      <w:lvlJc w:val="left"/>
      <w:pPr>
        <w:ind w:left="1548" w:hanging="360"/>
      </w:pPr>
    </w:lvl>
    <w:lvl w:ilvl="2" w:tplc="0419001B" w:tentative="1">
      <w:start w:val="1"/>
      <w:numFmt w:val="lowerRoman"/>
      <w:lvlText w:val="%3."/>
      <w:lvlJc w:val="right"/>
      <w:pPr>
        <w:ind w:left="2268" w:hanging="180"/>
      </w:pPr>
    </w:lvl>
    <w:lvl w:ilvl="3" w:tplc="0419000F" w:tentative="1">
      <w:start w:val="1"/>
      <w:numFmt w:val="decimal"/>
      <w:lvlText w:val="%4."/>
      <w:lvlJc w:val="left"/>
      <w:pPr>
        <w:ind w:left="2988" w:hanging="360"/>
      </w:pPr>
    </w:lvl>
    <w:lvl w:ilvl="4" w:tplc="04190019" w:tentative="1">
      <w:start w:val="1"/>
      <w:numFmt w:val="lowerLetter"/>
      <w:lvlText w:val="%5."/>
      <w:lvlJc w:val="left"/>
      <w:pPr>
        <w:ind w:left="3708" w:hanging="360"/>
      </w:pPr>
    </w:lvl>
    <w:lvl w:ilvl="5" w:tplc="0419001B" w:tentative="1">
      <w:start w:val="1"/>
      <w:numFmt w:val="lowerRoman"/>
      <w:lvlText w:val="%6."/>
      <w:lvlJc w:val="right"/>
      <w:pPr>
        <w:ind w:left="4428" w:hanging="180"/>
      </w:pPr>
    </w:lvl>
    <w:lvl w:ilvl="6" w:tplc="0419000F" w:tentative="1">
      <w:start w:val="1"/>
      <w:numFmt w:val="decimal"/>
      <w:lvlText w:val="%7."/>
      <w:lvlJc w:val="left"/>
      <w:pPr>
        <w:ind w:left="5148" w:hanging="360"/>
      </w:pPr>
    </w:lvl>
    <w:lvl w:ilvl="7" w:tplc="04190019" w:tentative="1">
      <w:start w:val="1"/>
      <w:numFmt w:val="lowerLetter"/>
      <w:lvlText w:val="%8."/>
      <w:lvlJc w:val="left"/>
      <w:pPr>
        <w:ind w:left="5868" w:hanging="360"/>
      </w:pPr>
    </w:lvl>
    <w:lvl w:ilvl="8" w:tplc="0419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18" w15:restartNumberingAfterBreak="0">
    <w:nsid w:val="7BFA6AF9"/>
    <w:multiLevelType w:val="hybridMultilevel"/>
    <w:tmpl w:val="4DA88C92"/>
    <w:lvl w:ilvl="0" w:tplc="0419000F">
      <w:start w:val="1"/>
      <w:numFmt w:val="decimal"/>
      <w:lvlText w:val="%1."/>
      <w:lvlJc w:val="left"/>
      <w:pPr>
        <w:ind w:left="821" w:hanging="360"/>
      </w:pPr>
    </w:lvl>
    <w:lvl w:ilvl="1" w:tplc="04190019" w:tentative="1">
      <w:start w:val="1"/>
      <w:numFmt w:val="lowerLetter"/>
      <w:lvlText w:val="%2."/>
      <w:lvlJc w:val="left"/>
      <w:pPr>
        <w:ind w:left="1541" w:hanging="360"/>
      </w:pPr>
    </w:lvl>
    <w:lvl w:ilvl="2" w:tplc="0419001B" w:tentative="1">
      <w:start w:val="1"/>
      <w:numFmt w:val="lowerRoman"/>
      <w:lvlText w:val="%3."/>
      <w:lvlJc w:val="right"/>
      <w:pPr>
        <w:ind w:left="2261" w:hanging="180"/>
      </w:pPr>
    </w:lvl>
    <w:lvl w:ilvl="3" w:tplc="0419000F" w:tentative="1">
      <w:start w:val="1"/>
      <w:numFmt w:val="decimal"/>
      <w:lvlText w:val="%4."/>
      <w:lvlJc w:val="left"/>
      <w:pPr>
        <w:ind w:left="2981" w:hanging="360"/>
      </w:pPr>
    </w:lvl>
    <w:lvl w:ilvl="4" w:tplc="04190019" w:tentative="1">
      <w:start w:val="1"/>
      <w:numFmt w:val="lowerLetter"/>
      <w:lvlText w:val="%5."/>
      <w:lvlJc w:val="left"/>
      <w:pPr>
        <w:ind w:left="3701" w:hanging="360"/>
      </w:pPr>
    </w:lvl>
    <w:lvl w:ilvl="5" w:tplc="0419001B" w:tentative="1">
      <w:start w:val="1"/>
      <w:numFmt w:val="lowerRoman"/>
      <w:lvlText w:val="%6."/>
      <w:lvlJc w:val="right"/>
      <w:pPr>
        <w:ind w:left="4421" w:hanging="180"/>
      </w:pPr>
    </w:lvl>
    <w:lvl w:ilvl="6" w:tplc="0419000F" w:tentative="1">
      <w:start w:val="1"/>
      <w:numFmt w:val="decimal"/>
      <w:lvlText w:val="%7."/>
      <w:lvlJc w:val="left"/>
      <w:pPr>
        <w:ind w:left="5141" w:hanging="360"/>
      </w:pPr>
    </w:lvl>
    <w:lvl w:ilvl="7" w:tplc="04190019" w:tentative="1">
      <w:start w:val="1"/>
      <w:numFmt w:val="lowerLetter"/>
      <w:lvlText w:val="%8."/>
      <w:lvlJc w:val="left"/>
      <w:pPr>
        <w:ind w:left="5861" w:hanging="360"/>
      </w:pPr>
    </w:lvl>
    <w:lvl w:ilvl="8" w:tplc="0419001B" w:tentative="1">
      <w:start w:val="1"/>
      <w:numFmt w:val="lowerRoman"/>
      <w:lvlText w:val="%9."/>
      <w:lvlJc w:val="right"/>
      <w:pPr>
        <w:ind w:left="6581" w:hanging="180"/>
      </w:pPr>
    </w:lvl>
  </w:abstractNum>
  <w:num w:numId="1">
    <w:abstractNumId w:val="14"/>
  </w:num>
  <w:num w:numId="2">
    <w:abstractNumId w:val="1"/>
  </w:num>
  <w:num w:numId="3">
    <w:abstractNumId w:val="10"/>
  </w:num>
  <w:num w:numId="4">
    <w:abstractNumId w:val="16"/>
  </w:num>
  <w:num w:numId="5">
    <w:abstractNumId w:val="0"/>
  </w:num>
  <w:num w:numId="6">
    <w:abstractNumId w:val="3"/>
  </w:num>
  <w:num w:numId="7">
    <w:abstractNumId w:val="18"/>
  </w:num>
  <w:num w:numId="8">
    <w:abstractNumId w:val="4"/>
  </w:num>
  <w:num w:numId="9">
    <w:abstractNumId w:val="12"/>
  </w:num>
  <w:num w:numId="10">
    <w:abstractNumId w:val="6"/>
  </w:num>
  <w:num w:numId="11">
    <w:abstractNumId w:val="15"/>
  </w:num>
  <w:num w:numId="12">
    <w:abstractNumId w:val="2"/>
  </w:num>
  <w:num w:numId="13">
    <w:abstractNumId w:val="13"/>
  </w:num>
  <w:num w:numId="14">
    <w:abstractNumId w:val="9"/>
  </w:num>
  <w:num w:numId="15">
    <w:abstractNumId w:val="8"/>
  </w:num>
  <w:num w:numId="16">
    <w:abstractNumId w:val="11"/>
  </w:num>
  <w:num w:numId="17">
    <w:abstractNumId w:val="5"/>
  </w:num>
  <w:num w:numId="18">
    <w:abstractNumId w:val="17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74C"/>
    <w:rsid w:val="0002028E"/>
    <w:rsid w:val="001017C2"/>
    <w:rsid w:val="00116107"/>
    <w:rsid w:val="0011657F"/>
    <w:rsid w:val="00174A26"/>
    <w:rsid w:val="00194C98"/>
    <w:rsid w:val="001A0E18"/>
    <w:rsid w:val="001E4B44"/>
    <w:rsid w:val="001F1C70"/>
    <w:rsid w:val="001F22C8"/>
    <w:rsid w:val="001F29D8"/>
    <w:rsid w:val="0020362C"/>
    <w:rsid w:val="0020599A"/>
    <w:rsid w:val="00232902"/>
    <w:rsid w:val="0029310C"/>
    <w:rsid w:val="002B2A56"/>
    <w:rsid w:val="00314F54"/>
    <w:rsid w:val="00317A38"/>
    <w:rsid w:val="00331719"/>
    <w:rsid w:val="00337A32"/>
    <w:rsid w:val="00344E4F"/>
    <w:rsid w:val="003559CA"/>
    <w:rsid w:val="0036288E"/>
    <w:rsid w:val="003B56EC"/>
    <w:rsid w:val="003E668A"/>
    <w:rsid w:val="00401CAF"/>
    <w:rsid w:val="004471BC"/>
    <w:rsid w:val="00455F16"/>
    <w:rsid w:val="0046629B"/>
    <w:rsid w:val="0047038A"/>
    <w:rsid w:val="00470C22"/>
    <w:rsid w:val="00494DE6"/>
    <w:rsid w:val="004A1415"/>
    <w:rsid w:val="004B4CA6"/>
    <w:rsid w:val="004D3865"/>
    <w:rsid w:val="00511ECD"/>
    <w:rsid w:val="00536042"/>
    <w:rsid w:val="0059011D"/>
    <w:rsid w:val="005A4D56"/>
    <w:rsid w:val="005B7DDD"/>
    <w:rsid w:val="00626CF9"/>
    <w:rsid w:val="00630797"/>
    <w:rsid w:val="00644179"/>
    <w:rsid w:val="00667843"/>
    <w:rsid w:val="00695029"/>
    <w:rsid w:val="006B6A86"/>
    <w:rsid w:val="00716CDA"/>
    <w:rsid w:val="00722112"/>
    <w:rsid w:val="00771D3E"/>
    <w:rsid w:val="00780AE9"/>
    <w:rsid w:val="007D5163"/>
    <w:rsid w:val="008119E5"/>
    <w:rsid w:val="00840633"/>
    <w:rsid w:val="0084374C"/>
    <w:rsid w:val="008559AE"/>
    <w:rsid w:val="00860E74"/>
    <w:rsid w:val="00871991"/>
    <w:rsid w:val="00894372"/>
    <w:rsid w:val="008A4672"/>
    <w:rsid w:val="00901757"/>
    <w:rsid w:val="009135DA"/>
    <w:rsid w:val="00916F37"/>
    <w:rsid w:val="0092096E"/>
    <w:rsid w:val="00922648"/>
    <w:rsid w:val="00954366"/>
    <w:rsid w:val="00961FD3"/>
    <w:rsid w:val="00973960"/>
    <w:rsid w:val="00984624"/>
    <w:rsid w:val="00992ACB"/>
    <w:rsid w:val="00A240DB"/>
    <w:rsid w:val="00A3548B"/>
    <w:rsid w:val="00A7113E"/>
    <w:rsid w:val="00A916B3"/>
    <w:rsid w:val="00A95DB1"/>
    <w:rsid w:val="00A96732"/>
    <w:rsid w:val="00AB5769"/>
    <w:rsid w:val="00AB6BC8"/>
    <w:rsid w:val="00AD15B7"/>
    <w:rsid w:val="00AD5A95"/>
    <w:rsid w:val="00AF2B64"/>
    <w:rsid w:val="00B21513"/>
    <w:rsid w:val="00B40375"/>
    <w:rsid w:val="00B61568"/>
    <w:rsid w:val="00B67D55"/>
    <w:rsid w:val="00BC1138"/>
    <w:rsid w:val="00BD542D"/>
    <w:rsid w:val="00BE1FC3"/>
    <w:rsid w:val="00BF6BE9"/>
    <w:rsid w:val="00C0377D"/>
    <w:rsid w:val="00C2613E"/>
    <w:rsid w:val="00C31AE9"/>
    <w:rsid w:val="00C72845"/>
    <w:rsid w:val="00C85CD9"/>
    <w:rsid w:val="00CB5C9D"/>
    <w:rsid w:val="00CE0F78"/>
    <w:rsid w:val="00CF35C4"/>
    <w:rsid w:val="00CF4279"/>
    <w:rsid w:val="00D07841"/>
    <w:rsid w:val="00D26A4B"/>
    <w:rsid w:val="00D44940"/>
    <w:rsid w:val="00D46ACE"/>
    <w:rsid w:val="00D56662"/>
    <w:rsid w:val="00DB3E6D"/>
    <w:rsid w:val="00DD15C2"/>
    <w:rsid w:val="00E32533"/>
    <w:rsid w:val="00E84184"/>
    <w:rsid w:val="00E92DA7"/>
    <w:rsid w:val="00EA2760"/>
    <w:rsid w:val="00EA3FE9"/>
    <w:rsid w:val="00EC5F53"/>
    <w:rsid w:val="00F01320"/>
    <w:rsid w:val="00F160A2"/>
    <w:rsid w:val="00F2284B"/>
    <w:rsid w:val="00F42C0E"/>
    <w:rsid w:val="00F64DA7"/>
    <w:rsid w:val="00F7068E"/>
    <w:rsid w:val="00FB7757"/>
    <w:rsid w:val="00FC1156"/>
    <w:rsid w:val="00FF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0E5A7"/>
  <w15:chartTrackingRefBased/>
  <w15:docId w15:val="{5FD029B4-B412-4711-BC69-59FD8150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6B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B2A5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as.org/sgp/crs/natsec/RL33388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4</Pages>
  <Words>1448</Words>
  <Characters>8258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Arina Chapailo</dc:creator>
  <cp:keywords/>
  <dc:description/>
  <cp:lastModifiedBy>filip</cp:lastModifiedBy>
  <cp:revision>7</cp:revision>
  <cp:lastPrinted>2021-06-11T08:36:00Z</cp:lastPrinted>
  <dcterms:created xsi:type="dcterms:W3CDTF">2021-06-09T17:14:00Z</dcterms:created>
  <dcterms:modified xsi:type="dcterms:W3CDTF">2021-06-20T15:32:00Z</dcterms:modified>
</cp:coreProperties>
</file>