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colors2.xml" ContentType="application/vnd.openxmlformats-officedocument.drawingml.diagramColors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3103" w:rsidRDefault="00283103" w:rsidP="00283103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6364C5">
        <w:rPr>
          <w:rFonts w:ascii="Times New Roman" w:hAnsi="Times New Roman" w:cs="Times New Roman"/>
          <w:b/>
          <w:bCs/>
          <w:sz w:val="24"/>
          <w:szCs w:val="24"/>
        </w:rPr>
        <w:t>УДК 330.341.1/</w:t>
      </w:r>
      <w:r w:rsidRPr="006364C5">
        <w:rPr>
          <w:rFonts w:ascii="Times New Roman" w:hAnsi="Times New Roman" w:cs="Times New Roman"/>
          <w:b/>
          <w:sz w:val="24"/>
        </w:rPr>
        <w:t>ББК 65.05</w:t>
      </w:r>
    </w:p>
    <w:p w:rsidR="00283103" w:rsidRPr="00CE3128" w:rsidRDefault="00283103" w:rsidP="00283103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>А.В. Родин</w:t>
      </w:r>
      <w:r w:rsidR="00CE3128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="00CE3128">
        <w:rPr>
          <w:rFonts w:ascii="Times New Roman" w:hAnsi="Times New Roman" w:cs="Times New Roman"/>
          <w:b/>
          <w:bCs/>
          <w:sz w:val="24"/>
          <w:szCs w:val="24"/>
        </w:rPr>
        <w:t>А.С.Будко</w:t>
      </w:r>
      <w:proofErr w:type="spellEnd"/>
    </w:p>
    <w:p w:rsidR="00F642F6" w:rsidRDefault="00283103" w:rsidP="00283103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proofErr w:type="gramStart"/>
      <w:r w:rsidRPr="0028310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МЕТОДИЧЕСКИЕ </w:t>
      </w:r>
      <w:r w:rsidR="006364C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ПОДХОДЫ</w:t>
      </w:r>
      <w:proofErr w:type="gramEnd"/>
      <w:r w:rsidR="006364C5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К</w:t>
      </w:r>
      <w:r w:rsidRPr="00283103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РАЗРАБОТКЕ ЦИФРОВОЙ СТРАТЕГИИ РЕГИОНА</w:t>
      </w:r>
    </w:p>
    <w:p w:rsidR="00BD019B" w:rsidRDefault="00BD019B" w:rsidP="00BD019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Аннотация. </w:t>
      </w:r>
      <w:r w:rsidRPr="00E00DFC">
        <w:rPr>
          <w:rFonts w:ascii="Times New Roman" w:hAnsi="Times New Roman" w:cs="Times New Roman"/>
          <w:i/>
          <w:iCs/>
          <w:sz w:val="24"/>
          <w:szCs w:val="24"/>
        </w:rPr>
        <w:t xml:space="preserve">В статье </w:t>
      </w:r>
      <w:r>
        <w:rPr>
          <w:rFonts w:ascii="Times New Roman" w:hAnsi="Times New Roman" w:cs="Times New Roman"/>
          <w:i/>
          <w:iCs/>
          <w:sz w:val="24"/>
          <w:szCs w:val="24"/>
        </w:rPr>
        <w:t>представлены методические рекомендации по созданию цифровой стратегии региона. Рассмотрены основные этапы реализации стратегии. Представлены ключевые показатели эффективности оценки цифровой трансформации региона.</w:t>
      </w:r>
    </w:p>
    <w:p w:rsidR="00BD019B" w:rsidRPr="00E00DFC" w:rsidRDefault="00BD019B" w:rsidP="00BD019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E00DFC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Pr="00E00DFC">
        <w:rPr>
          <w:rFonts w:ascii="Times New Roman" w:hAnsi="Times New Roman" w:cs="Times New Roman"/>
          <w:i/>
          <w:iCs/>
          <w:sz w:val="24"/>
          <w:szCs w:val="24"/>
        </w:rPr>
        <w:t xml:space="preserve">цифровизация, </w:t>
      </w:r>
      <w:r>
        <w:rPr>
          <w:rFonts w:ascii="Times New Roman" w:hAnsi="Times New Roman" w:cs="Times New Roman"/>
          <w:i/>
          <w:iCs/>
          <w:sz w:val="24"/>
          <w:szCs w:val="24"/>
        </w:rPr>
        <w:t>цифровая трансформация, стратегия, цифровая зрелость.</w:t>
      </w:r>
    </w:p>
    <w:p w:rsidR="00BD019B" w:rsidRDefault="00BD019B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Активное использование цифровых технологий и внедрение новых инструментов происходит во всех индустриях по всему миру уже более двадцати лет. Раньше это происходило стихийно, а сейчас государство и органы власти осознали необходимость структурированного подхода. Поэтому на сегодняшний день приоритетом развития регионов должна стать разработка стратегий цифровизации</w:t>
      </w:r>
      <w:r w:rsidR="00283103" w:rsidRPr="00283103">
        <w:rPr>
          <w:rFonts w:ascii="Times New Roman" w:hAnsi="Times New Roman" w:cs="Times New Roman"/>
          <w:sz w:val="24"/>
          <w:szCs w:val="24"/>
        </w:rPr>
        <w:t xml:space="preserve"> </w:t>
      </w:r>
      <w:r w:rsidRPr="00283103">
        <w:rPr>
          <w:rFonts w:ascii="Times New Roman" w:hAnsi="Times New Roman" w:cs="Times New Roman"/>
          <w:sz w:val="24"/>
          <w:szCs w:val="24"/>
        </w:rPr>
        <w:t xml:space="preserve">[1].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8310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Стратегия – это не размытое и отвлеченное понятие, а полезный рабочий инструмент, требующий иного подхода и навыков, чем краткосрочное планирование. Качественная стратегия должна содержать измеримые показатели, которые отражают цели развития территории. Этот инструмент эффективен в связке с остальными инструментами планирования и реализации задач. Стратегия должна строиться на данных, чтобы после завершения ее реализации можно было оценить, удалось ли достичь целевого состояния, и ответить на этот </w:t>
      </w:r>
      <w:r w:rsidR="0060254B">
        <w:rPr>
          <w:rFonts w:ascii="Times New Roman" w:hAnsi="Times New Roman" w:cs="Times New Roman"/>
          <w:color w:val="000000" w:themeColor="text1"/>
          <w:sz w:val="24"/>
          <w:szCs w:val="24"/>
        </w:rPr>
        <w:t>вопрос должны не люди, а данные</w:t>
      </w:r>
      <w:r w:rsidR="0060254B" w:rsidRPr="0060254B">
        <w:rPr>
          <w:rFonts w:ascii="Times New Roman" w:hAnsi="Times New Roman" w:cs="Times New Roman"/>
          <w:sz w:val="24"/>
          <w:szCs w:val="24"/>
        </w:rPr>
        <w:t xml:space="preserve"> </w:t>
      </w:r>
      <w:r w:rsidR="0060254B" w:rsidRPr="00283103">
        <w:rPr>
          <w:rFonts w:ascii="Times New Roman" w:hAnsi="Times New Roman" w:cs="Times New Roman"/>
          <w:sz w:val="24"/>
          <w:szCs w:val="24"/>
        </w:rPr>
        <w:t>[2].</w:t>
      </w:r>
    </w:p>
    <w:p w:rsidR="00F642F6" w:rsidRPr="00283103" w:rsidRDefault="00F642F6" w:rsidP="00283103">
      <w:pPr>
        <w:tabs>
          <w:tab w:val="left" w:pos="292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Разработка цифровой стратегии Краснодарского края должна включать в себя оценку цифровой зрелости региона, диагностику ключевых направлений, оценку текущего уровня использования информационных технологий, оценку цифровой грамотности населения, разработку мероприятий по повышению уровня цифровизации в соответствии с ключевыми направлениями и прогнозы ключевых показателей</w:t>
      </w:r>
      <w:r w:rsidR="0060254B">
        <w:rPr>
          <w:rFonts w:ascii="Times New Roman" w:hAnsi="Times New Roman" w:cs="Times New Roman"/>
          <w:sz w:val="24"/>
          <w:szCs w:val="24"/>
        </w:rPr>
        <w:t xml:space="preserve"> [3</w:t>
      </w:r>
      <w:r w:rsidRPr="00283103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F642F6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Прежде всего необходимо разработать проект цифровой стратегии. В проекте стратегии следует представить следующие разделы (рисунок 1):</w:t>
      </w:r>
    </w:p>
    <w:p w:rsidR="006364C5" w:rsidRPr="00283103" w:rsidRDefault="006364C5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642F6" w:rsidRPr="00283103" w:rsidRDefault="00F642F6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486400" cy="3200400"/>
            <wp:effectExtent l="57150" t="0" r="38100" b="0"/>
            <wp:docPr id="19" name="Схема 1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6" r:lo="rId7" r:qs="rId8" r:cs="rId9"/>
              </a:graphicData>
            </a:graphic>
          </wp:inline>
        </w:drawing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Рисунок 1</w:t>
      </w:r>
      <w:r w:rsidR="00CE3128">
        <w:rPr>
          <w:rFonts w:ascii="Times New Roman" w:hAnsi="Times New Roman" w:cs="Times New Roman"/>
          <w:sz w:val="24"/>
          <w:szCs w:val="24"/>
        </w:rPr>
        <w:t xml:space="preserve">. </w:t>
      </w:r>
      <w:r w:rsidRPr="00283103">
        <w:rPr>
          <w:rFonts w:ascii="Times New Roman" w:hAnsi="Times New Roman" w:cs="Times New Roman"/>
          <w:sz w:val="24"/>
          <w:szCs w:val="24"/>
        </w:rPr>
        <w:t>Разделы Цифровой стратегии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lastRenderedPageBreak/>
        <w:t xml:space="preserve">В свою очередь данные разделы можно условно разделить на подразделы (рисунок </w:t>
      </w:r>
      <w:r w:rsidR="00283103" w:rsidRPr="00283103">
        <w:rPr>
          <w:rFonts w:ascii="Times New Roman" w:hAnsi="Times New Roman" w:cs="Times New Roman"/>
          <w:sz w:val="24"/>
          <w:szCs w:val="24"/>
        </w:rPr>
        <w:t>2</w:t>
      </w:r>
      <w:r w:rsidRPr="00283103">
        <w:rPr>
          <w:rFonts w:ascii="Times New Roman" w:hAnsi="Times New Roman" w:cs="Times New Roman"/>
          <w:sz w:val="24"/>
          <w:szCs w:val="24"/>
        </w:rPr>
        <w:t>)</w:t>
      </w:r>
      <w:r w:rsidR="00283103" w:rsidRPr="00283103">
        <w:rPr>
          <w:rFonts w:ascii="Times New Roman" w:hAnsi="Times New Roman" w:cs="Times New Roman"/>
          <w:sz w:val="24"/>
          <w:szCs w:val="24"/>
        </w:rPr>
        <w:t>.</w:t>
      </w:r>
      <w:r w:rsidR="006364C5">
        <w:rPr>
          <w:rFonts w:ascii="Times New Roman" w:hAnsi="Times New Roman" w:cs="Times New Roman"/>
          <w:sz w:val="24"/>
          <w:szCs w:val="24"/>
        </w:rPr>
        <w:t xml:space="preserve"> </w:t>
      </w:r>
      <w:r w:rsidRPr="00283103">
        <w:rPr>
          <w:rFonts w:ascii="Times New Roman" w:hAnsi="Times New Roman" w:cs="Times New Roman"/>
          <w:sz w:val="24"/>
          <w:szCs w:val="24"/>
        </w:rPr>
        <w:t>Первый раздел включает в себя перечень ключевых направлений для анализа степени цифровой трансформации экономики региона, включая появление новых онлайн и цифровых платформ, изменение в технологических векторах развития цифровой трансформации, изменение внешних условий, таких как меры государственной поддержки, финансирование и т</w:t>
      </w:r>
      <w:r w:rsidR="006364C5">
        <w:rPr>
          <w:rFonts w:ascii="Times New Roman" w:hAnsi="Times New Roman" w:cs="Times New Roman"/>
          <w:sz w:val="24"/>
          <w:szCs w:val="24"/>
        </w:rPr>
        <w:t>.</w:t>
      </w:r>
      <w:r w:rsidRPr="00283103">
        <w:rPr>
          <w:rFonts w:ascii="Times New Roman" w:hAnsi="Times New Roman" w:cs="Times New Roman"/>
          <w:sz w:val="24"/>
          <w:szCs w:val="24"/>
        </w:rPr>
        <w:t>д.</w:t>
      </w:r>
      <w:r w:rsidR="0060254B" w:rsidRPr="0060254B">
        <w:rPr>
          <w:rFonts w:ascii="Times New Roman" w:hAnsi="Times New Roman" w:cs="Times New Roman"/>
          <w:sz w:val="24"/>
          <w:szCs w:val="24"/>
        </w:rPr>
        <w:t xml:space="preserve"> </w:t>
      </w:r>
      <w:r w:rsidR="0060254B" w:rsidRPr="00283103">
        <w:rPr>
          <w:rFonts w:ascii="Times New Roman" w:hAnsi="Times New Roman" w:cs="Times New Roman"/>
          <w:sz w:val="24"/>
          <w:szCs w:val="24"/>
        </w:rPr>
        <w:t>[</w:t>
      </w:r>
      <w:r w:rsidR="0060254B">
        <w:rPr>
          <w:rFonts w:ascii="Times New Roman" w:hAnsi="Times New Roman" w:cs="Times New Roman"/>
          <w:sz w:val="24"/>
          <w:szCs w:val="24"/>
        </w:rPr>
        <w:t>4</w:t>
      </w:r>
      <w:r w:rsidR="0060254B" w:rsidRPr="00283103">
        <w:rPr>
          <w:rFonts w:ascii="Times New Roman" w:hAnsi="Times New Roman" w:cs="Times New Roman"/>
          <w:sz w:val="24"/>
          <w:szCs w:val="24"/>
        </w:rPr>
        <w:t>].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Оценка цифровой зрелости территории, представленная во втором подразделе, содержит анализ ключевых направлений цифровой трансформации и ключевых элементов основных условий ведения бизнеса для цифровой трансформации. Также она характеризует текущий уровень использования современных цифровых технологий и программного обеспечения. При оценке цифровой зрелости территории необходимо акцентировать внимание на таком понятии, как </w:t>
      </w:r>
      <w:r w:rsidRPr="00283103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283103">
        <w:rPr>
          <w:rFonts w:ascii="Times New Roman" w:hAnsi="Times New Roman" w:cs="Times New Roman"/>
          <w:sz w:val="24"/>
          <w:szCs w:val="24"/>
        </w:rPr>
        <w:t xml:space="preserve">-ценность продукта, что было подробно описано ранее.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642F6" w:rsidRPr="00283103" w:rsidRDefault="00F642F6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6124575" cy="5181600"/>
            <wp:effectExtent l="19050" t="0" r="9525" b="0"/>
            <wp:docPr id="21" name="Схема 2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6364C5" w:rsidRDefault="006364C5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F642F6" w:rsidRDefault="00F642F6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Рисунок </w:t>
      </w:r>
      <w:r w:rsidR="00283103" w:rsidRPr="00283103">
        <w:rPr>
          <w:rFonts w:ascii="Times New Roman" w:hAnsi="Times New Roman" w:cs="Times New Roman"/>
          <w:sz w:val="24"/>
          <w:szCs w:val="24"/>
        </w:rPr>
        <w:t>2</w:t>
      </w:r>
      <w:r w:rsidR="00CE3128">
        <w:rPr>
          <w:rFonts w:ascii="Times New Roman" w:hAnsi="Times New Roman" w:cs="Times New Roman"/>
          <w:sz w:val="24"/>
          <w:szCs w:val="24"/>
        </w:rPr>
        <w:t xml:space="preserve">. </w:t>
      </w:r>
      <w:r w:rsidRPr="00283103">
        <w:rPr>
          <w:rFonts w:ascii="Times New Roman" w:hAnsi="Times New Roman" w:cs="Times New Roman"/>
          <w:sz w:val="24"/>
          <w:szCs w:val="24"/>
        </w:rPr>
        <w:t>Подразделы в Цифровой стратегии региона</w:t>
      </w:r>
    </w:p>
    <w:p w:rsidR="00283103" w:rsidRPr="00283103" w:rsidRDefault="00283103" w:rsidP="00283103">
      <w:pPr>
        <w:tabs>
          <w:tab w:val="left" w:pos="945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В следующем подразделе определяются возможности, которые вытекают из цифровой трансформации экономики региона для повышения конкурентоспособности региона. Ключевыми возможностями можно отметить потенциал роста уровня цифровой зрелости региона по сравнению с лучшими российскими, а также международными практиками и новыми решениями цифровой трансформации.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Заключительный подраздел первого раздела цифровой стратегии содержит характеристику рисков и угроз информационной безопасности, которые могут возникнуть в </w:t>
      </w:r>
      <w:r w:rsidRPr="00283103">
        <w:rPr>
          <w:rFonts w:ascii="Times New Roman" w:hAnsi="Times New Roman" w:cs="Times New Roman"/>
          <w:sz w:val="24"/>
          <w:szCs w:val="24"/>
        </w:rPr>
        <w:lastRenderedPageBreak/>
        <w:t xml:space="preserve">условиях цифровизации экономики региона, а также при внедрении современных цифровых технологий для повышения конкурентоспособности региона.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Следующий блок предусматривает формирование целей для цифровой трансформации экономики региона. Прежде всего, реализация цифровой стратегии должна быть ориентирована на повышение конкурентоспособности региона, быть экономически эффективной и включать оценку вклада цифровой трансформации в ВРП. Также стратегия должна быть направлена на повышение уровня цифровой зрелости региона, а также развитие ключевых отраслей экономики.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 Цели Стратегии декомпозируются в систему ключевых показателей эффективности цифровой трансформации региона, которая включает три направления:</w:t>
      </w:r>
    </w:p>
    <w:p w:rsidR="00F642F6" w:rsidRPr="00283103" w:rsidRDefault="00F642F6" w:rsidP="00283103">
      <w:pPr>
        <w:pStyle w:val="a3"/>
        <w:numPr>
          <w:ilvl w:val="0"/>
          <w:numId w:val="1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вклад цифровой трансформации в формирование и достижение стратегических целей социально-экономического развития региона;</w:t>
      </w:r>
    </w:p>
    <w:p w:rsidR="00F642F6" w:rsidRPr="00283103" w:rsidRDefault="00F642F6" w:rsidP="00283103">
      <w:pPr>
        <w:pStyle w:val="a3"/>
        <w:numPr>
          <w:ilvl w:val="0"/>
          <w:numId w:val="1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цифровая трансформация основных эконмических сфер региона;</w:t>
      </w:r>
    </w:p>
    <w:p w:rsidR="00F642F6" w:rsidRPr="00283103" w:rsidRDefault="00F642F6" w:rsidP="00283103">
      <w:pPr>
        <w:pStyle w:val="a3"/>
        <w:numPr>
          <w:ilvl w:val="0"/>
          <w:numId w:val="1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обеспечение базовых условий для формирования благоприятного климата цифровой трансформации: цифровая инфраструктура, кадры, уровень цифровой грамотности, модель управления цифровой трансформации.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Далее необходимо охарактеризовать стратегические направления цифровой трансформации на основе интегральной оценки по критериям потенциала вклада направления в достижение стратегических целей развития и уровня развития региона к цифровой трансформации экономики. Основными направлениями цифровой трансформации можно считать внедрение новых цифровых продуктов, товаров и услуг, развитие дополнительных источников дохода, проектирование и инжиниринг, управление кадрами, управление финансами и закупками.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Первый подраздел модели цифровых компетенций и кадрового обеспечения, прежде всего, подразумевает описание модели цифровых компетенций (или инициативы по внедрению цифровых компетенций). Далее необходимо определить какие специальности наиболее востребованы в условиях формирования цифровой экономки и активно развивающихся информационных технологиях. Заключительным этапом в реализации данного подраздела является поиск наиболее актуального подхода к привлечению кадров в отрасли, где активно происходит цифровая трансформация.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В следующем подразделе должна учитываться краткая характеристика образовательных программ в области изучения </w:t>
      </w:r>
      <w:r w:rsidRPr="00283103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283103">
        <w:rPr>
          <w:rFonts w:ascii="Times New Roman" w:hAnsi="Times New Roman" w:cs="Times New Roman"/>
          <w:sz w:val="24"/>
          <w:szCs w:val="24"/>
        </w:rPr>
        <w:t xml:space="preserve">-технологий, а также оценка уровня цифровой грамотности как населения, так и сотрудников, работающих в отраслях экономики, в которых наиболее активно протекает процесс цифровизации. Также необходимо учитывать долю населения, занятую в </w:t>
      </w:r>
      <w:r w:rsidRPr="00283103">
        <w:rPr>
          <w:rFonts w:ascii="Times New Roman" w:hAnsi="Times New Roman" w:cs="Times New Roman"/>
          <w:sz w:val="24"/>
          <w:szCs w:val="24"/>
          <w:lang w:val="en-US"/>
        </w:rPr>
        <w:t>IT</w:t>
      </w:r>
      <w:r w:rsidRPr="00283103">
        <w:rPr>
          <w:rFonts w:ascii="Times New Roman" w:hAnsi="Times New Roman" w:cs="Times New Roman"/>
          <w:sz w:val="24"/>
          <w:szCs w:val="24"/>
        </w:rPr>
        <w:t>- отраслях.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Заключительный блок реализации цифровой стратегии развития включает в себя два подраздела: экономические эффекты реализации стратегии и потребность в инвестициях. Под экономическими эффектами реализации стратегии развития следует понимать прогноз интегральных экономических показателей стратегии цифрового развития экономики Краснодарского края. Далее определяются источники финансирования цифровых инициатив, а также потребность в инвестициях. 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Основной целью мониторинга реализации Стратегии цифрового развития экономки региона являются: сбор, систематизация и обобщение информации о процессе цифровой трансформации экономики региона; оценка степени достижения запланированных результатов цифровой трансформации по ключевым показателям эффективности (КПЕ) в соответствии с годовыми планами реализации Стратегии; анализ соответствия плановых и фактических интегральных оценок вклада инициатив по цифровой трансформации в валовый региональный продукт, а также оценок необходимых инвестиций в цифровую трансформацию и окупаемости инвестиций.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Целевые значения ключевых показателей эффективности устанавливаются самостоятельно каждый регионом. Общие показатели можно условно разделить на три уровня: </w:t>
      </w:r>
    </w:p>
    <w:p w:rsidR="00F642F6" w:rsidRPr="00283103" w:rsidRDefault="00F642F6" w:rsidP="00283103">
      <w:pPr>
        <w:pStyle w:val="a3"/>
        <w:numPr>
          <w:ilvl w:val="0"/>
          <w:numId w:val="2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lastRenderedPageBreak/>
        <w:t>показатели, измеряющие вклад цифровой трансформации в реализацию стратегических целей развития экономики региона;</w:t>
      </w:r>
    </w:p>
    <w:p w:rsidR="00F642F6" w:rsidRPr="00283103" w:rsidRDefault="00F642F6" w:rsidP="00283103">
      <w:pPr>
        <w:pStyle w:val="a3"/>
        <w:numPr>
          <w:ilvl w:val="0"/>
          <w:numId w:val="2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показатели, измеряющие ход цифровой трансформации ключевых отраслей экономики региона, включая цифровую трансформацию продуктов и услуг;</w:t>
      </w:r>
    </w:p>
    <w:p w:rsidR="00F642F6" w:rsidRPr="00283103" w:rsidRDefault="00F642F6" w:rsidP="00283103">
      <w:pPr>
        <w:pStyle w:val="a3"/>
        <w:numPr>
          <w:ilvl w:val="0"/>
          <w:numId w:val="2"/>
        </w:numPr>
        <w:tabs>
          <w:tab w:val="left" w:pos="945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показатели, измеряющие развитие системы управления кадров, компетенций и культуры для цифровой трансформации, модели финансирования и управления цифровой трансформацией</w:t>
      </w:r>
      <w:r w:rsidR="00283103" w:rsidRPr="00283103">
        <w:rPr>
          <w:rFonts w:ascii="Times New Roman" w:hAnsi="Times New Roman" w:cs="Times New Roman"/>
          <w:sz w:val="24"/>
          <w:szCs w:val="24"/>
        </w:rPr>
        <w:t xml:space="preserve"> </w:t>
      </w:r>
      <w:r w:rsidR="0060254B">
        <w:rPr>
          <w:rFonts w:ascii="Times New Roman" w:hAnsi="Times New Roman" w:cs="Times New Roman"/>
          <w:sz w:val="24"/>
          <w:szCs w:val="24"/>
        </w:rPr>
        <w:t>[5</w:t>
      </w:r>
      <w:r w:rsidRPr="00283103">
        <w:rPr>
          <w:rFonts w:ascii="Times New Roman" w:hAnsi="Times New Roman" w:cs="Times New Roman"/>
          <w:sz w:val="24"/>
          <w:szCs w:val="24"/>
        </w:rPr>
        <w:t>].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В рамках рассмотрения данных групп показателей, могут быть предложены следующие формулы для расчета ключевых показателей реализации Цифровой стратегии Краснодарского края:</w:t>
      </w:r>
    </w:p>
    <w:p w:rsidR="00F642F6" w:rsidRPr="00283103" w:rsidRDefault="00F642F6" w:rsidP="00283103">
      <w:pPr>
        <w:tabs>
          <w:tab w:val="left" w:pos="94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642F6" w:rsidRDefault="00F642F6" w:rsidP="00283103">
      <w:pPr>
        <w:tabs>
          <w:tab w:val="left" w:pos="945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Таблица 1 – Показатели реализации Цифровой стратегии региона </w:t>
      </w:r>
    </w:p>
    <w:p w:rsidR="006364C5" w:rsidRPr="00283103" w:rsidRDefault="006364C5" w:rsidP="00283103">
      <w:pPr>
        <w:tabs>
          <w:tab w:val="left" w:pos="945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0" w:type="auto"/>
        <w:jc w:val="center"/>
        <w:tblLook w:val="04A0"/>
      </w:tblPr>
      <w:tblGrid>
        <w:gridCol w:w="2336"/>
        <w:gridCol w:w="2336"/>
        <w:gridCol w:w="4537"/>
      </w:tblGrid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Формула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Расшифровка</w:t>
            </w:r>
          </w:p>
        </w:tc>
      </w:tr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«Оценка вклада от реализации цифровой трансформации региона в ВРП»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КПЭ = (R1 / R2) * 100%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R1 – добавленная стоимость цифровой трансформации экономики региона за отчетный период (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 учетом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-ценности продуктов и услуг); R2 – добавленная стоимость остальных отраслей экономики  за отчетный период</w:t>
            </w:r>
          </w:p>
        </w:tc>
      </w:tr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«Число активных пользователей цифровых решений»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КПЭ =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P – число уникальных пользователей (физических лиц), использовавших хотя бы одно цифровое решение за месяц (MAU), на конец отчетного периода</w:t>
            </w:r>
          </w:p>
        </w:tc>
      </w:tr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«Доля облачной серверной мощности»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КПЭ = (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1 /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2)*100%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1 – число  серверов, размещенных в облаке на конец отчетного периода;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2 – общее число серверов на конец отчетного периода</w:t>
            </w:r>
          </w:p>
        </w:tc>
      </w:tr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«Объем инвестиций в цифровую трансформацию региона»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КПЭ = I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I – объем инвестиций в цифровую трансформацию экономики региона за отчетный период</w:t>
            </w:r>
          </w:p>
        </w:tc>
      </w:tr>
      <w:tr w:rsidR="00F642F6" w:rsidRPr="00283103" w:rsidTr="006364C5">
        <w:trPr>
          <w:trHeight w:val="1427"/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«Доля инвестиций в цифровую трансформацию от общего объема инвестиций»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КПЭ = (I1 / I2) * 100%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I1 – объем инвестиций в цифровую трансформацию экономики региона за отчетный период; I2 – общий размер инвестиций за отчетный период</w:t>
            </w:r>
          </w:p>
        </w:tc>
      </w:tr>
      <w:tr w:rsidR="00F642F6" w:rsidRPr="00283103" w:rsidTr="006364C5">
        <w:trPr>
          <w:jc w:val="center"/>
        </w:trPr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«Доля расходов на закупку российского программного обеспечения»</w:t>
            </w:r>
          </w:p>
        </w:tc>
        <w:tc>
          <w:tcPr>
            <w:tcW w:w="2336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КПЭ = (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1 /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2) * 100%</w:t>
            </w:r>
          </w:p>
        </w:tc>
        <w:tc>
          <w:tcPr>
            <w:tcW w:w="4537" w:type="dxa"/>
          </w:tcPr>
          <w:p w:rsidR="00F642F6" w:rsidRPr="00283103" w:rsidRDefault="00F642F6" w:rsidP="00283103">
            <w:pPr>
              <w:tabs>
                <w:tab w:val="left" w:pos="945"/>
              </w:tabs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 xml:space="preserve">1 – расходы на закупку российского ПО и связанных с ним работ (услуг) за отчетный период; </w:t>
            </w:r>
            <w:r w:rsidRPr="0028310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283103">
              <w:rPr>
                <w:rFonts w:ascii="Times New Roman" w:hAnsi="Times New Roman" w:cs="Times New Roman"/>
                <w:sz w:val="24"/>
                <w:szCs w:val="24"/>
              </w:rPr>
              <w:t>2 – расходы на закупку ПО и связанных с ним работ (услуг) за отчетный период</w:t>
            </w:r>
          </w:p>
        </w:tc>
      </w:tr>
    </w:tbl>
    <w:p w:rsidR="00283103" w:rsidRDefault="00283103" w:rsidP="0028310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642F6" w:rsidRPr="00283103" w:rsidRDefault="00F642F6" w:rsidP="0028310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>Цифровая трансформация экономики региона сейчас является одной из ключевых задач развития региона, поэтому необходимо реализовывать стратегии цифровой трансформации. Это поможет видеть наперед.</w:t>
      </w:r>
    </w:p>
    <w:p w:rsidR="00F642F6" w:rsidRDefault="00F642F6" w:rsidP="00BD019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83103">
        <w:rPr>
          <w:rFonts w:ascii="Times New Roman" w:hAnsi="Times New Roman" w:cs="Times New Roman"/>
          <w:sz w:val="24"/>
          <w:szCs w:val="24"/>
        </w:rPr>
        <w:t xml:space="preserve">Цифровая стратегия региона и поддержка стратегического планирования госуправления – важные факторы развития конкурентоспособности региона и  его эффективности во внутренних и  внешних действиях.  Стратегия меняет фокус и помогает планирование сделать более эффективным и осознанным. На протяжении ближайшего времени цифровизация отраслей экономики и государственного управления будет в фокусе </w:t>
      </w:r>
      <w:r w:rsidRPr="00283103">
        <w:rPr>
          <w:rFonts w:ascii="Times New Roman" w:hAnsi="Times New Roman" w:cs="Times New Roman"/>
          <w:sz w:val="24"/>
          <w:szCs w:val="24"/>
        </w:rPr>
        <w:lastRenderedPageBreak/>
        <w:t>внимания Правительства РФ. Поэтому необходимо, чтобы на уровне отдельного органа власти и региона цели цифровизации экономики были четко сформулированы, увязаны с целями федеральных документов и детализированы с учетом отраслевой и региональной специфики.</w:t>
      </w:r>
    </w:p>
    <w:p w:rsidR="00CE3128" w:rsidRDefault="00CE3128" w:rsidP="00BD019B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E3128" w:rsidRDefault="00CE3128" w:rsidP="00CE3128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536A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60254B" w:rsidRDefault="0060254B" w:rsidP="00CE3128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0254B" w:rsidRPr="0060254B" w:rsidRDefault="0060254B" w:rsidP="0060254B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Родин А.В., </w:t>
      </w:r>
      <w:proofErr w:type="spellStart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>Тамов</w:t>
      </w:r>
      <w:proofErr w:type="spellEnd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А.А., </w:t>
      </w:r>
      <w:proofErr w:type="spellStart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>Бабичев</w:t>
      </w:r>
      <w:proofErr w:type="spellEnd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К.Н. Digital-ценность цифрового продукта как ресурс устойчивого развития экономики // Вестник Адыгейского государственного университета. Серия 5 «Экономика»: научный журнал – № 1 (255). – Майкоп: Адыгейский государственный университет.  –  2020. – С.75-83. </w:t>
      </w:r>
    </w:p>
    <w:p w:rsidR="0060254B" w:rsidRDefault="0060254B" w:rsidP="0060254B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Абдрахманова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Г.И. Индикаторы цифровой экономики: 2020: статистический сборник / Г. И. </w:t>
      </w: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Абдрахманова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К. О. Вишневский, Л. М. </w:t>
      </w: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Гохберг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и др.; </w:t>
      </w: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Нац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исслед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ун-т И60 «Высшая школа экономики». – М.: НИУ ВШЭ, 2020. – 360с. – 300 экз. – ISBN 978-5-7598-2194-6 (в обл.) URL: </w:t>
      </w:r>
      <w:hyperlink r:id="rId16" w:history="1">
        <w:r w:rsidRPr="0060254B">
          <w:t>https://issek.hse.ru/mirror/pubs/share/387609461.PDF</w:t>
        </w:r>
      </w:hyperlink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(дата обращения 12.06.2021). - Текст</w:t>
      </w:r>
      <w:proofErr w:type="gram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proofErr w:type="gram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электронный.</w:t>
      </w:r>
    </w:p>
    <w:p w:rsidR="0060254B" w:rsidRPr="0060254B" w:rsidRDefault="0060254B" w:rsidP="0060254B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Родин А.В., </w:t>
      </w:r>
      <w:proofErr w:type="spellStart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>Будко</w:t>
      </w:r>
      <w:proofErr w:type="spellEnd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А.С. </w:t>
      </w:r>
      <w:proofErr w:type="gramStart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>Методические подходы</w:t>
      </w:r>
      <w:proofErr w:type="gramEnd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оценке величины IT-ценности цифрового продукта // Экономика: теория и практика: научно-прак</w:t>
      </w:r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softHyphen/>
        <w:t>тический журнал. 2020. № 3 (250). С. 60-66.</w:t>
      </w:r>
    </w:p>
    <w:p w:rsidR="00CE3128" w:rsidRPr="00CE3128" w:rsidRDefault="00CE3128" w:rsidP="006364C5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Исследовательское подразделение Группы компаний </w:t>
      </w:r>
      <w:proofErr w:type="spellStart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>InfraOne</w:t>
      </w:r>
      <w:proofErr w:type="spellEnd"/>
      <w:r w:rsidRPr="0060254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«Инвестиции в инфраструктуру. Информационные технологии». 2020. - URL: </w:t>
      </w:r>
      <w:hyperlink r:id="rId17" w:history="1">
        <w:r w:rsidRPr="0060254B">
          <w:rPr>
            <w:rFonts w:ascii="Times New Roman" w:hAnsi="Times New Roman" w:cs="Times New Roman"/>
            <w:sz w:val="24"/>
            <w:szCs w:val="24"/>
          </w:rPr>
          <w:t>https://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roscongress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.org/upload/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medialibrary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/d0f/017_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Investitsii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-v-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infrastrukturu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.-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Informatsionnye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-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tekhnologii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0254B">
          <w:rPr>
            <w:rFonts w:ascii="Times New Roman" w:hAnsi="Times New Roman" w:cs="Times New Roman"/>
            <w:sz w:val="24"/>
            <w:szCs w:val="24"/>
          </w:rPr>
          <w:t>pdf</w:t>
        </w:r>
        <w:proofErr w:type="spellEnd"/>
        <w:r w:rsidRPr="0060254B">
          <w:rPr>
            <w:rFonts w:ascii="Times New Roman" w:hAnsi="Times New Roman" w:cs="Times New Roman"/>
            <w:sz w:val="24"/>
            <w:szCs w:val="24"/>
          </w:rPr>
          <w:t xml:space="preserve"> (дата обращения 14.06.2021).</w:t>
        </w:r>
        <w:r w:rsidRPr="0060254B">
          <w:t xml:space="preserve"> </w:t>
        </w:r>
      </w:hyperlink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Текст</w:t>
      </w:r>
      <w:proofErr w:type="gram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</w:t>
      </w:r>
      <w:proofErr w:type="gram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электронный.</w:t>
      </w:r>
    </w:p>
    <w:p w:rsidR="00CE3128" w:rsidRPr="00CE3128" w:rsidRDefault="00CE3128" w:rsidP="006364C5">
      <w:pPr>
        <w:pStyle w:val="a3"/>
        <w:numPr>
          <w:ilvl w:val="0"/>
          <w:numId w:val="4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Колодняя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Г.В Цифровая экономика: особенности развития в России / Г. В. </w:t>
      </w: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Колодняя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; Экономист: 2018, № 4. С.63-69.- Текст: непосредственный.</w:t>
      </w:r>
    </w:p>
    <w:p w:rsidR="00CE3128" w:rsidRDefault="00CE3128" w:rsidP="006364C5">
      <w:pPr>
        <w:tabs>
          <w:tab w:val="left" w:pos="993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E3128" w:rsidRPr="00CE3128" w:rsidRDefault="00CE3128" w:rsidP="00CE3128">
      <w:pPr>
        <w:tabs>
          <w:tab w:val="left" w:pos="2925"/>
        </w:tabs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E3128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Информация об авторах</w:t>
      </w:r>
    </w:p>
    <w:p w:rsidR="00CE3128" w:rsidRPr="00CE3128" w:rsidRDefault="00CE3128" w:rsidP="00CE3128">
      <w:pPr>
        <w:tabs>
          <w:tab w:val="left" w:pos="292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Будко</w:t>
      </w:r>
      <w:proofErr w:type="spellEnd"/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Анна Сергеевна (Россия, Краснодар) – студентка 2 курса магистратуры, Кубанский государственный университет, 350040, г. Краснодар, ул. Ставропольская, 149,  </w:t>
      </w:r>
      <w:hyperlink r:id="rId18" w:history="1">
        <w:r w:rsidRPr="00CE312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annabudko</w:t>
        </w:r>
        <w:r w:rsidRPr="00CE312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81@</w:t>
        </w:r>
        <w:r w:rsidRPr="00CE312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gmail</w:t>
        </w:r>
        <w:r w:rsidRPr="00CE312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.</w:t>
        </w:r>
        <w:r w:rsidRPr="00CE3128">
          <w:rPr>
            <w:rStyle w:val="a6"/>
            <w:rFonts w:ascii="Times New Roman" w:hAnsi="Times New Roman" w:cs="Times New Roman"/>
            <w:color w:val="000000" w:themeColor="text1"/>
            <w:sz w:val="24"/>
            <w:szCs w:val="24"/>
            <w:u w:val="none"/>
            <w:lang w:val="en-US"/>
          </w:rPr>
          <w:t>com</w:t>
        </w:r>
      </w:hyperlink>
    </w:p>
    <w:p w:rsidR="00CE3128" w:rsidRPr="00CE3128" w:rsidRDefault="00CE3128" w:rsidP="00CE3128">
      <w:pPr>
        <w:tabs>
          <w:tab w:val="left" w:pos="292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CE3128">
        <w:rPr>
          <w:rFonts w:ascii="Times New Roman" w:hAnsi="Times New Roman" w:cs="Times New Roman"/>
          <w:color w:val="000000" w:themeColor="text1"/>
          <w:sz w:val="24"/>
          <w:szCs w:val="24"/>
        </w:rPr>
        <w:t>Родин Александр Васильевич, кандидат экономических наук, доцент, заведующий кафедрой организации и планирования местного развития, Кубанский государственный университет, 350040 г. Краснодар, ул. Ставропольская</w:t>
      </w:r>
      <w:r w:rsidRPr="00CE3128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 </w:t>
      </w:r>
      <w:hyperlink r:id="rId19" w:history="1">
        <w:r w:rsidRPr="00CE3128">
          <w:rPr>
            <w:rStyle w:val="a6"/>
            <w:rFonts w:ascii="Times New Roman" w:hAnsi="Times New Roman" w:cs="Times New Roman"/>
            <w:iCs/>
            <w:color w:val="000000" w:themeColor="text1"/>
            <w:sz w:val="24"/>
            <w:szCs w:val="24"/>
            <w:u w:val="none"/>
            <w:lang w:val="en-US"/>
          </w:rPr>
          <w:t>mailteor@mail.ru</w:t>
        </w:r>
      </w:hyperlink>
    </w:p>
    <w:p w:rsidR="00CE3128" w:rsidRDefault="00CE3128" w:rsidP="00CE3128">
      <w:pPr>
        <w:tabs>
          <w:tab w:val="left" w:pos="2925"/>
        </w:tabs>
        <w:jc w:val="right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</w:p>
    <w:p w:rsidR="00CE3128" w:rsidRPr="006A5F25" w:rsidRDefault="00CE3128" w:rsidP="006A5F25">
      <w:pPr>
        <w:tabs>
          <w:tab w:val="left" w:pos="2925"/>
        </w:tabs>
        <w:jc w:val="right"/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CE3128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A.S. Budko, A.V. Rodin</w:t>
      </w:r>
    </w:p>
    <w:p w:rsidR="00CE3128" w:rsidRPr="00CE3128" w:rsidRDefault="00CE3128" w:rsidP="00CE312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CE312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METHODOLOGICAL RECOMMENDATIONS FOR THE DEVELOPMENT OF A </w:t>
      </w:r>
      <w:r w:rsidR="00A317E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REGIONAL </w:t>
      </w:r>
      <w:r w:rsidRPr="00CE3128">
        <w:rPr>
          <w:rFonts w:ascii="Times New Roman" w:hAnsi="Times New Roman" w:cs="Times New Roman"/>
          <w:b/>
          <w:bCs/>
          <w:sz w:val="24"/>
          <w:szCs w:val="24"/>
          <w:lang w:val="en-US"/>
        </w:rPr>
        <w:t>DIGITAL STRATEGY</w:t>
      </w:r>
    </w:p>
    <w:p w:rsidR="00CE3128" w:rsidRPr="00CE3128" w:rsidRDefault="00CE3128" w:rsidP="00CE3128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</w:pPr>
    </w:p>
    <w:p w:rsidR="00CE3128" w:rsidRPr="00CE3128" w:rsidRDefault="00CE3128" w:rsidP="00CE312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E3128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Pr="00CE312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The article presents methodological recommendations for creating a digital strategy for the region. The main stages of the strategy implementation are considered. The key performance indicators for assessing the digital transformation of the region are presented.</w:t>
      </w:r>
    </w:p>
    <w:p w:rsidR="00CE3128" w:rsidRDefault="00CE3128" w:rsidP="00CE312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CE3128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CE3128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digitalization, digital transformation, strategy, digital maturity.</w:t>
      </w:r>
    </w:p>
    <w:p w:rsidR="00DD3683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D3683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696B56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934086" w:rsidRDefault="0060254B" w:rsidP="00934086">
      <w:pPr>
        <w:pStyle w:val="a3"/>
        <w:numPr>
          <w:ilvl w:val="0"/>
          <w:numId w:val="6"/>
        </w:numPr>
        <w:tabs>
          <w:tab w:val="left" w:pos="1134"/>
          <w:tab w:val="left" w:pos="2925"/>
        </w:tabs>
        <w:spacing w:after="0" w:line="240" w:lineRule="auto"/>
        <w:ind w:left="57"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Rodin A.V.,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Tamov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 A.,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Babichev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K. N. Digital-the value of a digital product as a resource for sustainable economic development // Bulletin of the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Adygeya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State University. Series 5 "Economics": Scientific Journal-No. 1 (255). -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Maykop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: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Adyghe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State University. - 2020. </w:t>
      </w:r>
      <w:r w:rsidR="00934086" w:rsidRPr="00934086">
        <w:rPr>
          <w:rFonts w:ascii="Times New Roman" w:hAnsi="Times New Roman" w:cs="Times New Roman"/>
          <w:bCs/>
          <w:sz w:val="24"/>
          <w:szCs w:val="24"/>
          <w:lang w:val="en-US"/>
        </w:rPr>
        <w:t>–</w:t>
      </w:r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p</w:t>
      </w:r>
      <w:r w:rsidR="00934086"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p. </w:t>
      </w:r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75-83. </w:t>
      </w:r>
    </w:p>
    <w:p w:rsidR="00934086" w:rsidRPr="0060254B" w:rsidRDefault="00934086" w:rsidP="00934086">
      <w:pPr>
        <w:pStyle w:val="a3"/>
        <w:numPr>
          <w:ilvl w:val="0"/>
          <w:numId w:val="6"/>
        </w:numPr>
        <w:tabs>
          <w:tab w:val="left" w:pos="1134"/>
          <w:tab w:val="left" w:pos="2925"/>
        </w:tabs>
        <w:spacing w:after="0" w:line="240" w:lineRule="auto"/>
        <w:ind w:left="57"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proofErr w:type="spell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Abdrakhmanova</w:t>
      </w:r>
      <w:proofErr w:type="spell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G. I. Indicators of the digital economy: 2020: statistical collection / G. I. </w:t>
      </w:r>
      <w:proofErr w:type="spell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Abdrakhmanova</w:t>
      </w:r>
      <w:proofErr w:type="spell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K. O. </w:t>
      </w:r>
      <w:proofErr w:type="spell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Vishnevsky</w:t>
      </w:r>
      <w:proofErr w:type="spell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L. M. </w:t>
      </w:r>
      <w:proofErr w:type="spell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Gokhberg</w:t>
      </w:r>
      <w:proofErr w:type="spell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et al.; </w:t>
      </w:r>
      <w:proofErr w:type="spell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Nats</w:t>
      </w:r>
      <w:proofErr w:type="spell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gram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research</w:t>
      </w:r>
      <w:proofErr w:type="gram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. </w:t>
      </w:r>
      <w:proofErr w:type="gram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un-t</w:t>
      </w:r>
      <w:proofErr w:type="gram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I60 "Higher </w:t>
      </w:r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lastRenderedPageBreak/>
        <w:t xml:space="preserve">School of Economics". - Moscow: HSE, 2020 – - 360s – - 300 copies – - ISBN 978-5-7598-2194-6 (in the region) URL: https://issek.hse.ru/mirror/pubs/share/387609461.PDF (accessed 12.06.2021). - </w:t>
      </w:r>
      <w:proofErr w:type="gramStart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>Text :</w:t>
      </w:r>
      <w:proofErr w:type="gramEnd"/>
      <w:r w:rsidRPr="0060254B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electronic.</w:t>
      </w:r>
    </w:p>
    <w:p w:rsidR="0060254B" w:rsidRPr="00934086" w:rsidRDefault="0060254B" w:rsidP="00934086">
      <w:pPr>
        <w:pStyle w:val="a3"/>
        <w:numPr>
          <w:ilvl w:val="0"/>
          <w:numId w:val="6"/>
        </w:numPr>
        <w:tabs>
          <w:tab w:val="left" w:pos="1134"/>
          <w:tab w:val="left" w:pos="2925"/>
        </w:tabs>
        <w:spacing w:after="0" w:line="240" w:lineRule="auto"/>
        <w:ind w:left="57"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Rodin A.V., </w:t>
      </w:r>
      <w:proofErr w:type="spellStart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>Budko</w:t>
      </w:r>
      <w:proofErr w:type="spellEnd"/>
      <w:r w:rsidRPr="00934086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A. S. Methodological approaches to assessing the value of the IT value of a digital product // Economics: theory and practice: a scientific and practical journal. 2020. No. 3 (250). pp. 60-66.</w:t>
      </w:r>
    </w:p>
    <w:p w:rsidR="00DD3683" w:rsidRPr="00DD3683" w:rsidRDefault="00DD3683" w:rsidP="00934086">
      <w:pPr>
        <w:tabs>
          <w:tab w:val="left" w:pos="1134"/>
          <w:tab w:val="left" w:pos="2925"/>
        </w:tabs>
        <w:spacing w:after="0" w:line="240" w:lineRule="auto"/>
        <w:ind w:left="57" w:firstLine="709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2. Research division of the </w:t>
      </w:r>
      <w:proofErr w:type="spellStart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>InfraONE</w:t>
      </w:r>
      <w:proofErr w:type="spellEnd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Group of Companies "Investment in infrastructure. Information Technologies". 2020. - URL: https://roscongress.org/upload/medialibrary/d0f/017_Investitsii-v-infrastrukturu.-Informatsionnye-tekhnologii.pdf (accessed 14.06.2021). - </w:t>
      </w:r>
      <w:proofErr w:type="gramStart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>Text :</w:t>
      </w:r>
      <w:proofErr w:type="gramEnd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 electronic.</w:t>
      </w:r>
    </w:p>
    <w:p w:rsidR="00DD3683" w:rsidRPr="00DD3683" w:rsidRDefault="00DD3683" w:rsidP="00934086">
      <w:pPr>
        <w:tabs>
          <w:tab w:val="left" w:pos="1134"/>
          <w:tab w:val="left" w:pos="2925"/>
        </w:tabs>
        <w:spacing w:after="0" w:line="240" w:lineRule="auto"/>
        <w:ind w:left="57" w:firstLine="709"/>
        <w:contextualSpacing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3. </w:t>
      </w:r>
      <w:proofErr w:type="spellStart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>Kolodnyaya</w:t>
      </w:r>
      <w:proofErr w:type="spellEnd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 xml:space="preserve">, G. V. Digital economy: features of development in Russia / G. V. </w:t>
      </w:r>
      <w:proofErr w:type="spellStart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>Kolodnyaya</w:t>
      </w:r>
      <w:proofErr w:type="spellEnd"/>
      <w:r w:rsidRPr="00DD3683">
        <w:rPr>
          <w:rFonts w:ascii="Times New Roman" w:hAnsi="Times New Roman" w:cs="Times New Roman"/>
          <w:bCs/>
          <w:sz w:val="24"/>
          <w:szCs w:val="24"/>
          <w:lang w:val="en-US"/>
        </w:rPr>
        <w:t>; Economist: 2018, No. 4. pp. 63-69. - Text: direct.</w:t>
      </w:r>
    </w:p>
    <w:p w:rsidR="00DD3683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D3683" w:rsidRPr="000075C5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075C5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DD3683" w:rsidRPr="000075C5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075C5">
        <w:rPr>
          <w:rFonts w:ascii="Times New Roman" w:hAnsi="Times New Roman" w:cs="Times New Roman"/>
          <w:sz w:val="24"/>
          <w:szCs w:val="24"/>
          <w:lang w:val="en-US"/>
        </w:rPr>
        <w:t>Budko</w:t>
      </w:r>
      <w:proofErr w:type="spellEnd"/>
      <w:r w:rsidRPr="000075C5">
        <w:rPr>
          <w:rFonts w:ascii="Times New Roman" w:hAnsi="Times New Roman" w:cs="Times New Roman"/>
          <w:sz w:val="24"/>
          <w:szCs w:val="24"/>
          <w:lang w:val="en-US"/>
        </w:rPr>
        <w:t xml:space="preserve"> Anna </w:t>
      </w:r>
      <w:proofErr w:type="spellStart"/>
      <w:r w:rsidRPr="000075C5">
        <w:rPr>
          <w:rFonts w:ascii="Times New Roman" w:hAnsi="Times New Roman" w:cs="Times New Roman"/>
          <w:sz w:val="24"/>
          <w:szCs w:val="24"/>
          <w:lang w:val="en-US"/>
        </w:rPr>
        <w:t>Sergeevna</w:t>
      </w:r>
      <w:proofErr w:type="spellEnd"/>
      <w:r w:rsidRPr="000075C5">
        <w:rPr>
          <w:rFonts w:ascii="Times New Roman" w:hAnsi="Times New Roman" w:cs="Times New Roman"/>
          <w:sz w:val="24"/>
          <w:szCs w:val="24"/>
          <w:lang w:val="en-US"/>
        </w:rPr>
        <w:t xml:space="preserve"> (Russia, Krasnodar) </w:t>
      </w:r>
      <w:r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0075C5">
        <w:rPr>
          <w:rFonts w:ascii="Times New Roman" w:hAnsi="Times New Roman" w:cs="Times New Roman"/>
          <w:sz w:val="24"/>
          <w:szCs w:val="24"/>
          <w:lang w:val="en-US"/>
        </w:rPr>
        <w:t xml:space="preserve"> 2</w:t>
      </w:r>
      <w:r>
        <w:rPr>
          <w:rFonts w:ascii="Times New Roman" w:hAnsi="Times New Roman" w:cs="Times New Roman"/>
          <w:sz w:val="24"/>
          <w:szCs w:val="24"/>
          <w:lang w:val="en-US"/>
        </w:rPr>
        <w:t>nd</w:t>
      </w:r>
      <w:r w:rsidRPr="000075C5">
        <w:rPr>
          <w:rFonts w:ascii="Times New Roman" w:hAnsi="Times New Roman" w:cs="Times New Roman"/>
          <w:sz w:val="24"/>
          <w:szCs w:val="24"/>
          <w:lang w:val="en-US"/>
        </w:rPr>
        <w:t xml:space="preserve"> year master's student, Kuban State University, 350040, Krasnodar, Stavropol str., 149, annabudko81@gmail.com</w:t>
      </w:r>
    </w:p>
    <w:p w:rsidR="00DD3683" w:rsidRPr="000075C5" w:rsidRDefault="00DD3683" w:rsidP="00DD3683">
      <w:pPr>
        <w:tabs>
          <w:tab w:val="left" w:pos="2925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75C5">
        <w:rPr>
          <w:rFonts w:ascii="Times New Roman" w:hAnsi="Times New Roman" w:cs="Times New Roman"/>
          <w:sz w:val="24"/>
          <w:szCs w:val="24"/>
          <w:lang w:val="en-US"/>
        </w:rPr>
        <w:t xml:space="preserve">Rodin Alexander </w:t>
      </w:r>
      <w:proofErr w:type="spellStart"/>
      <w:r w:rsidRPr="000075C5">
        <w:rPr>
          <w:rFonts w:ascii="Times New Roman" w:hAnsi="Times New Roman" w:cs="Times New Roman"/>
          <w:sz w:val="24"/>
          <w:szCs w:val="24"/>
          <w:lang w:val="en-US"/>
        </w:rPr>
        <w:t>Vasilievich</w:t>
      </w:r>
      <w:proofErr w:type="spellEnd"/>
      <w:r w:rsidRPr="000075C5">
        <w:rPr>
          <w:rFonts w:ascii="Times New Roman" w:hAnsi="Times New Roman" w:cs="Times New Roman"/>
          <w:sz w:val="24"/>
          <w:szCs w:val="24"/>
          <w:lang w:val="en-US"/>
        </w:rPr>
        <w:t>, PhD in Economics, associate Professor, head of the Department of organization and planning of local development, Kuban State University, 350040 Krasnodar, St. Stavropol, 149 mailteor@mail.ru</w:t>
      </w:r>
    </w:p>
    <w:p w:rsidR="00DD3683" w:rsidRPr="00DD3683" w:rsidRDefault="00DD3683" w:rsidP="00DD3683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i/>
          <w:iCs/>
          <w:sz w:val="24"/>
          <w:szCs w:val="24"/>
          <w:lang w:val="en-US"/>
        </w:rPr>
      </w:pPr>
    </w:p>
    <w:sectPr w:rsidR="00DD3683" w:rsidRPr="00DD3683" w:rsidSect="006364C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B16D5"/>
    <w:multiLevelType w:val="hybridMultilevel"/>
    <w:tmpl w:val="393C08EA"/>
    <w:lvl w:ilvl="0" w:tplc="656E82B0">
      <w:start w:val="1"/>
      <w:numFmt w:val="decimal"/>
      <w:lvlText w:val="%1."/>
      <w:lvlJc w:val="left"/>
      <w:pPr>
        <w:ind w:left="1669" w:hanging="9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532398E"/>
    <w:multiLevelType w:val="hybridMultilevel"/>
    <w:tmpl w:val="A8AAEE08"/>
    <w:lvl w:ilvl="0" w:tplc="5302F654">
      <w:start w:val="1"/>
      <w:numFmt w:val="decimal"/>
      <w:lvlText w:val="%1."/>
      <w:lvlJc w:val="left"/>
      <w:pPr>
        <w:ind w:left="900" w:hanging="54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383780E"/>
    <w:multiLevelType w:val="hybridMultilevel"/>
    <w:tmpl w:val="E9B2FAE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373E04E7"/>
    <w:multiLevelType w:val="hybridMultilevel"/>
    <w:tmpl w:val="98EE73CC"/>
    <w:lvl w:ilvl="0" w:tplc="F77C1BD4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449377FC"/>
    <w:multiLevelType w:val="hybridMultilevel"/>
    <w:tmpl w:val="FFE83074"/>
    <w:lvl w:ilvl="0" w:tplc="B4243F12">
      <w:start w:val="1"/>
      <w:numFmt w:val="decimal"/>
      <w:lvlText w:val="%1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6CDA2E2B"/>
    <w:multiLevelType w:val="hybridMultilevel"/>
    <w:tmpl w:val="DFD8F660"/>
    <w:lvl w:ilvl="0" w:tplc="F77C1BD4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80D1D"/>
    <w:rsid w:val="00283103"/>
    <w:rsid w:val="0060254B"/>
    <w:rsid w:val="006364C5"/>
    <w:rsid w:val="006A5F25"/>
    <w:rsid w:val="00934086"/>
    <w:rsid w:val="009517B4"/>
    <w:rsid w:val="00A317E8"/>
    <w:rsid w:val="00A80D1D"/>
    <w:rsid w:val="00B628BE"/>
    <w:rsid w:val="00BD019B"/>
    <w:rsid w:val="00CE3128"/>
    <w:rsid w:val="00DD3683"/>
    <w:rsid w:val="00F64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8B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ПАРАГРАФ,Абзац списка для документа"/>
    <w:basedOn w:val="a"/>
    <w:link w:val="a4"/>
    <w:uiPriority w:val="34"/>
    <w:qFormat/>
    <w:rsid w:val="00F642F6"/>
    <w:pPr>
      <w:ind w:left="720"/>
      <w:contextualSpacing/>
    </w:pPr>
  </w:style>
  <w:style w:type="character" w:customStyle="1" w:styleId="a4">
    <w:name w:val="Абзац списка Знак"/>
    <w:aliases w:val="ПАРАГРАФ Знак,Абзац списка для документа Знак"/>
    <w:link w:val="a3"/>
    <w:uiPriority w:val="34"/>
    <w:locked/>
    <w:rsid w:val="00F642F6"/>
  </w:style>
  <w:style w:type="table" w:styleId="a5">
    <w:name w:val="Table Grid"/>
    <w:basedOn w:val="a1"/>
    <w:uiPriority w:val="39"/>
    <w:rsid w:val="00F642F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CE3128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E3128"/>
    <w:rPr>
      <w:color w:val="605E5C"/>
      <w:shd w:val="clear" w:color="auto" w:fill="E1DFDD"/>
    </w:rPr>
  </w:style>
  <w:style w:type="paragraph" w:styleId="a7">
    <w:name w:val="Balloon Text"/>
    <w:basedOn w:val="a"/>
    <w:link w:val="a8"/>
    <w:uiPriority w:val="99"/>
    <w:semiHidden/>
    <w:unhideWhenUsed/>
    <w:rsid w:val="00636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64C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QuickStyle" Target="diagrams/quickStyle1.xml"/><Relationship Id="rId13" Type="http://schemas.openxmlformats.org/officeDocument/2006/relationships/diagramQuickStyle" Target="diagrams/quickStyle2.xml"/><Relationship Id="rId18" Type="http://schemas.openxmlformats.org/officeDocument/2006/relationships/hyperlink" Target="mailto:annabudko81@gmail.com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diagramLayout" Target="diagrams/layout1.xml"/><Relationship Id="rId12" Type="http://schemas.openxmlformats.org/officeDocument/2006/relationships/diagramLayout" Target="diagrams/layout2.xml"/><Relationship Id="rId17" Type="http://schemas.openxmlformats.org/officeDocument/2006/relationships/hyperlink" Target="https://roscongress.org/upload/medialibrary/d0f/017_Investitsii-v-infrastrukturu.-Informatsionnye-tekhnologii.pdf%20(&#1076;&#1072;&#1090;&#1072;%20&#1086;&#1073;&#1088;&#1072;&#1097;&#1077;&#1085;&#1080;&#1103;%2014.06.2021).%2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issek.hse.ru/mirror/pubs/share/387609461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diagramData" Target="diagrams/data1.xml"/><Relationship Id="rId11" Type="http://schemas.openxmlformats.org/officeDocument/2006/relationships/diagramData" Target="diagrams/data2.xml"/><Relationship Id="rId5" Type="http://schemas.openxmlformats.org/officeDocument/2006/relationships/webSettings" Target="webSettings.xml"/><Relationship Id="rId15" Type="http://schemas.microsoft.com/office/2007/relationships/diagramDrawing" Target="diagrams/drawing2.xml"/><Relationship Id="rId10" Type="http://schemas.microsoft.com/office/2007/relationships/diagramDrawing" Target="diagrams/drawing1.xml"/><Relationship Id="rId19" Type="http://schemas.openxmlformats.org/officeDocument/2006/relationships/hyperlink" Target="mailto:mailteor@mail.ru" TargetMode="External"/><Relationship Id="rId4" Type="http://schemas.openxmlformats.org/officeDocument/2006/relationships/settings" Target="settings.xml"/><Relationship Id="rId9" Type="http://schemas.openxmlformats.org/officeDocument/2006/relationships/diagramColors" Target="diagrams/colors1.xml"/><Relationship Id="rId14" Type="http://schemas.openxmlformats.org/officeDocument/2006/relationships/diagramColors" Target="diagrams/colors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2AFC49C-BBF3-456E-846A-B12124312863}" type="doc">
      <dgm:prSet loTypeId="urn:microsoft.com/office/officeart/2005/8/layout/list1" loCatId="list" qsTypeId="urn:microsoft.com/office/officeart/2005/8/quickstyle/3d1" qsCatId="3D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B68EC383-90C7-4973-9C76-AABF346BFBE7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характеристика текущего состояния цифровой трансформации </a:t>
          </a:r>
        </a:p>
      </dgm:t>
    </dgm:pt>
    <dgm:pt modelId="{CD814033-782B-428F-A370-69ECB5F05BA0}" type="parTrans" cxnId="{03FD7276-1336-4D57-B3FD-B232C4AD597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F70B597-7514-499E-93E6-6D8D6D6B0D4F}" type="sibTrans" cxnId="{03FD7276-1336-4D57-B3FD-B232C4AD597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82CE142-87EC-431E-A1D7-07DBCFE1A31A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целевое видение цифровой трансформации региона </a:t>
          </a:r>
        </a:p>
      </dgm:t>
    </dgm:pt>
    <dgm:pt modelId="{9A73A7B4-FFA3-4043-B231-0D354A24018D}" type="parTrans" cxnId="{A79369C8-F718-4CD1-AA2A-A2BEB0BBCCF7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6BF58D2-95A7-4350-93B0-1FD22525C1CE}" type="sibTrans" cxnId="{A79369C8-F718-4CD1-AA2A-A2BEB0BBCCF7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10C5DE6-1576-4FC4-A4A1-B76F98EB1384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перспективы цифровой трансформации региона </a:t>
          </a:r>
        </a:p>
      </dgm:t>
    </dgm:pt>
    <dgm:pt modelId="{D0D2EEFA-85BE-43EA-9876-B72198B24A7C}" type="parTrans" cxnId="{3AC47A67-ABD3-4C6D-B1FF-34EE6CA2C6D3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B123718-E80D-4E3A-951E-A3227D4A669F}" type="sibTrans" cxnId="{3AC47A67-ABD3-4C6D-B1FF-34EE6CA2C6D3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F256451-BDEB-4B0D-B8DF-2E31AD515B4E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кадры и культура цифровой трансформации</a:t>
          </a:r>
        </a:p>
      </dgm:t>
    </dgm:pt>
    <dgm:pt modelId="{F10421FE-E8D5-4898-A710-AA1C2D94A7BC}" type="parTrans" cxnId="{FB9137E5-6591-4EB4-83EA-C446391C157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92F52E8-82E3-4D36-9DAB-FE93F5C0E971}" type="sibTrans" cxnId="{FB9137E5-6591-4EB4-83EA-C446391C157D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BD25118-0F32-4A9E-8A83-20A2BF19F16E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финансирования реализации стратегии </a:t>
          </a:r>
        </a:p>
      </dgm:t>
    </dgm:pt>
    <dgm:pt modelId="{86FA5361-DA4F-4542-8DBC-BF4EE7168F84}" type="parTrans" cxnId="{9357253A-7B84-407F-8CA1-79458BF6488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C731AD7-B9E0-4D39-AFB3-9F3CBF00D85C}" type="sibTrans" cxnId="{9357253A-7B84-407F-8CA1-79458BF6488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D3219F6-30A6-4A66-AE3A-F98BE42B2AC9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управления цифровой трансформацией региона </a:t>
          </a:r>
        </a:p>
      </dgm:t>
    </dgm:pt>
    <dgm:pt modelId="{A9433DD4-78DB-48FB-AF02-39D8D1B0A55F}" type="parTrans" cxnId="{D4D834E7-BB15-41FC-87B2-43A16C68FE8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9CF44CD-3872-4C9E-AE55-E01DA6327AD3}" type="sibTrans" cxnId="{D4D834E7-BB15-41FC-87B2-43A16C68FE80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F0E4EB2-7F89-4D96-AE23-8B2C907A1371}" type="pres">
      <dgm:prSet presAssocID="{F2AFC49C-BBF3-456E-846A-B12124312863}" presName="linear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179FCBE2-CEE3-4A27-BBE0-49A118B2486A}" type="pres">
      <dgm:prSet presAssocID="{B68EC383-90C7-4973-9C76-AABF346BFBE7}" presName="parentLin" presStyleCnt="0"/>
      <dgm:spPr/>
    </dgm:pt>
    <dgm:pt modelId="{4FC2D09E-E417-4CB1-93FE-8A199948AFAB}" type="pres">
      <dgm:prSet presAssocID="{B68EC383-90C7-4973-9C76-AABF346BFBE7}" presName="parentLeftMargin" presStyleLbl="node1" presStyleIdx="0" presStyleCnt="6"/>
      <dgm:spPr/>
      <dgm:t>
        <a:bodyPr/>
        <a:lstStyle/>
        <a:p>
          <a:endParaRPr lang="ru-RU"/>
        </a:p>
      </dgm:t>
    </dgm:pt>
    <dgm:pt modelId="{EFAC9C3A-9D5D-4C34-BDE5-EFF2C026A1A1}" type="pres">
      <dgm:prSet presAssocID="{B68EC383-90C7-4973-9C76-AABF346BFBE7}" presName="parentText" presStyleLbl="node1" presStyleIdx="0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9F3D6E1-2748-4A28-A3EC-4756A7454A47}" type="pres">
      <dgm:prSet presAssocID="{B68EC383-90C7-4973-9C76-AABF346BFBE7}" presName="negativeSpace" presStyleCnt="0"/>
      <dgm:spPr/>
    </dgm:pt>
    <dgm:pt modelId="{E16F2F01-17A9-4731-8E2F-BC7EB73CC23D}" type="pres">
      <dgm:prSet presAssocID="{B68EC383-90C7-4973-9C76-AABF346BFBE7}" presName="childText" presStyleLbl="conFgAcc1" presStyleIdx="0" presStyleCnt="6">
        <dgm:presLayoutVars>
          <dgm:bulletEnabled val="1"/>
        </dgm:presLayoutVars>
      </dgm:prSet>
      <dgm:spPr/>
    </dgm:pt>
    <dgm:pt modelId="{1224E108-B6FF-444A-A2F7-59DF883B0282}" type="pres">
      <dgm:prSet presAssocID="{AF70B597-7514-499E-93E6-6D8D6D6B0D4F}" presName="spaceBetweenRectangles" presStyleCnt="0"/>
      <dgm:spPr/>
    </dgm:pt>
    <dgm:pt modelId="{0F56AE3E-00BE-4B3F-8322-0D887FFFB9D7}" type="pres">
      <dgm:prSet presAssocID="{E82CE142-87EC-431E-A1D7-07DBCFE1A31A}" presName="parentLin" presStyleCnt="0"/>
      <dgm:spPr/>
    </dgm:pt>
    <dgm:pt modelId="{C305E48F-2BC8-4464-940C-CDF788122D53}" type="pres">
      <dgm:prSet presAssocID="{E82CE142-87EC-431E-A1D7-07DBCFE1A31A}" presName="parentLeftMargin" presStyleLbl="node1" presStyleIdx="0" presStyleCnt="6"/>
      <dgm:spPr/>
      <dgm:t>
        <a:bodyPr/>
        <a:lstStyle/>
        <a:p>
          <a:endParaRPr lang="ru-RU"/>
        </a:p>
      </dgm:t>
    </dgm:pt>
    <dgm:pt modelId="{A7D43464-9AE8-4EE4-A228-F71B89B3751D}" type="pres">
      <dgm:prSet presAssocID="{E82CE142-87EC-431E-A1D7-07DBCFE1A31A}" presName="parentText" presStyleLbl="node1" presStyleIdx="1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92CB99C-EE52-4C47-9E05-ACB57FFBF3C6}" type="pres">
      <dgm:prSet presAssocID="{E82CE142-87EC-431E-A1D7-07DBCFE1A31A}" presName="negativeSpace" presStyleCnt="0"/>
      <dgm:spPr/>
    </dgm:pt>
    <dgm:pt modelId="{9A3D9AE9-CA50-48A1-9B18-D0EC9F4A6538}" type="pres">
      <dgm:prSet presAssocID="{E82CE142-87EC-431E-A1D7-07DBCFE1A31A}" presName="childText" presStyleLbl="conFgAcc1" presStyleIdx="1" presStyleCnt="6">
        <dgm:presLayoutVars>
          <dgm:bulletEnabled val="1"/>
        </dgm:presLayoutVars>
      </dgm:prSet>
      <dgm:spPr/>
    </dgm:pt>
    <dgm:pt modelId="{C9A85A62-5D1C-4A4D-A3AE-6FC8DB9AD4BE}" type="pres">
      <dgm:prSet presAssocID="{56BF58D2-95A7-4350-93B0-1FD22525C1CE}" presName="spaceBetweenRectangles" presStyleCnt="0"/>
      <dgm:spPr/>
    </dgm:pt>
    <dgm:pt modelId="{A339C666-2A53-4B55-8578-9DB5523630AD}" type="pres">
      <dgm:prSet presAssocID="{9F256451-BDEB-4B0D-B8DF-2E31AD515B4E}" presName="parentLin" presStyleCnt="0"/>
      <dgm:spPr/>
    </dgm:pt>
    <dgm:pt modelId="{7F761DBC-27DB-4D2F-90EE-CE9143979E7F}" type="pres">
      <dgm:prSet presAssocID="{9F256451-BDEB-4B0D-B8DF-2E31AD515B4E}" presName="parentLeftMargin" presStyleLbl="node1" presStyleIdx="1" presStyleCnt="6"/>
      <dgm:spPr/>
      <dgm:t>
        <a:bodyPr/>
        <a:lstStyle/>
        <a:p>
          <a:endParaRPr lang="ru-RU"/>
        </a:p>
      </dgm:t>
    </dgm:pt>
    <dgm:pt modelId="{F9FE0FD3-4225-49CC-AE2D-9D0913386407}" type="pres">
      <dgm:prSet presAssocID="{9F256451-BDEB-4B0D-B8DF-2E31AD515B4E}" presName="parentText" presStyleLbl="node1" presStyleIdx="2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42E3A9D-FFAF-4F31-8562-9671EB3661F7}" type="pres">
      <dgm:prSet presAssocID="{9F256451-BDEB-4B0D-B8DF-2E31AD515B4E}" presName="negativeSpace" presStyleCnt="0"/>
      <dgm:spPr/>
    </dgm:pt>
    <dgm:pt modelId="{91C842F6-D8AA-4605-9E75-7456E39C3547}" type="pres">
      <dgm:prSet presAssocID="{9F256451-BDEB-4B0D-B8DF-2E31AD515B4E}" presName="childText" presStyleLbl="conFgAcc1" presStyleIdx="2" presStyleCnt="6">
        <dgm:presLayoutVars>
          <dgm:bulletEnabled val="1"/>
        </dgm:presLayoutVars>
      </dgm:prSet>
      <dgm:spPr/>
    </dgm:pt>
    <dgm:pt modelId="{196F622E-2BC6-458F-8F22-4AEC89584669}" type="pres">
      <dgm:prSet presAssocID="{A92F52E8-82E3-4D36-9DAB-FE93F5C0E971}" presName="spaceBetweenRectangles" presStyleCnt="0"/>
      <dgm:spPr/>
    </dgm:pt>
    <dgm:pt modelId="{C21CAD70-0CE6-4BEB-B766-E0D2140D1878}" type="pres">
      <dgm:prSet presAssocID="{BBD25118-0F32-4A9E-8A83-20A2BF19F16E}" presName="parentLin" presStyleCnt="0"/>
      <dgm:spPr/>
    </dgm:pt>
    <dgm:pt modelId="{B53B1905-86A9-431B-BA3D-AC184677837F}" type="pres">
      <dgm:prSet presAssocID="{BBD25118-0F32-4A9E-8A83-20A2BF19F16E}" presName="parentLeftMargin" presStyleLbl="node1" presStyleIdx="2" presStyleCnt="6"/>
      <dgm:spPr/>
      <dgm:t>
        <a:bodyPr/>
        <a:lstStyle/>
        <a:p>
          <a:endParaRPr lang="ru-RU"/>
        </a:p>
      </dgm:t>
    </dgm:pt>
    <dgm:pt modelId="{6F562176-F24B-4730-B12A-671EC9FF742D}" type="pres">
      <dgm:prSet presAssocID="{BBD25118-0F32-4A9E-8A83-20A2BF19F16E}" presName="parentText" presStyleLbl="node1" presStyleIdx="3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2DCD91E-0F52-4097-88BC-BFBE2175F56D}" type="pres">
      <dgm:prSet presAssocID="{BBD25118-0F32-4A9E-8A83-20A2BF19F16E}" presName="negativeSpace" presStyleCnt="0"/>
      <dgm:spPr/>
    </dgm:pt>
    <dgm:pt modelId="{44B660CC-34A9-4298-909E-52D2B21E7BD7}" type="pres">
      <dgm:prSet presAssocID="{BBD25118-0F32-4A9E-8A83-20A2BF19F16E}" presName="childText" presStyleLbl="conFgAcc1" presStyleIdx="3" presStyleCnt="6">
        <dgm:presLayoutVars>
          <dgm:bulletEnabled val="1"/>
        </dgm:presLayoutVars>
      </dgm:prSet>
      <dgm:spPr/>
    </dgm:pt>
    <dgm:pt modelId="{5316380E-DD28-4073-A875-9F2CC7F4D705}" type="pres">
      <dgm:prSet presAssocID="{9C731AD7-B9E0-4D39-AFB3-9F3CBF00D85C}" presName="spaceBetweenRectangles" presStyleCnt="0"/>
      <dgm:spPr/>
    </dgm:pt>
    <dgm:pt modelId="{8007AD2A-2CC0-4A9D-89EE-2BF5C7DAC0DA}" type="pres">
      <dgm:prSet presAssocID="{0D3219F6-30A6-4A66-AE3A-F98BE42B2AC9}" presName="parentLin" presStyleCnt="0"/>
      <dgm:spPr/>
    </dgm:pt>
    <dgm:pt modelId="{39BC0BFA-3658-44A5-BE5C-F091BF066420}" type="pres">
      <dgm:prSet presAssocID="{0D3219F6-30A6-4A66-AE3A-F98BE42B2AC9}" presName="parentLeftMargin" presStyleLbl="node1" presStyleIdx="3" presStyleCnt="6"/>
      <dgm:spPr/>
      <dgm:t>
        <a:bodyPr/>
        <a:lstStyle/>
        <a:p>
          <a:endParaRPr lang="ru-RU"/>
        </a:p>
      </dgm:t>
    </dgm:pt>
    <dgm:pt modelId="{9F1E8F0D-1CEF-48C8-80BC-9299F0A35099}" type="pres">
      <dgm:prSet presAssocID="{0D3219F6-30A6-4A66-AE3A-F98BE42B2AC9}" presName="parentText" presStyleLbl="node1" presStyleIdx="4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071A1A6-E686-41F2-B297-F7113EEEBC24}" type="pres">
      <dgm:prSet presAssocID="{0D3219F6-30A6-4A66-AE3A-F98BE42B2AC9}" presName="negativeSpace" presStyleCnt="0"/>
      <dgm:spPr/>
    </dgm:pt>
    <dgm:pt modelId="{D0C5C42E-DA47-4B40-9249-8F333D15F35D}" type="pres">
      <dgm:prSet presAssocID="{0D3219F6-30A6-4A66-AE3A-F98BE42B2AC9}" presName="childText" presStyleLbl="conFgAcc1" presStyleIdx="4" presStyleCnt="6">
        <dgm:presLayoutVars>
          <dgm:bulletEnabled val="1"/>
        </dgm:presLayoutVars>
      </dgm:prSet>
      <dgm:spPr/>
    </dgm:pt>
    <dgm:pt modelId="{A9ABE685-D3A6-4C8E-8FCB-96CBE90C14E5}" type="pres">
      <dgm:prSet presAssocID="{79CF44CD-3872-4C9E-AE55-E01DA6327AD3}" presName="spaceBetweenRectangles" presStyleCnt="0"/>
      <dgm:spPr/>
    </dgm:pt>
    <dgm:pt modelId="{6615EDC9-6DA9-4300-B267-176AB00A0BE5}" type="pres">
      <dgm:prSet presAssocID="{310C5DE6-1576-4FC4-A4A1-B76F98EB1384}" presName="parentLin" presStyleCnt="0"/>
      <dgm:spPr/>
    </dgm:pt>
    <dgm:pt modelId="{46AF6A16-82AD-4B45-86B9-92BF5F8B9B7D}" type="pres">
      <dgm:prSet presAssocID="{310C5DE6-1576-4FC4-A4A1-B76F98EB1384}" presName="parentLeftMargin" presStyleLbl="node1" presStyleIdx="4" presStyleCnt="6"/>
      <dgm:spPr/>
      <dgm:t>
        <a:bodyPr/>
        <a:lstStyle/>
        <a:p>
          <a:endParaRPr lang="ru-RU"/>
        </a:p>
      </dgm:t>
    </dgm:pt>
    <dgm:pt modelId="{51CB6D05-6124-4C2B-AC4B-07DA42D4BDB5}" type="pres">
      <dgm:prSet presAssocID="{310C5DE6-1576-4FC4-A4A1-B76F98EB1384}" presName="parentText" presStyleLbl="node1" presStyleIdx="5" presStyleCnt="6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E0B09FF-7C2E-4A72-8462-7BE0C4E76886}" type="pres">
      <dgm:prSet presAssocID="{310C5DE6-1576-4FC4-A4A1-B76F98EB1384}" presName="negativeSpace" presStyleCnt="0"/>
      <dgm:spPr/>
    </dgm:pt>
    <dgm:pt modelId="{B3DE2D34-5550-4002-8555-268D8DC63E88}" type="pres">
      <dgm:prSet presAssocID="{310C5DE6-1576-4FC4-A4A1-B76F98EB1384}" presName="childText" presStyleLbl="conFgAcc1" presStyleIdx="5" presStyleCnt="6">
        <dgm:presLayoutVars>
          <dgm:bulletEnabled val="1"/>
        </dgm:presLayoutVars>
      </dgm:prSet>
      <dgm:spPr/>
    </dgm:pt>
  </dgm:ptLst>
  <dgm:cxnLst>
    <dgm:cxn modelId="{D203CBFF-A82F-4BA7-8850-3A74932F7F3E}" type="presOf" srcId="{F2AFC49C-BBF3-456E-846A-B12124312863}" destId="{6F0E4EB2-7F89-4D96-AE23-8B2C907A1371}" srcOrd="0" destOrd="0" presId="urn:microsoft.com/office/officeart/2005/8/layout/list1"/>
    <dgm:cxn modelId="{D8CA5A38-9F64-4180-81E8-E247052E3028}" type="presOf" srcId="{BBD25118-0F32-4A9E-8A83-20A2BF19F16E}" destId="{6F562176-F24B-4730-B12A-671EC9FF742D}" srcOrd="1" destOrd="0" presId="urn:microsoft.com/office/officeart/2005/8/layout/list1"/>
    <dgm:cxn modelId="{30C427A5-66EA-4DB5-B3A0-0F741CF79255}" type="presOf" srcId="{BBD25118-0F32-4A9E-8A83-20A2BF19F16E}" destId="{B53B1905-86A9-431B-BA3D-AC184677837F}" srcOrd="0" destOrd="0" presId="urn:microsoft.com/office/officeart/2005/8/layout/list1"/>
    <dgm:cxn modelId="{3AC47A67-ABD3-4C6D-B1FF-34EE6CA2C6D3}" srcId="{F2AFC49C-BBF3-456E-846A-B12124312863}" destId="{310C5DE6-1576-4FC4-A4A1-B76F98EB1384}" srcOrd="5" destOrd="0" parTransId="{D0D2EEFA-85BE-43EA-9876-B72198B24A7C}" sibTransId="{BB123718-E80D-4E3A-951E-A3227D4A669F}"/>
    <dgm:cxn modelId="{325BC2EC-B5BF-441C-8686-8A56BE8D36A5}" type="presOf" srcId="{0D3219F6-30A6-4A66-AE3A-F98BE42B2AC9}" destId="{39BC0BFA-3658-44A5-BE5C-F091BF066420}" srcOrd="0" destOrd="0" presId="urn:microsoft.com/office/officeart/2005/8/layout/list1"/>
    <dgm:cxn modelId="{EB96AD90-845E-4565-91D2-76E5C24A02D4}" type="presOf" srcId="{B68EC383-90C7-4973-9C76-AABF346BFBE7}" destId="{4FC2D09E-E417-4CB1-93FE-8A199948AFAB}" srcOrd="0" destOrd="0" presId="urn:microsoft.com/office/officeart/2005/8/layout/list1"/>
    <dgm:cxn modelId="{0C6AD7E1-9C62-47CD-A320-9B9767822AB6}" type="presOf" srcId="{9F256451-BDEB-4B0D-B8DF-2E31AD515B4E}" destId="{F9FE0FD3-4225-49CC-AE2D-9D0913386407}" srcOrd="1" destOrd="0" presId="urn:microsoft.com/office/officeart/2005/8/layout/list1"/>
    <dgm:cxn modelId="{FB9137E5-6591-4EB4-83EA-C446391C157D}" srcId="{F2AFC49C-BBF3-456E-846A-B12124312863}" destId="{9F256451-BDEB-4B0D-B8DF-2E31AD515B4E}" srcOrd="2" destOrd="0" parTransId="{F10421FE-E8D5-4898-A710-AA1C2D94A7BC}" sibTransId="{A92F52E8-82E3-4D36-9DAB-FE93F5C0E971}"/>
    <dgm:cxn modelId="{9357253A-7B84-407F-8CA1-79458BF6488C}" srcId="{F2AFC49C-BBF3-456E-846A-B12124312863}" destId="{BBD25118-0F32-4A9E-8A83-20A2BF19F16E}" srcOrd="3" destOrd="0" parTransId="{86FA5361-DA4F-4542-8DBC-BF4EE7168F84}" sibTransId="{9C731AD7-B9E0-4D39-AFB3-9F3CBF00D85C}"/>
    <dgm:cxn modelId="{A79369C8-F718-4CD1-AA2A-A2BEB0BBCCF7}" srcId="{F2AFC49C-BBF3-456E-846A-B12124312863}" destId="{E82CE142-87EC-431E-A1D7-07DBCFE1A31A}" srcOrd="1" destOrd="0" parTransId="{9A73A7B4-FFA3-4043-B231-0D354A24018D}" sibTransId="{56BF58D2-95A7-4350-93B0-1FD22525C1CE}"/>
    <dgm:cxn modelId="{0B55F094-6464-4A40-A601-8E06B99729B7}" type="presOf" srcId="{9F256451-BDEB-4B0D-B8DF-2E31AD515B4E}" destId="{7F761DBC-27DB-4D2F-90EE-CE9143979E7F}" srcOrd="0" destOrd="0" presId="urn:microsoft.com/office/officeart/2005/8/layout/list1"/>
    <dgm:cxn modelId="{03FD7276-1336-4D57-B3FD-B232C4AD597B}" srcId="{F2AFC49C-BBF3-456E-846A-B12124312863}" destId="{B68EC383-90C7-4973-9C76-AABF346BFBE7}" srcOrd="0" destOrd="0" parTransId="{CD814033-782B-428F-A370-69ECB5F05BA0}" sibTransId="{AF70B597-7514-499E-93E6-6D8D6D6B0D4F}"/>
    <dgm:cxn modelId="{3DC40362-411E-49EB-A72E-4455D150F5F8}" type="presOf" srcId="{310C5DE6-1576-4FC4-A4A1-B76F98EB1384}" destId="{46AF6A16-82AD-4B45-86B9-92BF5F8B9B7D}" srcOrd="0" destOrd="0" presId="urn:microsoft.com/office/officeart/2005/8/layout/list1"/>
    <dgm:cxn modelId="{630F8B09-2679-49B6-956E-0723E0B5AC3D}" type="presOf" srcId="{B68EC383-90C7-4973-9C76-AABF346BFBE7}" destId="{EFAC9C3A-9D5D-4C34-BDE5-EFF2C026A1A1}" srcOrd="1" destOrd="0" presId="urn:microsoft.com/office/officeart/2005/8/layout/list1"/>
    <dgm:cxn modelId="{CF6F7478-AB3D-49EA-AA88-7EA78FE7F030}" type="presOf" srcId="{E82CE142-87EC-431E-A1D7-07DBCFE1A31A}" destId="{C305E48F-2BC8-4464-940C-CDF788122D53}" srcOrd="0" destOrd="0" presId="urn:microsoft.com/office/officeart/2005/8/layout/list1"/>
    <dgm:cxn modelId="{D4D834E7-BB15-41FC-87B2-43A16C68FE80}" srcId="{F2AFC49C-BBF3-456E-846A-B12124312863}" destId="{0D3219F6-30A6-4A66-AE3A-F98BE42B2AC9}" srcOrd="4" destOrd="0" parTransId="{A9433DD4-78DB-48FB-AF02-39D8D1B0A55F}" sibTransId="{79CF44CD-3872-4C9E-AE55-E01DA6327AD3}"/>
    <dgm:cxn modelId="{1CA2DB22-31D4-45D7-BA63-23EFA6603097}" type="presOf" srcId="{E82CE142-87EC-431E-A1D7-07DBCFE1A31A}" destId="{A7D43464-9AE8-4EE4-A228-F71B89B3751D}" srcOrd="1" destOrd="0" presId="urn:microsoft.com/office/officeart/2005/8/layout/list1"/>
    <dgm:cxn modelId="{9EB61502-04A5-4BD8-8E57-FD62566F0A8E}" type="presOf" srcId="{0D3219F6-30A6-4A66-AE3A-F98BE42B2AC9}" destId="{9F1E8F0D-1CEF-48C8-80BC-9299F0A35099}" srcOrd="1" destOrd="0" presId="urn:microsoft.com/office/officeart/2005/8/layout/list1"/>
    <dgm:cxn modelId="{A5F840EB-85D7-4765-B38C-2CB23A6ED0E6}" type="presOf" srcId="{310C5DE6-1576-4FC4-A4A1-B76F98EB1384}" destId="{51CB6D05-6124-4C2B-AC4B-07DA42D4BDB5}" srcOrd="1" destOrd="0" presId="urn:microsoft.com/office/officeart/2005/8/layout/list1"/>
    <dgm:cxn modelId="{186311A9-A022-40A5-A9D0-4866A6439FAB}" type="presParOf" srcId="{6F0E4EB2-7F89-4D96-AE23-8B2C907A1371}" destId="{179FCBE2-CEE3-4A27-BBE0-49A118B2486A}" srcOrd="0" destOrd="0" presId="urn:microsoft.com/office/officeart/2005/8/layout/list1"/>
    <dgm:cxn modelId="{A897CAF7-DAAA-482B-846C-616A2A797845}" type="presParOf" srcId="{179FCBE2-CEE3-4A27-BBE0-49A118B2486A}" destId="{4FC2D09E-E417-4CB1-93FE-8A199948AFAB}" srcOrd="0" destOrd="0" presId="urn:microsoft.com/office/officeart/2005/8/layout/list1"/>
    <dgm:cxn modelId="{601B9D2E-BFC0-4126-85BC-7F9536F18196}" type="presParOf" srcId="{179FCBE2-CEE3-4A27-BBE0-49A118B2486A}" destId="{EFAC9C3A-9D5D-4C34-BDE5-EFF2C026A1A1}" srcOrd="1" destOrd="0" presId="urn:microsoft.com/office/officeart/2005/8/layout/list1"/>
    <dgm:cxn modelId="{9DE2543C-EB08-4160-A4C0-1E1AF3FFDE17}" type="presParOf" srcId="{6F0E4EB2-7F89-4D96-AE23-8B2C907A1371}" destId="{89F3D6E1-2748-4A28-A3EC-4756A7454A47}" srcOrd="1" destOrd="0" presId="urn:microsoft.com/office/officeart/2005/8/layout/list1"/>
    <dgm:cxn modelId="{36BFBAD7-EDEC-454B-88CA-7E8087FF3578}" type="presParOf" srcId="{6F0E4EB2-7F89-4D96-AE23-8B2C907A1371}" destId="{E16F2F01-17A9-4731-8E2F-BC7EB73CC23D}" srcOrd="2" destOrd="0" presId="urn:microsoft.com/office/officeart/2005/8/layout/list1"/>
    <dgm:cxn modelId="{B485FB47-25D4-47B9-A49F-E3E75F26414D}" type="presParOf" srcId="{6F0E4EB2-7F89-4D96-AE23-8B2C907A1371}" destId="{1224E108-B6FF-444A-A2F7-59DF883B0282}" srcOrd="3" destOrd="0" presId="urn:microsoft.com/office/officeart/2005/8/layout/list1"/>
    <dgm:cxn modelId="{04ACDA85-94BA-4D3E-A67C-85F7AB6739F3}" type="presParOf" srcId="{6F0E4EB2-7F89-4D96-AE23-8B2C907A1371}" destId="{0F56AE3E-00BE-4B3F-8322-0D887FFFB9D7}" srcOrd="4" destOrd="0" presId="urn:microsoft.com/office/officeart/2005/8/layout/list1"/>
    <dgm:cxn modelId="{46D8B4B4-9083-4870-972A-300D9ABA9055}" type="presParOf" srcId="{0F56AE3E-00BE-4B3F-8322-0D887FFFB9D7}" destId="{C305E48F-2BC8-4464-940C-CDF788122D53}" srcOrd="0" destOrd="0" presId="urn:microsoft.com/office/officeart/2005/8/layout/list1"/>
    <dgm:cxn modelId="{ADADE43B-4269-459B-B3C9-7D307C00DF63}" type="presParOf" srcId="{0F56AE3E-00BE-4B3F-8322-0D887FFFB9D7}" destId="{A7D43464-9AE8-4EE4-A228-F71B89B3751D}" srcOrd="1" destOrd="0" presId="urn:microsoft.com/office/officeart/2005/8/layout/list1"/>
    <dgm:cxn modelId="{F4C562E2-BA1B-4E06-90A8-68AD8E8250E5}" type="presParOf" srcId="{6F0E4EB2-7F89-4D96-AE23-8B2C907A1371}" destId="{A92CB99C-EE52-4C47-9E05-ACB57FFBF3C6}" srcOrd="5" destOrd="0" presId="urn:microsoft.com/office/officeart/2005/8/layout/list1"/>
    <dgm:cxn modelId="{1F534D85-01A0-44D5-A1A8-ED9736C99AE1}" type="presParOf" srcId="{6F0E4EB2-7F89-4D96-AE23-8B2C907A1371}" destId="{9A3D9AE9-CA50-48A1-9B18-D0EC9F4A6538}" srcOrd="6" destOrd="0" presId="urn:microsoft.com/office/officeart/2005/8/layout/list1"/>
    <dgm:cxn modelId="{BE3A98E8-8516-4F47-990F-B2632816899B}" type="presParOf" srcId="{6F0E4EB2-7F89-4D96-AE23-8B2C907A1371}" destId="{C9A85A62-5D1C-4A4D-A3AE-6FC8DB9AD4BE}" srcOrd="7" destOrd="0" presId="urn:microsoft.com/office/officeart/2005/8/layout/list1"/>
    <dgm:cxn modelId="{3AA87C90-2714-4376-878E-D49B1F8A5274}" type="presParOf" srcId="{6F0E4EB2-7F89-4D96-AE23-8B2C907A1371}" destId="{A339C666-2A53-4B55-8578-9DB5523630AD}" srcOrd="8" destOrd="0" presId="urn:microsoft.com/office/officeart/2005/8/layout/list1"/>
    <dgm:cxn modelId="{B590CD84-B126-4A06-9F78-E20D5DB39E54}" type="presParOf" srcId="{A339C666-2A53-4B55-8578-9DB5523630AD}" destId="{7F761DBC-27DB-4D2F-90EE-CE9143979E7F}" srcOrd="0" destOrd="0" presId="urn:microsoft.com/office/officeart/2005/8/layout/list1"/>
    <dgm:cxn modelId="{68AC9770-9D35-4C8B-BC9F-20BD45FA6FAB}" type="presParOf" srcId="{A339C666-2A53-4B55-8578-9DB5523630AD}" destId="{F9FE0FD3-4225-49CC-AE2D-9D0913386407}" srcOrd="1" destOrd="0" presId="urn:microsoft.com/office/officeart/2005/8/layout/list1"/>
    <dgm:cxn modelId="{6D3507F7-ADC4-40EC-A81A-7A757BA065FE}" type="presParOf" srcId="{6F0E4EB2-7F89-4D96-AE23-8B2C907A1371}" destId="{542E3A9D-FFAF-4F31-8562-9671EB3661F7}" srcOrd="9" destOrd="0" presId="urn:microsoft.com/office/officeart/2005/8/layout/list1"/>
    <dgm:cxn modelId="{CD1CD3A1-BEAF-491F-B9E0-13005FA4A4CC}" type="presParOf" srcId="{6F0E4EB2-7F89-4D96-AE23-8B2C907A1371}" destId="{91C842F6-D8AA-4605-9E75-7456E39C3547}" srcOrd="10" destOrd="0" presId="urn:microsoft.com/office/officeart/2005/8/layout/list1"/>
    <dgm:cxn modelId="{5FE9BD4D-C53E-45D7-B3EA-DFA3C9CFCDA6}" type="presParOf" srcId="{6F0E4EB2-7F89-4D96-AE23-8B2C907A1371}" destId="{196F622E-2BC6-458F-8F22-4AEC89584669}" srcOrd="11" destOrd="0" presId="urn:microsoft.com/office/officeart/2005/8/layout/list1"/>
    <dgm:cxn modelId="{D4E01E0D-9106-4D4B-B697-240D509A48EB}" type="presParOf" srcId="{6F0E4EB2-7F89-4D96-AE23-8B2C907A1371}" destId="{C21CAD70-0CE6-4BEB-B766-E0D2140D1878}" srcOrd="12" destOrd="0" presId="urn:microsoft.com/office/officeart/2005/8/layout/list1"/>
    <dgm:cxn modelId="{30E4DDD1-B31B-4760-9825-044DE58E1A25}" type="presParOf" srcId="{C21CAD70-0CE6-4BEB-B766-E0D2140D1878}" destId="{B53B1905-86A9-431B-BA3D-AC184677837F}" srcOrd="0" destOrd="0" presId="urn:microsoft.com/office/officeart/2005/8/layout/list1"/>
    <dgm:cxn modelId="{F8F6C65F-270B-4FDB-A445-838D3BEEFB5D}" type="presParOf" srcId="{C21CAD70-0CE6-4BEB-B766-E0D2140D1878}" destId="{6F562176-F24B-4730-B12A-671EC9FF742D}" srcOrd="1" destOrd="0" presId="urn:microsoft.com/office/officeart/2005/8/layout/list1"/>
    <dgm:cxn modelId="{378334CE-A45A-4E7D-ACC9-959D4AEA9F42}" type="presParOf" srcId="{6F0E4EB2-7F89-4D96-AE23-8B2C907A1371}" destId="{42DCD91E-0F52-4097-88BC-BFBE2175F56D}" srcOrd="13" destOrd="0" presId="urn:microsoft.com/office/officeart/2005/8/layout/list1"/>
    <dgm:cxn modelId="{437117D2-1631-47C6-923C-0067346CFD3B}" type="presParOf" srcId="{6F0E4EB2-7F89-4D96-AE23-8B2C907A1371}" destId="{44B660CC-34A9-4298-909E-52D2B21E7BD7}" srcOrd="14" destOrd="0" presId="urn:microsoft.com/office/officeart/2005/8/layout/list1"/>
    <dgm:cxn modelId="{E40FAFA7-11A6-4B93-99C1-B23AFB27518E}" type="presParOf" srcId="{6F0E4EB2-7F89-4D96-AE23-8B2C907A1371}" destId="{5316380E-DD28-4073-A875-9F2CC7F4D705}" srcOrd="15" destOrd="0" presId="urn:microsoft.com/office/officeart/2005/8/layout/list1"/>
    <dgm:cxn modelId="{F5B49C66-F707-474A-844C-8BDD473B9785}" type="presParOf" srcId="{6F0E4EB2-7F89-4D96-AE23-8B2C907A1371}" destId="{8007AD2A-2CC0-4A9D-89EE-2BF5C7DAC0DA}" srcOrd="16" destOrd="0" presId="urn:microsoft.com/office/officeart/2005/8/layout/list1"/>
    <dgm:cxn modelId="{13715E47-B425-40D0-929F-543CDF412002}" type="presParOf" srcId="{8007AD2A-2CC0-4A9D-89EE-2BF5C7DAC0DA}" destId="{39BC0BFA-3658-44A5-BE5C-F091BF066420}" srcOrd="0" destOrd="0" presId="urn:microsoft.com/office/officeart/2005/8/layout/list1"/>
    <dgm:cxn modelId="{C6497E22-0AE6-4124-9E54-C5EEC5600BBB}" type="presParOf" srcId="{8007AD2A-2CC0-4A9D-89EE-2BF5C7DAC0DA}" destId="{9F1E8F0D-1CEF-48C8-80BC-9299F0A35099}" srcOrd="1" destOrd="0" presId="urn:microsoft.com/office/officeart/2005/8/layout/list1"/>
    <dgm:cxn modelId="{FBC67EE9-28AD-40AE-8909-E47AEDB712B7}" type="presParOf" srcId="{6F0E4EB2-7F89-4D96-AE23-8B2C907A1371}" destId="{2071A1A6-E686-41F2-B297-F7113EEEBC24}" srcOrd="17" destOrd="0" presId="urn:microsoft.com/office/officeart/2005/8/layout/list1"/>
    <dgm:cxn modelId="{190456F1-5338-48E0-9366-902D7EA62F54}" type="presParOf" srcId="{6F0E4EB2-7F89-4D96-AE23-8B2C907A1371}" destId="{D0C5C42E-DA47-4B40-9249-8F333D15F35D}" srcOrd="18" destOrd="0" presId="urn:microsoft.com/office/officeart/2005/8/layout/list1"/>
    <dgm:cxn modelId="{07B1334D-FCA4-45A2-AE7D-121C5F483861}" type="presParOf" srcId="{6F0E4EB2-7F89-4D96-AE23-8B2C907A1371}" destId="{A9ABE685-D3A6-4C8E-8FCB-96CBE90C14E5}" srcOrd="19" destOrd="0" presId="urn:microsoft.com/office/officeart/2005/8/layout/list1"/>
    <dgm:cxn modelId="{82D36CFB-A262-449A-9B92-681F404E0580}" type="presParOf" srcId="{6F0E4EB2-7F89-4D96-AE23-8B2C907A1371}" destId="{6615EDC9-6DA9-4300-B267-176AB00A0BE5}" srcOrd="20" destOrd="0" presId="urn:microsoft.com/office/officeart/2005/8/layout/list1"/>
    <dgm:cxn modelId="{1037F1CA-240C-4D95-B47E-80805EC251F2}" type="presParOf" srcId="{6615EDC9-6DA9-4300-B267-176AB00A0BE5}" destId="{46AF6A16-82AD-4B45-86B9-92BF5F8B9B7D}" srcOrd="0" destOrd="0" presId="urn:microsoft.com/office/officeart/2005/8/layout/list1"/>
    <dgm:cxn modelId="{8A16BF6B-AA98-414F-8743-2923A6CBC7F1}" type="presParOf" srcId="{6615EDC9-6DA9-4300-B267-176AB00A0BE5}" destId="{51CB6D05-6124-4C2B-AC4B-07DA42D4BDB5}" srcOrd="1" destOrd="0" presId="urn:microsoft.com/office/officeart/2005/8/layout/list1"/>
    <dgm:cxn modelId="{72CBD83C-E24D-45DC-8897-0A48CD1078DE}" type="presParOf" srcId="{6F0E4EB2-7F89-4D96-AE23-8B2C907A1371}" destId="{0E0B09FF-7C2E-4A72-8462-7BE0C4E76886}" srcOrd="21" destOrd="0" presId="urn:microsoft.com/office/officeart/2005/8/layout/list1"/>
    <dgm:cxn modelId="{D3B25E04-0E77-4C96-8EC1-D17E5F42E31E}" type="presParOf" srcId="{6F0E4EB2-7F89-4D96-AE23-8B2C907A1371}" destId="{B3DE2D34-5550-4002-8555-268D8DC63E88}" srcOrd="22" destOrd="0" presId="urn:microsoft.com/office/officeart/2005/8/layout/list1"/>
  </dgm:cxnLst>
  <dgm:bg/>
  <dgm:whole/>
  <dgm:extLst>
    <a:ext uri="http://schemas.microsoft.com/office/drawing/2008/diagram">
      <dsp:dataModelExt xmlns:dsp="http://schemas.microsoft.com/office/drawing/2008/diagram" xmlns="" relId="rId10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F8FA3FD2-07FD-4E7F-A7A9-58B5BABA6C41}" type="doc">
      <dgm:prSet loTypeId="urn:microsoft.com/office/officeart/2005/8/layout/vList5" loCatId="list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ru-RU"/>
        </a:p>
      </dgm:t>
    </dgm:pt>
    <dgm:pt modelId="{2EA6ED8F-E7F5-40EC-9408-FDF15D8593F5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характеристика текущего состояния цифровой трансформации </a:t>
          </a:r>
        </a:p>
      </dgm:t>
    </dgm:pt>
    <dgm:pt modelId="{0C7F3EAB-34DC-44FE-B23E-6A8F81263223}" type="parTrans" cxnId="{D36B1B0E-8C67-49AE-B0B5-15353912A4D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FD63D1A-EC8F-4358-8869-001DFF525BE4}" type="sibTrans" cxnId="{D36B1B0E-8C67-49AE-B0B5-15353912A4DF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AEA565F-37CF-4A5D-97B4-C7E66D28D9D3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результаты анализа цифровой трансформации экономики</a:t>
          </a:r>
        </a:p>
      </dgm:t>
    </dgm:pt>
    <dgm:pt modelId="{ECA1D4D4-7806-45C4-8EB3-DE28AFF7B3B6}" type="parTrans" cxnId="{702CC7D8-5CC0-42A5-8EBB-C77C5A7FF337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7670A24-1D37-4BBB-9884-DB2D1C71C73D}" type="sibTrans" cxnId="{702CC7D8-5CC0-42A5-8EBB-C77C5A7FF337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CEACC96-6B2F-45D6-883C-1410BC4D4040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результаты оценки цифровой зрелости региона </a:t>
          </a:r>
        </a:p>
      </dgm:t>
    </dgm:pt>
    <dgm:pt modelId="{BC764223-DBBB-44A6-B5D3-D1B065C6CD30}" type="parTrans" cxnId="{C02280EC-2D24-4DBE-A5BB-BB1E05C11BB2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1970E49-171C-4B09-80BE-82F539DA27E8}" type="sibTrans" cxnId="{C02280EC-2D24-4DBE-A5BB-BB1E05C11BB2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073F122-3348-4A75-A35B-C9184DB42128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целевое видение цифровой трансформации региона </a:t>
          </a:r>
        </a:p>
      </dgm:t>
    </dgm:pt>
    <dgm:pt modelId="{052D5C9A-DA5C-40A5-A9FE-CA720771A14E}" type="parTrans" cxnId="{764A4BB0-D127-4C5C-8EA3-601E00D5E915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E12EDA4-139F-4048-9DAF-3E2D78F3DDD2}" type="sibTrans" cxnId="{764A4BB0-D127-4C5C-8EA3-601E00D5E915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ABF78C0-A738-40EB-8939-F97D0546E728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система целей и ключевых показателей цифровой трансформации экономики </a:t>
          </a:r>
        </a:p>
      </dgm:t>
    </dgm:pt>
    <dgm:pt modelId="{8381578F-2E3D-49E9-A73B-EE0738F08341}" type="parTrans" cxnId="{A37E3D59-1154-4BA4-8E58-279CE43FC3E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0172E1D-986E-4636-AD28-AEBA7C2D6C3F}" type="sibTrans" cxnId="{A37E3D59-1154-4BA4-8E58-279CE43FC3E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D6445DE-0207-4694-B513-3E5876605485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кадры и культура цифровой трансформации </a:t>
          </a:r>
        </a:p>
      </dgm:t>
    </dgm:pt>
    <dgm:pt modelId="{12912E3E-FB4B-4064-9E63-B7836E87A866}" type="parTrans" cxnId="{7395ED46-EA98-4E2C-91E4-EEC0F27564A1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171CB5C-5C18-4F2F-A75E-FE24AB3D1730}" type="sibTrans" cxnId="{7395ED46-EA98-4E2C-91E4-EEC0F27564A1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81E65B4-79EE-4E03-AD85-F371AF643D05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цифровых компетенций и кадрового обеспечения, оценка потребности в кадрах</a:t>
          </a:r>
        </a:p>
      </dgm:t>
    </dgm:pt>
    <dgm:pt modelId="{FBA70CDD-8254-45AB-8171-673E2B468D1C}" type="parTrans" cxnId="{A0F9CDA6-298A-4DCA-B3DB-31DE39C5C7D2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3F26194-884B-4D03-BE7D-68EE23E18808}" type="sibTrans" cxnId="{A0F9CDA6-298A-4DCA-B3DB-31DE39C5C7D2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52C7536-DB35-4485-A1B6-3D7215C93887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Обучение цифровым навыкам и повышение уровня цифровой грамотности</a:t>
          </a:r>
        </a:p>
      </dgm:t>
    </dgm:pt>
    <dgm:pt modelId="{AC5F5E11-5714-4BBA-85D4-15D4BE5FC411}" type="parTrans" cxnId="{6D3B365D-C90D-4B50-91E7-676B6942A458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AAFFB6F-AD34-4810-9D07-F529C83F7D3E}" type="sibTrans" cxnId="{6D3B365D-C90D-4B50-91E7-676B6942A458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E7E66FC-91E2-479C-81E9-CBBA95A465CF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возможности для цифровой трансформации </a:t>
          </a:r>
        </a:p>
      </dgm:t>
    </dgm:pt>
    <dgm:pt modelId="{6E62B3C9-C04A-43DA-BAD3-3A9AB8A87BA3}" type="parTrans" cxnId="{4D8256DA-867F-4FD9-BD57-6B46EABF34D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CC14924-AE9A-485C-B74D-CA92B6196C9E}" type="sibTrans" cxnId="{4D8256DA-867F-4FD9-BD57-6B46EABF34DB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E4C7E57-502A-4E61-AC35-3A5E23F6EF39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риски и угрозы информационной безопасности в ходе реализации стратегии </a:t>
          </a:r>
        </a:p>
      </dgm:t>
    </dgm:pt>
    <dgm:pt modelId="{A3A13F40-2919-42AB-A480-2EC094D1FE98}" type="parTrans" cxnId="{2B57BDFF-1450-488B-83E2-FA77EC95E85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6245B91-3D65-4646-9630-41F39EDAD37C}" type="sibTrans" cxnId="{2B57BDFF-1450-488B-83E2-FA77EC95E85C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01C16D0-F696-4E88-9BC2-BBC17855874B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стратегические направления цифровой трансформации </a:t>
          </a:r>
        </a:p>
      </dgm:t>
    </dgm:pt>
    <dgm:pt modelId="{0253B65D-6F35-4D6C-B126-4CCD89E0AFDC}" type="parTrans" cxnId="{6EBF2ECC-3437-478E-8E7D-04164EBE5E9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DBCD9FD-6FBB-468B-BD1C-01C3F38787A9}" type="sibTrans" cxnId="{6EBF2ECC-3437-478E-8E7D-04164EBE5E9A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4C92BCF-4855-445B-A456-7C926A624AED}">
      <dgm:prSet phldrT="[Текст]"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горизонты планирования цифровой стратегии региона </a:t>
          </a:r>
        </a:p>
      </dgm:t>
    </dgm:pt>
    <dgm:pt modelId="{FAEC603E-F826-48E8-B883-90261E028D70}" type="parTrans" cxnId="{EF38949B-35CE-45D8-9C33-F77058A8A043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C558A74-1944-40EA-B05A-5A9CF9DE43F9}" type="sibTrans" cxnId="{EF38949B-35CE-45D8-9C33-F77058A8A043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6F17A02-1241-4922-A4E2-9FC398812DB7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реализации цифровой стратегии</a:t>
          </a:r>
        </a:p>
      </dgm:t>
    </dgm:pt>
    <dgm:pt modelId="{C3106642-DD9B-4430-9A0C-5A98E579C80D}" type="parTrans" cxnId="{FF4420B5-2272-4ABE-832A-7149EBACE035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35FCF83-200F-40B0-8AE1-9991440C6354}" type="sibTrans" cxnId="{FF4420B5-2272-4ABE-832A-7149EBACE035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EE19C67-D4C1-46F6-96DD-7A5222EED93F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экономические эффекты реализации стратегии цифрового развития  </a:t>
          </a:r>
        </a:p>
      </dgm:t>
    </dgm:pt>
    <dgm:pt modelId="{049FB9FE-9B89-4E28-BC68-6B83B3D8E154}" type="parTrans" cxnId="{8A8EF0D0-63B3-4335-973F-91E25472E61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E9C9291-49FE-4E8D-9316-DA3F2CAD43EA}" type="sibTrans" cxnId="{8A8EF0D0-63B3-4335-973F-91E25472E616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20DB344-4D35-4EDE-B80C-A2DE961A084F}">
      <dgm:prSet custT="1"/>
      <dgm:spPr/>
      <dgm:t>
        <a:bodyPr/>
        <a:lstStyle/>
        <a:p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потребность в инвестициях </a:t>
          </a:r>
        </a:p>
      </dgm:t>
    </dgm:pt>
    <dgm:pt modelId="{2E6AAA7E-01BD-4A63-AE82-33C6E4E3B013}" type="parTrans" cxnId="{ACB9D927-C9F9-4AC2-BABE-775BE1E4041E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23BD1C8-9BE7-4DAF-A3C1-61D5385C9129}" type="sibTrans" cxnId="{ACB9D927-C9F9-4AC2-BABE-775BE1E4041E}">
      <dgm:prSet/>
      <dgm:spPr/>
      <dgm:t>
        <a:bodyPr/>
        <a:lstStyle/>
        <a:p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D154A0D-597D-4BFD-BC68-65B292C5C4B2}" type="pres">
      <dgm:prSet presAssocID="{F8FA3FD2-07FD-4E7F-A7A9-58B5BABA6C41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96781C2-62D6-4BA1-918F-2C3B8B9653A3}" type="pres">
      <dgm:prSet presAssocID="{2EA6ED8F-E7F5-40EC-9408-FDF15D8593F5}" presName="linNode" presStyleCnt="0"/>
      <dgm:spPr/>
    </dgm:pt>
    <dgm:pt modelId="{E4695B61-22CB-41B6-8237-BD2A34E75397}" type="pres">
      <dgm:prSet presAssocID="{2EA6ED8F-E7F5-40EC-9408-FDF15D8593F5}" presName="parentText" presStyleLbl="node1" presStyleIdx="0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335CAB6-AFA8-48BB-A156-8D78041FFD10}" type="pres">
      <dgm:prSet presAssocID="{2EA6ED8F-E7F5-40EC-9408-FDF15D8593F5}" presName="descendantText" presStyleLbl="alignAccFollowNode1" presStyleIdx="0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2B2679E2-9183-425B-881A-2C58A38060C8}" type="pres">
      <dgm:prSet presAssocID="{9FD63D1A-EC8F-4358-8869-001DFF525BE4}" presName="sp" presStyleCnt="0"/>
      <dgm:spPr/>
    </dgm:pt>
    <dgm:pt modelId="{19D237BE-9586-4D12-9203-8D2752083A6D}" type="pres">
      <dgm:prSet presAssocID="{4073F122-3348-4A75-A35B-C9184DB42128}" presName="linNode" presStyleCnt="0"/>
      <dgm:spPr/>
    </dgm:pt>
    <dgm:pt modelId="{B3F8E6C2-0E61-494F-B14E-9BDE87F696B4}" type="pres">
      <dgm:prSet presAssocID="{4073F122-3348-4A75-A35B-C9184DB42128}" presName="parentText" presStyleLbl="node1" presStyleIdx="1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BDDA1EF-8A90-49F4-A956-5DA5891B3689}" type="pres">
      <dgm:prSet presAssocID="{4073F122-3348-4A75-A35B-C9184DB42128}" presName="descendantText" presStyleLbl="alignAccFollowNode1" presStyleIdx="1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0BF4C9E1-5423-45B1-8B98-76E15914E48F}" type="pres">
      <dgm:prSet presAssocID="{2E12EDA4-139F-4048-9DAF-3E2D78F3DDD2}" presName="sp" presStyleCnt="0"/>
      <dgm:spPr/>
    </dgm:pt>
    <dgm:pt modelId="{59AB58B8-1C83-4B6D-B7E4-A8BE1AC4792D}" type="pres">
      <dgm:prSet presAssocID="{3D6445DE-0207-4694-B513-3E5876605485}" presName="linNode" presStyleCnt="0"/>
      <dgm:spPr/>
    </dgm:pt>
    <dgm:pt modelId="{773D9591-90D1-4672-9655-16AA7DC72916}" type="pres">
      <dgm:prSet presAssocID="{3D6445DE-0207-4694-B513-3E5876605485}" presName="parentText" presStyleLbl="node1" presStyleIdx="2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B261ED11-8859-45B3-9A0B-B4F41CDD7E8B}" type="pres">
      <dgm:prSet presAssocID="{3D6445DE-0207-4694-B513-3E5876605485}" presName="descendantText" presStyleLbl="alignAccFollowNode1" presStyleIdx="2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D957EBBE-6992-4F19-8B11-B9566A193551}" type="pres">
      <dgm:prSet presAssocID="{A171CB5C-5C18-4F2F-A75E-FE24AB3D1730}" presName="sp" presStyleCnt="0"/>
      <dgm:spPr/>
    </dgm:pt>
    <dgm:pt modelId="{17863791-0B61-45E4-BDFD-8566AC63CE82}" type="pres">
      <dgm:prSet presAssocID="{C6F17A02-1241-4922-A4E2-9FC398812DB7}" presName="linNode" presStyleCnt="0"/>
      <dgm:spPr/>
    </dgm:pt>
    <dgm:pt modelId="{75A56B62-4967-450A-913D-C4FACA789C5F}" type="pres">
      <dgm:prSet presAssocID="{C6F17A02-1241-4922-A4E2-9FC398812DB7}" presName="parentText" presStyleLbl="node1" presStyleIdx="3" presStyleCnt="4">
        <dgm:presLayoutVars>
          <dgm:chMax val="1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13D7D685-9CE3-46DC-976F-C9DE7DFD7D56}" type="pres">
      <dgm:prSet presAssocID="{C6F17A02-1241-4922-A4E2-9FC398812DB7}" presName="descendantText" presStyleLbl="alignAccFollowNode1" presStyleIdx="3" presStyleCnt="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CA5E2CEE-E64C-478F-A221-9FFD91FF9ACC}" type="presOf" srcId="{2EA6ED8F-E7F5-40EC-9408-FDF15D8593F5}" destId="{E4695B61-22CB-41B6-8237-BD2A34E75397}" srcOrd="0" destOrd="0" presId="urn:microsoft.com/office/officeart/2005/8/layout/vList5"/>
    <dgm:cxn modelId="{764A4BB0-D127-4C5C-8EA3-601E00D5E915}" srcId="{F8FA3FD2-07FD-4E7F-A7A9-58B5BABA6C41}" destId="{4073F122-3348-4A75-A35B-C9184DB42128}" srcOrd="1" destOrd="0" parTransId="{052D5C9A-DA5C-40A5-A9FE-CA720771A14E}" sibTransId="{2E12EDA4-139F-4048-9DAF-3E2D78F3DDD2}"/>
    <dgm:cxn modelId="{A37E3D59-1154-4BA4-8E58-279CE43FC3EB}" srcId="{4073F122-3348-4A75-A35B-C9184DB42128}" destId="{AABF78C0-A738-40EB-8939-F97D0546E728}" srcOrd="0" destOrd="0" parTransId="{8381578F-2E3D-49E9-A73B-EE0738F08341}" sibTransId="{C0172E1D-986E-4636-AD28-AEBA7C2D6C3F}"/>
    <dgm:cxn modelId="{F77DFC66-93E0-4D15-81EF-3E4ED80366E0}" type="presOf" srcId="{ECEACC96-6B2F-45D6-883C-1410BC4D4040}" destId="{1335CAB6-AFA8-48BB-A156-8D78041FFD10}" srcOrd="0" destOrd="1" presId="urn:microsoft.com/office/officeart/2005/8/layout/vList5"/>
    <dgm:cxn modelId="{F18AB0E9-678A-4BDE-BC5C-AE3F82C9F055}" type="presOf" srcId="{752C7536-DB35-4485-A1B6-3D7215C93887}" destId="{B261ED11-8859-45B3-9A0B-B4F41CDD7E8B}" srcOrd="0" destOrd="1" presId="urn:microsoft.com/office/officeart/2005/8/layout/vList5"/>
    <dgm:cxn modelId="{FF4420B5-2272-4ABE-832A-7149EBACE035}" srcId="{F8FA3FD2-07FD-4E7F-A7A9-58B5BABA6C41}" destId="{C6F17A02-1241-4922-A4E2-9FC398812DB7}" srcOrd="3" destOrd="0" parTransId="{C3106642-DD9B-4430-9A0C-5A98E579C80D}" sibTransId="{D35FCF83-200F-40B0-8AE1-9991440C6354}"/>
    <dgm:cxn modelId="{6EBF2ECC-3437-478E-8E7D-04164EBE5E9A}" srcId="{4073F122-3348-4A75-A35B-C9184DB42128}" destId="{301C16D0-F696-4E88-9BC2-BBC17855874B}" srcOrd="1" destOrd="0" parTransId="{0253B65D-6F35-4D6C-B126-4CCD89E0AFDC}" sibTransId="{BDBCD9FD-6FBB-468B-BD1C-01C3F38787A9}"/>
    <dgm:cxn modelId="{EF38949B-35CE-45D8-9C33-F77058A8A043}" srcId="{4073F122-3348-4A75-A35B-C9184DB42128}" destId="{94C92BCF-4855-445B-A456-7C926A624AED}" srcOrd="2" destOrd="0" parTransId="{FAEC603E-F826-48E8-B883-90261E028D70}" sibTransId="{9C558A74-1944-40EA-B05A-5A9CF9DE43F9}"/>
    <dgm:cxn modelId="{CB071B86-8409-4F0A-A61D-37D439523636}" type="presOf" srcId="{3AEA565F-37CF-4A5D-97B4-C7E66D28D9D3}" destId="{1335CAB6-AFA8-48BB-A156-8D78041FFD10}" srcOrd="0" destOrd="0" presId="urn:microsoft.com/office/officeart/2005/8/layout/vList5"/>
    <dgm:cxn modelId="{A0F9CDA6-298A-4DCA-B3DB-31DE39C5C7D2}" srcId="{3D6445DE-0207-4694-B513-3E5876605485}" destId="{981E65B4-79EE-4E03-AD85-F371AF643D05}" srcOrd="0" destOrd="0" parTransId="{FBA70CDD-8254-45AB-8171-673E2B468D1C}" sibTransId="{D3F26194-884B-4D03-BE7D-68EE23E18808}"/>
    <dgm:cxn modelId="{8C00D5F4-1BA3-4DBB-ADD5-5E4BE8EF8A47}" type="presOf" srcId="{FE4C7E57-502A-4E61-AC35-3A5E23F6EF39}" destId="{1335CAB6-AFA8-48BB-A156-8D78041FFD10}" srcOrd="0" destOrd="3" presId="urn:microsoft.com/office/officeart/2005/8/layout/vList5"/>
    <dgm:cxn modelId="{4A22B9C4-359C-4EE7-9FEA-93A088FD2410}" type="presOf" srcId="{981E65B4-79EE-4E03-AD85-F371AF643D05}" destId="{B261ED11-8859-45B3-9A0B-B4F41CDD7E8B}" srcOrd="0" destOrd="0" presId="urn:microsoft.com/office/officeart/2005/8/layout/vList5"/>
    <dgm:cxn modelId="{8A8EF0D0-63B3-4335-973F-91E25472E616}" srcId="{C6F17A02-1241-4922-A4E2-9FC398812DB7}" destId="{CEE19C67-D4C1-46F6-96DD-7A5222EED93F}" srcOrd="0" destOrd="0" parTransId="{049FB9FE-9B89-4E28-BC68-6B83B3D8E154}" sibTransId="{3E9C9291-49FE-4E8D-9316-DA3F2CAD43EA}"/>
    <dgm:cxn modelId="{ACB9D927-C9F9-4AC2-BABE-775BE1E4041E}" srcId="{C6F17A02-1241-4922-A4E2-9FC398812DB7}" destId="{D20DB344-4D35-4EDE-B80C-A2DE961A084F}" srcOrd="1" destOrd="0" parTransId="{2E6AAA7E-01BD-4A63-AE82-33C6E4E3B013}" sibTransId="{723BD1C8-9BE7-4DAF-A3C1-61D5385C9129}"/>
    <dgm:cxn modelId="{6D3B365D-C90D-4B50-91E7-676B6942A458}" srcId="{3D6445DE-0207-4694-B513-3E5876605485}" destId="{752C7536-DB35-4485-A1B6-3D7215C93887}" srcOrd="1" destOrd="0" parTransId="{AC5F5E11-5714-4BBA-85D4-15D4BE5FC411}" sibTransId="{7AAFFB6F-AD34-4810-9D07-F529C83F7D3E}"/>
    <dgm:cxn modelId="{FB78BA05-FF8E-4E2C-B219-CD28FA087638}" type="presOf" srcId="{C6F17A02-1241-4922-A4E2-9FC398812DB7}" destId="{75A56B62-4967-450A-913D-C4FACA789C5F}" srcOrd="0" destOrd="0" presId="urn:microsoft.com/office/officeart/2005/8/layout/vList5"/>
    <dgm:cxn modelId="{F4D79654-5E06-4EEF-90CE-51C93FA34C68}" type="presOf" srcId="{F8FA3FD2-07FD-4E7F-A7A9-58B5BABA6C41}" destId="{7D154A0D-597D-4BFD-BC68-65B292C5C4B2}" srcOrd="0" destOrd="0" presId="urn:microsoft.com/office/officeart/2005/8/layout/vList5"/>
    <dgm:cxn modelId="{904397A8-C528-42DB-B3B8-1867E6FF94DC}" type="presOf" srcId="{EE7E66FC-91E2-479C-81E9-CBBA95A465CF}" destId="{1335CAB6-AFA8-48BB-A156-8D78041FFD10}" srcOrd="0" destOrd="2" presId="urn:microsoft.com/office/officeart/2005/8/layout/vList5"/>
    <dgm:cxn modelId="{2B57BDFF-1450-488B-83E2-FA77EC95E85C}" srcId="{2EA6ED8F-E7F5-40EC-9408-FDF15D8593F5}" destId="{FE4C7E57-502A-4E61-AC35-3A5E23F6EF39}" srcOrd="3" destOrd="0" parTransId="{A3A13F40-2919-42AB-A480-2EC094D1FE98}" sibTransId="{66245B91-3D65-4646-9630-41F39EDAD37C}"/>
    <dgm:cxn modelId="{87AC0ABD-5D97-43BE-A089-90A15F3DF9E2}" type="presOf" srcId="{AABF78C0-A738-40EB-8939-F97D0546E728}" destId="{EBDDA1EF-8A90-49F4-A956-5DA5891B3689}" srcOrd="0" destOrd="0" presId="urn:microsoft.com/office/officeart/2005/8/layout/vList5"/>
    <dgm:cxn modelId="{D0E22014-7936-44C9-B9C5-0D90E6668055}" type="presOf" srcId="{D20DB344-4D35-4EDE-B80C-A2DE961A084F}" destId="{13D7D685-9CE3-46DC-976F-C9DE7DFD7D56}" srcOrd="0" destOrd="1" presId="urn:microsoft.com/office/officeart/2005/8/layout/vList5"/>
    <dgm:cxn modelId="{C02280EC-2D24-4DBE-A5BB-BB1E05C11BB2}" srcId="{2EA6ED8F-E7F5-40EC-9408-FDF15D8593F5}" destId="{ECEACC96-6B2F-45D6-883C-1410BC4D4040}" srcOrd="1" destOrd="0" parTransId="{BC764223-DBBB-44A6-B5D3-D1B065C6CD30}" sibTransId="{61970E49-171C-4B09-80BE-82F539DA27E8}"/>
    <dgm:cxn modelId="{DEC401EA-EE5F-4862-A686-499F678B1D2A}" type="presOf" srcId="{CEE19C67-D4C1-46F6-96DD-7A5222EED93F}" destId="{13D7D685-9CE3-46DC-976F-C9DE7DFD7D56}" srcOrd="0" destOrd="0" presId="urn:microsoft.com/office/officeart/2005/8/layout/vList5"/>
    <dgm:cxn modelId="{5184578D-E7CE-4B4B-9EE0-5D64B0A8B054}" type="presOf" srcId="{301C16D0-F696-4E88-9BC2-BBC17855874B}" destId="{EBDDA1EF-8A90-49F4-A956-5DA5891B3689}" srcOrd="0" destOrd="1" presId="urn:microsoft.com/office/officeart/2005/8/layout/vList5"/>
    <dgm:cxn modelId="{A5679C2F-0C12-4365-BDFE-C2D4E5233136}" type="presOf" srcId="{3D6445DE-0207-4694-B513-3E5876605485}" destId="{773D9591-90D1-4672-9655-16AA7DC72916}" srcOrd="0" destOrd="0" presId="urn:microsoft.com/office/officeart/2005/8/layout/vList5"/>
    <dgm:cxn modelId="{702CC7D8-5CC0-42A5-8EBB-C77C5A7FF337}" srcId="{2EA6ED8F-E7F5-40EC-9408-FDF15D8593F5}" destId="{3AEA565F-37CF-4A5D-97B4-C7E66D28D9D3}" srcOrd="0" destOrd="0" parTransId="{ECA1D4D4-7806-45C4-8EB3-DE28AFF7B3B6}" sibTransId="{C7670A24-1D37-4BBB-9884-DB2D1C71C73D}"/>
    <dgm:cxn modelId="{4D8256DA-867F-4FD9-BD57-6B46EABF34DB}" srcId="{2EA6ED8F-E7F5-40EC-9408-FDF15D8593F5}" destId="{EE7E66FC-91E2-479C-81E9-CBBA95A465CF}" srcOrd="2" destOrd="0" parTransId="{6E62B3C9-C04A-43DA-BAD3-3A9AB8A87BA3}" sibTransId="{9CC14924-AE9A-485C-B74D-CA92B6196C9E}"/>
    <dgm:cxn modelId="{2F76084C-6F5F-4A50-868F-54D3D7CBBD08}" type="presOf" srcId="{94C92BCF-4855-445B-A456-7C926A624AED}" destId="{EBDDA1EF-8A90-49F4-A956-5DA5891B3689}" srcOrd="0" destOrd="2" presId="urn:microsoft.com/office/officeart/2005/8/layout/vList5"/>
    <dgm:cxn modelId="{7395ED46-EA98-4E2C-91E4-EEC0F27564A1}" srcId="{F8FA3FD2-07FD-4E7F-A7A9-58B5BABA6C41}" destId="{3D6445DE-0207-4694-B513-3E5876605485}" srcOrd="2" destOrd="0" parTransId="{12912E3E-FB4B-4064-9E63-B7836E87A866}" sibTransId="{A171CB5C-5C18-4F2F-A75E-FE24AB3D1730}"/>
    <dgm:cxn modelId="{D36B1B0E-8C67-49AE-B0B5-15353912A4DF}" srcId="{F8FA3FD2-07FD-4E7F-A7A9-58B5BABA6C41}" destId="{2EA6ED8F-E7F5-40EC-9408-FDF15D8593F5}" srcOrd="0" destOrd="0" parTransId="{0C7F3EAB-34DC-44FE-B23E-6A8F81263223}" sibTransId="{9FD63D1A-EC8F-4358-8869-001DFF525BE4}"/>
    <dgm:cxn modelId="{31F19D2F-0126-479B-A91E-2F1372C7DCE9}" type="presOf" srcId="{4073F122-3348-4A75-A35B-C9184DB42128}" destId="{B3F8E6C2-0E61-494F-B14E-9BDE87F696B4}" srcOrd="0" destOrd="0" presId="urn:microsoft.com/office/officeart/2005/8/layout/vList5"/>
    <dgm:cxn modelId="{001E7516-B62D-44ED-81D5-F792157528AE}" type="presParOf" srcId="{7D154A0D-597D-4BFD-BC68-65B292C5C4B2}" destId="{F96781C2-62D6-4BA1-918F-2C3B8B9653A3}" srcOrd="0" destOrd="0" presId="urn:microsoft.com/office/officeart/2005/8/layout/vList5"/>
    <dgm:cxn modelId="{A9B46EDF-31B8-472E-BBB6-3DD698758002}" type="presParOf" srcId="{F96781C2-62D6-4BA1-918F-2C3B8B9653A3}" destId="{E4695B61-22CB-41B6-8237-BD2A34E75397}" srcOrd="0" destOrd="0" presId="urn:microsoft.com/office/officeart/2005/8/layout/vList5"/>
    <dgm:cxn modelId="{F1E2D691-601F-4930-84C4-517F68FA87E5}" type="presParOf" srcId="{F96781C2-62D6-4BA1-918F-2C3B8B9653A3}" destId="{1335CAB6-AFA8-48BB-A156-8D78041FFD10}" srcOrd="1" destOrd="0" presId="urn:microsoft.com/office/officeart/2005/8/layout/vList5"/>
    <dgm:cxn modelId="{13EDA264-FA18-491F-808D-15F484AD649C}" type="presParOf" srcId="{7D154A0D-597D-4BFD-BC68-65B292C5C4B2}" destId="{2B2679E2-9183-425B-881A-2C58A38060C8}" srcOrd="1" destOrd="0" presId="urn:microsoft.com/office/officeart/2005/8/layout/vList5"/>
    <dgm:cxn modelId="{967526D6-91C5-4015-BFEB-58C32367740A}" type="presParOf" srcId="{7D154A0D-597D-4BFD-BC68-65B292C5C4B2}" destId="{19D237BE-9586-4D12-9203-8D2752083A6D}" srcOrd="2" destOrd="0" presId="urn:microsoft.com/office/officeart/2005/8/layout/vList5"/>
    <dgm:cxn modelId="{63C983C2-47E4-420B-AE69-47A7BE675962}" type="presParOf" srcId="{19D237BE-9586-4D12-9203-8D2752083A6D}" destId="{B3F8E6C2-0E61-494F-B14E-9BDE87F696B4}" srcOrd="0" destOrd="0" presId="urn:microsoft.com/office/officeart/2005/8/layout/vList5"/>
    <dgm:cxn modelId="{2B5A4DCE-6B46-4535-93B0-9FB4273CD6F5}" type="presParOf" srcId="{19D237BE-9586-4D12-9203-8D2752083A6D}" destId="{EBDDA1EF-8A90-49F4-A956-5DA5891B3689}" srcOrd="1" destOrd="0" presId="urn:microsoft.com/office/officeart/2005/8/layout/vList5"/>
    <dgm:cxn modelId="{C74D140A-CCDB-41C4-8D04-D18C16016A59}" type="presParOf" srcId="{7D154A0D-597D-4BFD-BC68-65B292C5C4B2}" destId="{0BF4C9E1-5423-45B1-8B98-76E15914E48F}" srcOrd="3" destOrd="0" presId="urn:microsoft.com/office/officeart/2005/8/layout/vList5"/>
    <dgm:cxn modelId="{77308BFF-C8E2-4401-9FE1-D5B3CFE8CA3A}" type="presParOf" srcId="{7D154A0D-597D-4BFD-BC68-65B292C5C4B2}" destId="{59AB58B8-1C83-4B6D-B7E4-A8BE1AC4792D}" srcOrd="4" destOrd="0" presId="urn:microsoft.com/office/officeart/2005/8/layout/vList5"/>
    <dgm:cxn modelId="{B8E5E7D4-8AA1-48C6-AFF8-05F355690DF7}" type="presParOf" srcId="{59AB58B8-1C83-4B6D-B7E4-A8BE1AC4792D}" destId="{773D9591-90D1-4672-9655-16AA7DC72916}" srcOrd="0" destOrd="0" presId="urn:microsoft.com/office/officeart/2005/8/layout/vList5"/>
    <dgm:cxn modelId="{5B2ED648-F8F5-4E34-A39E-BB160793DC5A}" type="presParOf" srcId="{59AB58B8-1C83-4B6D-B7E4-A8BE1AC4792D}" destId="{B261ED11-8859-45B3-9A0B-B4F41CDD7E8B}" srcOrd="1" destOrd="0" presId="urn:microsoft.com/office/officeart/2005/8/layout/vList5"/>
    <dgm:cxn modelId="{59AF848F-B494-4EB2-BEED-02E8CCF674E1}" type="presParOf" srcId="{7D154A0D-597D-4BFD-BC68-65B292C5C4B2}" destId="{D957EBBE-6992-4F19-8B11-B9566A193551}" srcOrd="5" destOrd="0" presId="urn:microsoft.com/office/officeart/2005/8/layout/vList5"/>
    <dgm:cxn modelId="{3856E84B-528B-4087-A574-7AD439236644}" type="presParOf" srcId="{7D154A0D-597D-4BFD-BC68-65B292C5C4B2}" destId="{17863791-0B61-45E4-BDFD-8566AC63CE82}" srcOrd="6" destOrd="0" presId="urn:microsoft.com/office/officeart/2005/8/layout/vList5"/>
    <dgm:cxn modelId="{CFC05914-F720-4818-93BE-F5ED6EA88780}" type="presParOf" srcId="{17863791-0B61-45E4-BDFD-8566AC63CE82}" destId="{75A56B62-4967-450A-913D-C4FACA789C5F}" srcOrd="0" destOrd="0" presId="urn:microsoft.com/office/officeart/2005/8/layout/vList5"/>
    <dgm:cxn modelId="{A7B68A65-B091-4E8E-9B9E-3CA3A07ED2A8}" type="presParOf" srcId="{17863791-0B61-45E4-BDFD-8566AC63CE82}" destId="{13D7D685-9CE3-46DC-976F-C9DE7DFD7D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E16F2F01-17A9-4731-8E2F-BC7EB73CC23D}">
      <dsp:nvSpPr>
        <dsp:cNvPr id="0" name=""/>
        <dsp:cNvSpPr/>
      </dsp:nvSpPr>
      <dsp:spPr>
        <a:xfrm>
          <a:off x="0" y="29538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EFAC9C3A-9D5D-4C34-BDE5-EFF2C026A1A1}">
      <dsp:nvSpPr>
        <dsp:cNvPr id="0" name=""/>
        <dsp:cNvSpPr/>
      </dsp:nvSpPr>
      <dsp:spPr>
        <a:xfrm>
          <a:off x="274320" y="13302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характеристика текущего состояния цифровой трансформации </a:t>
          </a:r>
        </a:p>
      </dsp:txBody>
      <dsp:txXfrm>
        <a:off x="274320" y="133020"/>
        <a:ext cx="3840480" cy="324720"/>
      </dsp:txXfrm>
    </dsp:sp>
    <dsp:sp modelId="{9A3D9AE9-CA50-48A1-9B18-D0EC9F4A6538}">
      <dsp:nvSpPr>
        <dsp:cNvPr id="0" name=""/>
        <dsp:cNvSpPr/>
      </dsp:nvSpPr>
      <dsp:spPr>
        <a:xfrm>
          <a:off x="0" y="79434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A7D43464-9AE8-4EE4-A228-F71B89B3751D}">
      <dsp:nvSpPr>
        <dsp:cNvPr id="0" name=""/>
        <dsp:cNvSpPr/>
      </dsp:nvSpPr>
      <dsp:spPr>
        <a:xfrm>
          <a:off x="274320" y="63198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целевое видение цифровой трансформации региона </a:t>
          </a:r>
        </a:p>
      </dsp:txBody>
      <dsp:txXfrm>
        <a:off x="274320" y="631980"/>
        <a:ext cx="3840480" cy="324720"/>
      </dsp:txXfrm>
    </dsp:sp>
    <dsp:sp modelId="{91C842F6-D8AA-4605-9E75-7456E39C3547}">
      <dsp:nvSpPr>
        <dsp:cNvPr id="0" name=""/>
        <dsp:cNvSpPr/>
      </dsp:nvSpPr>
      <dsp:spPr>
        <a:xfrm>
          <a:off x="0" y="129330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F9FE0FD3-4225-49CC-AE2D-9D0913386407}">
      <dsp:nvSpPr>
        <dsp:cNvPr id="0" name=""/>
        <dsp:cNvSpPr/>
      </dsp:nvSpPr>
      <dsp:spPr>
        <a:xfrm>
          <a:off x="274320" y="113094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кадры и культура цифровой трансформации</a:t>
          </a:r>
        </a:p>
      </dsp:txBody>
      <dsp:txXfrm>
        <a:off x="274320" y="1130940"/>
        <a:ext cx="3840480" cy="324720"/>
      </dsp:txXfrm>
    </dsp:sp>
    <dsp:sp modelId="{44B660CC-34A9-4298-909E-52D2B21E7BD7}">
      <dsp:nvSpPr>
        <dsp:cNvPr id="0" name=""/>
        <dsp:cNvSpPr/>
      </dsp:nvSpPr>
      <dsp:spPr>
        <a:xfrm>
          <a:off x="0" y="179226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6F562176-F24B-4730-B12A-671EC9FF742D}">
      <dsp:nvSpPr>
        <dsp:cNvPr id="0" name=""/>
        <dsp:cNvSpPr/>
      </dsp:nvSpPr>
      <dsp:spPr>
        <a:xfrm>
          <a:off x="274320" y="162990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финансирования реализации стратегии </a:t>
          </a:r>
        </a:p>
      </dsp:txBody>
      <dsp:txXfrm>
        <a:off x="274320" y="1629900"/>
        <a:ext cx="3840480" cy="324720"/>
      </dsp:txXfrm>
    </dsp:sp>
    <dsp:sp modelId="{D0C5C42E-DA47-4B40-9249-8F333D15F35D}">
      <dsp:nvSpPr>
        <dsp:cNvPr id="0" name=""/>
        <dsp:cNvSpPr/>
      </dsp:nvSpPr>
      <dsp:spPr>
        <a:xfrm>
          <a:off x="0" y="229122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9F1E8F0D-1CEF-48C8-80BC-9299F0A35099}">
      <dsp:nvSpPr>
        <dsp:cNvPr id="0" name=""/>
        <dsp:cNvSpPr/>
      </dsp:nvSpPr>
      <dsp:spPr>
        <a:xfrm>
          <a:off x="274320" y="212886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управления цифровой трансформацией региона </a:t>
          </a:r>
        </a:p>
      </dsp:txBody>
      <dsp:txXfrm>
        <a:off x="274320" y="2128860"/>
        <a:ext cx="3840480" cy="324720"/>
      </dsp:txXfrm>
    </dsp:sp>
    <dsp:sp modelId="{B3DE2D34-5550-4002-8555-268D8DC63E88}">
      <dsp:nvSpPr>
        <dsp:cNvPr id="0" name=""/>
        <dsp:cNvSpPr/>
      </dsp:nvSpPr>
      <dsp:spPr>
        <a:xfrm>
          <a:off x="0" y="2790180"/>
          <a:ext cx="5486400" cy="277200"/>
        </a:xfrm>
        <a:prstGeom prst="rect">
          <a:avLst/>
        </a:prstGeom>
        <a:solidFill>
          <a:schemeClr val="lt2">
            <a:alpha val="90000"/>
            <a:hueOff val="0"/>
            <a:satOff val="0"/>
            <a:lumOff val="0"/>
            <a:alphaOff val="0"/>
          </a:schemeClr>
        </a:solidFill>
        <a:ln w="635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  <a:scene3d>
          <a:camera prst="orthographicFront"/>
          <a:lightRig rig="flat" dir="t"/>
        </a:scene3d>
        <a:sp3d z="190500" extrusionH="12700" prstMaterial="plastic">
          <a:bevelT w="50800" h="50800"/>
        </a:sp3d>
      </dsp:spPr>
      <dsp:style>
        <a:lnRef idx="1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/>
      </dsp:style>
    </dsp:sp>
    <dsp:sp modelId="{51CB6D05-6124-4C2B-AC4B-07DA42D4BDB5}">
      <dsp:nvSpPr>
        <dsp:cNvPr id="0" name=""/>
        <dsp:cNvSpPr/>
      </dsp:nvSpPr>
      <dsp:spPr>
        <a:xfrm>
          <a:off x="274320" y="2627820"/>
          <a:ext cx="3840480" cy="324720"/>
        </a:xfrm>
        <a:prstGeom prst="roundRect">
          <a:avLst/>
        </a:prstGeom>
        <a:gradFill rotWithShape="0">
          <a:gsLst>
            <a:gs pos="0">
              <a:schemeClr val="dk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chemeClr>
            </a:gs>
            <a:gs pos="50000">
              <a:schemeClr val="dk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chemeClr>
            </a:gs>
            <a:gs pos="100000">
              <a:schemeClr val="dk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/>
          <a:lightRig rig="flat" dir="t"/>
        </a:scene3d>
        <a:sp3d prstMaterial="plastic">
          <a:bevelT w="120900" h="88900"/>
          <a:bevelB w="88900" h="31750" prst="angle"/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45161" tIns="0" rIns="145161" bIns="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перспективы цифровой трансформации региона </a:t>
          </a:r>
        </a:p>
      </dsp:txBody>
      <dsp:txXfrm>
        <a:off x="274320" y="2627820"/>
        <a:ext cx="3840480" cy="324720"/>
      </dsp:txXfrm>
    </dsp:sp>
  </dsp:spTree>
</dsp:drawing>
</file>

<file path=word/diagrams/drawing2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1335CAB6-AFA8-48BB-A156-8D78041FFD10}">
      <dsp:nvSpPr>
        <dsp:cNvPr id="0" name=""/>
        <dsp:cNvSpPr/>
      </dsp:nvSpPr>
      <dsp:spPr>
        <a:xfrm rot="5400000">
          <a:off x="3665779" y="-1333606"/>
          <a:ext cx="997862" cy="3919728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результаты анализа цифровой трансформации экономики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результаты оценки цифровой зрелости региона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возможности для цифровой трансформации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риски и угрозы информационной безопасности в ходе реализации стратегии </a:t>
          </a:r>
        </a:p>
      </dsp:txBody>
      <dsp:txXfrm rot="5400000">
        <a:off x="3665779" y="-1333606"/>
        <a:ext cx="997862" cy="3919728"/>
      </dsp:txXfrm>
    </dsp:sp>
    <dsp:sp modelId="{E4695B61-22CB-41B6-8237-BD2A34E75397}">
      <dsp:nvSpPr>
        <dsp:cNvPr id="0" name=""/>
        <dsp:cNvSpPr/>
      </dsp:nvSpPr>
      <dsp:spPr>
        <a:xfrm>
          <a:off x="0" y="2593"/>
          <a:ext cx="2204847" cy="124732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характеристика текущего состояния цифровой трансформации </a:t>
          </a:r>
        </a:p>
      </dsp:txBody>
      <dsp:txXfrm>
        <a:off x="0" y="2593"/>
        <a:ext cx="2204847" cy="1247328"/>
      </dsp:txXfrm>
    </dsp:sp>
    <dsp:sp modelId="{EBDDA1EF-8A90-49F4-A956-5DA5891B3689}">
      <dsp:nvSpPr>
        <dsp:cNvPr id="0" name=""/>
        <dsp:cNvSpPr/>
      </dsp:nvSpPr>
      <dsp:spPr>
        <a:xfrm rot="5400000">
          <a:off x="3665779" y="-23911"/>
          <a:ext cx="997862" cy="3919728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система целей и ключевых показателей цифровой трансформации экономики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стратегические направления цифровой трансформации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горизонты планирования цифровой стратегии региона </a:t>
          </a:r>
        </a:p>
      </dsp:txBody>
      <dsp:txXfrm rot="5400000">
        <a:off x="3665779" y="-23911"/>
        <a:ext cx="997862" cy="3919728"/>
      </dsp:txXfrm>
    </dsp:sp>
    <dsp:sp modelId="{B3F8E6C2-0E61-494F-B14E-9BDE87F696B4}">
      <dsp:nvSpPr>
        <dsp:cNvPr id="0" name=""/>
        <dsp:cNvSpPr/>
      </dsp:nvSpPr>
      <dsp:spPr>
        <a:xfrm>
          <a:off x="0" y="1312288"/>
          <a:ext cx="2204847" cy="124732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целевое видение цифровой трансформации региона </a:t>
          </a:r>
        </a:p>
      </dsp:txBody>
      <dsp:txXfrm>
        <a:off x="0" y="1312288"/>
        <a:ext cx="2204847" cy="1247328"/>
      </dsp:txXfrm>
    </dsp:sp>
    <dsp:sp modelId="{B261ED11-8859-45B3-9A0B-B4F41CDD7E8B}">
      <dsp:nvSpPr>
        <dsp:cNvPr id="0" name=""/>
        <dsp:cNvSpPr/>
      </dsp:nvSpPr>
      <dsp:spPr>
        <a:xfrm rot="5400000">
          <a:off x="3665779" y="1285783"/>
          <a:ext cx="997862" cy="3919728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цифровых компетенций и кадрового обеспечения, оценка потребности в кадрах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Обучение цифровым навыкам и повышение уровня цифровой грамотности</a:t>
          </a:r>
        </a:p>
      </dsp:txBody>
      <dsp:txXfrm rot="5400000">
        <a:off x="3665779" y="1285783"/>
        <a:ext cx="997862" cy="3919728"/>
      </dsp:txXfrm>
    </dsp:sp>
    <dsp:sp modelId="{773D9591-90D1-4672-9655-16AA7DC72916}">
      <dsp:nvSpPr>
        <dsp:cNvPr id="0" name=""/>
        <dsp:cNvSpPr/>
      </dsp:nvSpPr>
      <dsp:spPr>
        <a:xfrm>
          <a:off x="0" y="2621983"/>
          <a:ext cx="2204847" cy="124732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кадры и культура цифровой трансформации </a:t>
          </a:r>
        </a:p>
      </dsp:txBody>
      <dsp:txXfrm>
        <a:off x="0" y="2621983"/>
        <a:ext cx="2204847" cy="1247328"/>
      </dsp:txXfrm>
    </dsp:sp>
    <dsp:sp modelId="{13D7D685-9CE3-46DC-976F-C9DE7DFD7D56}">
      <dsp:nvSpPr>
        <dsp:cNvPr id="0" name=""/>
        <dsp:cNvSpPr/>
      </dsp:nvSpPr>
      <dsp:spPr>
        <a:xfrm rot="5400000">
          <a:off x="3665779" y="2595478"/>
          <a:ext cx="997862" cy="3919728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247650" tIns="123825" rIns="247650" bIns="123825" numCol="1" spcCol="1270" anchor="ctr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экономические эффекты реализации стратегии цифрового развития  </a:t>
          </a:r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потребность в инвестициях </a:t>
          </a:r>
        </a:p>
      </dsp:txBody>
      <dsp:txXfrm rot="5400000">
        <a:off x="3665779" y="2595478"/>
        <a:ext cx="997862" cy="3919728"/>
      </dsp:txXfrm>
    </dsp:sp>
    <dsp:sp modelId="{75A56B62-4967-450A-913D-C4FACA789C5F}">
      <dsp:nvSpPr>
        <dsp:cNvPr id="0" name=""/>
        <dsp:cNvSpPr/>
      </dsp:nvSpPr>
      <dsp:spPr>
        <a:xfrm>
          <a:off x="0" y="3931678"/>
          <a:ext cx="2204847" cy="124732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22860" rIns="45720" bIns="2286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модель реализации цифровой стратегии</a:t>
          </a:r>
        </a:p>
      </dsp:txBody>
      <dsp:txXfrm>
        <a:off x="0" y="3931678"/>
        <a:ext cx="2204847" cy="124732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list1">
  <dgm:title val=""/>
  <dgm:desc val=""/>
  <dgm:catLst>
    <dgm:cat type="list" pri="4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4" srcId="0" destId="1" srcOrd="0" destOrd="0"/>
        <dgm:cxn modelId="5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T"/>
          <dgm:param type="vertAlign" val="mid"/>
          <dgm:param type="horzAlign" val="l"/>
          <dgm:param type="nodeHorzAlign" val="l"/>
        </dgm:alg>
      </dgm:if>
      <dgm:else name="Name2">
        <dgm:alg type="lin">
          <dgm:param type="linDir" val="fromT"/>
          <dgm:param type="vertAlign" val="mid"/>
          <dgm:param type="horzAlign" val="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parentLin" refType="w"/>
      <dgm:constr type="h" for="ch" forName="parentLin" val="INF"/>
      <dgm:constr type="w" for="des" forName="parentLeftMargin" refType="w" fact="0.05"/>
      <dgm:constr type="w" for="des" forName="parentText" refType="w" fact="0.7"/>
      <dgm:constr type="h" for="des" forName="parentText" refType="primFontSz" refFor="des" refForName="parentText" fact="0.82"/>
      <dgm:constr type="h" for="ch" forName="negativeSpace" refType="primFontSz" refFor="des" refForName="parentText" fact="-0.41"/>
      <dgm:constr type="h" for="ch" forName="negativeSpace" refType="h" refFor="des" refForName="parentText" op="lte" fact="-0.82"/>
      <dgm:constr type="h" for="ch" forName="negativeSpace" refType="h" refFor="des" refForName="parentText" op="gte" fact="-0.82"/>
      <dgm:constr type="w" for="ch" forName="childText" refType="w"/>
      <dgm:constr type="h" for="ch" forName="childText" refType="primFontSz" refFor="des" refForName="parentText" fact="0.7"/>
      <dgm:constr type="primFontSz" for="des" forName="parentText" val="65"/>
      <dgm:constr type="primFontSz" for="ch" forName="childText" refType="primFontSz" refFor="des" refForName="parentText"/>
      <dgm:constr type="tMarg" for="ch" forName="childText" refType="primFontSz" refFor="des" refForName="parentText" fact="1.64"/>
      <dgm:constr type="tMarg" for="ch" forName="childText" refType="h" refFor="des" refForName="parentText" op="lte" fact="3.28"/>
      <dgm:constr type="tMarg" for="ch" forName="childText" refType="h" refFor="des" refForName="parentText" op="gte" fact="3.28"/>
      <dgm:constr type="lMarg" for="ch" forName="childText" refType="w" fact="0.22"/>
      <dgm:constr type="rMarg" for="ch" forName="childText" refType="lMarg" refFor="ch" refForName="childText"/>
      <dgm:constr type="lMarg" for="des" forName="parentText" refType="w" fact="0.075"/>
      <dgm:constr type="rMarg" for="des" forName="parentText" refType="lMarg" refFor="des" refForName="parentText"/>
      <dgm:constr type="h" for="ch" forName="spaceBetweenRectangles" refType="primFontSz" refFor="des" refForName="parentText" fact="0.15"/>
    </dgm:constrLst>
    <dgm:ruleLst>
      <dgm:rule type="primFontSz" for="des" forName="parentText" val="5" fact="NaN" max="NaN"/>
    </dgm:ruleLst>
    <dgm:forEach name="Name3" axis="ch" ptType="node">
      <dgm:layoutNode name="parentLin">
        <dgm:choose name="Name4">
          <dgm:if name="Name5" func="var" arg="dir" op="equ" val="norm">
            <dgm:alg type="lin">
              <dgm:param type="linDir" val="fromL"/>
              <dgm:param type="horzAlign" val="l"/>
              <dgm:param type="nodeHorzAlign" val="l"/>
            </dgm:alg>
          </dgm:if>
          <dgm:else name="Name6">
            <dgm:alg type="lin">
              <dgm:param type="linDir" val="fromR"/>
              <dgm:param type="horzAlign" val="r"/>
              <dgm:param type="nodeHorz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layoutNode name="parentLeftMargin">
          <dgm:alg type="sp"/>
          <dgm:shape xmlns:r="http://schemas.openxmlformats.org/officeDocument/2006/relationships" type="rect" r:blip="" hideGeom="1">
            <dgm:adjLst/>
          </dgm:shape>
          <dgm:presOf axis="self"/>
          <dgm:constrLst>
            <dgm:constr type="h"/>
          </dgm:constrLst>
          <dgm:ruleLst/>
        </dgm:layoutNode>
        <dgm:layoutNode name="parentText" styleLbl="node1">
          <dgm:varLst>
            <dgm:chMax val="0"/>
            <dgm:bulletEnabled val="1"/>
          </dgm:varLst>
          <dgm:choose name="Name7">
            <dgm:if name="Name8" func="var" arg="dir" op="equ" val="norm">
              <dgm:alg type="tx">
                <dgm:param type="parTxLTRAlign" val="l"/>
                <dgm:param type="parTxRTLAlign" val="l"/>
              </dgm:alg>
            </dgm:if>
            <dgm:else name="Name9">
              <dgm:alg type="tx">
                <dgm:param type="parTxLTRAlign" val="r"/>
                <dgm:param type="parTxRTLAlign" val="r"/>
              </dgm:alg>
            </dgm:else>
          </dgm:choose>
          <dgm:shape xmlns:r="http://schemas.openxmlformats.org/officeDocument/2006/relationships" type="roundRect" r:blip="">
            <dgm:adjLst/>
          </dgm:shape>
          <dgm:presOf axis="self" ptType="node"/>
          <dgm:constrLst>
            <dgm:constr type="tMarg"/>
            <dgm:constr type="bMarg"/>
          </dgm:constrLst>
          <dgm:ruleLst/>
        </dgm:layoutNode>
      </dgm:layoutNode>
      <dgm:layoutNode name="negativeSpace">
        <dgm:alg type="sp"/>
        <dgm:shape xmlns:r="http://schemas.openxmlformats.org/officeDocument/2006/relationships" r:blip="">
          <dgm:adjLst/>
        </dgm:shape>
        <dgm:presOf/>
        <dgm:constrLst/>
        <dgm:ruleLst/>
      </dgm:layoutNode>
      <dgm:layoutNode name="childText" styleLbl="conFgAcc1">
        <dgm:varLst>
          <dgm:bulletEnabled val="1"/>
        </dgm:varLst>
        <dgm:alg type="tx">
          <dgm:param type="stBulletLvl" val="1"/>
        </dgm:alg>
        <dgm:shape xmlns:r="http://schemas.openxmlformats.org/officeDocument/2006/relationships" type="rect" r:blip="" zOrderOff="-2">
          <dgm:adjLst/>
        </dgm:shape>
        <dgm:presOf axis="des" ptType="node"/>
        <dgm:constrLst>
          <dgm:constr type="secFontSz" refType="primFontSz"/>
        </dgm:constrLst>
        <dgm:ruleLst>
          <dgm:rule type="h" val="INF" fact="NaN" max="NaN"/>
        </dgm:ruleLst>
      </dgm:layoutNode>
      <dgm:forEach name="Name10" axis="followSib" ptType="sibTrans" cnt="1">
        <dgm:layoutNode name="spaceBetweenRectangle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1">
  <dgm:title val=""/>
  <dgm:desc val=""/>
  <dgm:catLst>
    <dgm:cat type="3D" pri="111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flat" dir="t"/>
    </dgm:scene3d>
    <dgm:sp3d z="1270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flat" dir="t"/>
    </dgm:scene3d>
    <dgm:sp3d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flat" dir="t"/>
    </dgm:scene3d>
    <dgm:sp3d z="-190500" prstMaterial="plastic">
      <a:bevelT w="88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flat" dir="t"/>
    </dgm:scene3d>
    <dgm:sp3d z="-80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flat" dir="t"/>
    </dgm:scene3d>
    <dgm:sp3d z="1270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flat" dir="t"/>
    </dgm:scene3d>
    <dgm:sp3d z="-190500" prstMaterial="plastic">
      <a:bevelT w="50800" h="50800"/>
      <a:bevelB w="25400" h="25400" prst="angle"/>
    </dgm:sp3d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flat" dir="t"/>
    </dgm:scene3d>
    <dgm:sp3d z="-40000" prstMaterial="matte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 z="127000" prstMaterial="matte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flat" dir="t"/>
    </dgm:scene3d>
    <dgm:sp3d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flat" dir="t"/>
    </dgm:scene3d>
    <dgm:sp3d z="-10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flat" dir="t"/>
    </dgm:scene3d>
    <dgm:sp3d z="-60000" prstMaterial="plastic">
      <a:bevelT w="120900" h="88900"/>
      <a:bevelB w="88900" h="31750" prst="angle"/>
    </dgm:sp3d>
    <dgm:txPr/>
    <dgm:style>
      <a:lnRef idx="0">
        <a:scrgbClr r="0" g="0" b="0"/>
      </a:lnRef>
      <a:fillRef idx="3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flat" dir="t"/>
    </dgm:scene3d>
    <dgm:sp3d prstMaterial="matte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FollowNode1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flat" dir="t"/>
    </dgm:scene3d>
    <dgm:sp3d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flat" dir="t"/>
    </dgm:scene3d>
    <dgm:sp3d z="190500" extrusionH="12700" prstMaterial="plastic">
      <a:bevelT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flat" dir="t"/>
    </dgm:scene3d>
    <dgm:sp3d z="-190500" extrusionH="12700" prstMaterial="plastic">
      <a:bevelT w="50800" h="508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flat" dir="t"/>
    </dgm:scene3d>
    <dgm:sp3d z="-190500" extrusionH="12700" prstMaterial="matte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z="190500" prstMaterial="plastic">
      <a:bevelT w="120900" h="88900"/>
      <a:bevelB w="88900" h="31750" prst="angle"/>
    </dgm:sp3d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19B1B-072E-4005-BBAA-44DB43E82B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2112</Words>
  <Characters>12043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2021-06-21T21:28:00Z</dcterms:created>
  <dcterms:modified xsi:type="dcterms:W3CDTF">2021-06-21T21:28:00Z</dcterms:modified>
</cp:coreProperties>
</file>