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1FF7" w:rsidRPr="00687073" w:rsidRDefault="007C1FF7" w:rsidP="00687073">
      <w:pPr>
        <w:tabs>
          <w:tab w:val="left" w:pos="284"/>
          <w:tab w:val="left" w:pos="567"/>
        </w:tabs>
        <w:spacing w:after="0" w:line="240" w:lineRule="auto"/>
        <w:rPr>
          <w:rFonts w:ascii="Times New Roman" w:eastAsia="Calibri" w:hAnsi="Times New Roman" w:cs="Times New Roman"/>
          <w:b/>
          <w:sz w:val="24"/>
          <w:szCs w:val="24"/>
        </w:rPr>
      </w:pPr>
      <w:r w:rsidRPr="00687073">
        <w:rPr>
          <w:rFonts w:ascii="Times New Roman" w:eastAsia="Calibri" w:hAnsi="Times New Roman" w:cs="Times New Roman"/>
          <w:b/>
          <w:sz w:val="24"/>
          <w:szCs w:val="24"/>
        </w:rPr>
        <w:t>УДК 334.012.64:334.012.62/ББК 65.290.31:65.290.32</w:t>
      </w:r>
    </w:p>
    <w:p w:rsidR="007C1FF7" w:rsidRPr="00687073" w:rsidRDefault="007C1FF7" w:rsidP="00687073">
      <w:pPr>
        <w:tabs>
          <w:tab w:val="left" w:pos="284"/>
          <w:tab w:val="left" w:pos="567"/>
        </w:tabs>
        <w:spacing w:after="0" w:line="240" w:lineRule="auto"/>
        <w:jc w:val="right"/>
        <w:rPr>
          <w:rFonts w:ascii="Times New Roman" w:eastAsia="Calibri" w:hAnsi="Times New Roman" w:cs="Times New Roman"/>
          <w:b/>
          <w:sz w:val="24"/>
          <w:szCs w:val="24"/>
        </w:rPr>
      </w:pPr>
    </w:p>
    <w:p w:rsidR="007C1FF7" w:rsidRPr="00687073" w:rsidRDefault="007C1FF7" w:rsidP="00687073">
      <w:pPr>
        <w:tabs>
          <w:tab w:val="left" w:pos="284"/>
          <w:tab w:val="left" w:pos="567"/>
        </w:tabs>
        <w:spacing w:after="0" w:line="240" w:lineRule="auto"/>
        <w:jc w:val="right"/>
        <w:rPr>
          <w:rFonts w:ascii="Times New Roman" w:eastAsia="Calibri" w:hAnsi="Times New Roman" w:cs="Times New Roman"/>
          <w:b/>
          <w:sz w:val="24"/>
          <w:szCs w:val="24"/>
        </w:rPr>
      </w:pPr>
      <w:r w:rsidRPr="00687073">
        <w:rPr>
          <w:rFonts w:ascii="Times New Roman" w:eastAsia="Calibri" w:hAnsi="Times New Roman" w:cs="Times New Roman"/>
          <w:b/>
          <w:sz w:val="24"/>
          <w:szCs w:val="24"/>
        </w:rPr>
        <w:t>Кузнецова Е.П.</w:t>
      </w:r>
    </w:p>
    <w:p w:rsidR="007C1FF7" w:rsidRPr="00687073" w:rsidRDefault="007C1FF7" w:rsidP="00687073">
      <w:pPr>
        <w:tabs>
          <w:tab w:val="left" w:pos="284"/>
          <w:tab w:val="left" w:pos="567"/>
        </w:tabs>
        <w:spacing w:after="0" w:line="240" w:lineRule="auto"/>
        <w:jc w:val="right"/>
        <w:rPr>
          <w:rFonts w:ascii="Times New Roman" w:eastAsia="Calibri" w:hAnsi="Times New Roman" w:cs="Times New Roman"/>
          <w:b/>
          <w:sz w:val="24"/>
          <w:szCs w:val="24"/>
        </w:rPr>
      </w:pPr>
      <w:r w:rsidRPr="00687073">
        <w:rPr>
          <w:rFonts w:ascii="Times New Roman" w:eastAsia="Calibri" w:hAnsi="Times New Roman" w:cs="Times New Roman"/>
          <w:b/>
          <w:sz w:val="24"/>
          <w:szCs w:val="24"/>
        </w:rPr>
        <w:t xml:space="preserve">ФГБУН </w:t>
      </w:r>
      <w:proofErr w:type="spellStart"/>
      <w:r w:rsidRPr="00687073">
        <w:rPr>
          <w:rFonts w:ascii="Times New Roman" w:eastAsia="Calibri" w:hAnsi="Times New Roman" w:cs="Times New Roman"/>
          <w:b/>
          <w:sz w:val="24"/>
          <w:szCs w:val="24"/>
        </w:rPr>
        <w:t>ВолНЦ</w:t>
      </w:r>
      <w:proofErr w:type="spellEnd"/>
      <w:r w:rsidRPr="00687073">
        <w:rPr>
          <w:rFonts w:ascii="Times New Roman" w:eastAsia="Calibri" w:hAnsi="Times New Roman" w:cs="Times New Roman"/>
          <w:b/>
          <w:sz w:val="24"/>
          <w:szCs w:val="24"/>
        </w:rPr>
        <w:t xml:space="preserve"> РАН</w:t>
      </w:r>
    </w:p>
    <w:p w:rsidR="000943C3" w:rsidRPr="00687073" w:rsidRDefault="000943C3" w:rsidP="00687073">
      <w:pPr>
        <w:spacing w:after="0" w:line="240" w:lineRule="auto"/>
        <w:jc w:val="center"/>
        <w:rPr>
          <w:rFonts w:ascii="Times New Roman" w:hAnsi="Times New Roman" w:cs="Times New Roman"/>
          <w:b/>
          <w:sz w:val="24"/>
          <w:szCs w:val="24"/>
        </w:rPr>
      </w:pPr>
    </w:p>
    <w:p w:rsidR="005B3308" w:rsidRPr="00687073" w:rsidRDefault="00EC7494" w:rsidP="00687073">
      <w:pPr>
        <w:spacing w:after="0" w:line="240" w:lineRule="auto"/>
        <w:jc w:val="center"/>
        <w:rPr>
          <w:rFonts w:ascii="Times New Roman" w:hAnsi="Times New Roman" w:cs="Times New Roman"/>
          <w:b/>
          <w:sz w:val="24"/>
          <w:szCs w:val="24"/>
        </w:rPr>
      </w:pPr>
      <w:r w:rsidRPr="00EC7494">
        <w:rPr>
          <w:rFonts w:ascii="Times New Roman" w:hAnsi="Times New Roman" w:cs="Times New Roman"/>
          <w:b/>
          <w:sz w:val="23"/>
          <w:szCs w:val="23"/>
        </w:rPr>
        <w:t>ПРОБЛЕМЫ, ПРЕПЯТСТВУЮЩИЕ ГОТОВНОСТИ И СКЛОННОСТИ МАЛОГО БИЗНЕСА К КООПЕРАЦИИ С НАУЧНЫМ И ГОСУДАРСТВЕННЫМ СЕКТОРОМ</w:t>
      </w:r>
      <w:r w:rsidRPr="00687073">
        <w:rPr>
          <w:rStyle w:val="a5"/>
          <w:rFonts w:ascii="Times New Roman" w:hAnsi="Times New Roman" w:cs="Times New Roman"/>
          <w:b/>
          <w:sz w:val="24"/>
          <w:szCs w:val="24"/>
        </w:rPr>
        <w:t xml:space="preserve"> </w:t>
      </w:r>
      <w:r w:rsidR="000943C3" w:rsidRPr="00687073">
        <w:rPr>
          <w:rStyle w:val="a5"/>
          <w:rFonts w:ascii="Times New Roman" w:hAnsi="Times New Roman" w:cs="Times New Roman"/>
          <w:b/>
          <w:sz w:val="24"/>
          <w:szCs w:val="24"/>
        </w:rPr>
        <w:footnoteReference w:id="1"/>
      </w:r>
    </w:p>
    <w:p w:rsidR="0051722E" w:rsidRPr="00687073" w:rsidRDefault="0051722E" w:rsidP="00687073">
      <w:pPr>
        <w:spacing w:after="0" w:line="240" w:lineRule="auto"/>
        <w:rPr>
          <w:rFonts w:ascii="Times New Roman" w:hAnsi="Times New Roman" w:cs="Times New Roman"/>
          <w:sz w:val="24"/>
          <w:szCs w:val="24"/>
        </w:rPr>
      </w:pPr>
    </w:p>
    <w:p w:rsidR="0051722E" w:rsidRPr="00687073" w:rsidRDefault="0051722E" w:rsidP="00687073">
      <w:pPr>
        <w:spacing w:after="0" w:line="240" w:lineRule="auto"/>
        <w:ind w:firstLine="709"/>
        <w:jc w:val="both"/>
        <w:rPr>
          <w:rFonts w:ascii="Times New Roman" w:hAnsi="Times New Roman" w:cs="Times New Roman"/>
          <w:i/>
          <w:sz w:val="24"/>
          <w:szCs w:val="24"/>
        </w:rPr>
      </w:pPr>
      <w:r w:rsidRPr="00687073">
        <w:rPr>
          <w:rFonts w:ascii="Times New Roman" w:hAnsi="Times New Roman" w:cs="Times New Roman"/>
          <w:i/>
          <w:sz w:val="24"/>
          <w:szCs w:val="24"/>
        </w:rPr>
        <w:t>Аннотация.</w:t>
      </w:r>
      <w:r w:rsidR="00D36C9B" w:rsidRPr="00687073">
        <w:rPr>
          <w:rFonts w:ascii="Times New Roman" w:hAnsi="Times New Roman" w:cs="Times New Roman"/>
          <w:i/>
          <w:sz w:val="24"/>
          <w:szCs w:val="24"/>
        </w:rPr>
        <w:t xml:space="preserve"> Целью работы является выявление проблем, препятствующих готовности и склонности малого бизнеса к кооперации с научным и государственны</w:t>
      </w:r>
      <w:r w:rsidR="0040435B" w:rsidRPr="00687073">
        <w:rPr>
          <w:rFonts w:ascii="Times New Roman" w:hAnsi="Times New Roman" w:cs="Times New Roman"/>
          <w:i/>
          <w:sz w:val="24"/>
          <w:szCs w:val="24"/>
        </w:rPr>
        <w:t>м</w:t>
      </w:r>
      <w:r w:rsidR="00D36C9B" w:rsidRPr="00687073">
        <w:rPr>
          <w:rFonts w:ascii="Times New Roman" w:hAnsi="Times New Roman" w:cs="Times New Roman"/>
          <w:i/>
          <w:sz w:val="24"/>
          <w:szCs w:val="24"/>
        </w:rPr>
        <w:t xml:space="preserve"> сектором для разработки на</w:t>
      </w:r>
      <w:r w:rsidR="00EC7494">
        <w:rPr>
          <w:rFonts w:ascii="Times New Roman" w:hAnsi="Times New Roman" w:cs="Times New Roman"/>
          <w:i/>
          <w:sz w:val="24"/>
          <w:szCs w:val="24"/>
        </w:rPr>
        <w:t>правлений по совершенствованию научно-технологической</w:t>
      </w:r>
      <w:r w:rsidR="00D36C9B" w:rsidRPr="00687073">
        <w:rPr>
          <w:rFonts w:ascii="Times New Roman" w:hAnsi="Times New Roman" w:cs="Times New Roman"/>
          <w:i/>
          <w:sz w:val="24"/>
          <w:szCs w:val="24"/>
        </w:rPr>
        <w:t xml:space="preserve"> политики страны. В</w:t>
      </w:r>
      <w:r w:rsidR="00EC7494">
        <w:rPr>
          <w:rFonts w:ascii="Times New Roman" w:hAnsi="Times New Roman" w:cs="Times New Roman"/>
          <w:i/>
          <w:sz w:val="24"/>
          <w:szCs w:val="24"/>
        </w:rPr>
        <w:t xml:space="preserve"> статье представлены результаты</w:t>
      </w:r>
      <w:r w:rsidR="00D36C9B" w:rsidRPr="00687073">
        <w:rPr>
          <w:rFonts w:ascii="Times New Roman" w:hAnsi="Times New Roman" w:cs="Times New Roman"/>
          <w:i/>
          <w:sz w:val="24"/>
          <w:szCs w:val="24"/>
        </w:rPr>
        <w:t xml:space="preserve"> анализа инновационной активности бизнеса в РФ; анализа финансовой государственной поддержки взаимодействия науки и бизнеса; </w:t>
      </w:r>
      <w:r w:rsidR="00EC7494">
        <w:rPr>
          <w:rFonts w:ascii="Times New Roman" w:hAnsi="Times New Roman" w:cs="Times New Roman"/>
          <w:i/>
          <w:sz w:val="24"/>
          <w:szCs w:val="24"/>
        </w:rPr>
        <w:t xml:space="preserve">выявлены ключевые проблемы и </w:t>
      </w:r>
      <w:r w:rsidR="00D36C9B" w:rsidRPr="00687073">
        <w:rPr>
          <w:rFonts w:ascii="Times New Roman" w:hAnsi="Times New Roman" w:cs="Times New Roman"/>
          <w:i/>
          <w:sz w:val="24"/>
          <w:szCs w:val="24"/>
        </w:rPr>
        <w:t xml:space="preserve">продемонстрированы направления по </w:t>
      </w:r>
      <w:r w:rsidR="00EC7494">
        <w:rPr>
          <w:rFonts w:ascii="Times New Roman" w:hAnsi="Times New Roman" w:cs="Times New Roman"/>
          <w:i/>
          <w:sz w:val="24"/>
          <w:szCs w:val="24"/>
        </w:rPr>
        <w:t>их устранению</w:t>
      </w:r>
      <w:r w:rsidR="00D36C9B" w:rsidRPr="00687073">
        <w:rPr>
          <w:rFonts w:ascii="Times New Roman" w:hAnsi="Times New Roman" w:cs="Times New Roman"/>
          <w:i/>
          <w:sz w:val="24"/>
          <w:szCs w:val="24"/>
        </w:rPr>
        <w:t>.</w:t>
      </w:r>
    </w:p>
    <w:p w:rsidR="0051722E" w:rsidRPr="00687073" w:rsidRDefault="0051722E" w:rsidP="00687073">
      <w:pPr>
        <w:spacing w:after="0" w:line="240" w:lineRule="auto"/>
        <w:ind w:firstLine="709"/>
        <w:jc w:val="both"/>
        <w:rPr>
          <w:rFonts w:ascii="Times New Roman" w:hAnsi="Times New Roman" w:cs="Times New Roman"/>
          <w:i/>
          <w:sz w:val="24"/>
          <w:szCs w:val="24"/>
        </w:rPr>
      </w:pPr>
      <w:r w:rsidRPr="00687073">
        <w:rPr>
          <w:rFonts w:ascii="Times New Roman" w:hAnsi="Times New Roman" w:cs="Times New Roman"/>
          <w:i/>
          <w:sz w:val="24"/>
          <w:szCs w:val="24"/>
        </w:rPr>
        <w:t>Ключе</w:t>
      </w:r>
      <w:r w:rsidR="00EC7494">
        <w:rPr>
          <w:rFonts w:ascii="Times New Roman" w:hAnsi="Times New Roman" w:cs="Times New Roman"/>
          <w:i/>
          <w:sz w:val="24"/>
          <w:szCs w:val="24"/>
        </w:rPr>
        <w:t xml:space="preserve">вые слова: </w:t>
      </w:r>
      <w:r w:rsidRPr="00687073">
        <w:rPr>
          <w:rFonts w:ascii="Times New Roman" w:hAnsi="Times New Roman" w:cs="Times New Roman"/>
          <w:i/>
          <w:sz w:val="24"/>
          <w:szCs w:val="24"/>
        </w:rPr>
        <w:t>кооперация, бизнес, наука, государство</w:t>
      </w:r>
      <w:r w:rsidR="00EC7494">
        <w:rPr>
          <w:rFonts w:ascii="Times New Roman" w:hAnsi="Times New Roman" w:cs="Times New Roman"/>
          <w:i/>
          <w:sz w:val="24"/>
          <w:szCs w:val="24"/>
        </w:rPr>
        <w:t>, научно-технологическое пространство.</w:t>
      </w:r>
    </w:p>
    <w:p w:rsidR="0051722E" w:rsidRPr="00687073" w:rsidRDefault="0051722E" w:rsidP="00687073">
      <w:pPr>
        <w:spacing w:after="0" w:line="240" w:lineRule="auto"/>
        <w:ind w:firstLine="709"/>
        <w:jc w:val="both"/>
        <w:rPr>
          <w:rFonts w:ascii="Times New Roman" w:hAnsi="Times New Roman" w:cs="Times New Roman"/>
          <w:sz w:val="24"/>
          <w:szCs w:val="24"/>
        </w:rPr>
      </w:pPr>
    </w:p>
    <w:p w:rsidR="001D73FC" w:rsidRPr="00687073" w:rsidRDefault="002D7620" w:rsidP="00687073">
      <w:pPr>
        <w:spacing w:after="0" w:line="240" w:lineRule="auto"/>
        <w:ind w:firstLine="709"/>
        <w:jc w:val="both"/>
        <w:rPr>
          <w:rFonts w:ascii="Times New Roman" w:hAnsi="Times New Roman" w:cs="Times New Roman"/>
          <w:sz w:val="24"/>
          <w:szCs w:val="24"/>
        </w:rPr>
      </w:pPr>
      <w:r w:rsidRPr="00687073">
        <w:rPr>
          <w:rFonts w:ascii="Times New Roman" w:hAnsi="Times New Roman" w:cs="Times New Roman"/>
          <w:sz w:val="24"/>
          <w:szCs w:val="24"/>
        </w:rPr>
        <w:t xml:space="preserve">На сегодняшний день для обеспечения устойчивого развития территории необходимо </w:t>
      </w:r>
      <w:r w:rsidR="0051722E" w:rsidRPr="00687073">
        <w:rPr>
          <w:rFonts w:ascii="Times New Roman" w:hAnsi="Times New Roman" w:cs="Times New Roman"/>
          <w:sz w:val="24"/>
          <w:szCs w:val="24"/>
        </w:rPr>
        <w:t>тесное партнерство и эффективное взаимодействие предприятий</w:t>
      </w:r>
      <w:r w:rsidRPr="00687073">
        <w:rPr>
          <w:rFonts w:ascii="Times New Roman" w:hAnsi="Times New Roman" w:cs="Times New Roman"/>
          <w:sz w:val="24"/>
          <w:szCs w:val="24"/>
        </w:rPr>
        <w:t xml:space="preserve"> с</w:t>
      </w:r>
      <w:r w:rsidR="0051722E" w:rsidRPr="00687073">
        <w:rPr>
          <w:rFonts w:ascii="Times New Roman" w:hAnsi="Times New Roman" w:cs="Times New Roman"/>
          <w:sz w:val="24"/>
          <w:szCs w:val="24"/>
        </w:rPr>
        <w:t xml:space="preserve"> </w:t>
      </w:r>
      <w:r w:rsidRPr="00687073">
        <w:rPr>
          <w:rFonts w:ascii="Times New Roman" w:hAnsi="Times New Roman" w:cs="Times New Roman"/>
          <w:sz w:val="24"/>
          <w:szCs w:val="24"/>
        </w:rPr>
        <w:t>научными организациями</w:t>
      </w:r>
      <w:r w:rsidR="0051722E" w:rsidRPr="00687073">
        <w:rPr>
          <w:rFonts w:ascii="Times New Roman" w:hAnsi="Times New Roman" w:cs="Times New Roman"/>
          <w:sz w:val="24"/>
          <w:szCs w:val="24"/>
        </w:rPr>
        <w:t xml:space="preserve"> и государств</w:t>
      </w:r>
      <w:r w:rsidRPr="00687073">
        <w:rPr>
          <w:rFonts w:ascii="Times New Roman" w:hAnsi="Times New Roman" w:cs="Times New Roman"/>
          <w:sz w:val="24"/>
          <w:szCs w:val="24"/>
        </w:rPr>
        <w:t>ом.</w:t>
      </w:r>
      <w:r w:rsidR="0051722E" w:rsidRPr="00687073">
        <w:rPr>
          <w:rFonts w:ascii="Times New Roman" w:hAnsi="Times New Roman" w:cs="Times New Roman"/>
          <w:sz w:val="24"/>
          <w:szCs w:val="24"/>
        </w:rPr>
        <w:t xml:space="preserve"> </w:t>
      </w:r>
      <w:r w:rsidR="008B5832" w:rsidRPr="00687073">
        <w:rPr>
          <w:rFonts w:ascii="Times New Roman" w:hAnsi="Times New Roman" w:cs="Times New Roman"/>
          <w:sz w:val="24"/>
          <w:szCs w:val="24"/>
        </w:rPr>
        <w:t xml:space="preserve">Наиболее ярким примером, доказывающим это, является создание и развитие </w:t>
      </w:r>
      <w:r w:rsidR="0007017B" w:rsidRPr="00687073">
        <w:rPr>
          <w:rFonts w:ascii="Times New Roman" w:hAnsi="Times New Roman" w:cs="Times New Roman"/>
          <w:sz w:val="24"/>
          <w:szCs w:val="24"/>
        </w:rPr>
        <w:t>Кремниевой</w:t>
      </w:r>
      <w:r w:rsidR="008B5832" w:rsidRPr="00687073">
        <w:rPr>
          <w:rFonts w:ascii="Times New Roman" w:hAnsi="Times New Roman" w:cs="Times New Roman"/>
          <w:sz w:val="24"/>
          <w:szCs w:val="24"/>
        </w:rPr>
        <w:t xml:space="preserve"> долины в США.</w:t>
      </w:r>
      <w:r w:rsidR="00507AC6" w:rsidRPr="00687073">
        <w:rPr>
          <w:rFonts w:ascii="Times New Roman" w:hAnsi="Times New Roman" w:cs="Times New Roman"/>
          <w:sz w:val="24"/>
          <w:szCs w:val="24"/>
        </w:rPr>
        <w:t xml:space="preserve"> </w:t>
      </w:r>
      <w:r w:rsidR="0007017B" w:rsidRPr="00687073">
        <w:rPr>
          <w:rFonts w:ascii="Times New Roman" w:hAnsi="Times New Roman" w:cs="Times New Roman"/>
          <w:sz w:val="24"/>
          <w:szCs w:val="24"/>
        </w:rPr>
        <w:t xml:space="preserve">На ее территории располагаются более 90 тысяч компаний, несколько десятков исследовательских центров и несколько крупных университетов. Кремниевая </w:t>
      </w:r>
      <w:r w:rsidR="00665E8E" w:rsidRPr="00687073">
        <w:rPr>
          <w:rFonts w:ascii="Times New Roman" w:hAnsi="Times New Roman" w:cs="Times New Roman"/>
          <w:sz w:val="24"/>
          <w:szCs w:val="24"/>
        </w:rPr>
        <w:t>долина –</w:t>
      </w:r>
      <w:r w:rsidR="0007017B" w:rsidRPr="00687073">
        <w:rPr>
          <w:rFonts w:ascii="Times New Roman" w:hAnsi="Times New Roman" w:cs="Times New Roman"/>
          <w:sz w:val="24"/>
          <w:szCs w:val="24"/>
        </w:rPr>
        <w:t xml:space="preserve"> это классический пример плодотворного взаимодействия бизнеса и академической науки, кадрового обмена между научными центрами и бизнес сектором. На ее территории оказывают услуги около 180 венчурных фирм и около 700 банков, которые финансируют деятельность отдельных компаний</w:t>
      </w:r>
      <w:r w:rsidR="0092638B" w:rsidRPr="00687073">
        <w:rPr>
          <w:rFonts w:ascii="Times New Roman" w:hAnsi="Times New Roman" w:cs="Times New Roman"/>
          <w:sz w:val="24"/>
          <w:szCs w:val="24"/>
        </w:rPr>
        <w:t xml:space="preserve"> [1; 2]</w:t>
      </w:r>
      <w:r w:rsidR="0007017B" w:rsidRPr="00687073">
        <w:rPr>
          <w:rFonts w:ascii="Times New Roman" w:hAnsi="Times New Roman" w:cs="Times New Roman"/>
          <w:sz w:val="24"/>
          <w:szCs w:val="24"/>
        </w:rPr>
        <w:t>. Совместно они сформировали уникальную предпринимательскую среду и климат инновационной</w:t>
      </w:r>
      <w:r w:rsidR="00FD62F5" w:rsidRPr="00687073">
        <w:rPr>
          <w:rFonts w:ascii="Times New Roman" w:hAnsi="Times New Roman" w:cs="Times New Roman"/>
          <w:sz w:val="24"/>
          <w:szCs w:val="24"/>
        </w:rPr>
        <w:t xml:space="preserve"> </w:t>
      </w:r>
      <w:r w:rsidR="0007017B" w:rsidRPr="00687073">
        <w:rPr>
          <w:rFonts w:ascii="Times New Roman" w:hAnsi="Times New Roman" w:cs="Times New Roman"/>
          <w:sz w:val="24"/>
          <w:szCs w:val="24"/>
        </w:rPr>
        <w:t>культуры в близлежащих регионах</w:t>
      </w:r>
      <w:r w:rsidR="009B2538" w:rsidRPr="00687073">
        <w:rPr>
          <w:rFonts w:ascii="Times New Roman" w:hAnsi="Times New Roman" w:cs="Times New Roman"/>
          <w:sz w:val="24"/>
          <w:szCs w:val="24"/>
        </w:rPr>
        <w:t xml:space="preserve">, что позволило решить проблему оттока </w:t>
      </w:r>
      <w:r w:rsidR="00953525" w:rsidRPr="00687073">
        <w:rPr>
          <w:rFonts w:ascii="Times New Roman" w:hAnsi="Times New Roman" w:cs="Times New Roman"/>
          <w:sz w:val="24"/>
          <w:szCs w:val="24"/>
        </w:rPr>
        <w:t>кадров, создания рабочих мест и</w:t>
      </w:r>
      <w:r w:rsidR="009B2538" w:rsidRPr="00687073">
        <w:rPr>
          <w:rFonts w:ascii="Times New Roman" w:hAnsi="Times New Roman" w:cs="Times New Roman"/>
          <w:sz w:val="24"/>
          <w:szCs w:val="24"/>
        </w:rPr>
        <w:t xml:space="preserve"> в целом социально-экономического развития территории.</w:t>
      </w:r>
      <w:r w:rsidR="00FD62F5" w:rsidRPr="00687073">
        <w:rPr>
          <w:rFonts w:ascii="Times New Roman" w:hAnsi="Times New Roman" w:cs="Times New Roman"/>
          <w:sz w:val="24"/>
          <w:szCs w:val="24"/>
        </w:rPr>
        <w:t xml:space="preserve"> В свою очередь</w:t>
      </w:r>
      <w:r w:rsidRPr="00687073">
        <w:rPr>
          <w:rFonts w:ascii="Times New Roman" w:hAnsi="Times New Roman" w:cs="Times New Roman"/>
          <w:sz w:val="24"/>
          <w:szCs w:val="24"/>
        </w:rPr>
        <w:t xml:space="preserve"> </w:t>
      </w:r>
      <w:r w:rsidR="00F32B42" w:rsidRPr="00687073">
        <w:rPr>
          <w:rFonts w:ascii="Times New Roman" w:hAnsi="Times New Roman" w:cs="Times New Roman"/>
          <w:sz w:val="24"/>
          <w:szCs w:val="24"/>
        </w:rPr>
        <w:t>для социально-экономического развития</w:t>
      </w:r>
      <w:r w:rsidRPr="00687073">
        <w:rPr>
          <w:rFonts w:ascii="Times New Roman" w:hAnsi="Times New Roman" w:cs="Times New Roman"/>
          <w:sz w:val="24"/>
          <w:szCs w:val="24"/>
        </w:rPr>
        <w:t xml:space="preserve"> </w:t>
      </w:r>
      <w:r w:rsidR="0051722E" w:rsidRPr="00687073">
        <w:rPr>
          <w:rFonts w:ascii="Times New Roman" w:hAnsi="Times New Roman" w:cs="Times New Roman"/>
          <w:sz w:val="24"/>
          <w:szCs w:val="24"/>
        </w:rPr>
        <w:t xml:space="preserve">России </w:t>
      </w:r>
      <w:r w:rsidR="00665E8E" w:rsidRPr="00687073">
        <w:rPr>
          <w:rFonts w:ascii="Times New Roman" w:hAnsi="Times New Roman" w:cs="Times New Roman"/>
          <w:sz w:val="24"/>
          <w:szCs w:val="24"/>
        </w:rPr>
        <w:t>взаимодействие бизнеса с научным и государственным сектором</w:t>
      </w:r>
      <w:r w:rsidR="0051722E" w:rsidRPr="00687073">
        <w:rPr>
          <w:rFonts w:ascii="Times New Roman" w:hAnsi="Times New Roman" w:cs="Times New Roman"/>
          <w:sz w:val="24"/>
          <w:szCs w:val="24"/>
        </w:rPr>
        <w:t xml:space="preserve"> </w:t>
      </w:r>
      <w:r w:rsidR="00665E8E" w:rsidRPr="00687073">
        <w:rPr>
          <w:rFonts w:ascii="Times New Roman" w:hAnsi="Times New Roman" w:cs="Times New Roman"/>
          <w:sz w:val="24"/>
          <w:szCs w:val="24"/>
        </w:rPr>
        <w:t>имее</w:t>
      </w:r>
      <w:r w:rsidR="00F32B42" w:rsidRPr="00687073">
        <w:rPr>
          <w:rFonts w:ascii="Times New Roman" w:hAnsi="Times New Roman" w:cs="Times New Roman"/>
          <w:sz w:val="24"/>
          <w:szCs w:val="24"/>
        </w:rPr>
        <w:t xml:space="preserve">т </w:t>
      </w:r>
      <w:r w:rsidR="0051722E" w:rsidRPr="00687073">
        <w:rPr>
          <w:rFonts w:ascii="Times New Roman" w:hAnsi="Times New Roman" w:cs="Times New Roman"/>
          <w:sz w:val="24"/>
          <w:szCs w:val="24"/>
        </w:rPr>
        <w:t xml:space="preserve">критическое значение. </w:t>
      </w:r>
      <w:proofErr w:type="gramStart"/>
      <w:r w:rsidR="00FF6D5C" w:rsidRPr="00687073">
        <w:rPr>
          <w:rFonts w:ascii="Times New Roman" w:hAnsi="Times New Roman" w:cs="Times New Roman"/>
          <w:sz w:val="24"/>
          <w:szCs w:val="24"/>
        </w:rPr>
        <w:t xml:space="preserve">Об этом свидетельствуют официальные данные </w:t>
      </w:r>
      <w:r w:rsidR="00851E5D" w:rsidRPr="00687073">
        <w:rPr>
          <w:rFonts w:ascii="Times New Roman" w:hAnsi="Times New Roman" w:cs="Times New Roman"/>
          <w:sz w:val="24"/>
          <w:szCs w:val="24"/>
        </w:rPr>
        <w:t>НИУ ВШЭ</w:t>
      </w:r>
      <w:r w:rsidR="00FF6D5C" w:rsidRPr="00687073">
        <w:rPr>
          <w:rFonts w:ascii="Times New Roman" w:hAnsi="Times New Roman" w:cs="Times New Roman"/>
          <w:sz w:val="24"/>
          <w:szCs w:val="24"/>
        </w:rPr>
        <w:t xml:space="preserve">, на основании которых можно заключить, что </w:t>
      </w:r>
      <w:r w:rsidR="001D73FC" w:rsidRPr="00687073">
        <w:rPr>
          <w:rFonts w:ascii="Times New Roman" w:hAnsi="Times New Roman" w:cs="Times New Roman"/>
          <w:sz w:val="24"/>
          <w:szCs w:val="24"/>
        </w:rPr>
        <w:t xml:space="preserve">уровень инновационной активности малого бизнеса </w:t>
      </w:r>
      <w:r w:rsidR="00FF6D5C" w:rsidRPr="00687073">
        <w:rPr>
          <w:rFonts w:ascii="Times New Roman" w:hAnsi="Times New Roman" w:cs="Times New Roman"/>
          <w:sz w:val="24"/>
          <w:szCs w:val="24"/>
        </w:rPr>
        <w:t>в 20</w:t>
      </w:r>
      <w:r w:rsidR="00851E5D" w:rsidRPr="00687073">
        <w:rPr>
          <w:rFonts w:ascii="Times New Roman" w:hAnsi="Times New Roman" w:cs="Times New Roman"/>
          <w:sz w:val="24"/>
          <w:szCs w:val="24"/>
        </w:rPr>
        <w:t>19</w:t>
      </w:r>
      <w:r w:rsidR="00FF6D5C" w:rsidRPr="00687073">
        <w:rPr>
          <w:rFonts w:ascii="Times New Roman" w:hAnsi="Times New Roman" w:cs="Times New Roman"/>
          <w:sz w:val="24"/>
          <w:szCs w:val="24"/>
        </w:rPr>
        <w:t xml:space="preserve"> г.</w:t>
      </w:r>
      <w:r w:rsidR="00851E5D" w:rsidRPr="00687073">
        <w:rPr>
          <w:rFonts w:ascii="Times New Roman" w:hAnsi="Times New Roman" w:cs="Times New Roman"/>
          <w:sz w:val="24"/>
          <w:szCs w:val="24"/>
        </w:rPr>
        <w:t xml:space="preserve"> составил порядка 6</w:t>
      </w:r>
      <w:r w:rsidR="001D73FC" w:rsidRPr="00687073">
        <w:rPr>
          <w:rFonts w:ascii="Times New Roman" w:hAnsi="Times New Roman" w:cs="Times New Roman"/>
          <w:sz w:val="24"/>
          <w:szCs w:val="24"/>
        </w:rPr>
        <w:t>%, а значение данного показателя за последние 10 лет</w:t>
      </w:r>
      <w:r w:rsidR="00851E5D" w:rsidRPr="00687073">
        <w:rPr>
          <w:rFonts w:ascii="Times New Roman" w:hAnsi="Times New Roman" w:cs="Times New Roman"/>
          <w:sz w:val="24"/>
          <w:szCs w:val="24"/>
        </w:rPr>
        <w:t xml:space="preserve"> </w:t>
      </w:r>
      <w:r w:rsidR="001D73FC" w:rsidRPr="00687073">
        <w:rPr>
          <w:rFonts w:ascii="Times New Roman" w:hAnsi="Times New Roman" w:cs="Times New Roman"/>
          <w:sz w:val="24"/>
          <w:szCs w:val="24"/>
        </w:rPr>
        <w:t xml:space="preserve">выросло на 1 </w:t>
      </w:r>
      <w:proofErr w:type="spellStart"/>
      <w:r w:rsidR="001D73FC" w:rsidRPr="00687073">
        <w:rPr>
          <w:rFonts w:ascii="Times New Roman" w:hAnsi="Times New Roman" w:cs="Times New Roman"/>
          <w:sz w:val="24"/>
          <w:szCs w:val="24"/>
        </w:rPr>
        <w:t>п.п</w:t>
      </w:r>
      <w:proofErr w:type="spellEnd"/>
      <w:r w:rsidR="001D73FC" w:rsidRPr="00687073">
        <w:rPr>
          <w:rFonts w:ascii="Times New Roman" w:hAnsi="Times New Roman" w:cs="Times New Roman"/>
          <w:sz w:val="24"/>
          <w:szCs w:val="24"/>
        </w:rPr>
        <w:t>.</w:t>
      </w:r>
      <w:r w:rsidR="0092638B" w:rsidRPr="00687073">
        <w:rPr>
          <w:rFonts w:ascii="Times New Roman" w:hAnsi="Times New Roman" w:cs="Times New Roman"/>
          <w:sz w:val="24"/>
          <w:szCs w:val="24"/>
        </w:rPr>
        <w:t xml:space="preserve"> [3]</w:t>
      </w:r>
      <w:r w:rsidR="00851E5D" w:rsidRPr="00687073">
        <w:rPr>
          <w:rFonts w:ascii="Times New Roman" w:hAnsi="Times New Roman" w:cs="Times New Roman"/>
          <w:sz w:val="24"/>
          <w:szCs w:val="24"/>
        </w:rPr>
        <w:t>.</w:t>
      </w:r>
      <w:proofErr w:type="gramEnd"/>
      <w:r w:rsidR="00F32B42" w:rsidRPr="00687073">
        <w:rPr>
          <w:rFonts w:ascii="Times New Roman" w:hAnsi="Times New Roman" w:cs="Times New Roman"/>
          <w:sz w:val="24"/>
          <w:szCs w:val="24"/>
        </w:rPr>
        <w:t xml:space="preserve"> </w:t>
      </w:r>
      <w:r w:rsidR="0042061F" w:rsidRPr="00687073">
        <w:rPr>
          <w:rFonts w:ascii="Times New Roman" w:hAnsi="Times New Roman" w:cs="Times New Roman"/>
          <w:sz w:val="24"/>
          <w:szCs w:val="24"/>
        </w:rPr>
        <w:t xml:space="preserve">Для сравнения в США уровень инновационной активности бизнеса </w:t>
      </w:r>
      <w:r w:rsidR="00C64484" w:rsidRPr="00687073">
        <w:rPr>
          <w:rFonts w:ascii="Times New Roman" w:hAnsi="Times New Roman" w:cs="Times New Roman"/>
          <w:sz w:val="24"/>
          <w:szCs w:val="24"/>
        </w:rPr>
        <w:t>выше среднего, он составляет 65%.</w:t>
      </w:r>
      <w:r w:rsidR="00CF44E6" w:rsidRPr="00687073">
        <w:rPr>
          <w:rFonts w:ascii="Times New Roman" w:hAnsi="Times New Roman" w:cs="Times New Roman"/>
          <w:sz w:val="24"/>
          <w:szCs w:val="24"/>
        </w:rPr>
        <w:t xml:space="preserve"> </w:t>
      </w:r>
      <w:r w:rsidR="003A0932" w:rsidRPr="00687073">
        <w:rPr>
          <w:rFonts w:ascii="Times New Roman" w:hAnsi="Times New Roman" w:cs="Times New Roman"/>
          <w:sz w:val="24"/>
          <w:szCs w:val="24"/>
        </w:rPr>
        <w:t xml:space="preserve">Стоит оговориться, что сопоставление таких стран как США и Россия в данной статье вызвано </w:t>
      </w:r>
      <w:r w:rsidR="0003332F" w:rsidRPr="00687073">
        <w:rPr>
          <w:rFonts w:ascii="Times New Roman" w:hAnsi="Times New Roman" w:cs="Times New Roman"/>
          <w:sz w:val="24"/>
          <w:szCs w:val="24"/>
        </w:rPr>
        <w:t xml:space="preserve">их ориентиром на научно-технологическое развитие </w:t>
      </w:r>
      <w:r w:rsidR="0083167A" w:rsidRPr="00687073">
        <w:rPr>
          <w:rFonts w:ascii="Times New Roman" w:hAnsi="Times New Roman" w:cs="Times New Roman"/>
          <w:sz w:val="24"/>
          <w:szCs w:val="24"/>
        </w:rPr>
        <w:t>регионов.</w:t>
      </w:r>
    </w:p>
    <w:p w:rsidR="00E303FC" w:rsidRPr="00687073" w:rsidRDefault="00AF50C8" w:rsidP="00687073">
      <w:pPr>
        <w:spacing w:after="0" w:line="240" w:lineRule="auto"/>
        <w:ind w:firstLine="709"/>
        <w:jc w:val="both"/>
        <w:rPr>
          <w:rFonts w:ascii="Times New Roman" w:hAnsi="Times New Roman" w:cs="Times New Roman"/>
          <w:sz w:val="24"/>
          <w:szCs w:val="24"/>
        </w:rPr>
      </w:pPr>
      <w:proofErr w:type="gramStart"/>
      <w:r w:rsidRPr="00687073">
        <w:rPr>
          <w:rFonts w:ascii="Times New Roman" w:hAnsi="Times New Roman" w:cs="Times New Roman"/>
          <w:sz w:val="24"/>
          <w:szCs w:val="24"/>
        </w:rPr>
        <w:t xml:space="preserve">Обозначенную выше проблему </w:t>
      </w:r>
      <w:r w:rsidR="00665E8E" w:rsidRPr="00687073">
        <w:rPr>
          <w:rFonts w:ascii="Times New Roman" w:hAnsi="Times New Roman" w:cs="Times New Roman"/>
          <w:sz w:val="24"/>
          <w:szCs w:val="24"/>
        </w:rPr>
        <w:t xml:space="preserve">в РФ </w:t>
      </w:r>
      <w:r w:rsidRPr="00687073">
        <w:rPr>
          <w:rFonts w:ascii="Times New Roman" w:hAnsi="Times New Roman" w:cs="Times New Roman"/>
          <w:sz w:val="24"/>
          <w:szCs w:val="24"/>
        </w:rPr>
        <w:t>можно решить за счет</w:t>
      </w:r>
      <w:r w:rsidR="00665E8E" w:rsidRPr="00687073">
        <w:rPr>
          <w:rFonts w:ascii="Times New Roman" w:hAnsi="Times New Roman" w:cs="Times New Roman"/>
          <w:sz w:val="24"/>
          <w:szCs w:val="24"/>
        </w:rPr>
        <w:t xml:space="preserve"> </w:t>
      </w:r>
      <w:r w:rsidRPr="00687073">
        <w:rPr>
          <w:rFonts w:ascii="Times New Roman" w:hAnsi="Times New Roman" w:cs="Times New Roman"/>
          <w:sz w:val="24"/>
          <w:szCs w:val="24"/>
        </w:rPr>
        <w:t>активного</w:t>
      </w:r>
      <w:r w:rsidR="007E6B5A" w:rsidRPr="00687073">
        <w:rPr>
          <w:rFonts w:ascii="Times New Roman" w:hAnsi="Times New Roman" w:cs="Times New Roman"/>
          <w:sz w:val="24"/>
          <w:szCs w:val="24"/>
        </w:rPr>
        <w:t xml:space="preserve"> </w:t>
      </w:r>
      <w:r w:rsidRPr="00687073">
        <w:rPr>
          <w:rFonts w:ascii="Times New Roman" w:hAnsi="Times New Roman" w:cs="Times New Roman"/>
          <w:sz w:val="24"/>
          <w:szCs w:val="24"/>
        </w:rPr>
        <w:t>использования</w:t>
      </w:r>
      <w:r w:rsidR="00665E8E" w:rsidRPr="00687073">
        <w:rPr>
          <w:rFonts w:ascii="Times New Roman" w:hAnsi="Times New Roman" w:cs="Times New Roman"/>
          <w:sz w:val="24"/>
          <w:szCs w:val="24"/>
        </w:rPr>
        <w:t xml:space="preserve"> научного потенциала</w:t>
      </w:r>
      <w:r w:rsidR="00F67A0F" w:rsidRPr="00687073">
        <w:rPr>
          <w:rFonts w:ascii="Times New Roman" w:hAnsi="Times New Roman" w:cs="Times New Roman"/>
          <w:sz w:val="24"/>
          <w:szCs w:val="24"/>
        </w:rPr>
        <w:t xml:space="preserve"> в интересах реального сектора экономики, который</w:t>
      </w:r>
      <w:r w:rsidR="00665E8E" w:rsidRPr="00687073">
        <w:rPr>
          <w:rFonts w:ascii="Times New Roman" w:hAnsi="Times New Roman" w:cs="Times New Roman"/>
          <w:sz w:val="24"/>
          <w:szCs w:val="24"/>
        </w:rPr>
        <w:t xml:space="preserve"> </w:t>
      </w:r>
      <w:r w:rsidR="007E6B5A" w:rsidRPr="00687073">
        <w:rPr>
          <w:rFonts w:ascii="Times New Roman" w:hAnsi="Times New Roman" w:cs="Times New Roman"/>
          <w:sz w:val="24"/>
          <w:szCs w:val="24"/>
        </w:rPr>
        <w:t xml:space="preserve">на сегодняшний день </w:t>
      </w:r>
      <w:r w:rsidR="0042061F" w:rsidRPr="00687073">
        <w:rPr>
          <w:rFonts w:ascii="Times New Roman" w:hAnsi="Times New Roman" w:cs="Times New Roman"/>
          <w:sz w:val="24"/>
          <w:szCs w:val="24"/>
        </w:rPr>
        <w:t>имеется в большом количестве, но по ряду причин в</w:t>
      </w:r>
      <w:r w:rsidR="007E6B5A" w:rsidRPr="00687073">
        <w:rPr>
          <w:rFonts w:ascii="Times New Roman" w:hAnsi="Times New Roman" w:cs="Times New Roman"/>
          <w:sz w:val="24"/>
          <w:szCs w:val="24"/>
        </w:rPr>
        <w:t xml:space="preserve"> существенной степени игнорируется </w:t>
      </w:r>
      <w:r w:rsidR="009E2453" w:rsidRPr="00687073">
        <w:rPr>
          <w:rFonts w:ascii="Times New Roman" w:hAnsi="Times New Roman" w:cs="Times New Roman"/>
          <w:sz w:val="24"/>
          <w:szCs w:val="24"/>
        </w:rPr>
        <w:t>предпринимателями</w:t>
      </w:r>
      <w:r w:rsidR="0044602D" w:rsidRPr="00687073">
        <w:rPr>
          <w:rFonts w:ascii="Times New Roman" w:hAnsi="Times New Roman" w:cs="Times New Roman"/>
          <w:sz w:val="24"/>
          <w:szCs w:val="24"/>
        </w:rPr>
        <w:t>: за последнее десятилетие технологические инновационные проекты, внедренные в производство, в среднем продемонстрировали 20% научных организаций</w:t>
      </w:r>
      <w:r w:rsidR="0042061F" w:rsidRPr="00687073">
        <w:rPr>
          <w:rFonts w:ascii="Times New Roman" w:hAnsi="Times New Roman" w:cs="Times New Roman"/>
          <w:sz w:val="24"/>
          <w:szCs w:val="24"/>
        </w:rPr>
        <w:t xml:space="preserve"> (</w:t>
      </w:r>
      <w:r w:rsidR="00E303FC" w:rsidRPr="00687073">
        <w:rPr>
          <w:rFonts w:ascii="Times New Roman" w:hAnsi="Times New Roman" w:cs="Times New Roman"/>
          <w:sz w:val="24"/>
          <w:szCs w:val="24"/>
        </w:rPr>
        <w:t>в США порядка 60%)</w:t>
      </w:r>
      <w:r w:rsidR="0044602D" w:rsidRPr="00687073">
        <w:rPr>
          <w:rFonts w:ascii="Times New Roman" w:hAnsi="Times New Roman" w:cs="Times New Roman"/>
          <w:sz w:val="24"/>
          <w:szCs w:val="24"/>
        </w:rPr>
        <w:t xml:space="preserve">. </w:t>
      </w:r>
      <w:proofErr w:type="gramEnd"/>
    </w:p>
    <w:p w:rsidR="001D73FC" w:rsidRPr="00687073" w:rsidRDefault="0044602D" w:rsidP="00687073">
      <w:pPr>
        <w:spacing w:after="0" w:line="240" w:lineRule="auto"/>
        <w:ind w:firstLine="709"/>
        <w:jc w:val="both"/>
        <w:rPr>
          <w:rFonts w:ascii="Times New Roman" w:hAnsi="Times New Roman" w:cs="Times New Roman"/>
          <w:sz w:val="24"/>
          <w:szCs w:val="24"/>
        </w:rPr>
      </w:pPr>
      <w:r w:rsidRPr="00687073">
        <w:rPr>
          <w:rFonts w:ascii="Times New Roman" w:hAnsi="Times New Roman" w:cs="Times New Roman"/>
          <w:sz w:val="24"/>
          <w:szCs w:val="24"/>
        </w:rPr>
        <w:t xml:space="preserve">Сохраняется невосприимчивость бизнеса даже к завершенным разработкам. </w:t>
      </w:r>
      <w:r w:rsidR="00E303FC" w:rsidRPr="00687073">
        <w:rPr>
          <w:rFonts w:ascii="Times New Roman" w:hAnsi="Times New Roman" w:cs="Times New Roman"/>
          <w:sz w:val="24"/>
          <w:szCs w:val="24"/>
        </w:rPr>
        <w:t>Так, в</w:t>
      </w:r>
      <w:r w:rsidRPr="00687073">
        <w:rPr>
          <w:rFonts w:ascii="Times New Roman" w:hAnsi="Times New Roman" w:cs="Times New Roman"/>
          <w:sz w:val="24"/>
          <w:szCs w:val="24"/>
        </w:rPr>
        <w:t xml:space="preserve"> 2019 г. по сравнению с 2010 г. научные организации реализовали в 1,2 раза меньше технологических инновационных проектов, разработанных в результате проведенных исследований или инновационной деятельности.</w:t>
      </w:r>
      <w:r w:rsidR="00976263" w:rsidRPr="00687073">
        <w:rPr>
          <w:sz w:val="24"/>
          <w:szCs w:val="24"/>
        </w:rPr>
        <w:t xml:space="preserve"> </w:t>
      </w:r>
      <w:proofErr w:type="gramStart"/>
      <w:r w:rsidR="00976263" w:rsidRPr="00687073">
        <w:rPr>
          <w:rFonts w:ascii="Times New Roman" w:hAnsi="Times New Roman" w:cs="Times New Roman"/>
          <w:sz w:val="24"/>
          <w:szCs w:val="24"/>
        </w:rPr>
        <w:t xml:space="preserve">Причина заключается в том, что, в </w:t>
      </w:r>
      <w:r w:rsidR="00976263" w:rsidRPr="00687073">
        <w:rPr>
          <w:rFonts w:ascii="Times New Roman" w:hAnsi="Times New Roman" w:cs="Times New Roman"/>
          <w:sz w:val="24"/>
          <w:szCs w:val="24"/>
        </w:rPr>
        <w:lastRenderedPageBreak/>
        <w:t>отличие от большинства западных стран, под сферой науки подразумеваются в первую очередь не университеты, а научные организации Российской академии наук</w:t>
      </w:r>
      <w:r w:rsidR="001702E4" w:rsidRPr="00687073">
        <w:rPr>
          <w:rFonts w:ascii="Times New Roman" w:hAnsi="Times New Roman" w:cs="Times New Roman"/>
          <w:sz w:val="24"/>
          <w:szCs w:val="24"/>
        </w:rPr>
        <w:t xml:space="preserve">, </w:t>
      </w:r>
      <w:r w:rsidR="00DC7AF4" w:rsidRPr="00687073">
        <w:rPr>
          <w:rFonts w:ascii="Times New Roman" w:hAnsi="Times New Roman" w:cs="Times New Roman"/>
          <w:sz w:val="24"/>
          <w:szCs w:val="24"/>
        </w:rPr>
        <w:t>которые, во-первых, порождают</w:t>
      </w:r>
      <w:r w:rsidR="00DC7AF4" w:rsidRPr="00687073">
        <w:rPr>
          <w:sz w:val="24"/>
          <w:szCs w:val="24"/>
        </w:rPr>
        <w:t xml:space="preserve"> </w:t>
      </w:r>
      <w:r w:rsidR="00DC7AF4" w:rsidRPr="00687073">
        <w:rPr>
          <w:rFonts w:ascii="Times New Roman" w:hAnsi="Times New Roman" w:cs="Times New Roman"/>
          <w:sz w:val="24"/>
          <w:szCs w:val="24"/>
        </w:rPr>
        <w:t>научную монополию в отношении реализации технологических инновационных проектов, во-вторых, не способны в полной мере осуществлять прикладные исследования</w:t>
      </w:r>
      <w:r w:rsidR="00DC090C" w:rsidRPr="00687073">
        <w:rPr>
          <w:rFonts w:ascii="Times New Roman" w:hAnsi="Times New Roman" w:cs="Times New Roman"/>
          <w:sz w:val="24"/>
          <w:szCs w:val="24"/>
        </w:rPr>
        <w:t xml:space="preserve"> вследствие нарушения эффективного взаимодействия между РАН, отраслевой наукой и промышленностью.</w:t>
      </w:r>
      <w:proofErr w:type="gramEnd"/>
      <w:r w:rsidR="00DC090C" w:rsidRPr="00687073">
        <w:rPr>
          <w:rFonts w:ascii="Times New Roman" w:hAnsi="Times New Roman" w:cs="Times New Roman"/>
          <w:sz w:val="24"/>
          <w:szCs w:val="24"/>
        </w:rPr>
        <w:t xml:space="preserve"> Это повлекло за собой снижение эффективности данных исследований и практическ</w:t>
      </w:r>
      <w:r w:rsidR="00C767EF" w:rsidRPr="00687073">
        <w:rPr>
          <w:rFonts w:ascii="Times New Roman" w:hAnsi="Times New Roman" w:cs="Times New Roman"/>
          <w:sz w:val="24"/>
          <w:szCs w:val="24"/>
        </w:rPr>
        <w:t>и</w:t>
      </w:r>
      <w:r w:rsidR="00DC090C" w:rsidRPr="00687073">
        <w:rPr>
          <w:rFonts w:ascii="Times New Roman" w:hAnsi="Times New Roman" w:cs="Times New Roman"/>
          <w:sz w:val="24"/>
          <w:szCs w:val="24"/>
        </w:rPr>
        <w:t xml:space="preserve"> неиспользование </w:t>
      </w:r>
      <w:r w:rsidR="00C767EF" w:rsidRPr="00687073">
        <w:rPr>
          <w:rFonts w:ascii="Times New Roman" w:hAnsi="Times New Roman" w:cs="Times New Roman"/>
          <w:sz w:val="24"/>
          <w:szCs w:val="24"/>
        </w:rPr>
        <w:t xml:space="preserve">их результатов </w:t>
      </w:r>
      <w:r w:rsidR="00DC090C" w:rsidRPr="00687073">
        <w:rPr>
          <w:rFonts w:ascii="Times New Roman" w:hAnsi="Times New Roman" w:cs="Times New Roman"/>
          <w:sz w:val="24"/>
          <w:szCs w:val="24"/>
        </w:rPr>
        <w:t xml:space="preserve">в отечественной экономике, в то время как во всем мире ведется ожесточенная борьба за технологическое лидерство на основе прорывных знаний в различных сферах науки – </w:t>
      </w:r>
      <w:proofErr w:type="gramStart"/>
      <w:r w:rsidR="00DC090C" w:rsidRPr="00687073">
        <w:rPr>
          <w:rFonts w:ascii="Times New Roman" w:hAnsi="Times New Roman" w:cs="Times New Roman"/>
          <w:sz w:val="24"/>
          <w:szCs w:val="24"/>
        </w:rPr>
        <w:t>от</w:t>
      </w:r>
      <w:proofErr w:type="gramEnd"/>
      <w:r w:rsidR="00DC090C" w:rsidRPr="00687073">
        <w:rPr>
          <w:rFonts w:ascii="Times New Roman" w:hAnsi="Times New Roman" w:cs="Times New Roman"/>
          <w:sz w:val="24"/>
          <w:szCs w:val="24"/>
        </w:rPr>
        <w:t xml:space="preserve"> естественных и инженерных до социальных и гуманитарных</w:t>
      </w:r>
      <w:r w:rsidR="00976263" w:rsidRPr="00687073">
        <w:rPr>
          <w:rFonts w:ascii="Times New Roman" w:hAnsi="Times New Roman" w:cs="Times New Roman"/>
          <w:sz w:val="24"/>
          <w:szCs w:val="24"/>
        </w:rPr>
        <w:t>.</w:t>
      </w:r>
      <w:r w:rsidR="001702E4" w:rsidRPr="00687073">
        <w:rPr>
          <w:rFonts w:ascii="Times New Roman" w:hAnsi="Times New Roman" w:cs="Times New Roman"/>
          <w:sz w:val="24"/>
          <w:szCs w:val="24"/>
        </w:rPr>
        <w:t xml:space="preserve"> </w:t>
      </w:r>
    </w:p>
    <w:p w:rsidR="001D73FC" w:rsidRPr="00687073" w:rsidRDefault="00E774CE" w:rsidP="00687073">
      <w:pPr>
        <w:spacing w:after="0" w:line="240" w:lineRule="auto"/>
        <w:ind w:firstLine="709"/>
        <w:jc w:val="both"/>
        <w:rPr>
          <w:rFonts w:ascii="Times New Roman" w:hAnsi="Times New Roman" w:cs="Times New Roman"/>
          <w:sz w:val="24"/>
          <w:szCs w:val="24"/>
        </w:rPr>
      </w:pPr>
      <w:r w:rsidRPr="00687073">
        <w:rPr>
          <w:rFonts w:ascii="Times New Roman" w:hAnsi="Times New Roman" w:cs="Times New Roman"/>
          <w:sz w:val="24"/>
          <w:szCs w:val="24"/>
        </w:rPr>
        <w:t>Стоит отметить, что, н</w:t>
      </w:r>
      <w:r w:rsidR="001702E4" w:rsidRPr="00687073">
        <w:rPr>
          <w:rFonts w:ascii="Times New Roman" w:hAnsi="Times New Roman" w:cs="Times New Roman"/>
          <w:sz w:val="24"/>
          <w:szCs w:val="24"/>
        </w:rPr>
        <w:t>е</w:t>
      </w:r>
      <w:r w:rsidR="00976263" w:rsidRPr="00687073">
        <w:rPr>
          <w:rFonts w:ascii="Times New Roman" w:hAnsi="Times New Roman" w:cs="Times New Roman"/>
          <w:sz w:val="24"/>
          <w:szCs w:val="24"/>
        </w:rPr>
        <w:t xml:space="preserve">смотря на </w:t>
      </w:r>
      <w:r w:rsidR="00CF44E6" w:rsidRPr="00687073">
        <w:rPr>
          <w:rFonts w:ascii="Times New Roman" w:hAnsi="Times New Roman" w:cs="Times New Roman"/>
          <w:sz w:val="24"/>
          <w:szCs w:val="24"/>
        </w:rPr>
        <w:t>обозначенные выше проблемы</w:t>
      </w:r>
      <w:r w:rsidR="00976263" w:rsidRPr="00687073">
        <w:rPr>
          <w:rFonts w:ascii="Times New Roman" w:hAnsi="Times New Roman" w:cs="Times New Roman"/>
          <w:sz w:val="24"/>
          <w:szCs w:val="24"/>
        </w:rPr>
        <w:t xml:space="preserve">, взаимодействие малого бизнеса с научным и государственным сектором </w:t>
      </w:r>
      <w:r w:rsidRPr="00687073">
        <w:rPr>
          <w:rFonts w:ascii="Times New Roman" w:hAnsi="Times New Roman" w:cs="Times New Roman"/>
          <w:sz w:val="24"/>
          <w:szCs w:val="24"/>
        </w:rPr>
        <w:t>все же определяет конкурентоспособность страны на рынке научно-технологических разработок и продуктов.</w:t>
      </w:r>
      <w:r w:rsidR="001702E4" w:rsidRPr="00687073">
        <w:rPr>
          <w:rFonts w:ascii="Times New Roman" w:hAnsi="Times New Roman" w:cs="Times New Roman"/>
          <w:sz w:val="24"/>
          <w:szCs w:val="24"/>
        </w:rPr>
        <w:t xml:space="preserve"> </w:t>
      </w:r>
    </w:p>
    <w:p w:rsidR="00E774CE" w:rsidRPr="00687073" w:rsidRDefault="00E774CE" w:rsidP="00687073">
      <w:pPr>
        <w:spacing w:after="0" w:line="240" w:lineRule="auto"/>
        <w:ind w:firstLine="709"/>
        <w:jc w:val="both"/>
        <w:rPr>
          <w:rFonts w:ascii="Times New Roman" w:hAnsi="Times New Roman" w:cs="Times New Roman"/>
          <w:sz w:val="24"/>
          <w:szCs w:val="24"/>
        </w:rPr>
      </w:pPr>
      <w:r w:rsidRPr="00687073">
        <w:rPr>
          <w:rFonts w:ascii="Times New Roman" w:hAnsi="Times New Roman" w:cs="Times New Roman"/>
          <w:sz w:val="24"/>
          <w:szCs w:val="24"/>
        </w:rPr>
        <w:t xml:space="preserve">В связи с этим целью данной статьи является выявление проблем, препятствующих </w:t>
      </w:r>
      <w:r w:rsidR="008E2CBB" w:rsidRPr="00687073">
        <w:rPr>
          <w:rFonts w:ascii="Times New Roman" w:hAnsi="Times New Roman" w:cs="Times New Roman"/>
          <w:sz w:val="24"/>
          <w:szCs w:val="24"/>
        </w:rPr>
        <w:t>малому бизнесу</w:t>
      </w:r>
      <w:r w:rsidRPr="00687073">
        <w:rPr>
          <w:rFonts w:ascii="Times New Roman" w:hAnsi="Times New Roman" w:cs="Times New Roman"/>
          <w:sz w:val="24"/>
          <w:szCs w:val="24"/>
        </w:rPr>
        <w:t xml:space="preserve"> </w:t>
      </w:r>
      <w:r w:rsidR="008E2CBB" w:rsidRPr="00687073">
        <w:rPr>
          <w:rFonts w:ascii="Times New Roman" w:hAnsi="Times New Roman" w:cs="Times New Roman"/>
          <w:sz w:val="24"/>
          <w:szCs w:val="24"/>
        </w:rPr>
        <w:t>кооперироваться</w:t>
      </w:r>
      <w:r w:rsidRPr="00687073">
        <w:rPr>
          <w:rFonts w:ascii="Times New Roman" w:hAnsi="Times New Roman" w:cs="Times New Roman"/>
          <w:sz w:val="24"/>
          <w:szCs w:val="24"/>
        </w:rPr>
        <w:t xml:space="preserve"> с научным и государственны</w:t>
      </w:r>
      <w:r w:rsidR="00C767EF" w:rsidRPr="00687073">
        <w:rPr>
          <w:rFonts w:ascii="Times New Roman" w:hAnsi="Times New Roman" w:cs="Times New Roman"/>
          <w:sz w:val="24"/>
          <w:szCs w:val="24"/>
        </w:rPr>
        <w:t>м</w:t>
      </w:r>
      <w:r w:rsidRPr="00687073">
        <w:rPr>
          <w:rFonts w:ascii="Times New Roman" w:hAnsi="Times New Roman" w:cs="Times New Roman"/>
          <w:sz w:val="24"/>
          <w:szCs w:val="24"/>
        </w:rPr>
        <w:t xml:space="preserve"> сектором для разработки направлений по совершенствованию </w:t>
      </w:r>
      <w:r w:rsidR="008E2CBB" w:rsidRPr="00687073">
        <w:rPr>
          <w:rFonts w:ascii="Times New Roman" w:hAnsi="Times New Roman" w:cs="Times New Roman"/>
          <w:sz w:val="24"/>
          <w:szCs w:val="24"/>
        </w:rPr>
        <w:t>научно-технологической политики</w:t>
      </w:r>
      <w:r w:rsidRPr="00687073">
        <w:rPr>
          <w:rFonts w:ascii="Times New Roman" w:hAnsi="Times New Roman" w:cs="Times New Roman"/>
          <w:sz w:val="24"/>
          <w:szCs w:val="24"/>
        </w:rPr>
        <w:t xml:space="preserve"> страны.</w:t>
      </w:r>
    </w:p>
    <w:p w:rsidR="00E774CE" w:rsidRPr="00687073" w:rsidRDefault="00E774CE" w:rsidP="00687073">
      <w:pPr>
        <w:spacing w:after="0" w:line="240" w:lineRule="auto"/>
        <w:ind w:firstLine="709"/>
        <w:jc w:val="both"/>
        <w:rPr>
          <w:rFonts w:ascii="Times New Roman" w:hAnsi="Times New Roman" w:cs="Times New Roman"/>
          <w:sz w:val="24"/>
          <w:szCs w:val="24"/>
        </w:rPr>
      </w:pPr>
      <w:r w:rsidRPr="00687073">
        <w:rPr>
          <w:rFonts w:ascii="Times New Roman" w:hAnsi="Times New Roman" w:cs="Times New Roman"/>
          <w:sz w:val="24"/>
          <w:szCs w:val="24"/>
        </w:rPr>
        <w:t>Для достижения цели были поставлены следующие задачи: анализ инновационной активности</w:t>
      </w:r>
      <w:r w:rsidR="00D42B80" w:rsidRPr="00687073">
        <w:rPr>
          <w:rFonts w:ascii="Times New Roman" w:hAnsi="Times New Roman" w:cs="Times New Roman"/>
          <w:sz w:val="24"/>
          <w:szCs w:val="24"/>
        </w:rPr>
        <w:t xml:space="preserve"> бизнеса в РФ; анализ финансовой государственной поддержки взаимодействия науки и бизнеса; выявление направлений по </w:t>
      </w:r>
      <w:r w:rsidR="008E2CBB" w:rsidRPr="00687073">
        <w:rPr>
          <w:rFonts w:ascii="Times New Roman" w:hAnsi="Times New Roman" w:cs="Times New Roman"/>
          <w:sz w:val="24"/>
          <w:szCs w:val="24"/>
        </w:rPr>
        <w:t>устранению проблем, препятствующих</w:t>
      </w:r>
      <w:r w:rsidR="00B47473" w:rsidRPr="00687073">
        <w:rPr>
          <w:rFonts w:ascii="Times New Roman" w:hAnsi="Times New Roman" w:cs="Times New Roman"/>
          <w:sz w:val="24"/>
          <w:szCs w:val="24"/>
        </w:rPr>
        <w:t xml:space="preserve"> кооперации бизнеса с научным и государственным сектором</w:t>
      </w:r>
      <w:r w:rsidR="00D42B80" w:rsidRPr="00687073">
        <w:rPr>
          <w:rFonts w:ascii="Times New Roman" w:hAnsi="Times New Roman" w:cs="Times New Roman"/>
          <w:sz w:val="24"/>
          <w:szCs w:val="24"/>
        </w:rPr>
        <w:t>.</w:t>
      </w:r>
    </w:p>
    <w:p w:rsidR="00A06F49" w:rsidRPr="00687073" w:rsidRDefault="00A06F49" w:rsidP="00687073">
      <w:pPr>
        <w:spacing w:after="0" w:line="240" w:lineRule="auto"/>
        <w:ind w:firstLine="709"/>
        <w:jc w:val="both"/>
        <w:rPr>
          <w:rFonts w:ascii="Times New Roman" w:hAnsi="Times New Roman" w:cs="Times New Roman"/>
          <w:sz w:val="24"/>
          <w:szCs w:val="24"/>
        </w:rPr>
      </w:pPr>
      <w:r w:rsidRPr="00687073">
        <w:rPr>
          <w:rFonts w:ascii="Times New Roman" w:hAnsi="Times New Roman" w:cs="Times New Roman"/>
          <w:sz w:val="24"/>
          <w:szCs w:val="24"/>
        </w:rPr>
        <w:t>На сегодняшний день рядом ученых, занимающихся исследованием проблем взаимодействия бизнеса, науки и государства доказано, что готовность и склонность предпринимательского сектора к кооперации с научным сообществом определяется через их инновационную активность</w:t>
      </w:r>
      <w:r w:rsidR="00687073">
        <w:rPr>
          <w:rFonts w:ascii="Times New Roman" w:hAnsi="Times New Roman" w:cs="Times New Roman"/>
          <w:sz w:val="24"/>
          <w:szCs w:val="24"/>
        </w:rPr>
        <w:t xml:space="preserve"> </w:t>
      </w:r>
      <w:r w:rsidR="00687073" w:rsidRPr="00687073">
        <w:rPr>
          <w:rFonts w:ascii="Times New Roman" w:hAnsi="Times New Roman" w:cs="Times New Roman"/>
          <w:sz w:val="24"/>
          <w:szCs w:val="24"/>
        </w:rPr>
        <w:t>[4]</w:t>
      </w:r>
      <w:r w:rsidRPr="00687073">
        <w:rPr>
          <w:rFonts w:ascii="Times New Roman" w:hAnsi="Times New Roman" w:cs="Times New Roman"/>
          <w:sz w:val="24"/>
          <w:szCs w:val="24"/>
        </w:rPr>
        <w:t>.</w:t>
      </w:r>
    </w:p>
    <w:p w:rsidR="00C64484" w:rsidRPr="00687073" w:rsidRDefault="009B0F9B" w:rsidP="00687073">
      <w:pPr>
        <w:spacing w:after="0" w:line="240" w:lineRule="auto"/>
        <w:ind w:firstLine="709"/>
        <w:jc w:val="both"/>
        <w:rPr>
          <w:rFonts w:ascii="Times New Roman" w:hAnsi="Times New Roman" w:cs="Times New Roman"/>
          <w:sz w:val="24"/>
          <w:szCs w:val="24"/>
        </w:rPr>
      </w:pPr>
      <w:r w:rsidRPr="00687073">
        <w:rPr>
          <w:rFonts w:ascii="Times New Roman" w:hAnsi="Times New Roman" w:cs="Times New Roman"/>
          <w:sz w:val="24"/>
          <w:szCs w:val="24"/>
        </w:rPr>
        <w:t xml:space="preserve">В 2019 г. уровень инновационной активности малых предприятий задействованных в реальном секторе экономики, определяемый как удельный вес предприятий, </w:t>
      </w:r>
      <w:r w:rsidR="00D76A6D" w:rsidRPr="00687073">
        <w:rPr>
          <w:rFonts w:ascii="Times New Roman" w:hAnsi="Times New Roman" w:cs="Times New Roman"/>
          <w:sz w:val="24"/>
          <w:szCs w:val="24"/>
        </w:rPr>
        <w:t>создающих технологические инновации</w:t>
      </w:r>
      <w:r w:rsidRPr="00687073">
        <w:rPr>
          <w:rFonts w:ascii="Times New Roman" w:hAnsi="Times New Roman" w:cs="Times New Roman"/>
          <w:sz w:val="24"/>
          <w:szCs w:val="24"/>
        </w:rPr>
        <w:t xml:space="preserve">, </w:t>
      </w:r>
      <w:r w:rsidR="00D76A6D" w:rsidRPr="00687073">
        <w:rPr>
          <w:rFonts w:ascii="Times New Roman" w:hAnsi="Times New Roman" w:cs="Times New Roman"/>
          <w:sz w:val="24"/>
          <w:szCs w:val="24"/>
        </w:rPr>
        <w:t xml:space="preserve">в </w:t>
      </w:r>
      <w:proofErr w:type="gramStart"/>
      <w:r w:rsidR="00D76A6D" w:rsidRPr="00687073">
        <w:rPr>
          <w:rFonts w:ascii="Times New Roman" w:hAnsi="Times New Roman" w:cs="Times New Roman"/>
          <w:sz w:val="24"/>
          <w:szCs w:val="24"/>
        </w:rPr>
        <w:t>общем</w:t>
      </w:r>
      <w:proofErr w:type="gramEnd"/>
      <w:r w:rsidR="00D76A6D" w:rsidRPr="00687073">
        <w:rPr>
          <w:rFonts w:ascii="Times New Roman" w:hAnsi="Times New Roman" w:cs="Times New Roman"/>
          <w:sz w:val="24"/>
          <w:szCs w:val="24"/>
        </w:rPr>
        <w:t xml:space="preserve"> их числе, составил порядка 6</w:t>
      </w:r>
      <w:r w:rsidRPr="00687073">
        <w:rPr>
          <w:rFonts w:ascii="Times New Roman" w:hAnsi="Times New Roman" w:cs="Times New Roman"/>
          <w:sz w:val="24"/>
          <w:szCs w:val="24"/>
        </w:rPr>
        <w:t xml:space="preserve">%. </w:t>
      </w:r>
      <w:r w:rsidR="003015C0" w:rsidRPr="00687073">
        <w:rPr>
          <w:rFonts w:ascii="Times New Roman" w:hAnsi="Times New Roman" w:cs="Times New Roman"/>
          <w:sz w:val="24"/>
          <w:szCs w:val="24"/>
        </w:rPr>
        <w:t>Н</w:t>
      </w:r>
      <w:r w:rsidRPr="00687073">
        <w:rPr>
          <w:rFonts w:ascii="Times New Roman" w:hAnsi="Times New Roman" w:cs="Times New Roman"/>
          <w:sz w:val="24"/>
          <w:szCs w:val="24"/>
        </w:rPr>
        <w:t>а протяжении 2011</w:t>
      </w:r>
      <w:r w:rsidR="00D76A6D" w:rsidRPr="00687073">
        <w:rPr>
          <w:rFonts w:ascii="Times New Roman" w:hAnsi="Times New Roman" w:cs="Times New Roman"/>
          <w:sz w:val="24"/>
          <w:szCs w:val="24"/>
        </w:rPr>
        <w:t>-</w:t>
      </w:r>
      <w:r w:rsidRPr="00687073">
        <w:rPr>
          <w:rFonts w:ascii="Times New Roman" w:hAnsi="Times New Roman" w:cs="Times New Roman"/>
          <w:sz w:val="24"/>
          <w:szCs w:val="24"/>
        </w:rPr>
        <w:t xml:space="preserve">2017 гг. </w:t>
      </w:r>
      <w:r w:rsidR="003015C0" w:rsidRPr="00687073">
        <w:rPr>
          <w:rFonts w:ascii="Times New Roman" w:hAnsi="Times New Roman" w:cs="Times New Roman"/>
          <w:sz w:val="24"/>
          <w:szCs w:val="24"/>
        </w:rPr>
        <w:t xml:space="preserve">он </w:t>
      </w:r>
      <w:r w:rsidRPr="00687073">
        <w:rPr>
          <w:rFonts w:ascii="Times New Roman" w:hAnsi="Times New Roman" w:cs="Times New Roman"/>
          <w:sz w:val="24"/>
          <w:szCs w:val="24"/>
        </w:rPr>
        <w:t>не превышал 4-5% (табл. 1). Изменение динамики</w:t>
      </w:r>
      <w:r w:rsidR="00D76A6D" w:rsidRPr="00687073">
        <w:rPr>
          <w:rFonts w:ascii="Times New Roman" w:hAnsi="Times New Roman" w:cs="Times New Roman"/>
          <w:sz w:val="24"/>
          <w:szCs w:val="24"/>
        </w:rPr>
        <w:t xml:space="preserve"> </w:t>
      </w:r>
      <w:r w:rsidRPr="00687073">
        <w:rPr>
          <w:rFonts w:ascii="Times New Roman" w:hAnsi="Times New Roman" w:cs="Times New Roman"/>
          <w:sz w:val="24"/>
          <w:szCs w:val="24"/>
        </w:rPr>
        <w:t xml:space="preserve">во многом обусловлено учетом всего массива </w:t>
      </w:r>
      <w:proofErr w:type="spellStart"/>
      <w:r w:rsidRPr="00687073">
        <w:rPr>
          <w:rFonts w:ascii="Times New Roman" w:hAnsi="Times New Roman" w:cs="Times New Roman"/>
          <w:sz w:val="24"/>
          <w:szCs w:val="24"/>
        </w:rPr>
        <w:t>инновационно</w:t>
      </w:r>
      <w:proofErr w:type="spellEnd"/>
      <w:r w:rsidRPr="00687073">
        <w:rPr>
          <w:rFonts w:ascii="Times New Roman" w:hAnsi="Times New Roman" w:cs="Times New Roman"/>
          <w:sz w:val="24"/>
          <w:szCs w:val="24"/>
        </w:rPr>
        <w:t>-активных организаций (осуществляющих как технологические, так и нетехнологические нововведения)</w:t>
      </w:r>
      <w:r w:rsidR="00D76A6D" w:rsidRPr="00687073">
        <w:rPr>
          <w:rFonts w:ascii="Times New Roman" w:hAnsi="Times New Roman" w:cs="Times New Roman"/>
          <w:sz w:val="24"/>
          <w:szCs w:val="24"/>
        </w:rPr>
        <w:t>.</w:t>
      </w:r>
    </w:p>
    <w:p w:rsidR="003015C0" w:rsidRPr="00687073" w:rsidRDefault="003015C0" w:rsidP="00687073">
      <w:pPr>
        <w:spacing w:after="0" w:line="240" w:lineRule="auto"/>
        <w:ind w:firstLine="709"/>
        <w:jc w:val="center"/>
        <w:rPr>
          <w:rFonts w:ascii="Times New Roman" w:hAnsi="Times New Roman" w:cs="Times New Roman"/>
          <w:sz w:val="24"/>
          <w:szCs w:val="24"/>
        </w:rPr>
      </w:pPr>
    </w:p>
    <w:p w:rsidR="00D76A6D" w:rsidRPr="00687073" w:rsidRDefault="00D76A6D" w:rsidP="0082413E">
      <w:pPr>
        <w:spacing w:after="0" w:line="240" w:lineRule="auto"/>
        <w:ind w:firstLine="709"/>
        <w:jc w:val="both"/>
        <w:rPr>
          <w:rFonts w:ascii="Times New Roman" w:hAnsi="Times New Roman" w:cs="Times New Roman"/>
          <w:sz w:val="24"/>
          <w:szCs w:val="24"/>
        </w:rPr>
      </w:pPr>
      <w:r w:rsidRPr="00687073">
        <w:rPr>
          <w:rFonts w:ascii="Times New Roman" w:hAnsi="Times New Roman" w:cs="Times New Roman"/>
          <w:sz w:val="24"/>
          <w:szCs w:val="24"/>
        </w:rPr>
        <w:t>Таблица 1 – Основные показатели инновационной деятельности малых предприятий промышленного производства</w:t>
      </w:r>
      <w:r w:rsidR="003015C0" w:rsidRPr="00687073">
        <w:rPr>
          <w:rFonts w:ascii="Times New Roman" w:hAnsi="Times New Roman" w:cs="Times New Roman"/>
          <w:sz w:val="24"/>
          <w:szCs w:val="24"/>
        </w:rPr>
        <w:t xml:space="preserve"> по РФ</w:t>
      </w:r>
      <w:r w:rsidR="0082413E">
        <w:rPr>
          <w:rFonts w:ascii="Times New Roman" w:hAnsi="Times New Roman" w:cs="Times New Roman"/>
          <w:sz w:val="24"/>
          <w:szCs w:val="24"/>
        </w:rPr>
        <w:t xml:space="preserve"> за 2011-2019 гг.</w:t>
      </w:r>
    </w:p>
    <w:tbl>
      <w:tblPr>
        <w:tblStyle w:val="a8"/>
        <w:tblW w:w="0" w:type="auto"/>
        <w:tblLook w:val="04A0" w:firstRow="1" w:lastRow="0" w:firstColumn="1" w:lastColumn="0" w:noHBand="0" w:noVBand="1"/>
      </w:tblPr>
      <w:tblGrid>
        <w:gridCol w:w="4591"/>
        <w:gridCol w:w="996"/>
        <w:gridCol w:w="996"/>
        <w:gridCol w:w="996"/>
        <w:gridCol w:w="996"/>
        <w:gridCol w:w="996"/>
      </w:tblGrid>
      <w:tr w:rsidR="00214D2D" w:rsidRPr="00687073" w:rsidTr="003015C0">
        <w:tc>
          <w:tcPr>
            <w:tcW w:w="4591" w:type="dxa"/>
          </w:tcPr>
          <w:p w:rsidR="00D76A6D" w:rsidRPr="006A11FB" w:rsidRDefault="00D76A6D" w:rsidP="00687073">
            <w:pPr>
              <w:jc w:val="center"/>
              <w:rPr>
                <w:rFonts w:ascii="Times New Roman" w:hAnsi="Times New Roman" w:cs="Times New Roman"/>
                <w:sz w:val="20"/>
                <w:szCs w:val="20"/>
              </w:rPr>
            </w:pPr>
            <w:r w:rsidRPr="006A11FB">
              <w:rPr>
                <w:rFonts w:ascii="Times New Roman" w:hAnsi="Times New Roman" w:cs="Times New Roman"/>
                <w:sz w:val="20"/>
                <w:szCs w:val="20"/>
              </w:rPr>
              <w:t>Название показателя</w:t>
            </w:r>
          </w:p>
        </w:tc>
        <w:tc>
          <w:tcPr>
            <w:tcW w:w="996" w:type="dxa"/>
          </w:tcPr>
          <w:p w:rsidR="00D76A6D" w:rsidRPr="006A11FB" w:rsidRDefault="00D76A6D" w:rsidP="00687073">
            <w:pPr>
              <w:jc w:val="center"/>
              <w:rPr>
                <w:rFonts w:ascii="Times New Roman" w:hAnsi="Times New Roman" w:cs="Times New Roman"/>
                <w:sz w:val="20"/>
                <w:szCs w:val="20"/>
              </w:rPr>
            </w:pPr>
            <w:r w:rsidRPr="006A11FB">
              <w:rPr>
                <w:rFonts w:ascii="Times New Roman" w:hAnsi="Times New Roman" w:cs="Times New Roman"/>
                <w:sz w:val="20"/>
                <w:szCs w:val="20"/>
              </w:rPr>
              <w:t>2011 г.</w:t>
            </w:r>
          </w:p>
        </w:tc>
        <w:tc>
          <w:tcPr>
            <w:tcW w:w="996" w:type="dxa"/>
          </w:tcPr>
          <w:p w:rsidR="00D76A6D" w:rsidRPr="006A11FB" w:rsidRDefault="00D76A6D" w:rsidP="00687073">
            <w:pPr>
              <w:jc w:val="center"/>
              <w:rPr>
                <w:rFonts w:ascii="Times New Roman" w:hAnsi="Times New Roman" w:cs="Times New Roman"/>
                <w:sz w:val="20"/>
                <w:szCs w:val="20"/>
              </w:rPr>
            </w:pPr>
            <w:r w:rsidRPr="006A11FB">
              <w:rPr>
                <w:rFonts w:ascii="Times New Roman" w:hAnsi="Times New Roman" w:cs="Times New Roman"/>
                <w:sz w:val="20"/>
                <w:szCs w:val="20"/>
              </w:rPr>
              <w:t>2013 г.</w:t>
            </w:r>
          </w:p>
        </w:tc>
        <w:tc>
          <w:tcPr>
            <w:tcW w:w="996" w:type="dxa"/>
          </w:tcPr>
          <w:p w:rsidR="00D76A6D" w:rsidRPr="006A11FB" w:rsidRDefault="00D76A6D" w:rsidP="00687073">
            <w:pPr>
              <w:jc w:val="center"/>
              <w:rPr>
                <w:rFonts w:ascii="Times New Roman" w:hAnsi="Times New Roman" w:cs="Times New Roman"/>
                <w:sz w:val="20"/>
                <w:szCs w:val="20"/>
              </w:rPr>
            </w:pPr>
            <w:r w:rsidRPr="006A11FB">
              <w:rPr>
                <w:rFonts w:ascii="Times New Roman" w:hAnsi="Times New Roman" w:cs="Times New Roman"/>
                <w:sz w:val="20"/>
                <w:szCs w:val="20"/>
              </w:rPr>
              <w:t>2015 г.</w:t>
            </w:r>
          </w:p>
        </w:tc>
        <w:tc>
          <w:tcPr>
            <w:tcW w:w="996" w:type="dxa"/>
          </w:tcPr>
          <w:p w:rsidR="00D76A6D" w:rsidRPr="006A11FB" w:rsidRDefault="00D76A6D" w:rsidP="00687073">
            <w:pPr>
              <w:jc w:val="center"/>
              <w:rPr>
                <w:rFonts w:ascii="Times New Roman" w:hAnsi="Times New Roman" w:cs="Times New Roman"/>
                <w:sz w:val="20"/>
                <w:szCs w:val="20"/>
              </w:rPr>
            </w:pPr>
            <w:r w:rsidRPr="006A11FB">
              <w:rPr>
                <w:rFonts w:ascii="Times New Roman" w:hAnsi="Times New Roman" w:cs="Times New Roman"/>
                <w:sz w:val="20"/>
                <w:szCs w:val="20"/>
              </w:rPr>
              <w:t>2017 г.</w:t>
            </w:r>
          </w:p>
        </w:tc>
        <w:tc>
          <w:tcPr>
            <w:tcW w:w="996" w:type="dxa"/>
          </w:tcPr>
          <w:p w:rsidR="00D76A6D" w:rsidRPr="006A11FB" w:rsidRDefault="00D76A6D" w:rsidP="00687073">
            <w:pPr>
              <w:jc w:val="center"/>
              <w:rPr>
                <w:rFonts w:ascii="Times New Roman" w:hAnsi="Times New Roman" w:cs="Times New Roman"/>
                <w:sz w:val="20"/>
                <w:szCs w:val="20"/>
              </w:rPr>
            </w:pPr>
            <w:r w:rsidRPr="006A11FB">
              <w:rPr>
                <w:rFonts w:ascii="Times New Roman" w:hAnsi="Times New Roman" w:cs="Times New Roman"/>
                <w:sz w:val="20"/>
                <w:szCs w:val="20"/>
              </w:rPr>
              <w:t>2019 г.</w:t>
            </w:r>
          </w:p>
        </w:tc>
      </w:tr>
      <w:tr w:rsidR="00214D2D" w:rsidRPr="00687073" w:rsidTr="003015C0">
        <w:tc>
          <w:tcPr>
            <w:tcW w:w="4591" w:type="dxa"/>
          </w:tcPr>
          <w:p w:rsidR="00D76A6D" w:rsidRPr="006A11FB" w:rsidRDefault="00D76A6D" w:rsidP="00687073">
            <w:pPr>
              <w:jc w:val="both"/>
              <w:rPr>
                <w:rFonts w:ascii="Times New Roman" w:hAnsi="Times New Roman" w:cs="Times New Roman"/>
                <w:sz w:val="20"/>
                <w:szCs w:val="20"/>
              </w:rPr>
            </w:pPr>
            <w:r w:rsidRPr="006A11FB">
              <w:rPr>
                <w:rFonts w:ascii="Times New Roman" w:hAnsi="Times New Roman" w:cs="Times New Roman"/>
                <w:b/>
                <w:sz w:val="20"/>
                <w:szCs w:val="20"/>
              </w:rPr>
              <w:t>Уровень инновационной активности</w:t>
            </w:r>
            <w:r w:rsidRPr="006A11FB">
              <w:rPr>
                <w:rFonts w:ascii="Times New Roman" w:hAnsi="Times New Roman" w:cs="Times New Roman"/>
                <w:sz w:val="20"/>
                <w:szCs w:val="20"/>
              </w:rPr>
              <w:t>, %</w:t>
            </w:r>
          </w:p>
        </w:tc>
        <w:tc>
          <w:tcPr>
            <w:tcW w:w="996" w:type="dxa"/>
          </w:tcPr>
          <w:p w:rsidR="00D76A6D" w:rsidRPr="006A11FB" w:rsidRDefault="00D76A6D" w:rsidP="00687073">
            <w:pPr>
              <w:jc w:val="center"/>
              <w:rPr>
                <w:rFonts w:ascii="Times New Roman" w:hAnsi="Times New Roman" w:cs="Times New Roman"/>
                <w:sz w:val="20"/>
                <w:szCs w:val="20"/>
              </w:rPr>
            </w:pPr>
            <w:r w:rsidRPr="006A11FB">
              <w:rPr>
                <w:rFonts w:ascii="Times New Roman" w:hAnsi="Times New Roman" w:cs="Times New Roman"/>
                <w:sz w:val="20"/>
                <w:szCs w:val="20"/>
              </w:rPr>
              <w:t>5,1</w:t>
            </w:r>
          </w:p>
        </w:tc>
        <w:tc>
          <w:tcPr>
            <w:tcW w:w="996" w:type="dxa"/>
          </w:tcPr>
          <w:p w:rsidR="00D76A6D" w:rsidRPr="006A11FB" w:rsidRDefault="00D76A6D" w:rsidP="00687073">
            <w:pPr>
              <w:jc w:val="center"/>
              <w:rPr>
                <w:rFonts w:ascii="Times New Roman" w:hAnsi="Times New Roman" w:cs="Times New Roman"/>
                <w:sz w:val="20"/>
                <w:szCs w:val="20"/>
              </w:rPr>
            </w:pPr>
            <w:r w:rsidRPr="006A11FB">
              <w:rPr>
                <w:rFonts w:ascii="Times New Roman" w:hAnsi="Times New Roman" w:cs="Times New Roman"/>
                <w:sz w:val="20"/>
                <w:szCs w:val="20"/>
              </w:rPr>
              <w:t>4,8</w:t>
            </w:r>
          </w:p>
        </w:tc>
        <w:tc>
          <w:tcPr>
            <w:tcW w:w="996" w:type="dxa"/>
          </w:tcPr>
          <w:p w:rsidR="00D76A6D" w:rsidRPr="006A11FB" w:rsidRDefault="00D76A6D" w:rsidP="00687073">
            <w:pPr>
              <w:jc w:val="center"/>
              <w:rPr>
                <w:rFonts w:ascii="Times New Roman" w:hAnsi="Times New Roman" w:cs="Times New Roman"/>
                <w:sz w:val="20"/>
                <w:szCs w:val="20"/>
              </w:rPr>
            </w:pPr>
            <w:r w:rsidRPr="006A11FB">
              <w:rPr>
                <w:rFonts w:ascii="Times New Roman" w:hAnsi="Times New Roman" w:cs="Times New Roman"/>
                <w:sz w:val="20"/>
                <w:szCs w:val="20"/>
              </w:rPr>
              <w:t>4,5</w:t>
            </w:r>
          </w:p>
        </w:tc>
        <w:tc>
          <w:tcPr>
            <w:tcW w:w="996" w:type="dxa"/>
          </w:tcPr>
          <w:p w:rsidR="00D76A6D" w:rsidRPr="006A11FB" w:rsidRDefault="00D76A6D" w:rsidP="00687073">
            <w:pPr>
              <w:jc w:val="center"/>
              <w:rPr>
                <w:rFonts w:ascii="Times New Roman" w:hAnsi="Times New Roman" w:cs="Times New Roman"/>
                <w:sz w:val="20"/>
                <w:szCs w:val="20"/>
              </w:rPr>
            </w:pPr>
            <w:r w:rsidRPr="006A11FB">
              <w:rPr>
                <w:rFonts w:ascii="Times New Roman" w:hAnsi="Times New Roman" w:cs="Times New Roman"/>
                <w:sz w:val="20"/>
                <w:szCs w:val="20"/>
              </w:rPr>
              <w:t>5,2</w:t>
            </w:r>
          </w:p>
        </w:tc>
        <w:tc>
          <w:tcPr>
            <w:tcW w:w="996" w:type="dxa"/>
          </w:tcPr>
          <w:p w:rsidR="00D76A6D" w:rsidRPr="006A11FB" w:rsidRDefault="00D76A6D" w:rsidP="00687073">
            <w:pPr>
              <w:jc w:val="center"/>
              <w:rPr>
                <w:rFonts w:ascii="Times New Roman" w:hAnsi="Times New Roman" w:cs="Times New Roman"/>
                <w:sz w:val="20"/>
                <w:szCs w:val="20"/>
              </w:rPr>
            </w:pPr>
            <w:r w:rsidRPr="006A11FB">
              <w:rPr>
                <w:rFonts w:ascii="Times New Roman" w:hAnsi="Times New Roman" w:cs="Times New Roman"/>
                <w:sz w:val="20"/>
                <w:szCs w:val="20"/>
              </w:rPr>
              <w:t>5,8</w:t>
            </w:r>
          </w:p>
        </w:tc>
      </w:tr>
      <w:tr w:rsidR="003015C0" w:rsidRPr="00687073" w:rsidTr="003015C0">
        <w:tc>
          <w:tcPr>
            <w:tcW w:w="4591" w:type="dxa"/>
          </w:tcPr>
          <w:p w:rsidR="003015C0" w:rsidRPr="006A11FB" w:rsidRDefault="003015C0" w:rsidP="00687073">
            <w:pPr>
              <w:jc w:val="both"/>
              <w:rPr>
                <w:rFonts w:ascii="Times New Roman" w:hAnsi="Times New Roman" w:cs="Times New Roman"/>
                <w:sz w:val="20"/>
                <w:szCs w:val="20"/>
              </w:rPr>
            </w:pPr>
            <w:r w:rsidRPr="006A11FB">
              <w:rPr>
                <w:rFonts w:ascii="Times New Roman" w:hAnsi="Times New Roman" w:cs="Times New Roman"/>
                <w:b/>
                <w:sz w:val="20"/>
                <w:szCs w:val="20"/>
              </w:rPr>
              <w:t>Объем инновационных товаров, работ, услуг</w:t>
            </w:r>
            <w:r w:rsidRPr="006A11FB">
              <w:rPr>
                <w:rFonts w:ascii="Times New Roman" w:hAnsi="Times New Roman" w:cs="Times New Roman"/>
                <w:sz w:val="20"/>
                <w:szCs w:val="20"/>
              </w:rPr>
              <w:t>, млн. руб. в ценах 2011 г.</w:t>
            </w:r>
          </w:p>
        </w:tc>
        <w:tc>
          <w:tcPr>
            <w:tcW w:w="996" w:type="dxa"/>
          </w:tcPr>
          <w:p w:rsidR="003015C0" w:rsidRPr="006A11FB" w:rsidRDefault="003015C0" w:rsidP="00687073">
            <w:pPr>
              <w:jc w:val="center"/>
              <w:rPr>
                <w:rFonts w:ascii="Times New Roman" w:hAnsi="Times New Roman" w:cs="Times New Roman"/>
                <w:sz w:val="20"/>
                <w:szCs w:val="20"/>
              </w:rPr>
            </w:pPr>
            <w:r w:rsidRPr="006A11FB">
              <w:rPr>
                <w:rFonts w:ascii="Times New Roman" w:hAnsi="Times New Roman" w:cs="Times New Roman"/>
                <w:sz w:val="20"/>
                <w:szCs w:val="20"/>
              </w:rPr>
              <w:t>16289,7</w:t>
            </w:r>
          </w:p>
        </w:tc>
        <w:tc>
          <w:tcPr>
            <w:tcW w:w="996" w:type="dxa"/>
          </w:tcPr>
          <w:p w:rsidR="003015C0" w:rsidRPr="006A11FB" w:rsidRDefault="003015C0" w:rsidP="00687073">
            <w:pPr>
              <w:jc w:val="center"/>
              <w:rPr>
                <w:rFonts w:ascii="Times New Roman" w:hAnsi="Times New Roman" w:cs="Times New Roman"/>
                <w:sz w:val="20"/>
                <w:szCs w:val="20"/>
              </w:rPr>
            </w:pPr>
            <w:r w:rsidRPr="006A11FB">
              <w:rPr>
                <w:rFonts w:ascii="Times New Roman" w:hAnsi="Times New Roman" w:cs="Times New Roman"/>
                <w:sz w:val="20"/>
                <w:szCs w:val="20"/>
              </w:rPr>
              <w:t>27126,6</w:t>
            </w:r>
          </w:p>
        </w:tc>
        <w:tc>
          <w:tcPr>
            <w:tcW w:w="996" w:type="dxa"/>
          </w:tcPr>
          <w:p w:rsidR="003015C0" w:rsidRPr="006A11FB" w:rsidRDefault="003015C0" w:rsidP="00687073">
            <w:pPr>
              <w:jc w:val="center"/>
              <w:rPr>
                <w:rFonts w:ascii="Times New Roman" w:hAnsi="Times New Roman" w:cs="Times New Roman"/>
                <w:sz w:val="20"/>
                <w:szCs w:val="20"/>
              </w:rPr>
            </w:pPr>
            <w:r w:rsidRPr="006A11FB">
              <w:rPr>
                <w:rFonts w:ascii="Times New Roman" w:hAnsi="Times New Roman" w:cs="Times New Roman"/>
                <w:sz w:val="20"/>
                <w:szCs w:val="20"/>
              </w:rPr>
              <w:t>31270,9</w:t>
            </w:r>
          </w:p>
        </w:tc>
        <w:tc>
          <w:tcPr>
            <w:tcW w:w="996" w:type="dxa"/>
          </w:tcPr>
          <w:p w:rsidR="003015C0" w:rsidRPr="006A11FB" w:rsidRDefault="003015C0" w:rsidP="00687073">
            <w:pPr>
              <w:jc w:val="center"/>
              <w:rPr>
                <w:rFonts w:ascii="Times New Roman" w:hAnsi="Times New Roman" w:cs="Times New Roman"/>
                <w:sz w:val="20"/>
                <w:szCs w:val="20"/>
              </w:rPr>
            </w:pPr>
            <w:r w:rsidRPr="006A11FB">
              <w:rPr>
                <w:rFonts w:ascii="Times New Roman" w:hAnsi="Times New Roman" w:cs="Times New Roman"/>
                <w:sz w:val="20"/>
                <w:szCs w:val="20"/>
              </w:rPr>
              <w:t>37523,0</w:t>
            </w:r>
          </w:p>
        </w:tc>
        <w:tc>
          <w:tcPr>
            <w:tcW w:w="996" w:type="dxa"/>
          </w:tcPr>
          <w:p w:rsidR="003015C0" w:rsidRPr="006A11FB" w:rsidRDefault="003015C0" w:rsidP="00687073">
            <w:pPr>
              <w:jc w:val="center"/>
              <w:rPr>
                <w:rFonts w:ascii="Times New Roman" w:hAnsi="Times New Roman" w:cs="Times New Roman"/>
                <w:sz w:val="20"/>
                <w:szCs w:val="20"/>
              </w:rPr>
            </w:pPr>
            <w:r w:rsidRPr="006A11FB">
              <w:rPr>
                <w:rFonts w:ascii="Times New Roman" w:hAnsi="Times New Roman" w:cs="Times New Roman"/>
                <w:sz w:val="20"/>
                <w:szCs w:val="20"/>
              </w:rPr>
              <w:t>67055,9</w:t>
            </w:r>
          </w:p>
        </w:tc>
      </w:tr>
      <w:tr w:rsidR="003015C0" w:rsidRPr="00687073" w:rsidTr="003015C0">
        <w:tc>
          <w:tcPr>
            <w:tcW w:w="4591" w:type="dxa"/>
          </w:tcPr>
          <w:p w:rsidR="003015C0" w:rsidRPr="006A11FB" w:rsidRDefault="003015C0" w:rsidP="00687073">
            <w:pPr>
              <w:jc w:val="both"/>
              <w:rPr>
                <w:rFonts w:ascii="Times New Roman" w:hAnsi="Times New Roman" w:cs="Times New Roman"/>
                <w:sz w:val="20"/>
                <w:szCs w:val="20"/>
              </w:rPr>
            </w:pPr>
            <w:r w:rsidRPr="006A11FB">
              <w:rPr>
                <w:rFonts w:ascii="Times New Roman" w:hAnsi="Times New Roman" w:cs="Times New Roman"/>
                <w:sz w:val="20"/>
                <w:szCs w:val="20"/>
              </w:rPr>
              <w:t xml:space="preserve">в </w:t>
            </w:r>
            <w:proofErr w:type="spellStart"/>
            <w:r w:rsidRPr="006A11FB">
              <w:rPr>
                <w:rFonts w:ascii="Times New Roman" w:hAnsi="Times New Roman" w:cs="Times New Roman"/>
                <w:sz w:val="20"/>
                <w:szCs w:val="20"/>
              </w:rPr>
              <w:t>т.ч</w:t>
            </w:r>
            <w:proofErr w:type="spellEnd"/>
            <w:r w:rsidRPr="006A11FB">
              <w:rPr>
                <w:rFonts w:ascii="Times New Roman" w:hAnsi="Times New Roman" w:cs="Times New Roman"/>
                <w:sz w:val="20"/>
                <w:szCs w:val="20"/>
              </w:rPr>
              <w:t xml:space="preserve">. </w:t>
            </w:r>
            <w:proofErr w:type="gramStart"/>
            <w:r w:rsidRPr="006A11FB">
              <w:rPr>
                <w:rFonts w:ascii="Times New Roman" w:hAnsi="Times New Roman" w:cs="Times New Roman"/>
                <w:sz w:val="20"/>
                <w:szCs w:val="20"/>
              </w:rPr>
              <w:t>в</w:t>
            </w:r>
            <w:proofErr w:type="gramEnd"/>
            <w:r w:rsidRPr="006A11FB">
              <w:rPr>
                <w:rFonts w:ascii="Times New Roman" w:hAnsi="Times New Roman" w:cs="Times New Roman"/>
                <w:sz w:val="20"/>
                <w:szCs w:val="20"/>
              </w:rPr>
              <w:t xml:space="preserve"> % от  общего объема отгруженных товаров, выполненных работ  услуг</w:t>
            </w:r>
          </w:p>
        </w:tc>
        <w:tc>
          <w:tcPr>
            <w:tcW w:w="996" w:type="dxa"/>
          </w:tcPr>
          <w:p w:rsidR="003015C0" w:rsidRPr="006A11FB" w:rsidRDefault="003015C0" w:rsidP="00687073">
            <w:pPr>
              <w:jc w:val="center"/>
              <w:rPr>
                <w:rFonts w:ascii="Times New Roman" w:hAnsi="Times New Roman" w:cs="Times New Roman"/>
                <w:sz w:val="20"/>
                <w:szCs w:val="20"/>
              </w:rPr>
            </w:pPr>
            <w:r w:rsidRPr="006A11FB">
              <w:rPr>
                <w:rFonts w:ascii="Times New Roman" w:hAnsi="Times New Roman" w:cs="Times New Roman"/>
                <w:sz w:val="20"/>
                <w:szCs w:val="20"/>
              </w:rPr>
              <w:t>1,5</w:t>
            </w:r>
          </w:p>
        </w:tc>
        <w:tc>
          <w:tcPr>
            <w:tcW w:w="996" w:type="dxa"/>
          </w:tcPr>
          <w:p w:rsidR="003015C0" w:rsidRPr="006A11FB" w:rsidRDefault="003015C0" w:rsidP="00687073">
            <w:pPr>
              <w:jc w:val="center"/>
              <w:rPr>
                <w:rFonts w:ascii="Times New Roman" w:hAnsi="Times New Roman" w:cs="Times New Roman"/>
                <w:sz w:val="20"/>
                <w:szCs w:val="20"/>
              </w:rPr>
            </w:pPr>
            <w:r w:rsidRPr="006A11FB">
              <w:rPr>
                <w:rFonts w:ascii="Times New Roman" w:hAnsi="Times New Roman" w:cs="Times New Roman"/>
                <w:sz w:val="20"/>
                <w:szCs w:val="20"/>
              </w:rPr>
              <w:t>2,1</w:t>
            </w:r>
          </w:p>
        </w:tc>
        <w:tc>
          <w:tcPr>
            <w:tcW w:w="996" w:type="dxa"/>
          </w:tcPr>
          <w:p w:rsidR="003015C0" w:rsidRPr="006A11FB" w:rsidRDefault="003015C0" w:rsidP="00687073">
            <w:pPr>
              <w:jc w:val="center"/>
              <w:rPr>
                <w:rFonts w:ascii="Times New Roman" w:hAnsi="Times New Roman" w:cs="Times New Roman"/>
                <w:sz w:val="20"/>
                <w:szCs w:val="20"/>
              </w:rPr>
            </w:pPr>
            <w:r w:rsidRPr="006A11FB">
              <w:rPr>
                <w:rFonts w:ascii="Times New Roman" w:hAnsi="Times New Roman" w:cs="Times New Roman"/>
                <w:sz w:val="20"/>
                <w:szCs w:val="20"/>
              </w:rPr>
              <w:t>1,6</w:t>
            </w:r>
          </w:p>
        </w:tc>
        <w:tc>
          <w:tcPr>
            <w:tcW w:w="996" w:type="dxa"/>
          </w:tcPr>
          <w:p w:rsidR="003015C0" w:rsidRPr="006A11FB" w:rsidRDefault="003015C0" w:rsidP="00687073">
            <w:pPr>
              <w:jc w:val="center"/>
              <w:rPr>
                <w:rFonts w:ascii="Times New Roman" w:hAnsi="Times New Roman" w:cs="Times New Roman"/>
                <w:sz w:val="20"/>
                <w:szCs w:val="20"/>
              </w:rPr>
            </w:pPr>
            <w:r w:rsidRPr="006A11FB">
              <w:rPr>
                <w:rFonts w:ascii="Times New Roman" w:hAnsi="Times New Roman" w:cs="Times New Roman"/>
                <w:sz w:val="20"/>
                <w:szCs w:val="20"/>
              </w:rPr>
              <w:t>1,6</w:t>
            </w:r>
          </w:p>
        </w:tc>
        <w:tc>
          <w:tcPr>
            <w:tcW w:w="996" w:type="dxa"/>
          </w:tcPr>
          <w:p w:rsidR="003015C0" w:rsidRPr="006A11FB" w:rsidRDefault="003015C0" w:rsidP="00687073">
            <w:pPr>
              <w:jc w:val="center"/>
              <w:rPr>
                <w:rFonts w:ascii="Times New Roman" w:hAnsi="Times New Roman" w:cs="Times New Roman"/>
                <w:sz w:val="20"/>
                <w:szCs w:val="20"/>
              </w:rPr>
            </w:pPr>
            <w:r w:rsidRPr="006A11FB">
              <w:rPr>
                <w:rFonts w:ascii="Times New Roman" w:hAnsi="Times New Roman" w:cs="Times New Roman"/>
                <w:sz w:val="20"/>
                <w:szCs w:val="20"/>
              </w:rPr>
              <w:t>2,4</w:t>
            </w:r>
          </w:p>
        </w:tc>
      </w:tr>
      <w:tr w:rsidR="00214D2D" w:rsidRPr="00687073" w:rsidTr="003015C0">
        <w:tc>
          <w:tcPr>
            <w:tcW w:w="4591" w:type="dxa"/>
          </w:tcPr>
          <w:p w:rsidR="00D76A6D" w:rsidRPr="006A11FB" w:rsidRDefault="00D76A6D" w:rsidP="00687073">
            <w:pPr>
              <w:jc w:val="both"/>
              <w:rPr>
                <w:rFonts w:ascii="Times New Roman" w:hAnsi="Times New Roman" w:cs="Times New Roman"/>
                <w:sz w:val="20"/>
                <w:szCs w:val="20"/>
              </w:rPr>
            </w:pPr>
            <w:r w:rsidRPr="006A11FB">
              <w:rPr>
                <w:rFonts w:ascii="Times New Roman" w:hAnsi="Times New Roman" w:cs="Times New Roman"/>
                <w:b/>
                <w:sz w:val="20"/>
                <w:szCs w:val="20"/>
              </w:rPr>
              <w:t>Затраты на технологические инновации</w:t>
            </w:r>
            <w:r w:rsidRPr="006A11FB">
              <w:rPr>
                <w:rFonts w:ascii="Times New Roman" w:hAnsi="Times New Roman" w:cs="Times New Roman"/>
                <w:sz w:val="20"/>
                <w:szCs w:val="20"/>
              </w:rPr>
              <w:t>, млн. руб. в ценах 2011 г.</w:t>
            </w:r>
          </w:p>
        </w:tc>
        <w:tc>
          <w:tcPr>
            <w:tcW w:w="996" w:type="dxa"/>
          </w:tcPr>
          <w:p w:rsidR="00D76A6D" w:rsidRPr="006A11FB" w:rsidRDefault="00214D2D" w:rsidP="00687073">
            <w:pPr>
              <w:jc w:val="center"/>
              <w:rPr>
                <w:rFonts w:ascii="Times New Roman" w:hAnsi="Times New Roman" w:cs="Times New Roman"/>
                <w:sz w:val="20"/>
                <w:szCs w:val="20"/>
              </w:rPr>
            </w:pPr>
            <w:r w:rsidRPr="006A11FB">
              <w:rPr>
                <w:rFonts w:ascii="Times New Roman" w:hAnsi="Times New Roman" w:cs="Times New Roman"/>
                <w:sz w:val="20"/>
                <w:szCs w:val="20"/>
              </w:rPr>
              <w:t>8178,9</w:t>
            </w:r>
          </w:p>
        </w:tc>
        <w:tc>
          <w:tcPr>
            <w:tcW w:w="996" w:type="dxa"/>
          </w:tcPr>
          <w:p w:rsidR="00D76A6D" w:rsidRPr="006A11FB" w:rsidRDefault="00214D2D" w:rsidP="00687073">
            <w:pPr>
              <w:jc w:val="center"/>
              <w:rPr>
                <w:rFonts w:ascii="Times New Roman" w:hAnsi="Times New Roman" w:cs="Times New Roman"/>
                <w:sz w:val="20"/>
                <w:szCs w:val="20"/>
              </w:rPr>
            </w:pPr>
            <w:r w:rsidRPr="006A11FB">
              <w:rPr>
                <w:rFonts w:ascii="Times New Roman" w:hAnsi="Times New Roman" w:cs="Times New Roman"/>
                <w:sz w:val="20"/>
                <w:szCs w:val="20"/>
              </w:rPr>
              <w:t>10165,1</w:t>
            </w:r>
          </w:p>
        </w:tc>
        <w:tc>
          <w:tcPr>
            <w:tcW w:w="996" w:type="dxa"/>
          </w:tcPr>
          <w:p w:rsidR="00D76A6D" w:rsidRPr="006A11FB" w:rsidRDefault="00214D2D" w:rsidP="00687073">
            <w:pPr>
              <w:jc w:val="center"/>
              <w:rPr>
                <w:rFonts w:ascii="Times New Roman" w:hAnsi="Times New Roman" w:cs="Times New Roman"/>
                <w:sz w:val="20"/>
                <w:szCs w:val="20"/>
              </w:rPr>
            </w:pPr>
            <w:r w:rsidRPr="006A11FB">
              <w:rPr>
                <w:rFonts w:ascii="Times New Roman" w:hAnsi="Times New Roman" w:cs="Times New Roman"/>
                <w:sz w:val="20"/>
                <w:szCs w:val="20"/>
              </w:rPr>
              <w:t>7933,5</w:t>
            </w:r>
          </w:p>
        </w:tc>
        <w:tc>
          <w:tcPr>
            <w:tcW w:w="996" w:type="dxa"/>
          </w:tcPr>
          <w:p w:rsidR="00D76A6D" w:rsidRPr="006A11FB" w:rsidRDefault="00214D2D" w:rsidP="00687073">
            <w:pPr>
              <w:jc w:val="center"/>
              <w:rPr>
                <w:rFonts w:ascii="Times New Roman" w:hAnsi="Times New Roman" w:cs="Times New Roman"/>
                <w:sz w:val="20"/>
                <w:szCs w:val="20"/>
              </w:rPr>
            </w:pPr>
            <w:r w:rsidRPr="006A11FB">
              <w:rPr>
                <w:rFonts w:ascii="Times New Roman" w:hAnsi="Times New Roman" w:cs="Times New Roman"/>
                <w:sz w:val="20"/>
                <w:szCs w:val="20"/>
              </w:rPr>
              <w:t>11591,8</w:t>
            </w:r>
          </w:p>
        </w:tc>
        <w:tc>
          <w:tcPr>
            <w:tcW w:w="996" w:type="dxa"/>
          </w:tcPr>
          <w:p w:rsidR="00D76A6D" w:rsidRPr="006A11FB" w:rsidRDefault="00214D2D" w:rsidP="00687073">
            <w:pPr>
              <w:jc w:val="center"/>
              <w:rPr>
                <w:rFonts w:ascii="Times New Roman" w:hAnsi="Times New Roman" w:cs="Times New Roman"/>
                <w:sz w:val="20"/>
                <w:szCs w:val="20"/>
              </w:rPr>
            </w:pPr>
            <w:r w:rsidRPr="006A11FB">
              <w:rPr>
                <w:rFonts w:ascii="Times New Roman" w:hAnsi="Times New Roman" w:cs="Times New Roman"/>
                <w:sz w:val="20"/>
                <w:szCs w:val="20"/>
              </w:rPr>
              <w:t>14298,5</w:t>
            </w:r>
          </w:p>
        </w:tc>
      </w:tr>
      <w:tr w:rsidR="00214D2D" w:rsidRPr="00687073" w:rsidTr="003015C0">
        <w:tc>
          <w:tcPr>
            <w:tcW w:w="4591" w:type="dxa"/>
          </w:tcPr>
          <w:p w:rsidR="00D76A6D" w:rsidRPr="006A11FB" w:rsidRDefault="003B66E3" w:rsidP="00687073">
            <w:pPr>
              <w:jc w:val="both"/>
              <w:rPr>
                <w:rFonts w:ascii="Times New Roman" w:hAnsi="Times New Roman" w:cs="Times New Roman"/>
                <w:sz w:val="20"/>
                <w:szCs w:val="20"/>
              </w:rPr>
            </w:pPr>
            <w:r w:rsidRPr="006A11FB">
              <w:rPr>
                <w:rFonts w:ascii="Times New Roman" w:hAnsi="Times New Roman" w:cs="Times New Roman"/>
                <w:sz w:val="20"/>
                <w:szCs w:val="20"/>
              </w:rPr>
              <w:t xml:space="preserve">в </w:t>
            </w:r>
            <w:proofErr w:type="spellStart"/>
            <w:r w:rsidRPr="006A11FB">
              <w:rPr>
                <w:rFonts w:ascii="Times New Roman" w:hAnsi="Times New Roman" w:cs="Times New Roman"/>
                <w:sz w:val="20"/>
                <w:szCs w:val="20"/>
              </w:rPr>
              <w:t>т.ч</w:t>
            </w:r>
            <w:proofErr w:type="spellEnd"/>
            <w:r w:rsidRPr="006A11FB">
              <w:rPr>
                <w:rFonts w:ascii="Times New Roman" w:hAnsi="Times New Roman" w:cs="Times New Roman"/>
                <w:sz w:val="20"/>
                <w:szCs w:val="20"/>
              </w:rPr>
              <w:t xml:space="preserve">. </w:t>
            </w:r>
            <w:proofErr w:type="gramStart"/>
            <w:r w:rsidRPr="006A11FB">
              <w:rPr>
                <w:rFonts w:ascii="Times New Roman" w:hAnsi="Times New Roman" w:cs="Times New Roman"/>
                <w:sz w:val="20"/>
                <w:szCs w:val="20"/>
              </w:rPr>
              <w:t>в</w:t>
            </w:r>
            <w:proofErr w:type="gramEnd"/>
            <w:r w:rsidRPr="006A11FB">
              <w:rPr>
                <w:rFonts w:ascii="Times New Roman" w:hAnsi="Times New Roman" w:cs="Times New Roman"/>
                <w:sz w:val="20"/>
                <w:szCs w:val="20"/>
              </w:rPr>
              <w:t xml:space="preserve"> % от </w:t>
            </w:r>
            <w:r w:rsidR="00214D2D" w:rsidRPr="006A11FB">
              <w:rPr>
                <w:rFonts w:ascii="Times New Roman" w:hAnsi="Times New Roman" w:cs="Times New Roman"/>
                <w:sz w:val="20"/>
                <w:szCs w:val="20"/>
              </w:rPr>
              <w:t>общего объема отгруженных товаров, выполненных работ  услуг</w:t>
            </w:r>
          </w:p>
        </w:tc>
        <w:tc>
          <w:tcPr>
            <w:tcW w:w="996" w:type="dxa"/>
          </w:tcPr>
          <w:p w:rsidR="00D76A6D" w:rsidRPr="006A11FB" w:rsidRDefault="00214D2D" w:rsidP="00687073">
            <w:pPr>
              <w:jc w:val="center"/>
              <w:rPr>
                <w:rFonts w:ascii="Times New Roman" w:hAnsi="Times New Roman" w:cs="Times New Roman"/>
                <w:sz w:val="20"/>
                <w:szCs w:val="20"/>
              </w:rPr>
            </w:pPr>
            <w:r w:rsidRPr="006A11FB">
              <w:rPr>
                <w:rFonts w:ascii="Times New Roman" w:hAnsi="Times New Roman" w:cs="Times New Roman"/>
                <w:sz w:val="20"/>
                <w:szCs w:val="20"/>
              </w:rPr>
              <w:t>0,86</w:t>
            </w:r>
          </w:p>
        </w:tc>
        <w:tc>
          <w:tcPr>
            <w:tcW w:w="996" w:type="dxa"/>
          </w:tcPr>
          <w:p w:rsidR="00D76A6D" w:rsidRPr="006A11FB" w:rsidRDefault="00214D2D" w:rsidP="00687073">
            <w:pPr>
              <w:jc w:val="center"/>
              <w:rPr>
                <w:rFonts w:ascii="Times New Roman" w:hAnsi="Times New Roman" w:cs="Times New Roman"/>
                <w:sz w:val="20"/>
                <w:szCs w:val="20"/>
              </w:rPr>
            </w:pPr>
            <w:r w:rsidRPr="006A11FB">
              <w:rPr>
                <w:rFonts w:ascii="Times New Roman" w:hAnsi="Times New Roman" w:cs="Times New Roman"/>
                <w:sz w:val="20"/>
                <w:szCs w:val="20"/>
              </w:rPr>
              <w:t>1,03</w:t>
            </w:r>
          </w:p>
        </w:tc>
        <w:tc>
          <w:tcPr>
            <w:tcW w:w="996" w:type="dxa"/>
          </w:tcPr>
          <w:p w:rsidR="00D76A6D" w:rsidRPr="006A11FB" w:rsidRDefault="00214D2D" w:rsidP="00687073">
            <w:pPr>
              <w:jc w:val="center"/>
              <w:rPr>
                <w:rFonts w:ascii="Times New Roman" w:hAnsi="Times New Roman" w:cs="Times New Roman"/>
                <w:sz w:val="20"/>
                <w:szCs w:val="20"/>
              </w:rPr>
            </w:pPr>
            <w:r w:rsidRPr="006A11FB">
              <w:rPr>
                <w:rFonts w:ascii="Times New Roman" w:hAnsi="Times New Roman" w:cs="Times New Roman"/>
                <w:sz w:val="20"/>
                <w:szCs w:val="20"/>
              </w:rPr>
              <w:t>0,64</w:t>
            </w:r>
          </w:p>
        </w:tc>
        <w:tc>
          <w:tcPr>
            <w:tcW w:w="996" w:type="dxa"/>
          </w:tcPr>
          <w:p w:rsidR="00D76A6D" w:rsidRPr="006A11FB" w:rsidRDefault="00214D2D" w:rsidP="00687073">
            <w:pPr>
              <w:jc w:val="center"/>
              <w:rPr>
                <w:rFonts w:ascii="Times New Roman" w:hAnsi="Times New Roman" w:cs="Times New Roman"/>
                <w:sz w:val="20"/>
                <w:szCs w:val="20"/>
              </w:rPr>
            </w:pPr>
            <w:r w:rsidRPr="006A11FB">
              <w:rPr>
                <w:rFonts w:ascii="Times New Roman" w:hAnsi="Times New Roman" w:cs="Times New Roman"/>
                <w:sz w:val="20"/>
                <w:szCs w:val="20"/>
              </w:rPr>
              <w:t>0,81</w:t>
            </w:r>
          </w:p>
        </w:tc>
        <w:tc>
          <w:tcPr>
            <w:tcW w:w="996" w:type="dxa"/>
          </w:tcPr>
          <w:p w:rsidR="00D76A6D" w:rsidRPr="006A11FB" w:rsidRDefault="00214D2D" w:rsidP="00687073">
            <w:pPr>
              <w:jc w:val="center"/>
              <w:rPr>
                <w:rFonts w:ascii="Times New Roman" w:hAnsi="Times New Roman" w:cs="Times New Roman"/>
                <w:sz w:val="20"/>
                <w:szCs w:val="20"/>
              </w:rPr>
            </w:pPr>
            <w:r w:rsidRPr="006A11FB">
              <w:rPr>
                <w:rFonts w:ascii="Times New Roman" w:hAnsi="Times New Roman" w:cs="Times New Roman"/>
                <w:sz w:val="20"/>
                <w:szCs w:val="20"/>
              </w:rPr>
              <w:t>0,96</w:t>
            </w:r>
          </w:p>
        </w:tc>
      </w:tr>
      <w:tr w:rsidR="00E970EE" w:rsidRPr="00687073" w:rsidTr="00BC1B20">
        <w:tc>
          <w:tcPr>
            <w:tcW w:w="9571" w:type="dxa"/>
            <w:gridSpan w:val="6"/>
          </w:tcPr>
          <w:p w:rsidR="00E970EE" w:rsidRPr="006A11FB" w:rsidRDefault="00E970EE" w:rsidP="00687073">
            <w:pPr>
              <w:jc w:val="both"/>
              <w:rPr>
                <w:rFonts w:ascii="Times New Roman" w:hAnsi="Times New Roman" w:cs="Times New Roman"/>
                <w:sz w:val="20"/>
                <w:szCs w:val="20"/>
              </w:rPr>
            </w:pPr>
            <w:r w:rsidRPr="006A11FB">
              <w:rPr>
                <w:rFonts w:ascii="Times New Roman" w:hAnsi="Times New Roman" w:cs="Times New Roman"/>
                <w:sz w:val="20"/>
                <w:szCs w:val="20"/>
              </w:rPr>
              <w:t>Источник: рассчитано на основе статистических сборников НИУ ВШЭ «Индикаторы инновационной деятельности» URL: https://www.hse.ru/mirror/pubs/share/384499762.pdf. и «</w:t>
            </w:r>
            <w:r w:rsidR="007729B6" w:rsidRPr="006A11FB">
              <w:rPr>
                <w:rFonts w:ascii="Times New Roman" w:hAnsi="Times New Roman" w:cs="Times New Roman"/>
                <w:sz w:val="20"/>
                <w:szCs w:val="20"/>
              </w:rPr>
              <w:t>Регионы России. Социально-экономические показатели» URL: https://rosstat.gov.ru/folder/210/document/13204.</w:t>
            </w:r>
          </w:p>
        </w:tc>
      </w:tr>
    </w:tbl>
    <w:p w:rsidR="00C64484" w:rsidRPr="00687073" w:rsidRDefault="00C64484" w:rsidP="00687073">
      <w:pPr>
        <w:spacing w:after="0" w:line="240" w:lineRule="auto"/>
        <w:ind w:firstLine="709"/>
        <w:jc w:val="both"/>
        <w:rPr>
          <w:rFonts w:ascii="Times New Roman" w:hAnsi="Times New Roman" w:cs="Times New Roman"/>
          <w:sz w:val="24"/>
          <w:szCs w:val="24"/>
        </w:rPr>
      </w:pPr>
    </w:p>
    <w:p w:rsidR="00C64484" w:rsidRPr="00687073" w:rsidRDefault="007729B6" w:rsidP="00687073">
      <w:pPr>
        <w:spacing w:after="0" w:line="240" w:lineRule="auto"/>
        <w:ind w:firstLine="709"/>
        <w:jc w:val="both"/>
        <w:rPr>
          <w:rFonts w:ascii="Times New Roman" w:hAnsi="Times New Roman" w:cs="Times New Roman"/>
          <w:sz w:val="24"/>
          <w:szCs w:val="24"/>
        </w:rPr>
      </w:pPr>
      <w:proofErr w:type="gramStart"/>
      <w:r w:rsidRPr="00687073">
        <w:rPr>
          <w:rFonts w:ascii="Times New Roman" w:hAnsi="Times New Roman" w:cs="Times New Roman"/>
          <w:sz w:val="24"/>
          <w:szCs w:val="24"/>
        </w:rPr>
        <w:t>Наибольшие значения показателя уровня инновационной активности в 2019 г. зафиксированы на предприятиях по производству лекарственных средств и материалов (22,5%), компьютеров, электронных и оптических изделий (18%), электрического оборудования (11,3%), готовых изделий (11,1%), химических веществ и продуктов (10,5%).</w:t>
      </w:r>
      <w:proofErr w:type="gramEnd"/>
    </w:p>
    <w:p w:rsidR="003B66E3" w:rsidRPr="00687073" w:rsidRDefault="00504C41" w:rsidP="00687073">
      <w:pPr>
        <w:spacing w:after="0" w:line="240" w:lineRule="auto"/>
        <w:ind w:firstLine="709"/>
        <w:jc w:val="both"/>
        <w:rPr>
          <w:rFonts w:ascii="Times New Roman" w:hAnsi="Times New Roman" w:cs="Times New Roman"/>
          <w:sz w:val="24"/>
          <w:szCs w:val="24"/>
        </w:rPr>
      </w:pPr>
      <w:r w:rsidRPr="00687073">
        <w:rPr>
          <w:rFonts w:ascii="Times New Roman" w:hAnsi="Times New Roman" w:cs="Times New Roman"/>
          <w:sz w:val="24"/>
          <w:szCs w:val="24"/>
        </w:rPr>
        <w:lastRenderedPageBreak/>
        <w:t>О</w:t>
      </w:r>
      <w:r w:rsidR="003B66E3" w:rsidRPr="00687073">
        <w:rPr>
          <w:rFonts w:ascii="Times New Roman" w:hAnsi="Times New Roman" w:cs="Times New Roman"/>
          <w:sz w:val="24"/>
          <w:szCs w:val="24"/>
        </w:rPr>
        <w:t>бъем инновационной промышленной продукции, произведенной в секторе малого бизнеса, в 2019 г. достиг 67,1 млрд. руб., что выше уровня 2017</w:t>
      </w:r>
      <w:r w:rsidR="00C767EF" w:rsidRPr="00687073">
        <w:rPr>
          <w:rFonts w:ascii="Times New Roman" w:hAnsi="Times New Roman" w:cs="Times New Roman"/>
          <w:sz w:val="24"/>
          <w:szCs w:val="24"/>
        </w:rPr>
        <w:t> </w:t>
      </w:r>
      <w:r w:rsidR="003B66E3" w:rsidRPr="00687073">
        <w:rPr>
          <w:rFonts w:ascii="Times New Roman" w:hAnsi="Times New Roman" w:cs="Times New Roman"/>
          <w:sz w:val="24"/>
          <w:szCs w:val="24"/>
        </w:rPr>
        <w:t>г. на 55%.</w:t>
      </w:r>
    </w:p>
    <w:p w:rsidR="003B66E3" w:rsidRPr="00687073" w:rsidRDefault="003B66E3" w:rsidP="00687073">
      <w:pPr>
        <w:spacing w:after="0" w:line="240" w:lineRule="auto"/>
        <w:ind w:firstLine="709"/>
        <w:jc w:val="both"/>
        <w:rPr>
          <w:rFonts w:ascii="Times New Roman" w:hAnsi="Times New Roman" w:cs="Times New Roman"/>
          <w:sz w:val="24"/>
          <w:szCs w:val="24"/>
        </w:rPr>
      </w:pPr>
      <w:r w:rsidRPr="00687073">
        <w:rPr>
          <w:rFonts w:ascii="Times New Roman" w:hAnsi="Times New Roman" w:cs="Times New Roman"/>
          <w:sz w:val="24"/>
          <w:szCs w:val="24"/>
        </w:rPr>
        <w:t>Выявлен существенный рост масштабов производства: за период 2011-2019 гг. выпуск новых и улучшенных товаров, работ и услуг увеличился в 2,5 раза и достиг своих максимальных значений.</w:t>
      </w:r>
    </w:p>
    <w:p w:rsidR="003B66E3" w:rsidRPr="00687073" w:rsidRDefault="003B66E3" w:rsidP="00687073">
      <w:pPr>
        <w:spacing w:after="0" w:line="240" w:lineRule="auto"/>
        <w:ind w:firstLine="709"/>
        <w:jc w:val="both"/>
        <w:rPr>
          <w:rFonts w:ascii="Times New Roman" w:hAnsi="Times New Roman" w:cs="Times New Roman"/>
          <w:sz w:val="24"/>
          <w:szCs w:val="24"/>
        </w:rPr>
      </w:pPr>
      <w:r w:rsidRPr="00687073">
        <w:rPr>
          <w:rFonts w:ascii="Times New Roman" w:hAnsi="Times New Roman" w:cs="Times New Roman"/>
          <w:sz w:val="24"/>
          <w:szCs w:val="24"/>
        </w:rPr>
        <w:t>В общем объеме продаж малых предприятий доля инновационной продукции составляет 2,4% (в 2017 г. – 1,6%). Значения индикатора выше среднего отмечаются на предприятиях по производству лекарственных средств и материалов (7,1%); компьютеров, электронных и оптических изделий (5,9%), готовых изделий и электрического оборудования (по 5,7%), машин и оборудования (4,5%), бумажных изделий и мебели (по 3,3%), пищевых продуктов (2,9%).</w:t>
      </w:r>
    </w:p>
    <w:p w:rsidR="007729B6" w:rsidRPr="00687073" w:rsidRDefault="007729B6" w:rsidP="00687073">
      <w:pPr>
        <w:spacing w:after="0" w:line="240" w:lineRule="auto"/>
        <w:ind w:firstLine="709"/>
        <w:jc w:val="both"/>
        <w:rPr>
          <w:rFonts w:ascii="Times New Roman" w:hAnsi="Times New Roman" w:cs="Times New Roman"/>
          <w:sz w:val="24"/>
          <w:szCs w:val="24"/>
        </w:rPr>
      </w:pPr>
      <w:r w:rsidRPr="00687073">
        <w:rPr>
          <w:rFonts w:ascii="Times New Roman" w:hAnsi="Times New Roman" w:cs="Times New Roman"/>
          <w:sz w:val="24"/>
          <w:szCs w:val="24"/>
        </w:rPr>
        <w:t>Затраты на технологические инновации, создаваемые малыми предприяти</w:t>
      </w:r>
      <w:r w:rsidR="005615D7" w:rsidRPr="00687073">
        <w:rPr>
          <w:rFonts w:ascii="Times New Roman" w:hAnsi="Times New Roman" w:cs="Times New Roman"/>
          <w:sz w:val="24"/>
          <w:szCs w:val="24"/>
        </w:rPr>
        <w:t>ями в 2019 г. составили 14</w:t>
      </w:r>
      <w:r w:rsidRPr="00687073">
        <w:rPr>
          <w:rFonts w:ascii="Times New Roman" w:hAnsi="Times New Roman" w:cs="Times New Roman"/>
          <w:sz w:val="24"/>
          <w:szCs w:val="24"/>
        </w:rPr>
        <w:t>,3 млрд. руб. Для сравнения, это на 23% больше, чем объем инвестиций, направленных на технологические инновации. В период 2011-2017 гг. динамика расходов на технологические инновации имела неравномерный характер: до 2013 г. показатель возрастал, затем наметился некоторый спад, в 2017 г. рост возобновился.</w:t>
      </w:r>
    </w:p>
    <w:p w:rsidR="007729B6" w:rsidRPr="00687073" w:rsidRDefault="007729B6" w:rsidP="00687073">
      <w:pPr>
        <w:spacing w:after="0" w:line="240" w:lineRule="auto"/>
        <w:ind w:firstLine="709"/>
        <w:jc w:val="both"/>
        <w:rPr>
          <w:rFonts w:ascii="Times New Roman" w:hAnsi="Times New Roman" w:cs="Times New Roman"/>
          <w:sz w:val="24"/>
          <w:szCs w:val="24"/>
        </w:rPr>
      </w:pPr>
      <w:r w:rsidRPr="00687073">
        <w:rPr>
          <w:rFonts w:ascii="Times New Roman" w:hAnsi="Times New Roman" w:cs="Times New Roman"/>
          <w:sz w:val="24"/>
          <w:szCs w:val="24"/>
        </w:rPr>
        <w:t>Доля затрат на технологические инновации в общем объеме отгружен</w:t>
      </w:r>
      <w:r w:rsidR="006A11FB">
        <w:rPr>
          <w:rFonts w:ascii="Times New Roman" w:hAnsi="Times New Roman" w:cs="Times New Roman"/>
          <w:sz w:val="24"/>
          <w:szCs w:val="24"/>
        </w:rPr>
        <w:t>ной продукции малых предприятий</w:t>
      </w:r>
      <w:r w:rsidRPr="00687073">
        <w:rPr>
          <w:rFonts w:ascii="Times New Roman" w:hAnsi="Times New Roman" w:cs="Times New Roman"/>
          <w:sz w:val="24"/>
          <w:szCs w:val="24"/>
        </w:rPr>
        <w:t xml:space="preserve"> в 2019 г. не превышала 1%. Наибольшие значения данного показателя зафиксированы в производстве лекарственных средств и материалов (5,8%), автотранспортных средств (4%), компьютеров, электронных и оптических изделий (2,7%) и др.</w:t>
      </w:r>
    </w:p>
    <w:p w:rsidR="009611BD" w:rsidRPr="00687073" w:rsidRDefault="009611BD" w:rsidP="0068707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87073">
        <w:rPr>
          <w:rFonts w:ascii="Times New Roman" w:eastAsia="Times New Roman" w:hAnsi="Times New Roman" w:cs="Times New Roman"/>
          <w:color w:val="000000"/>
          <w:sz w:val="24"/>
          <w:szCs w:val="24"/>
          <w:lang w:eastAsia="ru-RU"/>
        </w:rPr>
        <w:t>В России на сегодняшний день финансирование предпринимательского сектора, осуществлявшего взаимодействие с наукой для реализации технологических инновационных проектов</w:t>
      </w:r>
      <w:r w:rsidR="00C767EF" w:rsidRPr="00687073">
        <w:rPr>
          <w:rFonts w:ascii="Times New Roman" w:eastAsia="Times New Roman" w:hAnsi="Times New Roman" w:cs="Times New Roman"/>
          <w:color w:val="000000"/>
          <w:sz w:val="24"/>
          <w:szCs w:val="24"/>
          <w:lang w:eastAsia="ru-RU"/>
        </w:rPr>
        <w:t>,</w:t>
      </w:r>
      <w:r w:rsidRPr="00687073">
        <w:rPr>
          <w:rFonts w:ascii="Times New Roman" w:eastAsia="Times New Roman" w:hAnsi="Times New Roman" w:cs="Times New Roman"/>
          <w:color w:val="000000"/>
          <w:sz w:val="24"/>
          <w:szCs w:val="24"/>
          <w:lang w:eastAsia="ru-RU"/>
        </w:rPr>
        <w:t xml:space="preserve"> в основном осуществляется за счет государства.</w:t>
      </w:r>
    </w:p>
    <w:p w:rsidR="009611BD" w:rsidRPr="00687073" w:rsidRDefault="009611BD" w:rsidP="0068707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87073">
        <w:rPr>
          <w:rFonts w:ascii="Times New Roman" w:eastAsia="Times New Roman" w:hAnsi="Times New Roman" w:cs="Times New Roman"/>
          <w:color w:val="000000"/>
          <w:sz w:val="24"/>
          <w:szCs w:val="24"/>
          <w:lang w:eastAsia="ru-RU"/>
        </w:rPr>
        <w:t>Так</w:t>
      </w:r>
      <w:r w:rsidR="003B7392" w:rsidRPr="00687073">
        <w:rPr>
          <w:rFonts w:ascii="Times New Roman" w:eastAsia="Times New Roman" w:hAnsi="Times New Roman" w:cs="Times New Roman"/>
          <w:color w:val="000000"/>
          <w:sz w:val="24"/>
          <w:szCs w:val="24"/>
          <w:lang w:eastAsia="ru-RU"/>
        </w:rPr>
        <w:t xml:space="preserve"> доля расходов</w:t>
      </w:r>
      <w:r w:rsidRPr="00687073">
        <w:rPr>
          <w:rFonts w:ascii="Times New Roman" w:eastAsia="Times New Roman" w:hAnsi="Times New Roman" w:cs="Times New Roman"/>
          <w:color w:val="000000"/>
          <w:sz w:val="24"/>
          <w:szCs w:val="24"/>
          <w:lang w:eastAsia="ru-RU"/>
        </w:rPr>
        <w:t xml:space="preserve"> на НИОКР </w:t>
      </w:r>
      <w:r w:rsidR="003B7392" w:rsidRPr="00687073">
        <w:rPr>
          <w:rFonts w:ascii="Times New Roman" w:eastAsia="Times New Roman" w:hAnsi="Times New Roman" w:cs="Times New Roman"/>
          <w:color w:val="000000"/>
          <w:sz w:val="24"/>
          <w:szCs w:val="24"/>
          <w:lang w:eastAsia="ru-RU"/>
        </w:rPr>
        <w:t>со стороны государства</w:t>
      </w:r>
      <w:r w:rsidRPr="00687073">
        <w:rPr>
          <w:rFonts w:ascii="Times New Roman" w:eastAsia="Times New Roman" w:hAnsi="Times New Roman" w:cs="Times New Roman"/>
          <w:color w:val="000000"/>
          <w:sz w:val="24"/>
          <w:szCs w:val="24"/>
          <w:lang w:eastAsia="ru-RU"/>
        </w:rPr>
        <w:t xml:space="preserve"> в общих расходах в</w:t>
      </w:r>
      <w:r w:rsidR="003B7392" w:rsidRPr="00687073">
        <w:rPr>
          <w:rFonts w:ascii="Times New Roman" w:eastAsia="Times New Roman" w:hAnsi="Times New Roman" w:cs="Times New Roman"/>
          <w:color w:val="000000"/>
          <w:sz w:val="24"/>
          <w:szCs w:val="24"/>
          <w:lang w:eastAsia="ru-RU"/>
        </w:rPr>
        <w:t xml:space="preserve"> 2018 г. составила</w:t>
      </w:r>
      <w:r w:rsidRPr="00687073">
        <w:rPr>
          <w:rFonts w:ascii="Times New Roman" w:eastAsia="Times New Roman" w:hAnsi="Times New Roman" w:cs="Times New Roman"/>
          <w:color w:val="000000"/>
          <w:sz w:val="24"/>
          <w:szCs w:val="24"/>
          <w:lang w:eastAsia="ru-RU"/>
        </w:rPr>
        <w:t xml:space="preserve"> 67% (в 2010 г. – 70,3%) (рис. 1), </w:t>
      </w:r>
      <w:r w:rsidR="003B7392" w:rsidRPr="00687073">
        <w:rPr>
          <w:rFonts w:ascii="Times New Roman" w:eastAsia="Times New Roman" w:hAnsi="Times New Roman" w:cs="Times New Roman"/>
          <w:color w:val="000000"/>
          <w:sz w:val="24"/>
          <w:szCs w:val="24"/>
          <w:lang w:eastAsia="ru-RU"/>
        </w:rPr>
        <w:t>это обеспечивает</w:t>
      </w:r>
      <w:r w:rsidRPr="00687073">
        <w:rPr>
          <w:rFonts w:ascii="Times New Roman" w:eastAsia="Times New Roman" w:hAnsi="Times New Roman" w:cs="Times New Roman"/>
          <w:color w:val="000000"/>
          <w:sz w:val="24"/>
          <w:szCs w:val="24"/>
          <w:lang w:eastAsia="ru-RU"/>
        </w:rPr>
        <w:t xml:space="preserve"> 0,6% В</w:t>
      </w:r>
      <w:proofErr w:type="gramStart"/>
      <w:r w:rsidRPr="00687073">
        <w:rPr>
          <w:rFonts w:ascii="Times New Roman" w:eastAsia="Times New Roman" w:hAnsi="Times New Roman" w:cs="Times New Roman"/>
          <w:color w:val="000000"/>
          <w:sz w:val="24"/>
          <w:szCs w:val="24"/>
          <w:lang w:eastAsia="ru-RU"/>
        </w:rPr>
        <w:t>ВП стр</w:t>
      </w:r>
      <w:proofErr w:type="gramEnd"/>
      <w:r w:rsidRPr="00687073">
        <w:rPr>
          <w:rFonts w:ascii="Times New Roman" w:eastAsia="Times New Roman" w:hAnsi="Times New Roman" w:cs="Times New Roman"/>
          <w:color w:val="000000"/>
          <w:sz w:val="24"/>
          <w:szCs w:val="24"/>
          <w:lang w:eastAsia="ru-RU"/>
        </w:rPr>
        <w:t xml:space="preserve">аны. В США значение данного показателя составило 23%. Это значительно ниже, чем в РФ (на 44 </w:t>
      </w:r>
      <w:proofErr w:type="spellStart"/>
      <w:r w:rsidRPr="00687073">
        <w:rPr>
          <w:rFonts w:ascii="Times New Roman" w:eastAsia="Times New Roman" w:hAnsi="Times New Roman" w:cs="Times New Roman"/>
          <w:color w:val="000000"/>
          <w:sz w:val="24"/>
          <w:szCs w:val="24"/>
          <w:lang w:eastAsia="ru-RU"/>
        </w:rPr>
        <w:t>п.п</w:t>
      </w:r>
      <w:proofErr w:type="spellEnd"/>
      <w:r w:rsidRPr="00687073">
        <w:rPr>
          <w:rFonts w:ascii="Times New Roman" w:eastAsia="Times New Roman" w:hAnsi="Times New Roman" w:cs="Times New Roman"/>
          <w:color w:val="000000"/>
          <w:sz w:val="24"/>
          <w:szCs w:val="24"/>
          <w:lang w:eastAsia="ru-RU"/>
        </w:rPr>
        <w:t>.).</w:t>
      </w:r>
    </w:p>
    <w:p w:rsidR="00962430" w:rsidRPr="00687073" w:rsidRDefault="009611BD" w:rsidP="0068707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87073">
        <w:rPr>
          <w:rFonts w:ascii="Times New Roman" w:eastAsia="Times New Roman" w:hAnsi="Times New Roman" w:cs="Times New Roman"/>
          <w:color w:val="000000"/>
          <w:sz w:val="24"/>
          <w:szCs w:val="24"/>
          <w:lang w:eastAsia="ru-RU"/>
        </w:rPr>
        <w:t>При этом в структуре внутренних затрат на НИОКР по секторам науки доля предпринимательского сектора в России в 2018 г. наименьшая – 29,5%, а доля иностранных источников – 2,4%.</w:t>
      </w:r>
      <w:r w:rsidR="00962430" w:rsidRPr="00687073">
        <w:rPr>
          <w:rFonts w:ascii="Times New Roman" w:eastAsia="Times New Roman" w:hAnsi="Times New Roman" w:cs="Times New Roman"/>
          <w:color w:val="000000"/>
          <w:sz w:val="24"/>
          <w:szCs w:val="24"/>
          <w:lang w:eastAsia="ru-RU"/>
        </w:rPr>
        <w:t xml:space="preserve"> </w:t>
      </w:r>
      <w:r w:rsidRPr="00687073">
        <w:rPr>
          <w:rFonts w:ascii="Times New Roman" w:eastAsia="Times New Roman" w:hAnsi="Times New Roman" w:cs="Times New Roman"/>
          <w:color w:val="000000"/>
          <w:sz w:val="24"/>
          <w:szCs w:val="24"/>
          <w:lang w:eastAsia="ru-RU"/>
        </w:rPr>
        <w:t xml:space="preserve">В США значения данных показателей составили 62,4% и 7,2%. </w:t>
      </w:r>
    </w:p>
    <w:p w:rsidR="009611BD" w:rsidRPr="00687073" w:rsidRDefault="009611BD" w:rsidP="0068707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687073">
        <w:rPr>
          <w:rFonts w:ascii="Times New Roman" w:eastAsia="Times New Roman" w:hAnsi="Times New Roman" w:cs="Times New Roman"/>
          <w:color w:val="000000"/>
          <w:sz w:val="24"/>
          <w:szCs w:val="24"/>
          <w:lang w:eastAsia="ru-RU"/>
        </w:rPr>
        <w:t>На наш взгляд, доминирование г</w:t>
      </w:r>
      <w:r w:rsidR="00892141" w:rsidRPr="00687073">
        <w:rPr>
          <w:rFonts w:ascii="Times New Roman" w:eastAsia="Times New Roman" w:hAnsi="Times New Roman" w:cs="Times New Roman"/>
          <w:color w:val="000000"/>
          <w:sz w:val="24"/>
          <w:szCs w:val="24"/>
          <w:lang w:eastAsia="ru-RU"/>
        </w:rPr>
        <w:t>осударственного сектора</w:t>
      </w:r>
      <w:r w:rsidRPr="00687073">
        <w:rPr>
          <w:rFonts w:ascii="Times New Roman" w:eastAsia="Times New Roman" w:hAnsi="Times New Roman" w:cs="Times New Roman"/>
          <w:color w:val="000000"/>
          <w:sz w:val="24"/>
          <w:szCs w:val="24"/>
          <w:lang w:eastAsia="ru-RU"/>
        </w:rPr>
        <w:t xml:space="preserve"> как</w:t>
      </w:r>
      <w:r w:rsidR="00892141" w:rsidRPr="00687073">
        <w:rPr>
          <w:rFonts w:ascii="Times New Roman" w:eastAsia="Times New Roman" w:hAnsi="Times New Roman" w:cs="Times New Roman"/>
          <w:color w:val="000000"/>
          <w:sz w:val="24"/>
          <w:szCs w:val="24"/>
          <w:lang w:eastAsia="ru-RU"/>
        </w:rPr>
        <w:t xml:space="preserve"> источника финансирования НИОКР</w:t>
      </w:r>
      <w:r w:rsidRPr="00687073">
        <w:rPr>
          <w:rFonts w:ascii="Times New Roman" w:eastAsia="Times New Roman" w:hAnsi="Times New Roman" w:cs="Times New Roman"/>
          <w:color w:val="000000"/>
          <w:sz w:val="24"/>
          <w:szCs w:val="24"/>
          <w:lang w:eastAsia="ru-RU"/>
        </w:rPr>
        <w:t xml:space="preserve"> для России является негативной тенденцией, в силу того, что происходит консервация низкой </w:t>
      </w:r>
      <w:proofErr w:type="spellStart"/>
      <w:r w:rsidRPr="00687073">
        <w:rPr>
          <w:rFonts w:ascii="Times New Roman" w:eastAsia="Times New Roman" w:hAnsi="Times New Roman" w:cs="Times New Roman"/>
          <w:color w:val="000000"/>
          <w:sz w:val="24"/>
          <w:szCs w:val="24"/>
          <w:lang w:eastAsia="ru-RU"/>
        </w:rPr>
        <w:t>наукоемкости</w:t>
      </w:r>
      <w:proofErr w:type="spellEnd"/>
      <w:r w:rsidRPr="00687073">
        <w:rPr>
          <w:rFonts w:ascii="Times New Roman" w:eastAsia="Times New Roman" w:hAnsi="Times New Roman" w:cs="Times New Roman"/>
          <w:color w:val="000000"/>
          <w:sz w:val="24"/>
          <w:szCs w:val="24"/>
          <w:lang w:eastAsia="ru-RU"/>
        </w:rPr>
        <w:t xml:space="preserve"> экономики на фоне наращивания объемов затрат на науку, преимущественно за счет средств федерального бюджета, а также незаинтересованность бизнеса в инвестировании в науку из-за слабой инновационной активности, отсутствия стратегического видения, ориентации на внутренний, а не на глобальный рынок</w:t>
      </w:r>
      <w:r w:rsidR="0092638B" w:rsidRPr="00687073">
        <w:rPr>
          <w:rFonts w:ascii="Times New Roman" w:eastAsia="Times New Roman" w:hAnsi="Times New Roman" w:cs="Times New Roman"/>
          <w:color w:val="000000"/>
          <w:sz w:val="24"/>
          <w:szCs w:val="24"/>
          <w:lang w:eastAsia="ru-RU"/>
        </w:rPr>
        <w:t>.</w:t>
      </w:r>
      <w:proofErr w:type="gramEnd"/>
    </w:p>
    <w:p w:rsidR="009611BD" w:rsidRPr="00687073" w:rsidRDefault="009611BD" w:rsidP="00687073">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687073">
        <w:rPr>
          <w:noProof/>
          <w:sz w:val="24"/>
          <w:szCs w:val="24"/>
          <w:lang w:eastAsia="ru-RU"/>
        </w:rPr>
        <w:drawing>
          <wp:inline distT="0" distB="0" distL="0" distR="0" wp14:anchorId="3F430008" wp14:editId="08651A89">
            <wp:extent cx="5888736" cy="1726387"/>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9611BD" w:rsidRPr="006A11FB" w:rsidRDefault="009611BD" w:rsidP="00687073">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6A11FB">
        <w:rPr>
          <w:rFonts w:ascii="Times New Roman" w:eastAsia="Times New Roman" w:hAnsi="Times New Roman" w:cs="Times New Roman"/>
          <w:color w:val="000000"/>
          <w:sz w:val="20"/>
          <w:szCs w:val="20"/>
          <w:lang w:eastAsia="ru-RU"/>
        </w:rPr>
        <w:t>Рис. 1 – Распределение расходов на НИОКР в США, Германии, России в 2018 г.</w:t>
      </w:r>
    </w:p>
    <w:p w:rsidR="009611BD" w:rsidRPr="006A11FB" w:rsidRDefault="009611BD" w:rsidP="00687073">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6A11FB">
        <w:rPr>
          <w:rFonts w:ascii="Times New Roman" w:eastAsia="Times New Roman" w:hAnsi="Times New Roman" w:cs="Times New Roman"/>
          <w:color w:val="000000"/>
          <w:sz w:val="20"/>
          <w:szCs w:val="20"/>
          <w:lang w:eastAsia="ru-RU"/>
        </w:rPr>
        <w:t xml:space="preserve"> по источникам финансирования, %</w:t>
      </w:r>
    </w:p>
    <w:p w:rsidR="009611BD" w:rsidRPr="006A11FB" w:rsidRDefault="009611BD" w:rsidP="0068707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6A11FB">
        <w:rPr>
          <w:rFonts w:ascii="Times New Roman" w:eastAsia="Times New Roman" w:hAnsi="Times New Roman" w:cs="Times New Roman"/>
          <w:color w:val="000000"/>
          <w:sz w:val="20"/>
          <w:szCs w:val="20"/>
          <w:lang w:eastAsia="ru-RU"/>
        </w:rPr>
        <w:t xml:space="preserve">Источник: статистический сборник НИУ ВШЭ «Индикаторы науки 2020» </w:t>
      </w:r>
      <w:r w:rsidRPr="006A11FB">
        <w:rPr>
          <w:rFonts w:ascii="Times New Roman" w:eastAsia="Times New Roman" w:hAnsi="Times New Roman" w:cs="Times New Roman"/>
          <w:color w:val="000000"/>
          <w:sz w:val="20"/>
          <w:szCs w:val="20"/>
          <w:lang w:val="en-US" w:eastAsia="ru-RU"/>
        </w:rPr>
        <w:t>URL</w:t>
      </w:r>
      <w:r w:rsidRPr="006A11FB">
        <w:rPr>
          <w:rFonts w:ascii="Times New Roman" w:eastAsia="Times New Roman" w:hAnsi="Times New Roman" w:cs="Times New Roman"/>
          <w:color w:val="000000"/>
          <w:sz w:val="20"/>
          <w:szCs w:val="20"/>
          <w:lang w:eastAsia="ru-RU"/>
        </w:rPr>
        <w:t>: https://www.hse.ru/mirror/pubs/share/384499762.pdf.</w:t>
      </w:r>
    </w:p>
    <w:p w:rsidR="009611BD" w:rsidRPr="00687073" w:rsidRDefault="009611BD" w:rsidP="0068707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9611BD" w:rsidRPr="00687073" w:rsidRDefault="009611BD" w:rsidP="0068707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87073">
        <w:rPr>
          <w:rFonts w:ascii="Times New Roman" w:eastAsia="Times New Roman" w:hAnsi="Times New Roman" w:cs="Times New Roman"/>
          <w:color w:val="000000"/>
          <w:sz w:val="24"/>
          <w:szCs w:val="24"/>
          <w:lang w:eastAsia="ru-RU"/>
        </w:rPr>
        <w:t xml:space="preserve">Не смотря на то, что в России </w:t>
      </w:r>
      <w:r w:rsidR="00CF28E7" w:rsidRPr="00687073">
        <w:rPr>
          <w:rFonts w:ascii="Times New Roman" w:eastAsia="Times New Roman" w:hAnsi="Times New Roman" w:cs="Times New Roman"/>
          <w:color w:val="000000"/>
          <w:sz w:val="24"/>
          <w:szCs w:val="24"/>
          <w:lang w:eastAsia="ru-RU"/>
        </w:rPr>
        <w:t xml:space="preserve">большая </w:t>
      </w:r>
      <w:r w:rsidRPr="00687073">
        <w:rPr>
          <w:rFonts w:ascii="Times New Roman" w:eastAsia="Times New Roman" w:hAnsi="Times New Roman" w:cs="Times New Roman"/>
          <w:color w:val="000000"/>
          <w:sz w:val="24"/>
          <w:szCs w:val="24"/>
          <w:lang w:eastAsia="ru-RU"/>
        </w:rPr>
        <w:t xml:space="preserve">доля </w:t>
      </w:r>
      <w:r w:rsidR="00CF28E7" w:rsidRPr="00687073">
        <w:rPr>
          <w:rFonts w:ascii="Times New Roman" w:eastAsia="Times New Roman" w:hAnsi="Times New Roman" w:cs="Times New Roman"/>
          <w:color w:val="000000"/>
          <w:sz w:val="24"/>
          <w:szCs w:val="24"/>
          <w:lang w:eastAsia="ru-RU"/>
        </w:rPr>
        <w:t>финансирования</w:t>
      </w:r>
      <w:r w:rsidRPr="00687073">
        <w:rPr>
          <w:rFonts w:ascii="Times New Roman" w:eastAsia="Times New Roman" w:hAnsi="Times New Roman" w:cs="Times New Roman"/>
          <w:color w:val="000000"/>
          <w:sz w:val="24"/>
          <w:szCs w:val="24"/>
          <w:lang w:eastAsia="ru-RU"/>
        </w:rPr>
        <w:t xml:space="preserve"> НИОКР </w:t>
      </w:r>
      <w:r w:rsidR="00CF28E7" w:rsidRPr="00687073">
        <w:rPr>
          <w:rFonts w:ascii="Times New Roman" w:eastAsia="Times New Roman" w:hAnsi="Times New Roman" w:cs="Times New Roman"/>
          <w:color w:val="000000"/>
          <w:sz w:val="24"/>
          <w:szCs w:val="24"/>
          <w:lang w:eastAsia="ru-RU"/>
        </w:rPr>
        <w:t xml:space="preserve">осуществляется государством, </w:t>
      </w:r>
      <w:r w:rsidRPr="00687073">
        <w:rPr>
          <w:rFonts w:ascii="Times New Roman" w:eastAsia="Times New Roman" w:hAnsi="Times New Roman" w:cs="Times New Roman"/>
          <w:color w:val="000000"/>
          <w:sz w:val="24"/>
          <w:szCs w:val="24"/>
          <w:lang w:eastAsia="ru-RU"/>
        </w:rPr>
        <w:t>основным</w:t>
      </w:r>
      <w:r w:rsidR="00CF28E7" w:rsidRPr="00687073">
        <w:rPr>
          <w:rFonts w:ascii="Times New Roman" w:eastAsia="Times New Roman" w:hAnsi="Times New Roman" w:cs="Times New Roman"/>
          <w:color w:val="000000"/>
          <w:sz w:val="24"/>
          <w:szCs w:val="24"/>
          <w:lang w:eastAsia="ru-RU"/>
        </w:rPr>
        <w:t xml:space="preserve"> потребителем данной поддержки является предпринимательский сектор </w:t>
      </w:r>
      <w:r w:rsidRPr="00687073">
        <w:rPr>
          <w:rFonts w:ascii="Times New Roman" w:eastAsia="Times New Roman" w:hAnsi="Times New Roman" w:cs="Times New Roman"/>
          <w:color w:val="000000"/>
          <w:sz w:val="24"/>
          <w:szCs w:val="24"/>
          <w:lang w:eastAsia="ru-RU"/>
        </w:rPr>
        <w:t>(рис. 2).</w:t>
      </w:r>
    </w:p>
    <w:p w:rsidR="009611BD" w:rsidRPr="00687073" w:rsidRDefault="00962430" w:rsidP="0068707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87073">
        <w:rPr>
          <w:noProof/>
          <w:sz w:val="24"/>
          <w:szCs w:val="24"/>
          <w:lang w:eastAsia="ru-RU"/>
        </w:rPr>
        <w:drawing>
          <wp:inline distT="0" distB="0" distL="0" distR="0" wp14:anchorId="29B7B544" wp14:editId="07B1ADB9">
            <wp:extent cx="4572000" cy="1565453"/>
            <wp:effectExtent l="0" t="0" r="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611BD" w:rsidRPr="006A11FB" w:rsidRDefault="009611BD" w:rsidP="00687073">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6A11FB">
        <w:rPr>
          <w:rFonts w:ascii="Times New Roman" w:eastAsia="Times New Roman" w:hAnsi="Times New Roman" w:cs="Times New Roman"/>
          <w:color w:val="000000"/>
          <w:sz w:val="20"/>
          <w:szCs w:val="20"/>
          <w:lang w:eastAsia="ru-RU"/>
        </w:rPr>
        <w:t xml:space="preserve">Рис. 2 – Расходы на исследования и разработки по секторам </w:t>
      </w:r>
    </w:p>
    <w:p w:rsidR="009611BD" w:rsidRPr="006A11FB" w:rsidRDefault="009611BD" w:rsidP="00687073">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6A11FB">
        <w:rPr>
          <w:rFonts w:ascii="Times New Roman" w:eastAsia="Times New Roman" w:hAnsi="Times New Roman" w:cs="Times New Roman"/>
          <w:color w:val="000000"/>
          <w:sz w:val="20"/>
          <w:szCs w:val="20"/>
          <w:lang w:eastAsia="ru-RU"/>
        </w:rPr>
        <w:t>(государственные и некоммерческие организации, научный сектор, бизнес)</w:t>
      </w:r>
    </w:p>
    <w:p w:rsidR="009611BD" w:rsidRPr="006A11FB" w:rsidRDefault="009611BD" w:rsidP="00687073">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6A11FB">
        <w:rPr>
          <w:rFonts w:ascii="Times New Roman" w:eastAsia="Times New Roman" w:hAnsi="Times New Roman" w:cs="Times New Roman"/>
          <w:color w:val="000000"/>
          <w:sz w:val="20"/>
          <w:szCs w:val="20"/>
          <w:lang w:eastAsia="ru-RU"/>
        </w:rPr>
        <w:t>в США, Германии, России в 2018 г., %</w:t>
      </w:r>
    </w:p>
    <w:p w:rsidR="009611BD" w:rsidRPr="006A11FB" w:rsidRDefault="009611BD" w:rsidP="0068707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6A11FB">
        <w:rPr>
          <w:rFonts w:ascii="Times New Roman" w:eastAsia="Times New Roman" w:hAnsi="Times New Roman" w:cs="Times New Roman"/>
          <w:color w:val="000000"/>
          <w:sz w:val="20"/>
          <w:szCs w:val="20"/>
          <w:lang w:eastAsia="ru-RU"/>
        </w:rPr>
        <w:t>Источник: статистический сборник НИУ ВШЭ «Индикаторы науки 2020» URL: https://www.hse.ru/mirror/pubs/share/384499762.pdf.</w:t>
      </w:r>
    </w:p>
    <w:p w:rsidR="009611BD" w:rsidRPr="00687073" w:rsidRDefault="009611BD" w:rsidP="0068707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9611BD" w:rsidRPr="00687073" w:rsidRDefault="009611BD" w:rsidP="0068707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87073">
        <w:rPr>
          <w:rFonts w:ascii="Times New Roman" w:eastAsia="Times New Roman" w:hAnsi="Times New Roman" w:cs="Times New Roman"/>
          <w:color w:val="000000"/>
          <w:sz w:val="24"/>
          <w:szCs w:val="24"/>
          <w:lang w:eastAsia="ru-RU"/>
        </w:rPr>
        <w:t xml:space="preserve">В США обстоит аналогичная ситуация с потребностью в финансировании НИОКР именно </w:t>
      </w:r>
      <w:proofErr w:type="gramStart"/>
      <w:r w:rsidRPr="00687073">
        <w:rPr>
          <w:rFonts w:ascii="Times New Roman" w:eastAsia="Times New Roman" w:hAnsi="Times New Roman" w:cs="Times New Roman"/>
          <w:color w:val="000000"/>
          <w:sz w:val="24"/>
          <w:szCs w:val="24"/>
          <w:lang w:eastAsia="ru-RU"/>
        </w:rPr>
        <w:t>бизнес-сектором</w:t>
      </w:r>
      <w:proofErr w:type="gramEnd"/>
      <w:r w:rsidRPr="00687073">
        <w:rPr>
          <w:rFonts w:ascii="Times New Roman" w:eastAsia="Times New Roman" w:hAnsi="Times New Roman" w:cs="Times New Roman"/>
          <w:color w:val="000000"/>
          <w:sz w:val="24"/>
          <w:szCs w:val="24"/>
          <w:lang w:eastAsia="ru-RU"/>
        </w:rPr>
        <w:t xml:space="preserve">, но при этом финансовая поддержка в большей степени оказывается из заложенных </w:t>
      </w:r>
      <w:r w:rsidR="00892141" w:rsidRPr="00687073">
        <w:rPr>
          <w:rFonts w:ascii="Times New Roman" w:eastAsia="Times New Roman" w:hAnsi="Times New Roman" w:cs="Times New Roman"/>
          <w:color w:val="000000"/>
          <w:sz w:val="24"/>
          <w:szCs w:val="24"/>
          <w:lang w:eastAsia="ru-RU"/>
        </w:rPr>
        <w:t xml:space="preserve">предпринимателями </w:t>
      </w:r>
      <w:r w:rsidRPr="00687073">
        <w:rPr>
          <w:rFonts w:ascii="Times New Roman" w:eastAsia="Times New Roman" w:hAnsi="Times New Roman" w:cs="Times New Roman"/>
          <w:color w:val="000000"/>
          <w:sz w:val="24"/>
          <w:szCs w:val="24"/>
          <w:lang w:eastAsia="ru-RU"/>
        </w:rPr>
        <w:t>резервов.</w:t>
      </w:r>
    </w:p>
    <w:p w:rsidR="009611BD" w:rsidRPr="00687073" w:rsidRDefault="009611BD" w:rsidP="0068707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87073">
        <w:rPr>
          <w:rFonts w:ascii="Times New Roman" w:eastAsia="Times New Roman" w:hAnsi="Times New Roman" w:cs="Times New Roman"/>
          <w:color w:val="000000"/>
          <w:sz w:val="24"/>
          <w:szCs w:val="24"/>
          <w:lang w:eastAsia="ru-RU"/>
        </w:rPr>
        <w:t>Для России дисбаланс средств, направляемы</w:t>
      </w:r>
      <w:bookmarkStart w:id="0" w:name="_GoBack"/>
      <w:bookmarkEnd w:id="0"/>
      <w:r w:rsidRPr="00687073">
        <w:rPr>
          <w:rFonts w:ascii="Times New Roman" w:eastAsia="Times New Roman" w:hAnsi="Times New Roman" w:cs="Times New Roman"/>
          <w:color w:val="000000"/>
          <w:sz w:val="24"/>
          <w:szCs w:val="24"/>
          <w:lang w:eastAsia="ru-RU"/>
        </w:rPr>
        <w:t xml:space="preserve">х на развитие науки из всех источников, объясняется тем, что предприниматели не активизируются в этой области, а замещают собственные затраты </w:t>
      </w:r>
      <w:proofErr w:type="gramStart"/>
      <w:r w:rsidRPr="00687073">
        <w:rPr>
          <w:rFonts w:ascii="Times New Roman" w:eastAsia="Times New Roman" w:hAnsi="Times New Roman" w:cs="Times New Roman"/>
          <w:color w:val="000000"/>
          <w:sz w:val="24"/>
          <w:szCs w:val="24"/>
          <w:lang w:eastAsia="ru-RU"/>
        </w:rPr>
        <w:t>государственными</w:t>
      </w:r>
      <w:proofErr w:type="gramEnd"/>
      <w:r w:rsidRPr="00687073">
        <w:rPr>
          <w:rFonts w:ascii="Times New Roman" w:eastAsia="Times New Roman" w:hAnsi="Times New Roman" w:cs="Times New Roman"/>
          <w:color w:val="000000"/>
          <w:sz w:val="24"/>
          <w:szCs w:val="24"/>
          <w:lang w:eastAsia="ru-RU"/>
        </w:rPr>
        <w:t>.</w:t>
      </w:r>
    </w:p>
    <w:p w:rsidR="009611BD" w:rsidRPr="00687073" w:rsidRDefault="009611BD" w:rsidP="0068707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87073">
        <w:rPr>
          <w:rFonts w:ascii="Times New Roman" w:eastAsia="Times New Roman" w:hAnsi="Times New Roman" w:cs="Times New Roman"/>
          <w:color w:val="000000"/>
          <w:sz w:val="24"/>
          <w:szCs w:val="24"/>
          <w:lang w:eastAsia="ru-RU"/>
        </w:rPr>
        <w:t xml:space="preserve">Распределение расходов на НИОКР по сферам </w:t>
      </w:r>
      <w:r w:rsidR="00CF28E7" w:rsidRPr="00687073">
        <w:rPr>
          <w:rFonts w:ascii="Times New Roman" w:eastAsia="Times New Roman" w:hAnsi="Times New Roman" w:cs="Times New Roman"/>
          <w:color w:val="000000"/>
          <w:sz w:val="24"/>
          <w:szCs w:val="24"/>
          <w:lang w:eastAsia="ru-RU"/>
        </w:rPr>
        <w:t>науки</w:t>
      </w:r>
      <w:r w:rsidRPr="00687073">
        <w:rPr>
          <w:rFonts w:ascii="Times New Roman" w:eastAsia="Times New Roman" w:hAnsi="Times New Roman" w:cs="Times New Roman"/>
          <w:color w:val="000000"/>
          <w:sz w:val="24"/>
          <w:szCs w:val="24"/>
          <w:lang w:eastAsia="ru-RU"/>
        </w:rPr>
        <w:t xml:space="preserve"> в этих странах выглядит следующим образом (рис. 3). </w:t>
      </w:r>
    </w:p>
    <w:p w:rsidR="009611BD" w:rsidRPr="00687073" w:rsidRDefault="00962430" w:rsidP="00687073">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687073">
        <w:rPr>
          <w:noProof/>
          <w:sz w:val="24"/>
          <w:szCs w:val="24"/>
          <w:lang w:eastAsia="ru-RU"/>
        </w:rPr>
        <w:drawing>
          <wp:inline distT="0" distB="0" distL="0" distR="0" wp14:anchorId="466258A4" wp14:editId="45EF5B87">
            <wp:extent cx="5947257" cy="1916582"/>
            <wp:effectExtent l="0" t="0" r="0" b="762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611BD" w:rsidRPr="006A11FB" w:rsidRDefault="009611BD" w:rsidP="00687073">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6A11FB">
        <w:rPr>
          <w:rFonts w:ascii="Times New Roman" w:eastAsia="Times New Roman" w:hAnsi="Times New Roman" w:cs="Times New Roman"/>
          <w:color w:val="000000"/>
          <w:sz w:val="20"/>
          <w:szCs w:val="20"/>
          <w:lang w:eastAsia="ru-RU"/>
        </w:rPr>
        <w:t xml:space="preserve">Рис. 3 – Расходы на исследования и разработки по секторам </w:t>
      </w:r>
    </w:p>
    <w:p w:rsidR="009611BD" w:rsidRPr="006A11FB" w:rsidRDefault="009611BD" w:rsidP="00687073">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6A11FB">
        <w:rPr>
          <w:rFonts w:ascii="Times New Roman" w:eastAsia="Times New Roman" w:hAnsi="Times New Roman" w:cs="Times New Roman"/>
          <w:color w:val="000000"/>
          <w:sz w:val="20"/>
          <w:szCs w:val="20"/>
          <w:lang w:eastAsia="ru-RU"/>
        </w:rPr>
        <w:t>(государственные и некоммерческие организации, научный сектор, бизнес)</w:t>
      </w:r>
    </w:p>
    <w:p w:rsidR="009611BD" w:rsidRPr="006A11FB" w:rsidRDefault="009611BD" w:rsidP="00687073">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6A11FB">
        <w:rPr>
          <w:rFonts w:ascii="Times New Roman" w:eastAsia="Times New Roman" w:hAnsi="Times New Roman" w:cs="Times New Roman"/>
          <w:color w:val="000000"/>
          <w:sz w:val="20"/>
          <w:szCs w:val="20"/>
          <w:lang w:eastAsia="ru-RU"/>
        </w:rPr>
        <w:t>в США, Германии, России в 2018 г., %</w:t>
      </w:r>
    </w:p>
    <w:p w:rsidR="009611BD" w:rsidRPr="006A11FB" w:rsidRDefault="009611BD" w:rsidP="0068707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6A11FB">
        <w:rPr>
          <w:rFonts w:ascii="Times New Roman" w:eastAsia="Times New Roman" w:hAnsi="Times New Roman" w:cs="Times New Roman"/>
          <w:color w:val="000000"/>
          <w:sz w:val="20"/>
          <w:szCs w:val="20"/>
          <w:lang w:eastAsia="ru-RU"/>
        </w:rPr>
        <w:t>Источник: статистический сборник НИУ ВШЭ «Индикаторы науки 2020» URL: https://www.hse.ru/mirror/pubs/share/384499762.pdf.</w:t>
      </w:r>
    </w:p>
    <w:p w:rsidR="009611BD" w:rsidRPr="00687073" w:rsidRDefault="009611BD" w:rsidP="0068707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CF28E7" w:rsidRPr="00687073" w:rsidRDefault="00CF28E7" w:rsidP="0068707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87073">
        <w:rPr>
          <w:rFonts w:ascii="Times New Roman" w:eastAsia="Times New Roman" w:hAnsi="Times New Roman" w:cs="Times New Roman"/>
          <w:color w:val="000000"/>
          <w:sz w:val="24"/>
          <w:szCs w:val="24"/>
          <w:lang w:eastAsia="ru-RU"/>
        </w:rPr>
        <w:t xml:space="preserve">В РФ значительная часть денежных средств </w:t>
      </w:r>
      <w:r w:rsidR="00892141" w:rsidRPr="00687073">
        <w:rPr>
          <w:rFonts w:ascii="Times New Roman" w:eastAsia="Times New Roman" w:hAnsi="Times New Roman" w:cs="Times New Roman"/>
          <w:color w:val="000000"/>
          <w:sz w:val="24"/>
          <w:szCs w:val="24"/>
          <w:lang w:eastAsia="ru-RU"/>
        </w:rPr>
        <w:t>«</w:t>
      </w:r>
      <w:r w:rsidRPr="00687073">
        <w:rPr>
          <w:rFonts w:ascii="Times New Roman" w:eastAsia="Times New Roman" w:hAnsi="Times New Roman" w:cs="Times New Roman"/>
          <w:color w:val="000000"/>
          <w:sz w:val="24"/>
          <w:szCs w:val="24"/>
          <w:lang w:eastAsia="ru-RU"/>
        </w:rPr>
        <w:t>поглощается</w:t>
      </w:r>
      <w:r w:rsidR="00892141" w:rsidRPr="00687073">
        <w:rPr>
          <w:rFonts w:ascii="Times New Roman" w:eastAsia="Times New Roman" w:hAnsi="Times New Roman" w:cs="Times New Roman"/>
          <w:color w:val="000000"/>
          <w:sz w:val="24"/>
          <w:szCs w:val="24"/>
          <w:lang w:eastAsia="ru-RU"/>
        </w:rPr>
        <w:t>»</w:t>
      </w:r>
      <w:r w:rsidRPr="00687073">
        <w:rPr>
          <w:rFonts w:ascii="Times New Roman" w:eastAsia="Times New Roman" w:hAnsi="Times New Roman" w:cs="Times New Roman"/>
          <w:color w:val="000000"/>
          <w:sz w:val="24"/>
          <w:szCs w:val="24"/>
          <w:lang w:eastAsia="ru-RU"/>
        </w:rPr>
        <w:t xml:space="preserve"> естественными и техническими науками. В США в качестве финансирования приоритетным</w:t>
      </w:r>
      <w:r w:rsidR="00892141" w:rsidRPr="00687073">
        <w:rPr>
          <w:rFonts w:ascii="Times New Roman" w:eastAsia="Times New Roman" w:hAnsi="Times New Roman" w:cs="Times New Roman"/>
          <w:color w:val="000000"/>
          <w:sz w:val="24"/>
          <w:szCs w:val="24"/>
          <w:lang w:eastAsia="ru-RU"/>
        </w:rPr>
        <w:t>и</w:t>
      </w:r>
      <w:r w:rsidRPr="00687073">
        <w:rPr>
          <w:rFonts w:ascii="Times New Roman" w:eastAsia="Times New Roman" w:hAnsi="Times New Roman" w:cs="Times New Roman"/>
          <w:color w:val="000000"/>
          <w:sz w:val="24"/>
          <w:szCs w:val="24"/>
          <w:lang w:eastAsia="ru-RU"/>
        </w:rPr>
        <w:t xml:space="preserve"> научным</w:t>
      </w:r>
      <w:r w:rsidR="00892141" w:rsidRPr="00687073">
        <w:rPr>
          <w:rFonts w:ascii="Times New Roman" w:eastAsia="Times New Roman" w:hAnsi="Times New Roman" w:cs="Times New Roman"/>
          <w:color w:val="000000"/>
          <w:sz w:val="24"/>
          <w:szCs w:val="24"/>
          <w:lang w:eastAsia="ru-RU"/>
        </w:rPr>
        <w:t>и</w:t>
      </w:r>
      <w:r w:rsidRPr="00687073">
        <w:rPr>
          <w:rFonts w:ascii="Times New Roman" w:eastAsia="Times New Roman" w:hAnsi="Times New Roman" w:cs="Times New Roman"/>
          <w:color w:val="000000"/>
          <w:sz w:val="24"/>
          <w:szCs w:val="24"/>
          <w:lang w:eastAsia="ru-RU"/>
        </w:rPr>
        <w:t xml:space="preserve"> направлени</w:t>
      </w:r>
      <w:r w:rsidR="00892141" w:rsidRPr="00687073">
        <w:rPr>
          <w:rFonts w:ascii="Times New Roman" w:eastAsia="Times New Roman" w:hAnsi="Times New Roman" w:cs="Times New Roman"/>
          <w:color w:val="000000"/>
          <w:sz w:val="24"/>
          <w:szCs w:val="24"/>
          <w:lang w:eastAsia="ru-RU"/>
        </w:rPr>
        <w:t>ями</w:t>
      </w:r>
      <w:r w:rsidRPr="00687073">
        <w:rPr>
          <w:rFonts w:ascii="Times New Roman" w:eastAsia="Times New Roman" w:hAnsi="Times New Roman" w:cs="Times New Roman"/>
          <w:color w:val="000000"/>
          <w:sz w:val="24"/>
          <w:szCs w:val="24"/>
          <w:lang w:eastAsia="ru-RU"/>
        </w:rPr>
        <w:t xml:space="preserve"> счита</w:t>
      </w:r>
      <w:r w:rsidR="00892141" w:rsidRPr="00687073">
        <w:rPr>
          <w:rFonts w:ascii="Times New Roman" w:eastAsia="Times New Roman" w:hAnsi="Times New Roman" w:cs="Times New Roman"/>
          <w:color w:val="000000"/>
          <w:sz w:val="24"/>
          <w:szCs w:val="24"/>
          <w:lang w:eastAsia="ru-RU"/>
        </w:rPr>
        <w:t>ю</w:t>
      </w:r>
      <w:r w:rsidRPr="00687073">
        <w:rPr>
          <w:rFonts w:ascii="Times New Roman" w:eastAsia="Times New Roman" w:hAnsi="Times New Roman" w:cs="Times New Roman"/>
          <w:color w:val="000000"/>
          <w:sz w:val="24"/>
          <w:szCs w:val="24"/>
          <w:lang w:eastAsia="ru-RU"/>
        </w:rPr>
        <w:t xml:space="preserve">тся техническое и медицинское. </w:t>
      </w:r>
    </w:p>
    <w:p w:rsidR="00CF28E7" w:rsidRPr="00687073" w:rsidRDefault="009611BD" w:rsidP="0068707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687073">
        <w:rPr>
          <w:rFonts w:ascii="Times New Roman" w:eastAsia="Times New Roman" w:hAnsi="Times New Roman" w:cs="Times New Roman"/>
          <w:color w:val="000000"/>
          <w:sz w:val="24"/>
          <w:szCs w:val="24"/>
          <w:lang w:eastAsia="ru-RU"/>
        </w:rPr>
        <w:t>Стоит отметить, что у анализируемых стран разные приоритеты в исследованиях и разработках</w:t>
      </w:r>
      <w:r w:rsidRPr="00687073">
        <w:rPr>
          <w:rFonts w:eastAsiaTheme="minorEastAsia"/>
          <w:sz w:val="24"/>
          <w:szCs w:val="24"/>
          <w:lang w:eastAsia="ru-RU"/>
        </w:rPr>
        <w:t xml:space="preserve"> </w:t>
      </w:r>
      <w:r w:rsidRPr="00687073">
        <w:rPr>
          <w:rFonts w:ascii="Times New Roman" w:eastAsia="Times New Roman" w:hAnsi="Times New Roman" w:cs="Times New Roman"/>
          <w:color w:val="000000"/>
          <w:sz w:val="24"/>
          <w:szCs w:val="24"/>
          <w:lang w:eastAsia="ru-RU"/>
        </w:rPr>
        <w:t>(как в фундаментальных, так и в прикладных) и распределение их финансирования (рис. 3).</w:t>
      </w:r>
      <w:proofErr w:type="gramEnd"/>
      <w:r w:rsidRPr="00687073">
        <w:rPr>
          <w:rFonts w:ascii="Times New Roman" w:eastAsia="Times New Roman" w:hAnsi="Times New Roman" w:cs="Times New Roman"/>
          <w:color w:val="000000"/>
          <w:sz w:val="24"/>
          <w:szCs w:val="24"/>
          <w:lang w:eastAsia="ru-RU"/>
        </w:rPr>
        <w:t xml:space="preserve"> В то же время США и Россия в наибольшей степени заинтересованы в совместных разработках науки и бизнеса по естественным, техническим и медицинским направлениям </w:t>
      </w:r>
      <w:r w:rsidR="0092638B" w:rsidRPr="00687073">
        <w:rPr>
          <w:rFonts w:ascii="Times New Roman" w:eastAsia="Times New Roman" w:hAnsi="Times New Roman" w:cs="Times New Roman"/>
          <w:color w:val="000000"/>
          <w:sz w:val="24"/>
          <w:szCs w:val="24"/>
          <w:lang w:eastAsia="ru-RU"/>
        </w:rPr>
        <w:t>[5; 6</w:t>
      </w:r>
      <w:r w:rsidRPr="00687073">
        <w:rPr>
          <w:rFonts w:ascii="Times New Roman" w:eastAsia="Times New Roman" w:hAnsi="Times New Roman" w:cs="Times New Roman"/>
          <w:color w:val="000000"/>
          <w:sz w:val="24"/>
          <w:szCs w:val="24"/>
          <w:lang w:eastAsia="ru-RU"/>
        </w:rPr>
        <w:t>]. При этом следует обратить внимание на высокую долю отечественных расходов на исследования и разработки в техническом направлении (72%). Здесь следует оговориться о том, что российская статистика в отл</w:t>
      </w:r>
      <w:r w:rsidR="00962430" w:rsidRPr="00687073">
        <w:rPr>
          <w:rFonts w:ascii="Times New Roman" w:eastAsia="Times New Roman" w:hAnsi="Times New Roman" w:cs="Times New Roman"/>
          <w:color w:val="000000"/>
          <w:sz w:val="24"/>
          <w:szCs w:val="24"/>
          <w:lang w:eastAsia="ru-RU"/>
        </w:rPr>
        <w:t xml:space="preserve">ичие от </w:t>
      </w:r>
      <w:r w:rsidR="00962430" w:rsidRPr="00687073">
        <w:rPr>
          <w:rFonts w:ascii="Times New Roman" w:eastAsia="Times New Roman" w:hAnsi="Times New Roman" w:cs="Times New Roman"/>
          <w:color w:val="000000"/>
          <w:sz w:val="24"/>
          <w:szCs w:val="24"/>
          <w:lang w:eastAsia="ru-RU"/>
        </w:rPr>
        <w:lastRenderedPageBreak/>
        <w:t>аналогичных данных США</w:t>
      </w:r>
      <w:r w:rsidRPr="00687073">
        <w:rPr>
          <w:rFonts w:ascii="Times New Roman" w:eastAsia="Times New Roman" w:hAnsi="Times New Roman" w:cs="Times New Roman"/>
          <w:color w:val="000000"/>
          <w:sz w:val="24"/>
          <w:szCs w:val="24"/>
          <w:lang w:eastAsia="ru-RU"/>
        </w:rPr>
        <w:t>, при мониторинге валовых расходов на НИОКР в технической сфере, не разделяет инвестирование на гражданские и военные совместные разработки</w:t>
      </w:r>
      <w:r w:rsidR="0092638B" w:rsidRPr="00687073">
        <w:rPr>
          <w:rFonts w:ascii="Times New Roman" w:eastAsia="Times New Roman" w:hAnsi="Times New Roman" w:cs="Times New Roman"/>
          <w:color w:val="000000"/>
          <w:sz w:val="24"/>
          <w:szCs w:val="24"/>
          <w:lang w:eastAsia="ru-RU"/>
        </w:rPr>
        <w:t xml:space="preserve"> [7</w:t>
      </w:r>
      <w:r w:rsidRPr="00687073">
        <w:rPr>
          <w:rFonts w:ascii="Times New Roman" w:eastAsia="Times New Roman" w:hAnsi="Times New Roman" w:cs="Times New Roman"/>
          <w:color w:val="000000"/>
          <w:sz w:val="24"/>
          <w:szCs w:val="24"/>
          <w:lang w:eastAsia="ru-RU"/>
        </w:rPr>
        <w:t>]. Если опираться на исследования коллектива авторов НИУ ВШЭ, посвященного деловому климату в науке, в котором говорится, что ассигнования в гражданские разработки составляют примерно половину всех расходов в технологической сфере. То в 2018 г. в России на технические исследования и разработки в рамках взаимодействия субъектов выделялось порядка 40%. Этот факт не свидетельствует о сокращении финансирования в технические разработки, но показывает значимость решения задач, связанных с обороноспособностью, а не с развитием других технических направлений.</w:t>
      </w:r>
    </w:p>
    <w:p w:rsidR="00962430" w:rsidRPr="00687073" w:rsidRDefault="00962430" w:rsidP="00687073">
      <w:pPr>
        <w:spacing w:after="0" w:line="240" w:lineRule="auto"/>
        <w:ind w:firstLine="709"/>
        <w:jc w:val="both"/>
        <w:rPr>
          <w:rFonts w:ascii="Times New Roman" w:hAnsi="Times New Roman" w:cs="Times New Roman"/>
          <w:sz w:val="24"/>
          <w:szCs w:val="24"/>
        </w:rPr>
      </w:pPr>
      <w:r w:rsidRPr="00687073">
        <w:rPr>
          <w:rFonts w:ascii="Times New Roman" w:hAnsi="Times New Roman" w:cs="Times New Roman"/>
          <w:sz w:val="24"/>
          <w:szCs w:val="24"/>
        </w:rPr>
        <w:t>Подводя итог, заключим, что:</w:t>
      </w:r>
    </w:p>
    <w:p w:rsidR="00962430" w:rsidRPr="00687073" w:rsidRDefault="00962430" w:rsidP="00687073">
      <w:pPr>
        <w:spacing w:after="0" w:line="240" w:lineRule="auto"/>
        <w:ind w:firstLine="709"/>
        <w:jc w:val="both"/>
        <w:rPr>
          <w:rFonts w:ascii="Times New Roman" w:hAnsi="Times New Roman" w:cs="Times New Roman"/>
          <w:sz w:val="24"/>
          <w:szCs w:val="24"/>
        </w:rPr>
      </w:pPr>
      <w:r w:rsidRPr="00687073">
        <w:rPr>
          <w:rFonts w:ascii="Times New Roman" w:hAnsi="Times New Roman" w:cs="Times New Roman"/>
          <w:sz w:val="24"/>
          <w:szCs w:val="24"/>
        </w:rPr>
        <w:t xml:space="preserve">1. Низкий уровень инвестирования в совместные исследования и разработки отечественным бизнесом связан с незаинтересованностью, слабой инновационной активностью, отсутствием стратегического видения, ориентацией на внутренний, а не на глобальный рынок. </w:t>
      </w:r>
    </w:p>
    <w:p w:rsidR="00962430" w:rsidRPr="00687073" w:rsidRDefault="00962430" w:rsidP="00687073">
      <w:pPr>
        <w:spacing w:after="0" w:line="240" w:lineRule="auto"/>
        <w:ind w:firstLine="709"/>
        <w:jc w:val="both"/>
        <w:rPr>
          <w:rFonts w:ascii="Times New Roman" w:hAnsi="Times New Roman" w:cs="Times New Roman"/>
          <w:sz w:val="24"/>
          <w:szCs w:val="24"/>
        </w:rPr>
      </w:pPr>
      <w:r w:rsidRPr="00687073">
        <w:rPr>
          <w:rFonts w:ascii="Times New Roman" w:hAnsi="Times New Roman" w:cs="Times New Roman"/>
          <w:sz w:val="24"/>
          <w:szCs w:val="24"/>
        </w:rPr>
        <w:t xml:space="preserve">Для этого, на наш взгляд, необходимо разработать кредитно-налоговые меры, стимулирующие предпринимателей </w:t>
      </w:r>
      <w:proofErr w:type="gramStart"/>
      <w:r w:rsidRPr="00687073">
        <w:rPr>
          <w:rFonts w:ascii="Times New Roman" w:hAnsi="Times New Roman" w:cs="Times New Roman"/>
          <w:sz w:val="24"/>
          <w:szCs w:val="24"/>
        </w:rPr>
        <w:t>ко</w:t>
      </w:r>
      <w:proofErr w:type="gramEnd"/>
      <w:r w:rsidRPr="00687073">
        <w:rPr>
          <w:rFonts w:ascii="Times New Roman" w:hAnsi="Times New Roman" w:cs="Times New Roman"/>
          <w:sz w:val="24"/>
          <w:szCs w:val="24"/>
        </w:rPr>
        <w:t xml:space="preserve"> взаимодействию с научным сектором.</w:t>
      </w:r>
    </w:p>
    <w:p w:rsidR="00962430" w:rsidRPr="00687073" w:rsidRDefault="00962430" w:rsidP="00687073">
      <w:pPr>
        <w:spacing w:after="0" w:line="240" w:lineRule="auto"/>
        <w:ind w:firstLine="709"/>
        <w:jc w:val="both"/>
        <w:rPr>
          <w:rFonts w:ascii="Times New Roman" w:hAnsi="Times New Roman" w:cs="Times New Roman"/>
          <w:sz w:val="24"/>
          <w:szCs w:val="24"/>
        </w:rPr>
      </w:pPr>
      <w:r w:rsidRPr="00687073">
        <w:rPr>
          <w:rFonts w:ascii="Times New Roman" w:hAnsi="Times New Roman" w:cs="Times New Roman"/>
          <w:sz w:val="24"/>
          <w:szCs w:val="24"/>
        </w:rPr>
        <w:t>2. Дезинформация распределения финансирования, выделенного на технические исследования и разработки, связанная с объединением средств на гражданские и военные НИОКР.</w:t>
      </w:r>
    </w:p>
    <w:p w:rsidR="00C64484" w:rsidRPr="00687073" w:rsidRDefault="00962430" w:rsidP="00687073">
      <w:pPr>
        <w:spacing w:after="0" w:line="240" w:lineRule="auto"/>
        <w:ind w:firstLine="709"/>
        <w:jc w:val="both"/>
        <w:rPr>
          <w:rFonts w:ascii="Times New Roman" w:hAnsi="Times New Roman" w:cs="Times New Roman"/>
          <w:sz w:val="24"/>
          <w:szCs w:val="24"/>
        </w:rPr>
      </w:pPr>
      <w:r w:rsidRPr="00687073">
        <w:rPr>
          <w:rFonts w:ascii="Times New Roman" w:hAnsi="Times New Roman" w:cs="Times New Roman"/>
          <w:sz w:val="24"/>
          <w:szCs w:val="24"/>
        </w:rPr>
        <w:t>На наш взгляд, целесообразно разделить финансирование военных и гражданских исследований и разработок, а все разработки военного назначения передать на обеспечение Министерства обороны.</w:t>
      </w:r>
    </w:p>
    <w:p w:rsidR="007729B6" w:rsidRPr="00687073" w:rsidRDefault="00962430" w:rsidP="00687073">
      <w:pPr>
        <w:spacing w:after="0" w:line="240" w:lineRule="auto"/>
        <w:ind w:firstLine="709"/>
        <w:jc w:val="both"/>
        <w:rPr>
          <w:rFonts w:ascii="Times New Roman" w:hAnsi="Times New Roman" w:cs="Times New Roman"/>
          <w:sz w:val="24"/>
          <w:szCs w:val="24"/>
        </w:rPr>
      </w:pPr>
      <w:r w:rsidRPr="00687073">
        <w:rPr>
          <w:rFonts w:ascii="Times New Roman" w:hAnsi="Times New Roman" w:cs="Times New Roman"/>
          <w:sz w:val="24"/>
          <w:szCs w:val="24"/>
        </w:rPr>
        <w:t>Сделанные автором выводы вносят вклад в развитие теоретических аспектов взаимодействия науки, бизнеса и государства. Результаты исследования могут быть полезны представителям науки, бизнеса и государственного регулирования при разработке мероприятий, направленных на рациональное взаимодействие субъектов.</w:t>
      </w:r>
    </w:p>
    <w:p w:rsidR="00392B6D" w:rsidRPr="00687073" w:rsidRDefault="00392B6D" w:rsidP="00687073">
      <w:pPr>
        <w:spacing w:after="0" w:line="240" w:lineRule="auto"/>
        <w:ind w:firstLine="709"/>
        <w:jc w:val="both"/>
        <w:rPr>
          <w:rFonts w:ascii="Times New Roman" w:hAnsi="Times New Roman" w:cs="Times New Roman"/>
          <w:sz w:val="24"/>
          <w:szCs w:val="24"/>
        </w:rPr>
      </w:pPr>
    </w:p>
    <w:p w:rsidR="007729B6" w:rsidRPr="00687073" w:rsidRDefault="000943C3" w:rsidP="00687073">
      <w:pPr>
        <w:spacing w:after="0" w:line="240" w:lineRule="auto"/>
        <w:ind w:firstLine="709"/>
        <w:jc w:val="both"/>
        <w:rPr>
          <w:rFonts w:ascii="Times New Roman" w:hAnsi="Times New Roman" w:cs="Times New Roman"/>
          <w:sz w:val="24"/>
          <w:szCs w:val="24"/>
        </w:rPr>
      </w:pPr>
      <w:r w:rsidRPr="00687073">
        <w:rPr>
          <w:rFonts w:ascii="Times New Roman" w:hAnsi="Times New Roman" w:cs="Times New Roman"/>
          <w:sz w:val="24"/>
          <w:szCs w:val="24"/>
        </w:rPr>
        <w:t>Список литературы:</w:t>
      </w:r>
    </w:p>
    <w:p w:rsidR="000943C3" w:rsidRPr="00687073" w:rsidRDefault="000943C3" w:rsidP="00687073">
      <w:pPr>
        <w:spacing w:after="0" w:line="240" w:lineRule="auto"/>
        <w:ind w:firstLine="709"/>
        <w:jc w:val="both"/>
        <w:rPr>
          <w:rFonts w:ascii="Times New Roman" w:hAnsi="Times New Roman" w:cs="Times New Roman"/>
          <w:sz w:val="24"/>
          <w:szCs w:val="24"/>
        </w:rPr>
      </w:pPr>
      <w:r w:rsidRPr="00687073">
        <w:rPr>
          <w:rFonts w:ascii="Times New Roman" w:hAnsi="Times New Roman" w:cs="Times New Roman"/>
          <w:sz w:val="24"/>
          <w:szCs w:val="24"/>
        </w:rPr>
        <w:t xml:space="preserve">1. </w:t>
      </w:r>
      <w:proofErr w:type="spellStart"/>
      <w:r w:rsidRPr="00687073">
        <w:rPr>
          <w:rFonts w:ascii="Times New Roman" w:hAnsi="Times New Roman" w:cs="Times New Roman"/>
          <w:sz w:val="24"/>
          <w:szCs w:val="24"/>
        </w:rPr>
        <w:t>Рыхтик</w:t>
      </w:r>
      <w:proofErr w:type="spellEnd"/>
      <w:r w:rsidRPr="00687073">
        <w:rPr>
          <w:rFonts w:ascii="Times New Roman" w:hAnsi="Times New Roman" w:cs="Times New Roman"/>
          <w:sz w:val="24"/>
          <w:szCs w:val="24"/>
        </w:rPr>
        <w:t xml:space="preserve"> М.И. Национальная инновационная система США: история формирования, политическая практика, стратегия развития / М.И. </w:t>
      </w:r>
      <w:proofErr w:type="spellStart"/>
      <w:r w:rsidRPr="00687073">
        <w:rPr>
          <w:rFonts w:ascii="Times New Roman" w:hAnsi="Times New Roman" w:cs="Times New Roman"/>
          <w:sz w:val="24"/>
          <w:szCs w:val="24"/>
        </w:rPr>
        <w:t>Рыхтик</w:t>
      </w:r>
      <w:proofErr w:type="spellEnd"/>
      <w:r w:rsidRPr="00687073">
        <w:rPr>
          <w:rFonts w:ascii="Times New Roman" w:hAnsi="Times New Roman" w:cs="Times New Roman"/>
          <w:sz w:val="24"/>
          <w:szCs w:val="24"/>
        </w:rPr>
        <w:t>. - Нижний Новгород, 2011. - 23 с.</w:t>
      </w:r>
    </w:p>
    <w:p w:rsidR="000943C3" w:rsidRPr="00687073" w:rsidRDefault="000943C3" w:rsidP="00687073">
      <w:pPr>
        <w:spacing w:after="0" w:line="240" w:lineRule="auto"/>
        <w:ind w:firstLine="709"/>
        <w:jc w:val="both"/>
        <w:rPr>
          <w:rFonts w:ascii="Times New Roman" w:hAnsi="Times New Roman" w:cs="Times New Roman"/>
          <w:sz w:val="24"/>
          <w:szCs w:val="24"/>
        </w:rPr>
      </w:pPr>
      <w:r w:rsidRPr="00687073">
        <w:rPr>
          <w:rFonts w:ascii="Times New Roman" w:hAnsi="Times New Roman" w:cs="Times New Roman"/>
          <w:sz w:val="24"/>
          <w:szCs w:val="24"/>
        </w:rPr>
        <w:t>2. Ксенофонтова О.Л. Опыт зарубежных стран по созданию и функционированию кластеров: модельный подход. // Современные наукоемкие технологии. Региональное приложение. 2015. №2 (42). С. 36-42.</w:t>
      </w:r>
    </w:p>
    <w:p w:rsidR="000943C3" w:rsidRPr="00687073" w:rsidRDefault="000943C3" w:rsidP="00687073">
      <w:pPr>
        <w:spacing w:after="0" w:line="240" w:lineRule="auto"/>
        <w:ind w:firstLine="709"/>
        <w:jc w:val="both"/>
        <w:rPr>
          <w:rFonts w:ascii="Times New Roman" w:hAnsi="Times New Roman" w:cs="Times New Roman"/>
          <w:sz w:val="24"/>
          <w:szCs w:val="24"/>
        </w:rPr>
      </w:pPr>
      <w:r w:rsidRPr="00687073">
        <w:rPr>
          <w:rFonts w:ascii="Times New Roman" w:hAnsi="Times New Roman" w:cs="Times New Roman"/>
          <w:sz w:val="24"/>
          <w:szCs w:val="24"/>
        </w:rPr>
        <w:t>3. Состояние и развитие инновационной деятельности в сфере малого бизнеса. URL:  https://issek.hse.ru/mirror/pubs/share/392488458.pdf</w:t>
      </w:r>
    </w:p>
    <w:p w:rsidR="00687073" w:rsidRDefault="00687073" w:rsidP="00687073">
      <w:pPr>
        <w:spacing w:after="0" w:line="240" w:lineRule="auto"/>
        <w:ind w:firstLine="709"/>
        <w:jc w:val="both"/>
        <w:rPr>
          <w:rFonts w:ascii="Times New Roman" w:hAnsi="Times New Roman" w:cs="Times New Roman"/>
          <w:sz w:val="24"/>
          <w:szCs w:val="24"/>
          <w:lang w:val="en-US"/>
        </w:rPr>
      </w:pPr>
      <w:r w:rsidRPr="00687073">
        <w:rPr>
          <w:rFonts w:ascii="Times New Roman" w:hAnsi="Times New Roman" w:cs="Times New Roman"/>
          <w:sz w:val="24"/>
          <w:szCs w:val="24"/>
        </w:rPr>
        <w:t>4</w:t>
      </w:r>
      <w:r>
        <w:rPr>
          <w:rFonts w:ascii="Times New Roman" w:hAnsi="Times New Roman" w:cs="Times New Roman"/>
          <w:sz w:val="24"/>
          <w:szCs w:val="24"/>
        </w:rPr>
        <w:t xml:space="preserve">. </w:t>
      </w:r>
      <w:proofErr w:type="spellStart"/>
      <w:r w:rsidRPr="00687073">
        <w:rPr>
          <w:rFonts w:ascii="Times New Roman" w:hAnsi="Times New Roman" w:cs="Times New Roman"/>
          <w:sz w:val="24"/>
          <w:szCs w:val="24"/>
        </w:rPr>
        <w:t>Гохберг</w:t>
      </w:r>
      <w:proofErr w:type="spellEnd"/>
      <w:r w:rsidRPr="00687073">
        <w:rPr>
          <w:rFonts w:ascii="Times New Roman" w:hAnsi="Times New Roman" w:cs="Times New Roman"/>
          <w:sz w:val="24"/>
          <w:szCs w:val="24"/>
        </w:rPr>
        <w:t xml:space="preserve"> Л.М., Кузнецова Т.Е., Королев В.А.  Международная кооперация как императив современной инновационной политики // Содружество независимых государств: пространство инноваций. М.: Центр стратегического партнерства. 2011. С. 41–49.</w:t>
      </w:r>
    </w:p>
    <w:p w:rsidR="009248F7" w:rsidRDefault="009248F7" w:rsidP="00687073">
      <w:pPr>
        <w:spacing w:after="0" w:line="240" w:lineRule="auto"/>
        <w:ind w:firstLine="709"/>
        <w:jc w:val="both"/>
        <w:rPr>
          <w:rFonts w:ascii="Times New Roman" w:hAnsi="Times New Roman" w:cs="Times New Roman"/>
          <w:sz w:val="24"/>
          <w:szCs w:val="24"/>
          <w:lang w:val="en-US"/>
        </w:rPr>
      </w:pPr>
    </w:p>
    <w:p w:rsidR="009248F7" w:rsidRPr="00630760" w:rsidRDefault="009248F7" w:rsidP="009248F7">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Информация об авторе</w:t>
      </w:r>
    </w:p>
    <w:p w:rsidR="009248F7" w:rsidRPr="00EC7494" w:rsidRDefault="009248F7" w:rsidP="009248F7">
      <w:pPr>
        <w:spacing w:after="0" w:line="240" w:lineRule="auto"/>
        <w:ind w:firstLine="7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Кузнецова Екатерина Петровна</w:t>
      </w:r>
      <w:r w:rsidRPr="00630760">
        <w:rPr>
          <w:rFonts w:ascii="Times New Roman" w:eastAsia="Times New Roman" w:hAnsi="Times New Roman" w:cs="Times New Roman"/>
          <w:sz w:val="24"/>
          <w:szCs w:val="24"/>
          <w:lang w:eastAsia="ru-RU"/>
        </w:rPr>
        <w:t xml:space="preserve"> (Россия, </w:t>
      </w:r>
      <w:r>
        <w:rPr>
          <w:rFonts w:ascii="Times New Roman" w:eastAsia="Times New Roman" w:hAnsi="Times New Roman" w:cs="Times New Roman"/>
          <w:sz w:val="24"/>
          <w:szCs w:val="24"/>
          <w:lang w:eastAsia="ru-RU"/>
        </w:rPr>
        <w:t>Вологд</w:t>
      </w:r>
      <w:r w:rsidRPr="00630760">
        <w:rPr>
          <w:rFonts w:ascii="Times New Roman" w:eastAsia="Times New Roman" w:hAnsi="Times New Roman" w:cs="Times New Roman"/>
          <w:sz w:val="24"/>
          <w:szCs w:val="24"/>
          <w:lang w:eastAsia="ru-RU"/>
        </w:rPr>
        <w:t xml:space="preserve">а) – научный сотрудник, </w:t>
      </w:r>
      <w:r>
        <w:rPr>
          <w:rFonts w:ascii="Times New Roman" w:eastAsia="Times New Roman" w:hAnsi="Times New Roman" w:cs="Times New Roman"/>
          <w:sz w:val="24"/>
          <w:szCs w:val="24"/>
          <w:lang w:eastAsia="ru-RU"/>
        </w:rPr>
        <w:t xml:space="preserve">ФГБУН </w:t>
      </w:r>
      <w:proofErr w:type="spellStart"/>
      <w:r>
        <w:rPr>
          <w:rFonts w:ascii="Times New Roman" w:eastAsia="Times New Roman" w:hAnsi="Times New Roman" w:cs="Times New Roman"/>
          <w:sz w:val="24"/>
          <w:szCs w:val="24"/>
          <w:lang w:eastAsia="ru-RU"/>
        </w:rPr>
        <w:t>ВолНЦ</w:t>
      </w:r>
      <w:proofErr w:type="spellEnd"/>
      <w:r>
        <w:rPr>
          <w:rFonts w:ascii="Times New Roman" w:eastAsia="Times New Roman" w:hAnsi="Times New Roman" w:cs="Times New Roman"/>
          <w:sz w:val="24"/>
          <w:szCs w:val="24"/>
          <w:lang w:eastAsia="ru-RU"/>
        </w:rPr>
        <w:t xml:space="preserve">  РАН (160014</w:t>
      </w:r>
      <w:r w:rsidRPr="0063076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Вологда</w:t>
      </w:r>
      <w:r w:rsidRPr="0063076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ул. Горького, 56а</w:t>
      </w:r>
      <w:r w:rsidRPr="00630760">
        <w:rPr>
          <w:rFonts w:ascii="Times New Roman" w:eastAsia="Times New Roman" w:hAnsi="Times New Roman" w:cs="Times New Roman"/>
          <w:sz w:val="24"/>
          <w:szCs w:val="24"/>
          <w:lang w:eastAsia="ru-RU"/>
        </w:rPr>
        <w:t xml:space="preserve">, </w:t>
      </w:r>
      <w:r w:rsidR="00EC7494" w:rsidRPr="00EC7494">
        <w:rPr>
          <w:rFonts w:ascii="Times New Roman" w:eastAsia="Times New Roman" w:hAnsi="Times New Roman" w:cs="Times New Roman"/>
          <w:sz w:val="24"/>
          <w:szCs w:val="24"/>
          <w:lang w:eastAsia="ru-RU"/>
        </w:rPr>
        <w:t>333.</w:t>
      </w:r>
      <w:proofErr w:type="spellStart"/>
      <w:r w:rsidR="00EC7494" w:rsidRPr="00EC7494">
        <w:rPr>
          <w:rFonts w:ascii="Times New Roman" w:eastAsia="Times New Roman" w:hAnsi="Times New Roman" w:cs="Times New Roman"/>
          <w:sz w:val="24"/>
          <w:szCs w:val="24"/>
          <w:lang w:val="en-US" w:eastAsia="ru-RU"/>
        </w:rPr>
        <w:t>maarel</w:t>
      </w:r>
      <w:proofErr w:type="spellEnd"/>
      <w:r w:rsidR="00EC7494" w:rsidRPr="00EC7494">
        <w:rPr>
          <w:rFonts w:ascii="Times New Roman" w:eastAsia="Times New Roman" w:hAnsi="Times New Roman" w:cs="Times New Roman"/>
          <w:sz w:val="24"/>
          <w:szCs w:val="24"/>
          <w:lang w:eastAsia="ru-RU"/>
        </w:rPr>
        <w:t>.333@</w:t>
      </w:r>
      <w:r w:rsidR="00EC7494" w:rsidRPr="00EC7494">
        <w:rPr>
          <w:rFonts w:ascii="Times New Roman" w:eastAsia="Times New Roman" w:hAnsi="Times New Roman" w:cs="Times New Roman"/>
          <w:sz w:val="24"/>
          <w:szCs w:val="24"/>
          <w:lang w:val="en-US" w:eastAsia="ru-RU"/>
        </w:rPr>
        <w:t>mail</w:t>
      </w:r>
      <w:r w:rsidR="00EC7494" w:rsidRPr="00EC7494">
        <w:rPr>
          <w:rFonts w:ascii="Times New Roman" w:eastAsia="Times New Roman" w:hAnsi="Times New Roman" w:cs="Times New Roman"/>
          <w:sz w:val="24"/>
          <w:szCs w:val="24"/>
          <w:lang w:eastAsia="ru-RU"/>
        </w:rPr>
        <w:t>.</w:t>
      </w:r>
      <w:proofErr w:type="spellStart"/>
      <w:r w:rsidR="00EC7494" w:rsidRPr="00EC7494">
        <w:rPr>
          <w:rFonts w:ascii="Times New Roman" w:eastAsia="Times New Roman" w:hAnsi="Times New Roman" w:cs="Times New Roman"/>
          <w:sz w:val="24"/>
          <w:szCs w:val="24"/>
          <w:lang w:val="en-US" w:eastAsia="ru-RU"/>
        </w:rPr>
        <w:t>ru</w:t>
      </w:r>
      <w:proofErr w:type="spellEnd"/>
      <w:r w:rsidRPr="00630760">
        <w:rPr>
          <w:rFonts w:ascii="Times New Roman" w:eastAsia="Times New Roman" w:hAnsi="Times New Roman" w:cs="Times New Roman"/>
          <w:sz w:val="24"/>
          <w:szCs w:val="24"/>
          <w:lang w:eastAsia="ru-RU"/>
        </w:rPr>
        <w:t>)</w:t>
      </w:r>
    </w:p>
    <w:p w:rsidR="00EC7494" w:rsidRPr="00EC7494" w:rsidRDefault="00EC7494" w:rsidP="009248F7">
      <w:pPr>
        <w:spacing w:after="0" w:line="240" w:lineRule="auto"/>
        <w:ind w:firstLine="720"/>
        <w:rPr>
          <w:rFonts w:ascii="Times New Roman" w:eastAsia="Times New Roman" w:hAnsi="Times New Roman" w:cs="Times New Roman"/>
          <w:sz w:val="24"/>
          <w:szCs w:val="24"/>
          <w:lang w:eastAsia="ru-RU"/>
        </w:rPr>
      </w:pPr>
    </w:p>
    <w:p w:rsidR="00EC7494" w:rsidRPr="00EC7494" w:rsidRDefault="00EC7494" w:rsidP="00EC7494">
      <w:pPr>
        <w:spacing w:after="0" w:line="240" w:lineRule="auto"/>
        <w:ind w:firstLine="709"/>
        <w:jc w:val="right"/>
        <w:rPr>
          <w:rStyle w:val="fontstyle01"/>
          <w:rFonts w:ascii="Times New Roman" w:hAnsi="Times New Roman" w:cs="Times New Roman"/>
          <w:b/>
          <w:sz w:val="24"/>
          <w:szCs w:val="24"/>
        </w:rPr>
      </w:pPr>
      <w:r w:rsidRPr="00B157DB">
        <w:rPr>
          <w:rStyle w:val="fontstyle01"/>
          <w:rFonts w:ascii="Times New Roman" w:hAnsi="Times New Roman" w:cs="Times New Roman"/>
          <w:b/>
          <w:sz w:val="24"/>
          <w:szCs w:val="24"/>
          <w:lang w:val="en-US"/>
        </w:rPr>
        <w:t>Kuznetsova</w:t>
      </w:r>
      <w:r w:rsidRPr="00EC7494">
        <w:rPr>
          <w:rStyle w:val="fontstyle01"/>
          <w:rFonts w:ascii="Times New Roman" w:hAnsi="Times New Roman" w:cs="Times New Roman"/>
          <w:b/>
          <w:sz w:val="24"/>
          <w:szCs w:val="24"/>
        </w:rPr>
        <w:t xml:space="preserve"> </w:t>
      </w:r>
      <w:r w:rsidRPr="00B157DB">
        <w:rPr>
          <w:rStyle w:val="fontstyle01"/>
          <w:rFonts w:ascii="Times New Roman" w:hAnsi="Times New Roman" w:cs="Times New Roman"/>
          <w:b/>
          <w:sz w:val="24"/>
          <w:szCs w:val="24"/>
          <w:lang w:val="en-US"/>
        </w:rPr>
        <w:t>E</w:t>
      </w:r>
      <w:r w:rsidRPr="00EC7494">
        <w:rPr>
          <w:rStyle w:val="fontstyle01"/>
          <w:rFonts w:ascii="Times New Roman" w:hAnsi="Times New Roman" w:cs="Times New Roman"/>
          <w:b/>
          <w:sz w:val="24"/>
          <w:szCs w:val="24"/>
        </w:rPr>
        <w:t>.</w:t>
      </w:r>
      <w:r w:rsidRPr="00B157DB">
        <w:rPr>
          <w:rStyle w:val="fontstyle01"/>
          <w:rFonts w:ascii="Times New Roman" w:hAnsi="Times New Roman" w:cs="Times New Roman"/>
          <w:b/>
          <w:sz w:val="24"/>
          <w:szCs w:val="24"/>
          <w:lang w:val="en-US"/>
        </w:rPr>
        <w:t>P</w:t>
      </w:r>
      <w:r w:rsidRPr="00EC7494">
        <w:rPr>
          <w:rStyle w:val="fontstyle01"/>
          <w:rFonts w:ascii="Times New Roman" w:hAnsi="Times New Roman" w:cs="Times New Roman"/>
          <w:b/>
          <w:sz w:val="24"/>
          <w:szCs w:val="24"/>
        </w:rPr>
        <w:t>.</w:t>
      </w:r>
    </w:p>
    <w:p w:rsidR="00EC7494" w:rsidRPr="00EC7494" w:rsidRDefault="00EC7494" w:rsidP="00EC7494">
      <w:pPr>
        <w:spacing w:after="0" w:line="240" w:lineRule="auto"/>
        <w:ind w:firstLine="709"/>
        <w:jc w:val="right"/>
        <w:rPr>
          <w:rStyle w:val="fontstyle01"/>
          <w:rFonts w:ascii="Times New Roman" w:hAnsi="Times New Roman" w:cs="Times New Roman"/>
          <w:b/>
          <w:sz w:val="24"/>
          <w:szCs w:val="24"/>
        </w:rPr>
      </w:pPr>
      <w:r w:rsidRPr="00B157DB">
        <w:rPr>
          <w:rStyle w:val="fontstyle01"/>
          <w:rFonts w:ascii="Times New Roman" w:hAnsi="Times New Roman" w:cs="Times New Roman"/>
          <w:b/>
          <w:sz w:val="24"/>
          <w:szCs w:val="24"/>
          <w:lang w:val="en-US"/>
        </w:rPr>
        <w:t>FGBUN</w:t>
      </w:r>
      <w:r w:rsidRPr="00EC7494">
        <w:rPr>
          <w:rStyle w:val="fontstyle01"/>
          <w:rFonts w:ascii="Times New Roman" w:hAnsi="Times New Roman" w:cs="Times New Roman"/>
          <w:b/>
          <w:sz w:val="24"/>
          <w:szCs w:val="24"/>
        </w:rPr>
        <w:t xml:space="preserve"> </w:t>
      </w:r>
      <w:proofErr w:type="spellStart"/>
      <w:r w:rsidRPr="00B157DB">
        <w:rPr>
          <w:rStyle w:val="fontstyle01"/>
          <w:rFonts w:ascii="Times New Roman" w:hAnsi="Times New Roman" w:cs="Times New Roman"/>
          <w:b/>
          <w:sz w:val="24"/>
          <w:szCs w:val="24"/>
          <w:lang w:val="en-US"/>
        </w:rPr>
        <w:t>VolRC</w:t>
      </w:r>
      <w:proofErr w:type="spellEnd"/>
      <w:r w:rsidRPr="00EC7494">
        <w:rPr>
          <w:rStyle w:val="fontstyle01"/>
          <w:rFonts w:ascii="Times New Roman" w:hAnsi="Times New Roman" w:cs="Times New Roman"/>
          <w:b/>
          <w:sz w:val="24"/>
          <w:szCs w:val="24"/>
        </w:rPr>
        <w:t xml:space="preserve"> </w:t>
      </w:r>
      <w:r w:rsidRPr="00B157DB">
        <w:rPr>
          <w:rStyle w:val="fontstyle01"/>
          <w:rFonts w:ascii="Times New Roman" w:hAnsi="Times New Roman" w:cs="Times New Roman"/>
          <w:b/>
          <w:sz w:val="24"/>
          <w:szCs w:val="24"/>
          <w:lang w:val="en-US"/>
        </w:rPr>
        <w:t>RAS</w:t>
      </w:r>
    </w:p>
    <w:p w:rsidR="00EC7494" w:rsidRPr="00EC7494" w:rsidRDefault="00EC7494" w:rsidP="009248F7">
      <w:pPr>
        <w:spacing w:after="0" w:line="240" w:lineRule="auto"/>
        <w:ind w:firstLine="720"/>
        <w:rPr>
          <w:rFonts w:ascii="Times New Roman" w:eastAsia="Times New Roman" w:hAnsi="Times New Roman" w:cs="Times New Roman"/>
          <w:sz w:val="24"/>
          <w:szCs w:val="24"/>
          <w:lang w:eastAsia="ru-RU"/>
        </w:rPr>
      </w:pPr>
    </w:p>
    <w:p w:rsidR="00EC7494" w:rsidRPr="00EC7494" w:rsidRDefault="00EC7494" w:rsidP="00EC7494">
      <w:pPr>
        <w:spacing w:after="0" w:line="240" w:lineRule="auto"/>
        <w:ind w:firstLine="709"/>
        <w:jc w:val="center"/>
        <w:rPr>
          <w:rFonts w:ascii="Times New Roman" w:hAnsi="Times New Roman" w:cs="Times New Roman"/>
          <w:b/>
          <w:sz w:val="24"/>
          <w:szCs w:val="24"/>
          <w:lang w:val="en-US"/>
        </w:rPr>
      </w:pPr>
      <w:r w:rsidRPr="00EC7494">
        <w:rPr>
          <w:rFonts w:ascii="Times New Roman" w:hAnsi="Times New Roman" w:cs="Times New Roman"/>
          <w:b/>
          <w:sz w:val="24"/>
          <w:szCs w:val="24"/>
          <w:lang w:val="en-US"/>
        </w:rPr>
        <w:t>PROBLEMS HINDERING THE PREPAREDNESS AND BENDING OF SMALL BUSINESSES TO COOPERATE WITH THE SCIENTIFIC AND PUBLIC SECTOR</w:t>
      </w:r>
    </w:p>
    <w:p w:rsidR="00EC7494" w:rsidRPr="00EC7494" w:rsidRDefault="00EC7494" w:rsidP="00EC7494">
      <w:pPr>
        <w:spacing w:after="0" w:line="240" w:lineRule="auto"/>
        <w:ind w:firstLine="709"/>
        <w:jc w:val="both"/>
        <w:rPr>
          <w:rFonts w:ascii="Times New Roman" w:hAnsi="Times New Roman" w:cs="Times New Roman"/>
          <w:sz w:val="24"/>
          <w:szCs w:val="24"/>
          <w:lang w:val="en-US"/>
        </w:rPr>
      </w:pPr>
    </w:p>
    <w:p w:rsidR="00EC7494" w:rsidRPr="00EC7494" w:rsidRDefault="00EC7494" w:rsidP="00EC7494">
      <w:pPr>
        <w:spacing w:after="0" w:line="240" w:lineRule="auto"/>
        <w:ind w:firstLine="709"/>
        <w:jc w:val="both"/>
        <w:rPr>
          <w:rFonts w:ascii="Times New Roman" w:hAnsi="Times New Roman" w:cs="Times New Roman"/>
          <w:i/>
          <w:sz w:val="24"/>
          <w:szCs w:val="24"/>
          <w:lang w:val="en-US"/>
        </w:rPr>
      </w:pPr>
      <w:proofErr w:type="gramStart"/>
      <w:r w:rsidRPr="00EC7494">
        <w:rPr>
          <w:rFonts w:ascii="Times New Roman" w:hAnsi="Times New Roman" w:cs="Times New Roman"/>
          <w:i/>
          <w:sz w:val="24"/>
          <w:szCs w:val="24"/>
          <w:lang w:val="en-US"/>
        </w:rPr>
        <w:lastRenderedPageBreak/>
        <w:t>Annotation.</w:t>
      </w:r>
      <w:proofErr w:type="gramEnd"/>
      <w:r w:rsidRPr="00EC7494">
        <w:rPr>
          <w:rFonts w:ascii="Times New Roman" w:hAnsi="Times New Roman" w:cs="Times New Roman"/>
          <w:i/>
          <w:sz w:val="24"/>
          <w:szCs w:val="24"/>
          <w:lang w:val="en-US"/>
        </w:rPr>
        <w:t xml:space="preserve"> The aim of the work is to identify problems that hinder the readiness and propensity of small businesses to cooperate with the scientific and public sector in order to develop directions for improving the scientific and technological policy of the country. The article presents the results of the analysis of innovative business activity in the Russian Federation; analysis of financial state support for interaction between science and business; key problems were identified and directions for their elimination were demonstrated.</w:t>
      </w:r>
    </w:p>
    <w:p w:rsidR="009248F7" w:rsidRPr="00EC7494" w:rsidRDefault="00EC7494" w:rsidP="00EC7494">
      <w:pPr>
        <w:spacing w:after="0" w:line="240" w:lineRule="auto"/>
        <w:ind w:firstLine="709"/>
        <w:jc w:val="both"/>
        <w:rPr>
          <w:rFonts w:ascii="Times New Roman" w:hAnsi="Times New Roman" w:cs="Times New Roman"/>
          <w:i/>
          <w:sz w:val="24"/>
          <w:szCs w:val="24"/>
        </w:rPr>
      </w:pPr>
      <w:r w:rsidRPr="00EC7494">
        <w:rPr>
          <w:rFonts w:ascii="Times New Roman" w:hAnsi="Times New Roman" w:cs="Times New Roman"/>
          <w:i/>
          <w:sz w:val="24"/>
          <w:szCs w:val="24"/>
          <w:lang w:val="en-US"/>
        </w:rPr>
        <w:t>Key words: cooperation, business, science, state, scientific and technological space.</w:t>
      </w:r>
    </w:p>
    <w:p w:rsidR="00EC7494" w:rsidRDefault="00EC7494" w:rsidP="00EC7494">
      <w:pPr>
        <w:spacing w:after="0" w:line="240" w:lineRule="auto"/>
        <w:ind w:firstLine="709"/>
        <w:jc w:val="both"/>
        <w:rPr>
          <w:rFonts w:ascii="Times New Roman" w:hAnsi="Times New Roman" w:cs="Times New Roman"/>
          <w:sz w:val="24"/>
          <w:szCs w:val="24"/>
        </w:rPr>
      </w:pPr>
    </w:p>
    <w:p w:rsidR="00D7360C" w:rsidRPr="00B157DB" w:rsidRDefault="00D7360C" w:rsidP="00D7360C">
      <w:pPr>
        <w:spacing w:after="0" w:line="240" w:lineRule="auto"/>
        <w:ind w:firstLine="567"/>
        <w:jc w:val="both"/>
        <w:rPr>
          <w:rFonts w:ascii="Times New Roman" w:eastAsiaTheme="minorEastAsia" w:hAnsi="Times New Roman" w:cs="Times New Roman"/>
          <w:sz w:val="24"/>
          <w:szCs w:val="24"/>
          <w:lang w:val="en-US" w:eastAsia="ru-RU"/>
        </w:rPr>
      </w:pPr>
      <w:r w:rsidRPr="00B157DB">
        <w:rPr>
          <w:rFonts w:ascii="Times New Roman" w:eastAsiaTheme="minorEastAsia" w:hAnsi="Times New Roman" w:cs="Times New Roman"/>
          <w:sz w:val="24"/>
          <w:szCs w:val="24"/>
          <w:lang w:val="en-US" w:eastAsia="ru-RU"/>
        </w:rPr>
        <w:t>Bibliography:</w:t>
      </w:r>
    </w:p>
    <w:p w:rsidR="00D7360C" w:rsidRPr="00D7360C" w:rsidRDefault="00D7360C" w:rsidP="00D7360C">
      <w:pPr>
        <w:spacing w:after="0" w:line="240" w:lineRule="auto"/>
        <w:ind w:firstLine="709"/>
        <w:jc w:val="both"/>
        <w:rPr>
          <w:rFonts w:ascii="Times New Roman" w:hAnsi="Times New Roman" w:cs="Times New Roman"/>
          <w:sz w:val="24"/>
          <w:szCs w:val="24"/>
          <w:lang w:val="en-US"/>
        </w:rPr>
      </w:pPr>
      <w:r w:rsidRPr="00D7360C">
        <w:rPr>
          <w:rFonts w:ascii="Times New Roman" w:hAnsi="Times New Roman" w:cs="Times New Roman"/>
          <w:sz w:val="24"/>
          <w:szCs w:val="24"/>
          <w:lang w:val="en-US"/>
        </w:rPr>
        <w:t xml:space="preserve">1. </w:t>
      </w:r>
      <w:proofErr w:type="spellStart"/>
      <w:r w:rsidRPr="00D7360C">
        <w:rPr>
          <w:rFonts w:ascii="Times New Roman" w:hAnsi="Times New Roman" w:cs="Times New Roman"/>
          <w:sz w:val="24"/>
          <w:szCs w:val="24"/>
          <w:lang w:val="en-US"/>
        </w:rPr>
        <w:t>Rykhtik</w:t>
      </w:r>
      <w:proofErr w:type="spellEnd"/>
      <w:r w:rsidRPr="00D7360C">
        <w:rPr>
          <w:rFonts w:ascii="Times New Roman" w:hAnsi="Times New Roman" w:cs="Times New Roman"/>
          <w:sz w:val="24"/>
          <w:szCs w:val="24"/>
          <w:lang w:val="en-US"/>
        </w:rPr>
        <w:t xml:space="preserve"> M.I. National innovation system of the USA: history of formation, political practice, development strategy / M.I. </w:t>
      </w:r>
      <w:proofErr w:type="spellStart"/>
      <w:r w:rsidRPr="00D7360C">
        <w:rPr>
          <w:rFonts w:ascii="Times New Roman" w:hAnsi="Times New Roman" w:cs="Times New Roman"/>
          <w:sz w:val="24"/>
          <w:szCs w:val="24"/>
          <w:lang w:val="en-US"/>
        </w:rPr>
        <w:t>Rykhtik</w:t>
      </w:r>
      <w:proofErr w:type="spellEnd"/>
      <w:r w:rsidRPr="00D7360C">
        <w:rPr>
          <w:rFonts w:ascii="Times New Roman" w:hAnsi="Times New Roman" w:cs="Times New Roman"/>
          <w:sz w:val="24"/>
          <w:szCs w:val="24"/>
          <w:lang w:val="en-US"/>
        </w:rPr>
        <w:t xml:space="preserve">. - Nizhny Novgorod, </w:t>
      </w:r>
      <w:proofErr w:type="gramStart"/>
      <w:r w:rsidRPr="00D7360C">
        <w:rPr>
          <w:rFonts w:ascii="Times New Roman" w:hAnsi="Times New Roman" w:cs="Times New Roman"/>
          <w:sz w:val="24"/>
          <w:szCs w:val="24"/>
          <w:lang w:val="en-US"/>
        </w:rPr>
        <w:t>2011 .--</w:t>
      </w:r>
      <w:proofErr w:type="gramEnd"/>
      <w:r w:rsidRPr="00D7360C">
        <w:rPr>
          <w:rFonts w:ascii="Times New Roman" w:hAnsi="Times New Roman" w:cs="Times New Roman"/>
          <w:sz w:val="24"/>
          <w:szCs w:val="24"/>
          <w:lang w:val="en-US"/>
        </w:rPr>
        <w:t xml:space="preserve"> 23 p.</w:t>
      </w:r>
    </w:p>
    <w:p w:rsidR="00D7360C" w:rsidRPr="00D7360C" w:rsidRDefault="00D7360C" w:rsidP="00D7360C">
      <w:pPr>
        <w:spacing w:after="0" w:line="240" w:lineRule="auto"/>
        <w:ind w:firstLine="709"/>
        <w:jc w:val="both"/>
        <w:rPr>
          <w:rFonts w:ascii="Times New Roman" w:hAnsi="Times New Roman" w:cs="Times New Roman"/>
          <w:sz w:val="24"/>
          <w:szCs w:val="24"/>
          <w:lang w:val="en-US"/>
        </w:rPr>
      </w:pPr>
      <w:r w:rsidRPr="00D7360C">
        <w:rPr>
          <w:rFonts w:ascii="Times New Roman" w:hAnsi="Times New Roman" w:cs="Times New Roman"/>
          <w:sz w:val="24"/>
          <w:szCs w:val="24"/>
          <w:lang w:val="en-US"/>
        </w:rPr>
        <w:t xml:space="preserve">2. </w:t>
      </w:r>
      <w:proofErr w:type="spellStart"/>
      <w:r w:rsidRPr="00D7360C">
        <w:rPr>
          <w:rFonts w:ascii="Times New Roman" w:hAnsi="Times New Roman" w:cs="Times New Roman"/>
          <w:sz w:val="24"/>
          <w:szCs w:val="24"/>
          <w:lang w:val="en-US"/>
        </w:rPr>
        <w:t>Ksenofontova</w:t>
      </w:r>
      <w:proofErr w:type="spellEnd"/>
      <w:r w:rsidRPr="00D7360C">
        <w:rPr>
          <w:rFonts w:ascii="Times New Roman" w:hAnsi="Times New Roman" w:cs="Times New Roman"/>
          <w:sz w:val="24"/>
          <w:szCs w:val="24"/>
          <w:lang w:val="en-US"/>
        </w:rPr>
        <w:t xml:space="preserve"> OL The experience of foreign countries in the creation and functioning of clusters: a model approach. // Modern high technologies. </w:t>
      </w:r>
      <w:proofErr w:type="gramStart"/>
      <w:r w:rsidRPr="00D7360C">
        <w:rPr>
          <w:rFonts w:ascii="Times New Roman" w:hAnsi="Times New Roman" w:cs="Times New Roman"/>
          <w:sz w:val="24"/>
          <w:szCs w:val="24"/>
          <w:lang w:val="en-US"/>
        </w:rPr>
        <w:t>Regional application.</w:t>
      </w:r>
      <w:proofErr w:type="gramEnd"/>
      <w:r w:rsidRPr="00D7360C">
        <w:rPr>
          <w:rFonts w:ascii="Times New Roman" w:hAnsi="Times New Roman" w:cs="Times New Roman"/>
          <w:sz w:val="24"/>
          <w:szCs w:val="24"/>
          <w:lang w:val="en-US"/>
        </w:rPr>
        <w:t xml:space="preserve"> </w:t>
      </w:r>
      <w:proofErr w:type="gramStart"/>
      <w:r w:rsidRPr="00D7360C">
        <w:rPr>
          <w:rFonts w:ascii="Times New Roman" w:hAnsi="Times New Roman" w:cs="Times New Roman"/>
          <w:sz w:val="24"/>
          <w:szCs w:val="24"/>
          <w:lang w:val="en-US"/>
        </w:rPr>
        <w:t>2015. No. 2 (42).</w:t>
      </w:r>
      <w:proofErr w:type="gramEnd"/>
      <w:r w:rsidRPr="00D7360C">
        <w:rPr>
          <w:rFonts w:ascii="Times New Roman" w:hAnsi="Times New Roman" w:cs="Times New Roman"/>
          <w:sz w:val="24"/>
          <w:szCs w:val="24"/>
          <w:lang w:val="en-US"/>
        </w:rPr>
        <w:t xml:space="preserve"> S. 36-42.</w:t>
      </w:r>
    </w:p>
    <w:p w:rsidR="00D7360C" w:rsidRPr="00D7360C" w:rsidRDefault="00D7360C" w:rsidP="00D7360C">
      <w:pPr>
        <w:spacing w:after="0" w:line="240" w:lineRule="auto"/>
        <w:ind w:firstLine="709"/>
        <w:jc w:val="both"/>
        <w:rPr>
          <w:rFonts w:ascii="Times New Roman" w:hAnsi="Times New Roman" w:cs="Times New Roman"/>
          <w:sz w:val="24"/>
          <w:szCs w:val="24"/>
        </w:rPr>
      </w:pPr>
      <w:r w:rsidRPr="00D7360C">
        <w:rPr>
          <w:rFonts w:ascii="Times New Roman" w:hAnsi="Times New Roman" w:cs="Times New Roman"/>
          <w:sz w:val="24"/>
          <w:szCs w:val="24"/>
          <w:lang w:val="en-US"/>
        </w:rPr>
        <w:t xml:space="preserve">3. The state and development of innovative activities in the field of small business. </w:t>
      </w:r>
      <w:r w:rsidRPr="00D7360C">
        <w:rPr>
          <w:rFonts w:ascii="Times New Roman" w:hAnsi="Times New Roman" w:cs="Times New Roman"/>
          <w:sz w:val="24"/>
          <w:szCs w:val="24"/>
        </w:rPr>
        <w:t>URL: https://issek.hse.ru/mirror/pubs/share/392488458.pdf</w:t>
      </w:r>
    </w:p>
    <w:p w:rsidR="00EC7494" w:rsidRDefault="00D7360C" w:rsidP="00D7360C">
      <w:pPr>
        <w:spacing w:after="0" w:line="240" w:lineRule="auto"/>
        <w:ind w:firstLine="709"/>
        <w:jc w:val="both"/>
        <w:rPr>
          <w:rFonts w:ascii="Times New Roman" w:hAnsi="Times New Roman" w:cs="Times New Roman"/>
          <w:sz w:val="24"/>
          <w:szCs w:val="24"/>
        </w:rPr>
      </w:pPr>
      <w:r w:rsidRPr="00D7360C">
        <w:rPr>
          <w:rFonts w:ascii="Times New Roman" w:hAnsi="Times New Roman" w:cs="Times New Roman"/>
          <w:sz w:val="24"/>
          <w:szCs w:val="24"/>
          <w:lang w:val="en-US"/>
        </w:rPr>
        <w:t xml:space="preserve">4. </w:t>
      </w:r>
      <w:proofErr w:type="spellStart"/>
      <w:r w:rsidRPr="00D7360C">
        <w:rPr>
          <w:rFonts w:ascii="Times New Roman" w:hAnsi="Times New Roman" w:cs="Times New Roman"/>
          <w:sz w:val="24"/>
          <w:szCs w:val="24"/>
          <w:lang w:val="en-US"/>
        </w:rPr>
        <w:t>Gokhberg</w:t>
      </w:r>
      <w:proofErr w:type="spellEnd"/>
      <w:r w:rsidRPr="00D7360C">
        <w:rPr>
          <w:rFonts w:ascii="Times New Roman" w:hAnsi="Times New Roman" w:cs="Times New Roman"/>
          <w:sz w:val="24"/>
          <w:szCs w:val="24"/>
          <w:lang w:val="en-US"/>
        </w:rPr>
        <w:t xml:space="preserve"> L.M., Kuznetsova T.E., </w:t>
      </w:r>
      <w:proofErr w:type="spellStart"/>
      <w:r w:rsidRPr="00D7360C">
        <w:rPr>
          <w:rFonts w:ascii="Times New Roman" w:hAnsi="Times New Roman" w:cs="Times New Roman"/>
          <w:sz w:val="24"/>
          <w:szCs w:val="24"/>
          <w:lang w:val="en-US"/>
        </w:rPr>
        <w:t>Korolev</w:t>
      </w:r>
      <w:proofErr w:type="spellEnd"/>
      <w:r w:rsidRPr="00D7360C">
        <w:rPr>
          <w:rFonts w:ascii="Times New Roman" w:hAnsi="Times New Roman" w:cs="Times New Roman"/>
          <w:sz w:val="24"/>
          <w:szCs w:val="24"/>
          <w:lang w:val="en-US"/>
        </w:rPr>
        <w:t xml:space="preserve"> V.A. International cooperation as an imperative of modern innovation policy // Commonwealth of Independent States: Innovation Space. </w:t>
      </w:r>
      <w:r w:rsidRPr="00D7360C">
        <w:rPr>
          <w:rFonts w:ascii="Times New Roman" w:hAnsi="Times New Roman" w:cs="Times New Roman"/>
          <w:sz w:val="24"/>
          <w:szCs w:val="24"/>
        </w:rPr>
        <w:t xml:space="preserve">M .: </w:t>
      </w:r>
      <w:proofErr w:type="spellStart"/>
      <w:r w:rsidRPr="00D7360C">
        <w:rPr>
          <w:rFonts w:ascii="Times New Roman" w:hAnsi="Times New Roman" w:cs="Times New Roman"/>
          <w:sz w:val="24"/>
          <w:szCs w:val="24"/>
        </w:rPr>
        <w:t>Center</w:t>
      </w:r>
      <w:proofErr w:type="spellEnd"/>
      <w:r w:rsidRPr="00D7360C">
        <w:rPr>
          <w:rFonts w:ascii="Times New Roman" w:hAnsi="Times New Roman" w:cs="Times New Roman"/>
          <w:sz w:val="24"/>
          <w:szCs w:val="24"/>
        </w:rPr>
        <w:t xml:space="preserve"> </w:t>
      </w:r>
      <w:proofErr w:type="spellStart"/>
      <w:r w:rsidRPr="00D7360C">
        <w:rPr>
          <w:rFonts w:ascii="Times New Roman" w:hAnsi="Times New Roman" w:cs="Times New Roman"/>
          <w:sz w:val="24"/>
          <w:szCs w:val="24"/>
        </w:rPr>
        <w:t>for</w:t>
      </w:r>
      <w:proofErr w:type="spellEnd"/>
      <w:r w:rsidRPr="00D7360C">
        <w:rPr>
          <w:rFonts w:ascii="Times New Roman" w:hAnsi="Times New Roman" w:cs="Times New Roman"/>
          <w:sz w:val="24"/>
          <w:szCs w:val="24"/>
        </w:rPr>
        <w:t xml:space="preserve"> </w:t>
      </w:r>
      <w:proofErr w:type="spellStart"/>
      <w:r w:rsidRPr="00D7360C">
        <w:rPr>
          <w:rFonts w:ascii="Times New Roman" w:hAnsi="Times New Roman" w:cs="Times New Roman"/>
          <w:sz w:val="24"/>
          <w:szCs w:val="24"/>
        </w:rPr>
        <w:t>Strategic</w:t>
      </w:r>
      <w:proofErr w:type="spellEnd"/>
      <w:r w:rsidRPr="00D7360C">
        <w:rPr>
          <w:rFonts w:ascii="Times New Roman" w:hAnsi="Times New Roman" w:cs="Times New Roman"/>
          <w:sz w:val="24"/>
          <w:szCs w:val="24"/>
        </w:rPr>
        <w:t xml:space="preserve"> </w:t>
      </w:r>
      <w:proofErr w:type="spellStart"/>
      <w:r w:rsidRPr="00D7360C">
        <w:rPr>
          <w:rFonts w:ascii="Times New Roman" w:hAnsi="Times New Roman" w:cs="Times New Roman"/>
          <w:sz w:val="24"/>
          <w:szCs w:val="24"/>
        </w:rPr>
        <w:t>Partnership</w:t>
      </w:r>
      <w:proofErr w:type="spellEnd"/>
      <w:r w:rsidRPr="00D7360C">
        <w:rPr>
          <w:rFonts w:ascii="Times New Roman" w:hAnsi="Times New Roman" w:cs="Times New Roman"/>
          <w:sz w:val="24"/>
          <w:szCs w:val="24"/>
        </w:rPr>
        <w:t>. 2011.S. 41–49.</w:t>
      </w:r>
    </w:p>
    <w:p w:rsidR="00D7360C" w:rsidRDefault="00D7360C" w:rsidP="00D7360C">
      <w:pPr>
        <w:spacing w:after="0" w:line="240" w:lineRule="auto"/>
        <w:ind w:firstLine="709"/>
        <w:jc w:val="both"/>
        <w:rPr>
          <w:rFonts w:ascii="Times New Roman" w:hAnsi="Times New Roman" w:cs="Times New Roman"/>
          <w:sz w:val="24"/>
          <w:szCs w:val="24"/>
        </w:rPr>
      </w:pPr>
    </w:p>
    <w:p w:rsidR="00D7360C" w:rsidRPr="00630760" w:rsidRDefault="00D7360C" w:rsidP="00D7360C">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Information about the author</w:t>
      </w:r>
    </w:p>
    <w:p w:rsidR="00D7360C" w:rsidRPr="006B5651" w:rsidRDefault="00D7360C" w:rsidP="00D7360C">
      <w:pPr>
        <w:spacing w:after="0" w:line="240" w:lineRule="auto"/>
        <w:ind w:firstLine="709"/>
        <w:jc w:val="both"/>
        <w:rPr>
          <w:rStyle w:val="fontstyle01"/>
          <w:rFonts w:ascii="Times New Roman" w:hAnsi="Times New Roman" w:cs="Times New Roman"/>
          <w:sz w:val="24"/>
          <w:szCs w:val="24"/>
          <w:lang w:val="en-US"/>
        </w:rPr>
      </w:pPr>
      <w:r w:rsidRPr="00475BDA">
        <w:rPr>
          <w:rStyle w:val="fontstyle01"/>
          <w:rFonts w:ascii="Times New Roman" w:hAnsi="Times New Roman" w:cs="Times New Roman"/>
          <w:sz w:val="24"/>
          <w:szCs w:val="24"/>
          <w:lang w:val="en-US"/>
        </w:rPr>
        <w:t xml:space="preserve">Kuznetsova Ekaterina </w:t>
      </w:r>
      <w:proofErr w:type="spellStart"/>
      <w:r w:rsidRPr="00475BDA">
        <w:rPr>
          <w:rStyle w:val="fontstyle01"/>
          <w:rFonts w:ascii="Times New Roman" w:hAnsi="Times New Roman" w:cs="Times New Roman"/>
          <w:sz w:val="24"/>
          <w:szCs w:val="24"/>
          <w:lang w:val="en-US"/>
        </w:rPr>
        <w:t>Petrovna</w:t>
      </w:r>
      <w:proofErr w:type="spellEnd"/>
      <w:r w:rsidRPr="00475BDA">
        <w:rPr>
          <w:rStyle w:val="fontstyle01"/>
          <w:rFonts w:ascii="Times New Roman" w:hAnsi="Times New Roman" w:cs="Times New Roman"/>
          <w:sz w:val="24"/>
          <w:szCs w:val="24"/>
          <w:lang w:val="en-US"/>
        </w:rPr>
        <w:t xml:space="preserve"> (Russia, Vologda) - Junior Researcher, FGBUN </w:t>
      </w:r>
      <w:proofErr w:type="spellStart"/>
      <w:r w:rsidRPr="00475BDA">
        <w:rPr>
          <w:rStyle w:val="fontstyle01"/>
          <w:rFonts w:ascii="Times New Roman" w:hAnsi="Times New Roman" w:cs="Times New Roman"/>
          <w:sz w:val="24"/>
          <w:szCs w:val="24"/>
          <w:lang w:val="en-US"/>
        </w:rPr>
        <w:t>VolRC</w:t>
      </w:r>
      <w:proofErr w:type="spellEnd"/>
      <w:r w:rsidRPr="00475BDA">
        <w:rPr>
          <w:rStyle w:val="fontstyle01"/>
          <w:rFonts w:ascii="Times New Roman" w:hAnsi="Times New Roman" w:cs="Times New Roman"/>
          <w:sz w:val="24"/>
          <w:szCs w:val="24"/>
          <w:lang w:val="en-US"/>
        </w:rPr>
        <w:t xml:space="preserve"> RAS (160014, Vologda, Gorky St., 56a, </w:t>
      </w:r>
      <w:r w:rsidRPr="00D7360C">
        <w:rPr>
          <w:rFonts w:ascii="Times New Roman" w:hAnsi="Times New Roman" w:cs="Times New Roman"/>
          <w:sz w:val="24"/>
          <w:szCs w:val="24"/>
          <w:lang w:val="en-US"/>
        </w:rPr>
        <w:t>333.maarel.333@mail.ru</w:t>
      </w:r>
      <w:r w:rsidRPr="00475BDA">
        <w:rPr>
          <w:rStyle w:val="fontstyle01"/>
          <w:rFonts w:ascii="Times New Roman" w:hAnsi="Times New Roman" w:cs="Times New Roman"/>
          <w:sz w:val="24"/>
          <w:szCs w:val="24"/>
          <w:lang w:val="en-US"/>
        </w:rPr>
        <w:t>)</w:t>
      </w:r>
    </w:p>
    <w:p w:rsidR="00D7360C" w:rsidRPr="00D7360C" w:rsidRDefault="00D7360C" w:rsidP="00D7360C">
      <w:pPr>
        <w:spacing w:after="0" w:line="240" w:lineRule="auto"/>
        <w:ind w:firstLine="709"/>
        <w:jc w:val="both"/>
        <w:rPr>
          <w:rFonts w:ascii="Times New Roman" w:hAnsi="Times New Roman" w:cs="Times New Roman"/>
          <w:sz w:val="24"/>
          <w:szCs w:val="24"/>
          <w:lang w:val="en-US"/>
        </w:rPr>
      </w:pPr>
    </w:p>
    <w:sectPr w:rsidR="00D7360C" w:rsidRPr="00D7360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64C7" w:rsidRDefault="001664C7" w:rsidP="00851E5D">
      <w:pPr>
        <w:spacing w:after="0" w:line="240" w:lineRule="auto"/>
      </w:pPr>
      <w:r>
        <w:separator/>
      </w:r>
    </w:p>
  </w:endnote>
  <w:endnote w:type="continuationSeparator" w:id="0">
    <w:p w:rsidR="001664C7" w:rsidRDefault="001664C7" w:rsidP="00851E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64C7" w:rsidRDefault="001664C7" w:rsidP="00851E5D">
      <w:pPr>
        <w:spacing w:after="0" w:line="240" w:lineRule="auto"/>
      </w:pPr>
      <w:r>
        <w:separator/>
      </w:r>
    </w:p>
  </w:footnote>
  <w:footnote w:type="continuationSeparator" w:id="0">
    <w:p w:rsidR="001664C7" w:rsidRDefault="001664C7" w:rsidP="00851E5D">
      <w:pPr>
        <w:spacing w:after="0" w:line="240" w:lineRule="auto"/>
      </w:pPr>
      <w:r>
        <w:continuationSeparator/>
      </w:r>
    </w:p>
  </w:footnote>
  <w:footnote w:id="1">
    <w:p w:rsidR="000943C3" w:rsidRDefault="000943C3" w:rsidP="0092638B">
      <w:pPr>
        <w:pStyle w:val="a3"/>
        <w:jc w:val="both"/>
      </w:pPr>
      <w:r>
        <w:rPr>
          <w:rStyle w:val="a5"/>
        </w:rPr>
        <w:footnoteRef/>
      </w:r>
      <w:r>
        <w:t xml:space="preserve"> </w:t>
      </w:r>
      <w:r w:rsidRPr="0092638B">
        <w:rPr>
          <w:rFonts w:ascii="Times New Roman" w:hAnsi="Times New Roman" w:cs="Times New Roman"/>
        </w:rPr>
        <w:t>Статья подготовлена в рамках государственного задания № 0168-2019-0006 «Управление процессами структурной трансформации экономики регионов на основе развития малого и среднего предпринимательства».</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003"/>
    <w:rsid w:val="0003332F"/>
    <w:rsid w:val="0007017B"/>
    <w:rsid w:val="00091683"/>
    <w:rsid w:val="000943C3"/>
    <w:rsid w:val="000B578E"/>
    <w:rsid w:val="000D3246"/>
    <w:rsid w:val="000E7154"/>
    <w:rsid w:val="000F4E24"/>
    <w:rsid w:val="001664C7"/>
    <w:rsid w:val="0016731C"/>
    <w:rsid w:val="001702E4"/>
    <w:rsid w:val="001C32D0"/>
    <w:rsid w:val="001D73FC"/>
    <w:rsid w:val="00214D2D"/>
    <w:rsid w:val="00237740"/>
    <w:rsid w:val="0029480A"/>
    <w:rsid w:val="002D7620"/>
    <w:rsid w:val="003015C0"/>
    <w:rsid w:val="00376D79"/>
    <w:rsid w:val="00392B6D"/>
    <w:rsid w:val="00397A72"/>
    <w:rsid w:val="003A0932"/>
    <w:rsid w:val="003B66E3"/>
    <w:rsid w:val="003B7392"/>
    <w:rsid w:val="0040435B"/>
    <w:rsid w:val="0042061F"/>
    <w:rsid w:val="0044602D"/>
    <w:rsid w:val="004562C2"/>
    <w:rsid w:val="00480865"/>
    <w:rsid w:val="00504C41"/>
    <w:rsid w:val="00507AC6"/>
    <w:rsid w:val="0051722E"/>
    <w:rsid w:val="00542446"/>
    <w:rsid w:val="005615D7"/>
    <w:rsid w:val="00584CCD"/>
    <w:rsid w:val="005D3BC9"/>
    <w:rsid w:val="006245DF"/>
    <w:rsid w:val="006528A6"/>
    <w:rsid w:val="00664D0C"/>
    <w:rsid w:val="00664F8E"/>
    <w:rsid w:val="00665E8E"/>
    <w:rsid w:val="00687073"/>
    <w:rsid w:val="006A11FB"/>
    <w:rsid w:val="006B6B25"/>
    <w:rsid w:val="006C7D86"/>
    <w:rsid w:val="007729B6"/>
    <w:rsid w:val="007C1FF7"/>
    <w:rsid w:val="007E6B5A"/>
    <w:rsid w:val="0082413E"/>
    <w:rsid w:val="00824A1C"/>
    <w:rsid w:val="0083167A"/>
    <w:rsid w:val="00851E5D"/>
    <w:rsid w:val="008901E5"/>
    <w:rsid w:val="00892141"/>
    <w:rsid w:val="00893C04"/>
    <w:rsid w:val="008B2DDE"/>
    <w:rsid w:val="008B36B5"/>
    <w:rsid w:val="008B5832"/>
    <w:rsid w:val="008C5F7F"/>
    <w:rsid w:val="008E1659"/>
    <w:rsid w:val="008E2CBB"/>
    <w:rsid w:val="009248F7"/>
    <w:rsid w:val="0092638B"/>
    <w:rsid w:val="00953525"/>
    <w:rsid w:val="009611BD"/>
    <w:rsid w:val="00962430"/>
    <w:rsid w:val="00976263"/>
    <w:rsid w:val="009A4D5A"/>
    <w:rsid w:val="009B0F9B"/>
    <w:rsid w:val="009B2538"/>
    <w:rsid w:val="009E2453"/>
    <w:rsid w:val="00A06F49"/>
    <w:rsid w:val="00A538D7"/>
    <w:rsid w:val="00A760B3"/>
    <w:rsid w:val="00AF3E41"/>
    <w:rsid w:val="00AF50C8"/>
    <w:rsid w:val="00B47473"/>
    <w:rsid w:val="00B61207"/>
    <w:rsid w:val="00C4234E"/>
    <w:rsid w:val="00C445EE"/>
    <w:rsid w:val="00C64305"/>
    <w:rsid w:val="00C64484"/>
    <w:rsid w:val="00C767EF"/>
    <w:rsid w:val="00CF28E7"/>
    <w:rsid w:val="00CF44E6"/>
    <w:rsid w:val="00D36C9B"/>
    <w:rsid w:val="00D42B80"/>
    <w:rsid w:val="00D67E8C"/>
    <w:rsid w:val="00D7360C"/>
    <w:rsid w:val="00D76A6D"/>
    <w:rsid w:val="00DC090C"/>
    <w:rsid w:val="00DC7AF4"/>
    <w:rsid w:val="00E303FC"/>
    <w:rsid w:val="00E54DA6"/>
    <w:rsid w:val="00E6695D"/>
    <w:rsid w:val="00E774CE"/>
    <w:rsid w:val="00E846B7"/>
    <w:rsid w:val="00E970EE"/>
    <w:rsid w:val="00EC3003"/>
    <w:rsid w:val="00EC358B"/>
    <w:rsid w:val="00EC7494"/>
    <w:rsid w:val="00EE5A6D"/>
    <w:rsid w:val="00F32B42"/>
    <w:rsid w:val="00F466DE"/>
    <w:rsid w:val="00F6004A"/>
    <w:rsid w:val="00F67A0F"/>
    <w:rsid w:val="00FA2242"/>
    <w:rsid w:val="00FD62F5"/>
    <w:rsid w:val="00FF6D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851E5D"/>
    <w:pPr>
      <w:spacing w:after="0" w:line="240" w:lineRule="auto"/>
    </w:pPr>
    <w:rPr>
      <w:sz w:val="20"/>
      <w:szCs w:val="20"/>
    </w:rPr>
  </w:style>
  <w:style w:type="character" w:customStyle="1" w:styleId="a4">
    <w:name w:val="Текст сноски Знак"/>
    <w:basedOn w:val="a0"/>
    <w:link w:val="a3"/>
    <w:uiPriority w:val="99"/>
    <w:semiHidden/>
    <w:rsid w:val="00851E5D"/>
    <w:rPr>
      <w:sz w:val="20"/>
      <w:szCs w:val="20"/>
    </w:rPr>
  </w:style>
  <w:style w:type="character" w:styleId="a5">
    <w:name w:val="footnote reference"/>
    <w:basedOn w:val="a0"/>
    <w:uiPriority w:val="99"/>
    <w:semiHidden/>
    <w:unhideWhenUsed/>
    <w:rsid w:val="00851E5D"/>
    <w:rPr>
      <w:vertAlign w:val="superscript"/>
    </w:rPr>
  </w:style>
  <w:style w:type="paragraph" w:styleId="a6">
    <w:name w:val="Balloon Text"/>
    <w:basedOn w:val="a"/>
    <w:link w:val="a7"/>
    <w:uiPriority w:val="99"/>
    <w:semiHidden/>
    <w:unhideWhenUsed/>
    <w:rsid w:val="00D36C9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36C9B"/>
    <w:rPr>
      <w:rFonts w:ascii="Tahoma" w:hAnsi="Tahoma" w:cs="Tahoma"/>
      <w:sz w:val="16"/>
      <w:szCs w:val="16"/>
    </w:rPr>
  </w:style>
  <w:style w:type="table" w:styleId="a8">
    <w:name w:val="Table Grid"/>
    <w:basedOn w:val="a1"/>
    <w:uiPriority w:val="59"/>
    <w:rsid w:val="00D76A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E970EE"/>
    <w:rPr>
      <w:color w:val="0000FF" w:themeColor="hyperlink"/>
      <w:u w:val="single"/>
    </w:rPr>
  </w:style>
  <w:style w:type="paragraph" w:styleId="aa">
    <w:name w:val="List Paragraph"/>
    <w:basedOn w:val="a"/>
    <w:uiPriority w:val="34"/>
    <w:qFormat/>
    <w:rsid w:val="000943C3"/>
    <w:pPr>
      <w:ind w:left="720"/>
      <w:contextualSpacing/>
    </w:pPr>
  </w:style>
  <w:style w:type="character" w:customStyle="1" w:styleId="fontstyle01">
    <w:name w:val="fontstyle01"/>
    <w:basedOn w:val="a0"/>
    <w:rsid w:val="00EC7494"/>
    <w:rPr>
      <w:rFonts w:ascii="TimesNewRomanPSMT" w:hAnsi="TimesNewRomanPSMT"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851E5D"/>
    <w:pPr>
      <w:spacing w:after="0" w:line="240" w:lineRule="auto"/>
    </w:pPr>
    <w:rPr>
      <w:sz w:val="20"/>
      <w:szCs w:val="20"/>
    </w:rPr>
  </w:style>
  <w:style w:type="character" w:customStyle="1" w:styleId="a4">
    <w:name w:val="Текст сноски Знак"/>
    <w:basedOn w:val="a0"/>
    <w:link w:val="a3"/>
    <w:uiPriority w:val="99"/>
    <w:semiHidden/>
    <w:rsid w:val="00851E5D"/>
    <w:rPr>
      <w:sz w:val="20"/>
      <w:szCs w:val="20"/>
    </w:rPr>
  </w:style>
  <w:style w:type="character" w:styleId="a5">
    <w:name w:val="footnote reference"/>
    <w:basedOn w:val="a0"/>
    <w:uiPriority w:val="99"/>
    <w:semiHidden/>
    <w:unhideWhenUsed/>
    <w:rsid w:val="00851E5D"/>
    <w:rPr>
      <w:vertAlign w:val="superscript"/>
    </w:rPr>
  </w:style>
  <w:style w:type="paragraph" w:styleId="a6">
    <w:name w:val="Balloon Text"/>
    <w:basedOn w:val="a"/>
    <w:link w:val="a7"/>
    <w:uiPriority w:val="99"/>
    <w:semiHidden/>
    <w:unhideWhenUsed/>
    <w:rsid w:val="00D36C9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36C9B"/>
    <w:rPr>
      <w:rFonts w:ascii="Tahoma" w:hAnsi="Tahoma" w:cs="Tahoma"/>
      <w:sz w:val="16"/>
      <w:szCs w:val="16"/>
    </w:rPr>
  </w:style>
  <w:style w:type="table" w:styleId="a8">
    <w:name w:val="Table Grid"/>
    <w:basedOn w:val="a1"/>
    <w:uiPriority w:val="59"/>
    <w:rsid w:val="00D76A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E970EE"/>
    <w:rPr>
      <w:color w:val="0000FF" w:themeColor="hyperlink"/>
      <w:u w:val="single"/>
    </w:rPr>
  </w:style>
  <w:style w:type="paragraph" w:styleId="aa">
    <w:name w:val="List Paragraph"/>
    <w:basedOn w:val="a"/>
    <w:uiPriority w:val="34"/>
    <w:qFormat/>
    <w:rsid w:val="000943C3"/>
    <w:pPr>
      <w:ind w:left="720"/>
      <w:contextualSpacing/>
    </w:pPr>
  </w:style>
  <w:style w:type="character" w:customStyle="1" w:styleId="fontstyle01">
    <w:name w:val="fontstyle01"/>
    <w:basedOn w:val="a0"/>
    <w:rsid w:val="00EC7494"/>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percentStacked"/>
        <c:varyColors val="0"/>
        <c:ser>
          <c:idx val="0"/>
          <c:order val="0"/>
          <c:tx>
            <c:strRef>
              <c:f>Лист1!$B$3</c:f>
              <c:strCache>
                <c:ptCount val="1"/>
                <c:pt idx="0">
                  <c:v>США</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Лист1!$A$4:$A$7</c:f>
              <c:strCache>
                <c:ptCount val="4"/>
                <c:pt idx="0">
                  <c:v>средства государства</c:v>
                </c:pt>
                <c:pt idx="1">
                  <c:v>средства предпринимательского сектора</c:v>
                </c:pt>
                <c:pt idx="2">
                  <c:v>другие национальные источники</c:v>
                </c:pt>
                <c:pt idx="3">
                  <c:v>иностранные источники</c:v>
                </c:pt>
              </c:strCache>
            </c:strRef>
          </c:cat>
          <c:val>
            <c:numRef>
              <c:f>Лист1!$B$4:$B$7</c:f>
              <c:numCache>
                <c:formatCode>General</c:formatCode>
                <c:ptCount val="4"/>
                <c:pt idx="0">
                  <c:v>23</c:v>
                </c:pt>
                <c:pt idx="1">
                  <c:v>62.4</c:v>
                </c:pt>
                <c:pt idx="2">
                  <c:v>7.4</c:v>
                </c:pt>
                <c:pt idx="3">
                  <c:v>7.2</c:v>
                </c:pt>
              </c:numCache>
            </c:numRef>
          </c:val>
          <c:extLst xmlns:c16r2="http://schemas.microsoft.com/office/drawing/2015/06/chart">
            <c:ext xmlns:c16="http://schemas.microsoft.com/office/drawing/2014/chart" uri="{C3380CC4-5D6E-409C-BE32-E72D297353CC}">
              <c16:uniqueId val="{00000000-44BE-44FF-B0E8-09813A04B8E6}"/>
            </c:ext>
          </c:extLst>
        </c:ser>
        <c:ser>
          <c:idx val="1"/>
          <c:order val="1"/>
          <c:tx>
            <c:strRef>
              <c:f>Лист1!$C$3</c:f>
              <c:strCache>
                <c:ptCount val="1"/>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Лист1!$A$4:$A$7</c:f>
              <c:strCache>
                <c:ptCount val="4"/>
                <c:pt idx="0">
                  <c:v>средства государства</c:v>
                </c:pt>
                <c:pt idx="1">
                  <c:v>средства предпринимательского сектора</c:v>
                </c:pt>
                <c:pt idx="2">
                  <c:v>другие национальные источники</c:v>
                </c:pt>
                <c:pt idx="3">
                  <c:v>иностранные источники</c:v>
                </c:pt>
              </c:strCache>
            </c:strRef>
          </c:cat>
          <c:val>
            <c:numRef>
              <c:f>Лист1!$C$4:$C$7</c:f>
              <c:numCache>
                <c:formatCode>General</c:formatCode>
                <c:ptCount val="4"/>
              </c:numCache>
            </c:numRef>
          </c:val>
          <c:extLst xmlns:c16r2="http://schemas.microsoft.com/office/drawing/2015/06/chart">
            <c:ext xmlns:c16="http://schemas.microsoft.com/office/drawing/2014/chart" uri="{C3380CC4-5D6E-409C-BE32-E72D297353CC}">
              <c16:uniqueId val="{00000001-44BE-44FF-B0E8-09813A04B8E6}"/>
            </c:ext>
          </c:extLst>
        </c:ser>
        <c:ser>
          <c:idx val="2"/>
          <c:order val="2"/>
          <c:tx>
            <c:strRef>
              <c:f>Лист1!$D$3</c:f>
              <c:strCache>
                <c:ptCount val="1"/>
                <c:pt idx="0">
                  <c:v>Россия</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Лист1!$A$4:$A$7</c:f>
              <c:strCache>
                <c:ptCount val="4"/>
                <c:pt idx="0">
                  <c:v>средства государства</c:v>
                </c:pt>
                <c:pt idx="1">
                  <c:v>средства предпринимательского сектора</c:v>
                </c:pt>
                <c:pt idx="2">
                  <c:v>другие национальные источники</c:v>
                </c:pt>
                <c:pt idx="3">
                  <c:v>иностранные источники</c:v>
                </c:pt>
              </c:strCache>
            </c:strRef>
          </c:cat>
          <c:val>
            <c:numRef>
              <c:f>Лист1!$D$4:$D$7</c:f>
              <c:numCache>
                <c:formatCode>General</c:formatCode>
                <c:ptCount val="4"/>
                <c:pt idx="0">
                  <c:v>67</c:v>
                </c:pt>
                <c:pt idx="1">
                  <c:v>29.5</c:v>
                </c:pt>
                <c:pt idx="2">
                  <c:v>1.1000000000000001</c:v>
                </c:pt>
                <c:pt idx="3">
                  <c:v>2.4</c:v>
                </c:pt>
              </c:numCache>
            </c:numRef>
          </c:val>
          <c:extLst xmlns:c16r2="http://schemas.microsoft.com/office/drawing/2015/06/chart">
            <c:ext xmlns:c16="http://schemas.microsoft.com/office/drawing/2014/chart" uri="{C3380CC4-5D6E-409C-BE32-E72D297353CC}">
              <c16:uniqueId val="{00000002-44BE-44FF-B0E8-09813A04B8E6}"/>
            </c:ext>
          </c:extLst>
        </c:ser>
        <c:dLbls>
          <c:showLegendKey val="0"/>
          <c:showVal val="0"/>
          <c:showCatName val="0"/>
          <c:showSerName val="0"/>
          <c:showPercent val="0"/>
          <c:showBubbleSize val="0"/>
        </c:dLbls>
        <c:gapWidth val="150"/>
        <c:overlap val="100"/>
        <c:axId val="37099008"/>
        <c:axId val="37100544"/>
      </c:barChart>
      <c:catAx>
        <c:axId val="37099008"/>
        <c:scaling>
          <c:orientation val="minMax"/>
        </c:scaling>
        <c:delete val="0"/>
        <c:axPos val="b"/>
        <c:numFmt formatCode="General" sourceLinked="0"/>
        <c:majorTickMark val="out"/>
        <c:minorTickMark val="none"/>
        <c:tickLblPos val="nextTo"/>
        <c:crossAx val="37100544"/>
        <c:crosses val="autoZero"/>
        <c:auto val="1"/>
        <c:lblAlgn val="ctr"/>
        <c:lblOffset val="100"/>
        <c:noMultiLvlLbl val="0"/>
      </c:catAx>
      <c:valAx>
        <c:axId val="37100544"/>
        <c:scaling>
          <c:orientation val="minMax"/>
        </c:scaling>
        <c:delete val="0"/>
        <c:axPos val="l"/>
        <c:majorGridlines>
          <c:spPr>
            <a:ln>
              <a:noFill/>
            </a:ln>
          </c:spPr>
        </c:majorGridlines>
        <c:numFmt formatCode="0%" sourceLinked="1"/>
        <c:majorTickMark val="out"/>
        <c:minorTickMark val="none"/>
        <c:tickLblPos val="nextTo"/>
        <c:crossAx val="37099008"/>
        <c:crosses val="autoZero"/>
        <c:crossBetween val="between"/>
      </c:valAx>
    </c:plotArea>
    <c:legend>
      <c:legendPos val="b"/>
      <c:legendEntry>
        <c:idx val="1"/>
        <c:delete val="1"/>
      </c:legendEntry>
      <c:layout/>
      <c:overlay val="0"/>
    </c:legend>
    <c:plotVisOnly val="1"/>
    <c:dispBlanksAs val="gap"/>
    <c:showDLblsOverMax val="0"/>
  </c:chart>
  <c:spPr>
    <a:noFill/>
    <a:ln>
      <a:noFill/>
    </a:ln>
  </c:spPr>
  <c:txPr>
    <a:bodyPr/>
    <a:lstStyle/>
    <a:p>
      <a:pPr>
        <a:defRPr>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percentStacked"/>
        <c:varyColors val="0"/>
        <c:ser>
          <c:idx val="0"/>
          <c:order val="0"/>
          <c:tx>
            <c:strRef>
              <c:f>Лист1!$B$35</c:f>
              <c:strCache>
                <c:ptCount val="1"/>
                <c:pt idx="0">
                  <c:v>США</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Лист1!$A$36:$A$39</c:f>
              <c:strCache>
                <c:ptCount val="4"/>
                <c:pt idx="0">
                  <c:v>государственный сектор</c:v>
                </c:pt>
                <c:pt idx="1">
                  <c:v>предпринимательский сектор</c:v>
                </c:pt>
                <c:pt idx="2">
                  <c:v>сектор высшего образования</c:v>
                </c:pt>
                <c:pt idx="3">
                  <c:v>сектор некоммерческих организаций</c:v>
                </c:pt>
              </c:strCache>
            </c:strRef>
          </c:cat>
          <c:val>
            <c:numRef>
              <c:f>Лист1!$B$36:$B$39</c:f>
              <c:numCache>
                <c:formatCode>General</c:formatCode>
                <c:ptCount val="4"/>
                <c:pt idx="0">
                  <c:v>10.4</c:v>
                </c:pt>
                <c:pt idx="1">
                  <c:v>72.599999999999994</c:v>
                </c:pt>
                <c:pt idx="2">
                  <c:v>12.8</c:v>
                </c:pt>
                <c:pt idx="3">
                  <c:v>4.2</c:v>
                </c:pt>
              </c:numCache>
            </c:numRef>
          </c:val>
          <c:extLst xmlns:c16r2="http://schemas.microsoft.com/office/drawing/2015/06/chart">
            <c:ext xmlns:c16="http://schemas.microsoft.com/office/drawing/2014/chart" uri="{C3380CC4-5D6E-409C-BE32-E72D297353CC}">
              <c16:uniqueId val="{00000000-06CE-4024-AB71-94706EF9D813}"/>
            </c:ext>
          </c:extLst>
        </c:ser>
        <c:ser>
          <c:idx val="1"/>
          <c:order val="1"/>
          <c:tx>
            <c:strRef>
              <c:f>Лист1!$C$35</c:f>
              <c:strCache>
                <c:ptCount val="1"/>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Лист1!$A$36:$A$39</c:f>
              <c:strCache>
                <c:ptCount val="4"/>
                <c:pt idx="0">
                  <c:v>государственный сектор</c:v>
                </c:pt>
                <c:pt idx="1">
                  <c:v>предпринимательский сектор</c:v>
                </c:pt>
                <c:pt idx="2">
                  <c:v>сектор высшего образования</c:v>
                </c:pt>
                <c:pt idx="3">
                  <c:v>сектор некоммерческих организаций</c:v>
                </c:pt>
              </c:strCache>
            </c:strRef>
          </c:cat>
          <c:val>
            <c:numRef>
              <c:f>Лист1!$C$36:$C$39</c:f>
              <c:numCache>
                <c:formatCode>General</c:formatCode>
                <c:ptCount val="4"/>
              </c:numCache>
            </c:numRef>
          </c:val>
          <c:extLst xmlns:c16r2="http://schemas.microsoft.com/office/drawing/2015/06/chart">
            <c:ext xmlns:c16="http://schemas.microsoft.com/office/drawing/2014/chart" uri="{C3380CC4-5D6E-409C-BE32-E72D297353CC}">
              <c16:uniqueId val="{00000001-06CE-4024-AB71-94706EF9D813}"/>
            </c:ext>
          </c:extLst>
        </c:ser>
        <c:ser>
          <c:idx val="2"/>
          <c:order val="2"/>
          <c:tx>
            <c:strRef>
              <c:f>Лист1!$D$35</c:f>
              <c:strCache>
                <c:ptCount val="1"/>
                <c:pt idx="0">
                  <c:v>Россия</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Лист1!$A$36:$A$39</c:f>
              <c:strCache>
                <c:ptCount val="4"/>
                <c:pt idx="0">
                  <c:v>государственный сектор</c:v>
                </c:pt>
                <c:pt idx="1">
                  <c:v>предпринимательский сектор</c:v>
                </c:pt>
                <c:pt idx="2">
                  <c:v>сектор высшего образования</c:v>
                </c:pt>
                <c:pt idx="3">
                  <c:v>сектор некоммерческих организаций</c:v>
                </c:pt>
              </c:strCache>
            </c:strRef>
          </c:cat>
          <c:val>
            <c:numRef>
              <c:f>Лист1!$D$36:$D$39</c:f>
              <c:numCache>
                <c:formatCode>General</c:formatCode>
                <c:ptCount val="4"/>
                <c:pt idx="0">
                  <c:v>34.4</c:v>
                </c:pt>
                <c:pt idx="1">
                  <c:v>55.6</c:v>
                </c:pt>
                <c:pt idx="2">
                  <c:v>9.6999999999999993</c:v>
                </c:pt>
                <c:pt idx="3">
                  <c:v>0.3</c:v>
                </c:pt>
              </c:numCache>
            </c:numRef>
          </c:val>
          <c:extLst xmlns:c16r2="http://schemas.microsoft.com/office/drawing/2015/06/chart">
            <c:ext xmlns:c16="http://schemas.microsoft.com/office/drawing/2014/chart" uri="{C3380CC4-5D6E-409C-BE32-E72D297353CC}">
              <c16:uniqueId val="{00000002-06CE-4024-AB71-94706EF9D813}"/>
            </c:ext>
          </c:extLst>
        </c:ser>
        <c:dLbls>
          <c:showLegendKey val="0"/>
          <c:showVal val="0"/>
          <c:showCatName val="0"/>
          <c:showSerName val="0"/>
          <c:showPercent val="0"/>
          <c:showBubbleSize val="0"/>
        </c:dLbls>
        <c:gapWidth val="150"/>
        <c:overlap val="100"/>
        <c:axId val="124026240"/>
        <c:axId val="124032128"/>
      </c:barChart>
      <c:catAx>
        <c:axId val="124026240"/>
        <c:scaling>
          <c:orientation val="minMax"/>
        </c:scaling>
        <c:delete val="0"/>
        <c:axPos val="b"/>
        <c:numFmt formatCode="General" sourceLinked="0"/>
        <c:majorTickMark val="out"/>
        <c:minorTickMark val="none"/>
        <c:tickLblPos val="nextTo"/>
        <c:txPr>
          <a:bodyPr/>
          <a:lstStyle/>
          <a:p>
            <a:pPr>
              <a:defRPr sz="700"/>
            </a:pPr>
            <a:endParaRPr lang="ru-RU"/>
          </a:p>
        </c:txPr>
        <c:crossAx val="124032128"/>
        <c:crosses val="autoZero"/>
        <c:auto val="1"/>
        <c:lblAlgn val="ctr"/>
        <c:lblOffset val="100"/>
        <c:noMultiLvlLbl val="0"/>
      </c:catAx>
      <c:valAx>
        <c:axId val="124032128"/>
        <c:scaling>
          <c:orientation val="minMax"/>
        </c:scaling>
        <c:delete val="0"/>
        <c:axPos val="l"/>
        <c:majorGridlines>
          <c:spPr>
            <a:ln>
              <a:noFill/>
            </a:ln>
          </c:spPr>
        </c:majorGridlines>
        <c:numFmt formatCode="0%" sourceLinked="1"/>
        <c:majorTickMark val="out"/>
        <c:minorTickMark val="none"/>
        <c:tickLblPos val="nextTo"/>
        <c:crossAx val="124026240"/>
        <c:crosses val="autoZero"/>
        <c:crossBetween val="between"/>
      </c:valAx>
    </c:plotArea>
    <c:legend>
      <c:legendPos val="b"/>
      <c:legendEntry>
        <c:idx val="1"/>
        <c:delete val="1"/>
      </c:legendEntry>
      <c:layout/>
      <c:overlay val="0"/>
    </c:legend>
    <c:plotVisOnly val="1"/>
    <c:dispBlanksAs val="gap"/>
    <c:showDLblsOverMax val="0"/>
  </c:chart>
  <c:spPr>
    <a:ln>
      <a:noFill/>
    </a:ln>
  </c:sp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percentStacked"/>
        <c:varyColors val="0"/>
        <c:ser>
          <c:idx val="0"/>
          <c:order val="0"/>
          <c:tx>
            <c:strRef>
              <c:f>Лист1!$B$19</c:f>
              <c:strCache>
                <c:ptCount val="1"/>
                <c:pt idx="0">
                  <c:v>США</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Лист1!$A$20:$A$25</c:f>
              <c:strCache>
                <c:ptCount val="6"/>
                <c:pt idx="0">
                  <c:v>естственные науки</c:v>
                </c:pt>
                <c:pt idx="1">
                  <c:v>технические науки</c:v>
                </c:pt>
                <c:pt idx="2">
                  <c:v>медицинские науки</c:v>
                </c:pt>
                <c:pt idx="3">
                  <c:v>сельскохозяйственные науки</c:v>
                </c:pt>
                <c:pt idx="4">
                  <c:v>общественные науки</c:v>
                </c:pt>
                <c:pt idx="5">
                  <c:v>гуманитарные науки</c:v>
                </c:pt>
              </c:strCache>
            </c:strRef>
          </c:cat>
          <c:val>
            <c:numRef>
              <c:f>Лист1!$B$20:$B$25</c:f>
              <c:numCache>
                <c:formatCode>General</c:formatCode>
                <c:ptCount val="6"/>
                <c:pt idx="0">
                  <c:v>12.5</c:v>
                </c:pt>
                <c:pt idx="1">
                  <c:v>49.4</c:v>
                </c:pt>
                <c:pt idx="2">
                  <c:v>16.899999999999999</c:v>
                </c:pt>
                <c:pt idx="3">
                  <c:v>4</c:v>
                </c:pt>
                <c:pt idx="4">
                  <c:v>8.8000000000000007</c:v>
                </c:pt>
                <c:pt idx="5">
                  <c:v>8.4</c:v>
                </c:pt>
              </c:numCache>
            </c:numRef>
          </c:val>
          <c:extLst xmlns:c16r2="http://schemas.microsoft.com/office/drawing/2015/06/chart">
            <c:ext xmlns:c16="http://schemas.microsoft.com/office/drawing/2014/chart" uri="{C3380CC4-5D6E-409C-BE32-E72D297353CC}">
              <c16:uniqueId val="{00000000-BB25-4A4C-A0F4-0F6F617E47F8}"/>
            </c:ext>
          </c:extLst>
        </c:ser>
        <c:ser>
          <c:idx val="1"/>
          <c:order val="1"/>
          <c:tx>
            <c:strRef>
              <c:f>Лист1!$C$19</c:f>
              <c:strCache>
                <c:ptCount val="1"/>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Лист1!$A$20:$A$25</c:f>
              <c:strCache>
                <c:ptCount val="6"/>
                <c:pt idx="0">
                  <c:v>естственные науки</c:v>
                </c:pt>
                <c:pt idx="1">
                  <c:v>технические науки</c:v>
                </c:pt>
                <c:pt idx="2">
                  <c:v>медицинские науки</c:v>
                </c:pt>
                <c:pt idx="3">
                  <c:v>сельскохозяйственные науки</c:v>
                </c:pt>
                <c:pt idx="4">
                  <c:v>общественные науки</c:v>
                </c:pt>
                <c:pt idx="5">
                  <c:v>гуманитарные науки</c:v>
                </c:pt>
              </c:strCache>
            </c:strRef>
          </c:cat>
          <c:val>
            <c:numRef>
              <c:f>Лист1!$C$20:$C$25</c:f>
              <c:numCache>
                <c:formatCode>General</c:formatCode>
                <c:ptCount val="6"/>
              </c:numCache>
            </c:numRef>
          </c:val>
          <c:extLst xmlns:c16r2="http://schemas.microsoft.com/office/drawing/2015/06/chart">
            <c:ext xmlns:c16="http://schemas.microsoft.com/office/drawing/2014/chart" uri="{C3380CC4-5D6E-409C-BE32-E72D297353CC}">
              <c16:uniqueId val="{00000001-BB25-4A4C-A0F4-0F6F617E47F8}"/>
            </c:ext>
          </c:extLst>
        </c:ser>
        <c:ser>
          <c:idx val="2"/>
          <c:order val="2"/>
          <c:tx>
            <c:strRef>
              <c:f>Лист1!$D$19</c:f>
              <c:strCache>
                <c:ptCount val="1"/>
                <c:pt idx="0">
                  <c:v>Россия</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Лист1!$A$20:$A$25</c:f>
              <c:strCache>
                <c:ptCount val="6"/>
                <c:pt idx="0">
                  <c:v>естственные науки</c:v>
                </c:pt>
                <c:pt idx="1">
                  <c:v>технические науки</c:v>
                </c:pt>
                <c:pt idx="2">
                  <c:v>медицинские науки</c:v>
                </c:pt>
                <c:pt idx="3">
                  <c:v>сельскохозяйственные науки</c:v>
                </c:pt>
                <c:pt idx="4">
                  <c:v>общественные науки</c:v>
                </c:pt>
                <c:pt idx="5">
                  <c:v>гуманитарные науки</c:v>
                </c:pt>
              </c:strCache>
            </c:strRef>
          </c:cat>
          <c:val>
            <c:numRef>
              <c:f>Лист1!$D$20:$D$25</c:f>
              <c:numCache>
                <c:formatCode>General</c:formatCode>
                <c:ptCount val="6"/>
                <c:pt idx="0">
                  <c:v>17.7</c:v>
                </c:pt>
                <c:pt idx="1">
                  <c:v>72.099999999999994</c:v>
                </c:pt>
                <c:pt idx="2">
                  <c:v>4</c:v>
                </c:pt>
                <c:pt idx="3">
                  <c:v>1.7</c:v>
                </c:pt>
                <c:pt idx="4">
                  <c:v>3</c:v>
                </c:pt>
                <c:pt idx="5">
                  <c:v>1.5</c:v>
                </c:pt>
              </c:numCache>
            </c:numRef>
          </c:val>
          <c:extLst xmlns:c16r2="http://schemas.microsoft.com/office/drawing/2015/06/chart">
            <c:ext xmlns:c16="http://schemas.microsoft.com/office/drawing/2014/chart" uri="{C3380CC4-5D6E-409C-BE32-E72D297353CC}">
              <c16:uniqueId val="{00000002-BB25-4A4C-A0F4-0F6F617E47F8}"/>
            </c:ext>
          </c:extLst>
        </c:ser>
        <c:dLbls>
          <c:showLegendKey val="0"/>
          <c:showVal val="0"/>
          <c:showCatName val="0"/>
          <c:showSerName val="0"/>
          <c:showPercent val="0"/>
          <c:showBubbleSize val="0"/>
        </c:dLbls>
        <c:gapWidth val="150"/>
        <c:overlap val="100"/>
        <c:axId val="124124544"/>
        <c:axId val="128197760"/>
      </c:barChart>
      <c:catAx>
        <c:axId val="124124544"/>
        <c:scaling>
          <c:orientation val="minMax"/>
        </c:scaling>
        <c:delete val="0"/>
        <c:axPos val="b"/>
        <c:numFmt formatCode="General" sourceLinked="0"/>
        <c:majorTickMark val="out"/>
        <c:minorTickMark val="none"/>
        <c:tickLblPos val="nextTo"/>
        <c:txPr>
          <a:bodyPr/>
          <a:lstStyle/>
          <a:p>
            <a:pPr>
              <a:defRPr sz="700">
                <a:latin typeface="Times New Roman" panose="02020603050405020304" pitchFamily="18" charset="0"/>
                <a:cs typeface="Times New Roman" panose="02020603050405020304" pitchFamily="18" charset="0"/>
              </a:defRPr>
            </a:pPr>
            <a:endParaRPr lang="ru-RU"/>
          </a:p>
        </c:txPr>
        <c:crossAx val="128197760"/>
        <c:crosses val="autoZero"/>
        <c:auto val="1"/>
        <c:lblAlgn val="ctr"/>
        <c:lblOffset val="100"/>
        <c:noMultiLvlLbl val="0"/>
      </c:catAx>
      <c:valAx>
        <c:axId val="128197760"/>
        <c:scaling>
          <c:orientation val="minMax"/>
        </c:scaling>
        <c:delete val="0"/>
        <c:axPos val="l"/>
        <c:majorGridlines>
          <c:spPr>
            <a:ln>
              <a:noFill/>
            </a:ln>
          </c:spPr>
        </c:majorGridlines>
        <c:numFmt formatCode="0%" sourceLinked="1"/>
        <c:majorTickMark val="out"/>
        <c:minorTickMark val="none"/>
        <c:tickLblPos val="nextTo"/>
        <c:crossAx val="124124544"/>
        <c:crosses val="autoZero"/>
        <c:crossBetween val="between"/>
      </c:valAx>
    </c:plotArea>
    <c:legend>
      <c:legendPos val="b"/>
      <c:legendEntry>
        <c:idx val="1"/>
        <c:delete val="1"/>
      </c:legendEntry>
      <c:layout/>
      <c:overlay val="0"/>
    </c:legend>
    <c:plotVisOnly val="1"/>
    <c:dispBlanksAs val="gap"/>
    <c:showDLblsOverMax val="0"/>
  </c:chart>
  <c:spPr>
    <a:ln>
      <a:noFill/>
    </a:ln>
  </c:sp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925BFF-25FB-417F-A957-EE5BC3576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506</TotalTime>
  <Pages>6</Pages>
  <Words>2385</Words>
  <Characters>13601</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П. Кузнецова</dc:creator>
  <cp:keywords/>
  <dc:description/>
  <cp:lastModifiedBy>Екатерина П. Кузнецова</cp:lastModifiedBy>
  <cp:revision>13</cp:revision>
  <cp:lastPrinted>2021-05-27T13:38:00Z</cp:lastPrinted>
  <dcterms:created xsi:type="dcterms:W3CDTF">2021-06-01T05:57:00Z</dcterms:created>
  <dcterms:modified xsi:type="dcterms:W3CDTF">2021-06-22T11:22:00Z</dcterms:modified>
</cp:coreProperties>
</file>