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E05B2" w:rsidRDefault="00FE05B2" w:rsidP="00FE5A1B">
      <w:pPr>
        <w:shd w:val="clear" w:color="auto" w:fill="FFFFFF"/>
        <w:spacing w:after="0" w:line="240" w:lineRule="auto"/>
        <w:ind w:firstLine="709"/>
        <w:jc w:val="both"/>
        <w:outlineLvl w:val="0"/>
        <w:rPr>
          <w:rFonts w:ascii="Times New Roman" w:eastAsia="Times New Roman" w:hAnsi="Times New Roman" w:cs="Times New Roman"/>
          <w:b/>
          <w:color w:val="222222"/>
          <w:sz w:val="28"/>
          <w:szCs w:val="28"/>
          <w:lang w:eastAsia="ru-RU"/>
        </w:rPr>
      </w:pPr>
      <w:r w:rsidRPr="00FE05B2">
        <w:rPr>
          <w:rFonts w:ascii="Times New Roman" w:eastAsia="Times New Roman" w:hAnsi="Times New Roman" w:cs="Times New Roman"/>
          <w:b/>
          <w:color w:val="222222"/>
          <w:sz w:val="28"/>
          <w:szCs w:val="28"/>
          <w:lang w:eastAsia="ru-RU"/>
        </w:rPr>
        <w:t>УДК 332.146.2</w:t>
      </w:r>
    </w:p>
    <w:p w:rsidR="00FE05B2" w:rsidRPr="00FE05B2" w:rsidRDefault="00FE05B2" w:rsidP="00FE05B2">
      <w:pPr>
        <w:shd w:val="clear" w:color="auto" w:fill="FFFFFF"/>
        <w:spacing w:after="0" w:line="240" w:lineRule="auto"/>
        <w:ind w:firstLine="709"/>
        <w:jc w:val="right"/>
        <w:outlineLvl w:val="0"/>
        <w:rPr>
          <w:rFonts w:ascii="Times New Roman" w:eastAsia="Times New Roman" w:hAnsi="Times New Roman" w:cs="Times New Roman"/>
          <w:b/>
          <w:color w:val="222222"/>
          <w:sz w:val="28"/>
          <w:szCs w:val="28"/>
          <w:lang w:eastAsia="ru-RU"/>
        </w:rPr>
      </w:pPr>
      <w:r>
        <w:rPr>
          <w:rFonts w:ascii="Times New Roman" w:eastAsia="Times New Roman" w:hAnsi="Times New Roman" w:cs="Times New Roman"/>
          <w:b/>
          <w:color w:val="222222"/>
          <w:sz w:val="28"/>
          <w:szCs w:val="28"/>
          <w:lang w:eastAsia="ru-RU"/>
        </w:rPr>
        <w:t>Рычкова А.С.</w:t>
      </w:r>
    </w:p>
    <w:p w:rsidR="007130C1" w:rsidRDefault="007130C1" w:rsidP="007B1526">
      <w:pPr>
        <w:shd w:val="clear" w:color="auto" w:fill="FFFFFF"/>
        <w:spacing w:after="0" w:line="240" w:lineRule="auto"/>
        <w:ind w:firstLine="709"/>
        <w:jc w:val="center"/>
        <w:outlineLvl w:val="0"/>
        <w:rPr>
          <w:rFonts w:ascii="Times New Roman" w:eastAsia="Times New Roman" w:hAnsi="Times New Roman" w:cs="Times New Roman"/>
          <w:b/>
          <w:bCs/>
          <w:color w:val="000000"/>
          <w:kern w:val="36"/>
          <w:sz w:val="28"/>
          <w:szCs w:val="28"/>
          <w:lang w:eastAsia="ru-RU"/>
        </w:rPr>
      </w:pPr>
      <w:r w:rsidRPr="007130C1">
        <w:rPr>
          <w:rFonts w:ascii="Times New Roman" w:eastAsia="Times New Roman" w:hAnsi="Times New Roman" w:cs="Times New Roman"/>
          <w:b/>
          <w:bCs/>
          <w:color w:val="000000"/>
          <w:kern w:val="36"/>
          <w:sz w:val="28"/>
          <w:szCs w:val="28"/>
          <w:lang w:eastAsia="ru-RU"/>
        </w:rPr>
        <w:t>Т</w:t>
      </w:r>
      <w:r w:rsidR="00FE05B2">
        <w:rPr>
          <w:rFonts w:ascii="Times New Roman" w:eastAsia="Times New Roman" w:hAnsi="Times New Roman" w:cs="Times New Roman"/>
          <w:b/>
          <w:bCs/>
          <w:color w:val="000000"/>
          <w:kern w:val="36"/>
          <w:sz w:val="28"/>
          <w:szCs w:val="28"/>
          <w:lang w:eastAsia="ru-RU"/>
        </w:rPr>
        <w:t>РАНСФОРМАЦИЯ</w:t>
      </w:r>
      <w:r w:rsidRPr="007130C1">
        <w:rPr>
          <w:rFonts w:ascii="Times New Roman" w:eastAsia="Times New Roman" w:hAnsi="Times New Roman" w:cs="Times New Roman"/>
          <w:b/>
          <w:bCs/>
          <w:color w:val="000000"/>
          <w:kern w:val="36"/>
          <w:sz w:val="28"/>
          <w:szCs w:val="28"/>
          <w:lang w:eastAsia="ru-RU"/>
        </w:rPr>
        <w:t xml:space="preserve"> </w:t>
      </w:r>
      <w:r w:rsidR="00FE05B2">
        <w:rPr>
          <w:rFonts w:ascii="Times New Roman" w:eastAsia="Times New Roman" w:hAnsi="Times New Roman" w:cs="Times New Roman"/>
          <w:b/>
          <w:bCs/>
          <w:color w:val="000000"/>
          <w:kern w:val="36"/>
          <w:sz w:val="28"/>
          <w:szCs w:val="28"/>
          <w:lang w:eastAsia="ru-RU"/>
        </w:rPr>
        <w:t>ПОДХОДА К ОЦЕНКЕ ИНВЕСТИЦ</w:t>
      </w:r>
      <w:bookmarkStart w:id="0" w:name="_GoBack"/>
      <w:bookmarkEnd w:id="0"/>
      <w:r w:rsidR="00FE05B2">
        <w:rPr>
          <w:rFonts w:ascii="Times New Roman" w:eastAsia="Times New Roman" w:hAnsi="Times New Roman" w:cs="Times New Roman"/>
          <w:b/>
          <w:bCs/>
          <w:color w:val="000000"/>
          <w:kern w:val="36"/>
          <w:sz w:val="28"/>
          <w:szCs w:val="28"/>
          <w:lang w:eastAsia="ru-RU"/>
        </w:rPr>
        <w:t xml:space="preserve">ИОНННОЙ ПРИВЛЕКАТЕЛЬНОСТИ РЕГИОНА КАК </w:t>
      </w:r>
      <w:r w:rsidR="007B1526">
        <w:rPr>
          <w:rFonts w:ascii="Times New Roman" w:eastAsia="Times New Roman" w:hAnsi="Times New Roman" w:cs="Times New Roman"/>
          <w:b/>
          <w:bCs/>
          <w:color w:val="000000"/>
          <w:kern w:val="36"/>
          <w:sz w:val="28"/>
          <w:szCs w:val="28"/>
          <w:lang w:eastAsia="ru-RU"/>
        </w:rPr>
        <w:t>СЛЕДСТВИЕ ПАНДЕМИИ</w:t>
      </w:r>
      <w:r w:rsidRPr="007130C1">
        <w:rPr>
          <w:rFonts w:ascii="Times New Roman" w:eastAsia="Times New Roman" w:hAnsi="Times New Roman" w:cs="Times New Roman"/>
          <w:b/>
          <w:bCs/>
          <w:color w:val="000000"/>
          <w:kern w:val="36"/>
          <w:sz w:val="28"/>
          <w:szCs w:val="28"/>
          <w:lang w:eastAsia="ru-RU"/>
        </w:rPr>
        <w:t xml:space="preserve"> COVID-19</w:t>
      </w:r>
    </w:p>
    <w:p w:rsidR="007B1526" w:rsidRDefault="007B1526" w:rsidP="007B1526">
      <w:pPr>
        <w:shd w:val="clear" w:color="auto" w:fill="FFFFFF"/>
        <w:spacing w:after="0" w:line="240" w:lineRule="auto"/>
        <w:ind w:firstLine="709"/>
        <w:jc w:val="center"/>
        <w:outlineLvl w:val="0"/>
        <w:rPr>
          <w:rFonts w:ascii="Times New Roman" w:eastAsia="Times New Roman" w:hAnsi="Times New Roman" w:cs="Times New Roman"/>
          <w:b/>
          <w:bCs/>
          <w:color w:val="000000"/>
          <w:kern w:val="36"/>
          <w:sz w:val="28"/>
          <w:szCs w:val="28"/>
          <w:lang w:eastAsia="ru-RU"/>
        </w:rPr>
      </w:pPr>
    </w:p>
    <w:p w:rsidR="007B1526" w:rsidRDefault="007B1526" w:rsidP="007B1526">
      <w:pPr>
        <w:shd w:val="clear" w:color="auto" w:fill="FFFFFF"/>
        <w:spacing w:after="0" w:line="240" w:lineRule="auto"/>
        <w:ind w:firstLine="709"/>
        <w:jc w:val="both"/>
        <w:outlineLvl w:val="0"/>
        <w:rPr>
          <w:rFonts w:ascii="Times New Roman" w:eastAsia="Times New Roman" w:hAnsi="Times New Roman" w:cs="Times New Roman"/>
          <w:bCs/>
          <w:i/>
          <w:color w:val="000000"/>
          <w:kern w:val="36"/>
          <w:sz w:val="28"/>
          <w:szCs w:val="28"/>
          <w:lang w:eastAsia="ru-RU"/>
        </w:rPr>
      </w:pPr>
      <w:r w:rsidRPr="007B1526">
        <w:rPr>
          <w:rFonts w:ascii="Times New Roman" w:eastAsia="Times New Roman" w:hAnsi="Times New Roman" w:cs="Times New Roman"/>
          <w:b/>
          <w:bCs/>
          <w:i/>
          <w:color w:val="000000"/>
          <w:kern w:val="36"/>
          <w:sz w:val="28"/>
          <w:szCs w:val="28"/>
          <w:lang w:eastAsia="ru-RU"/>
        </w:rPr>
        <w:t>Аннотация статьи на русском языке</w:t>
      </w:r>
      <w:r w:rsidRPr="007B1526">
        <w:rPr>
          <w:rFonts w:ascii="Times New Roman" w:eastAsia="Times New Roman" w:hAnsi="Times New Roman" w:cs="Times New Roman"/>
          <w:bCs/>
          <w:i/>
          <w:color w:val="000000"/>
          <w:kern w:val="36"/>
          <w:sz w:val="28"/>
          <w:szCs w:val="28"/>
          <w:lang w:eastAsia="ru-RU"/>
        </w:rPr>
        <w:t xml:space="preserve">. В статье рассматриваются актуальные проблемы оценки инвестиционной привлекательности регионов с учетом последствий пандемии. Также описаны новые критерии оценивания привлекательности регионов в связи с их трансформацией. </w:t>
      </w:r>
    </w:p>
    <w:p w:rsidR="007B1526" w:rsidRDefault="007B1526" w:rsidP="007B1526">
      <w:pPr>
        <w:shd w:val="clear" w:color="auto" w:fill="FFFFFF"/>
        <w:spacing w:after="0" w:line="240" w:lineRule="auto"/>
        <w:ind w:firstLine="709"/>
        <w:jc w:val="both"/>
        <w:outlineLvl w:val="0"/>
        <w:rPr>
          <w:rFonts w:ascii="Times New Roman" w:eastAsia="Times New Roman" w:hAnsi="Times New Roman" w:cs="Times New Roman"/>
          <w:bCs/>
          <w:i/>
          <w:color w:val="000000"/>
          <w:kern w:val="36"/>
          <w:sz w:val="28"/>
          <w:szCs w:val="28"/>
          <w:lang w:eastAsia="ru-RU"/>
        </w:rPr>
      </w:pPr>
      <w:r w:rsidRPr="007B1526">
        <w:rPr>
          <w:rFonts w:ascii="Times New Roman" w:eastAsia="Times New Roman" w:hAnsi="Times New Roman" w:cs="Times New Roman"/>
          <w:b/>
          <w:bCs/>
          <w:i/>
          <w:color w:val="000000"/>
          <w:kern w:val="36"/>
          <w:sz w:val="28"/>
          <w:szCs w:val="28"/>
          <w:lang w:eastAsia="ru-RU"/>
        </w:rPr>
        <w:t>Ключевые слова на русском языке.</w:t>
      </w:r>
      <w:r>
        <w:rPr>
          <w:rFonts w:ascii="Times New Roman" w:eastAsia="Times New Roman" w:hAnsi="Times New Roman" w:cs="Times New Roman"/>
          <w:bCs/>
          <w:i/>
          <w:color w:val="000000"/>
          <w:kern w:val="36"/>
          <w:sz w:val="28"/>
          <w:szCs w:val="28"/>
          <w:lang w:eastAsia="ru-RU"/>
        </w:rPr>
        <w:t xml:space="preserve"> Инвестиционная привлекательность региона, пандемия, инфраструктура, инновационное развитие, трансформация.</w:t>
      </w:r>
    </w:p>
    <w:p w:rsidR="007B1526" w:rsidRPr="007B1526" w:rsidRDefault="007B1526" w:rsidP="007B1526">
      <w:pPr>
        <w:shd w:val="clear" w:color="auto" w:fill="FFFFFF"/>
        <w:spacing w:after="0" w:line="240" w:lineRule="auto"/>
        <w:ind w:firstLine="709"/>
        <w:jc w:val="both"/>
        <w:outlineLvl w:val="0"/>
        <w:rPr>
          <w:rFonts w:ascii="Times New Roman" w:eastAsia="Times New Roman" w:hAnsi="Times New Roman" w:cs="Times New Roman"/>
          <w:bCs/>
          <w:i/>
          <w:color w:val="000000"/>
          <w:kern w:val="36"/>
          <w:sz w:val="28"/>
          <w:szCs w:val="28"/>
          <w:lang w:eastAsia="ru-RU"/>
        </w:rPr>
      </w:pPr>
    </w:p>
    <w:p w:rsidR="005F576F" w:rsidRPr="00FE5A1B" w:rsidRDefault="005F576F" w:rsidP="00FE5A1B">
      <w:pPr>
        <w:spacing w:after="0" w:line="240" w:lineRule="auto"/>
        <w:ind w:firstLine="709"/>
        <w:jc w:val="both"/>
        <w:rPr>
          <w:rFonts w:ascii="Times New Roman" w:eastAsia="Times New Roman" w:hAnsi="Times New Roman" w:cs="Times New Roman"/>
          <w:color w:val="222222"/>
          <w:sz w:val="28"/>
          <w:szCs w:val="28"/>
          <w:lang w:eastAsia="ru-RU"/>
        </w:rPr>
      </w:pPr>
      <w:r w:rsidRPr="00FE5A1B">
        <w:rPr>
          <w:rFonts w:ascii="Times New Roman" w:eastAsia="Times New Roman" w:hAnsi="Times New Roman" w:cs="Times New Roman"/>
          <w:color w:val="222222"/>
          <w:sz w:val="28"/>
          <w:szCs w:val="28"/>
          <w:lang w:eastAsia="ru-RU"/>
        </w:rPr>
        <w:t>Интеграция инструментов цифровых коммуникаций в работу предприятий сегодня растет в геометрической прогрессии. Мировая пандемия COVID-19 значительно усилила эти процессы из-за принудительной изоляции значительной части трудовых ресурсов. Эта вынужденная интеграция цифровых технологий практически во все бизнес-процессы предприятий может в конечном итоге привести к полной трансформации мировой экономики и снижению значимости территориальной принадлежности рабочей силы. Эта тенденция может снизить роль зрелости региональных бизнес-структур, территориальной принадлежности образовательных учреждений и общей сложности региональной инфраструктуры и ресурсной базы. Имея возможность работать практически из любой точки мира, люди больше не будут зависеть от региональной специфики. Безусловно, эта тенденция не нова, но именно мировая пандемия COVID-19 спровоцировала ее активное распространение. Следствием данной тенденции является массовое снижение инвестиционной привлекательности субъектов Федерации. Из-за отсутствия необходимости физического взаимодействия для выполнения бизнес-процессов предприятия теряют мотивацию к развитию региональной инфраструктуры, что, в свою очередь, снижает их инвестиционную активность. Таким образом, инструменты управления инвестиционной привлекательностью региона становятся все более важными. Одним из основных этапов процесса управления является оценка, которая в случае инвестиционной привлекательности региона становится особенно сложной в контексте вышеуказанных тенденций. Поскольку регионы становятся все менее и менее интересными для инвестиций на физическом уровне. Регионы с развитой социальной и деловой инфраструктурой становятся все более привлекательными для инвестиций.</w:t>
      </w:r>
    </w:p>
    <w:p w:rsidR="005F576F" w:rsidRPr="00FE5A1B" w:rsidRDefault="005F576F" w:rsidP="00FE5A1B">
      <w:pPr>
        <w:spacing w:after="0" w:line="240" w:lineRule="auto"/>
        <w:ind w:firstLine="709"/>
        <w:jc w:val="both"/>
        <w:rPr>
          <w:rFonts w:ascii="Times New Roman" w:eastAsia="Times New Roman" w:hAnsi="Times New Roman" w:cs="Times New Roman"/>
          <w:color w:val="222222"/>
          <w:sz w:val="28"/>
          <w:szCs w:val="28"/>
          <w:lang w:eastAsia="ru-RU"/>
        </w:rPr>
      </w:pPr>
      <w:r w:rsidRPr="00FE5A1B">
        <w:rPr>
          <w:rFonts w:ascii="Times New Roman" w:eastAsia="Times New Roman" w:hAnsi="Times New Roman" w:cs="Times New Roman"/>
          <w:color w:val="222222"/>
          <w:sz w:val="28"/>
          <w:szCs w:val="28"/>
          <w:lang w:eastAsia="ru-RU"/>
        </w:rPr>
        <w:t>Исходя из вышесказанного, следует отметить необходимость принципиально новых инструментов оценки уровня инвестиционной привлекательности регионов. Эти инструменты должны учитывать сложность и разнообразие региона в контексте современных реалий, а также оценивать тенденции его развития. </w:t>
      </w:r>
      <w:r w:rsidR="007979B2" w:rsidRPr="00FE5A1B">
        <w:rPr>
          <w:rFonts w:ascii="Times New Roman" w:eastAsia="Times New Roman" w:hAnsi="Times New Roman" w:cs="Times New Roman"/>
          <w:color w:val="222222"/>
          <w:sz w:val="28"/>
          <w:szCs w:val="28"/>
          <w:lang w:eastAsia="ru-RU"/>
        </w:rPr>
        <w:t xml:space="preserve"> </w:t>
      </w:r>
      <w:r w:rsidR="007979B2">
        <w:rPr>
          <w:rFonts w:ascii="Times New Roman" w:eastAsia="Times New Roman" w:hAnsi="Times New Roman" w:cs="Times New Roman"/>
          <w:color w:val="222222"/>
          <w:sz w:val="28"/>
          <w:szCs w:val="28"/>
          <w:lang w:eastAsia="ru-RU"/>
        </w:rPr>
        <w:t>Р</w:t>
      </w:r>
      <w:r w:rsidRPr="00FE5A1B">
        <w:rPr>
          <w:rFonts w:ascii="Times New Roman" w:eastAsia="Times New Roman" w:hAnsi="Times New Roman" w:cs="Times New Roman"/>
          <w:color w:val="222222"/>
          <w:sz w:val="28"/>
          <w:szCs w:val="28"/>
          <w:lang w:eastAsia="ru-RU"/>
        </w:rPr>
        <w:t xml:space="preserve">егион требует учета состояния всех подсистем, таких как социальная среда или экологическая среда. В то же время, потенциальная отдача от инвестиций в регион не является мгновенной, поскольку любое </w:t>
      </w:r>
      <w:r w:rsidRPr="00FE5A1B">
        <w:rPr>
          <w:rFonts w:ascii="Times New Roman" w:eastAsia="Times New Roman" w:hAnsi="Times New Roman" w:cs="Times New Roman"/>
          <w:color w:val="222222"/>
          <w:sz w:val="28"/>
          <w:szCs w:val="28"/>
          <w:lang w:eastAsia="ru-RU"/>
        </w:rPr>
        <w:lastRenderedPageBreak/>
        <w:t>одномерное развитие предполагает всестороннюю трансформацию всей региональной среды. Следовательно, методика оценки инвестиционной привлекательности региона должна учитывать динамическую взаимосвязь между показателями регионального развития.  Современная эффективная методология оценки инвестиционной привлекательности региона должна основываться на универсальных количественных параметрах, а также на научно обоснованных критериях описания взаимосвязи между количественными переменными. </w:t>
      </w:r>
      <w:r w:rsidR="007979B2" w:rsidRPr="00FE5A1B">
        <w:rPr>
          <w:rFonts w:ascii="Times New Roman" w:eastAsia="Times New Roman" w:hAnsi="Times New Roman" w:cs="Times New Roman"/>
          <w:color w:val="222222"/>
          <w:sz w:val="28"/>
          <w:szCs w:val="28"/>
          <w:lang w:eastAsia="ru-RU"/>
        </w:rPr>
        <w:t xml:space="preserve"> </w:t>
      </w:r>
      <w:r w:rsidRPr="00FE5A1B">
        <w:rPr>
          <w:rFonts w:ascii="Times New Roman" w:eastAsia="Times New Roman" w:hAnsi="Times New Roman" w:cs="Times New Roman"/>
          <w:color w:val="222222"/>
          <w:sz w:val="28"/>
          <w:szCs w:val="28"/>
          <w:lang w:eastAsia="ru-RU"/>
        </w:rPr>
        <w:t>Инвестиционная привлекательность региона - это комплексная концепция. В современной науке нет единого мнения о сущности и структурной целостности инвестиционной привлекательности такого субъекта, как регион. Однако можно выделить несколько центральных факторов инвестиционной привлекательности региона. Довольно большая часть научного сообщества определяет уровень доступности региональных ресурсов как ключевой показатель инвестиционной привлекательности региона в дополнение к способности региональных властей обновлять и расширять ресурсную базу по сравнению с другими регионами (регионами-конкурентами). Согласно этому заявлению, инвестиционная привлекательность региона рассматривается как сравнительная характеристика, а критерии сравнения основываются на специфике ресурсного обеспечения региона. </w:t>
      </w:r>
      <w:r w:rsidR="007979B2" w:rsidRPr="00FE5A1B">
        <w:rPr>
          <w:rFonts w:ascii="Times New Roman" w:eastAsia="Times New Roman" w:hAnsi="Times New Roman" w:cs="Times New Roman"/>
          <w:color w:val="222222"/>
          <w:sz w:val="28"/>
          <w:szCs w:val="28"/>
          <w:lang w:eastAsia="ru-RU"/>
        </w:rPr>
        <w:t xml:space="preserve"> </w:t>
      </w:r>
      <w:r w:rsidRPr="00FE5A1B">
        <w:rPr>
          <w:rFonts w:ascii="Times New Roman" w:eastAsia="Times New Roman" w:hAnsi="Times New Roman" w:cs="Times New Roman"/>
          <w:color w:val="222222"/>
          <w:sz w:val="28"/>
          <w:szCs w:val="28"/>
          <w:lang w:eastAsia="ru-RU"/>
        </w:rPr>
        <w:t>Однако уровень рыночной конкуренции на региональном уровне определяет исключительно внутрирегиональную динамику развития, а инвестиционная привлекательность является сравнительной межрегиональной характеристикой. Также значительные дискуссии вызывает дифференциация подходов к определению ресурсной базы развития региона. Разные ученые дифференцируют удельный вес влияния различных видов ресурсов на инвестицио</w:t>
      </w:r>
      <w:r w:rsidR="007979B2">
        <w:rPr>
          <w:rFonts w:ascii="Times New Roman" w:eastAsia="Times New Roman" w:hAnsi="Times New Roman" w:cs="Times New Roman"/>
          <w:color w:val="222222"/>
          <w:sz w:val="28"/>
          <w:szCs w:val="28"/>
          <w:lang w:eastAsia="ru-RU"/>
        </w:rPr>
        <w:t>нную привлекательность региона.</w:t>
      </w:r>
      <w:r w:rsidRPr="00FE5A1B">
        <w:rPr>
          <w:rFonts w:ascii="Times New Roman" w:eastAsia="Times New Roman" w:hAnsi="Times New Roman" w:cs="Times New Roman"/>
          <w:color w:val="222222"/>
          <w:sz w:val="28"/>
          <w:szCs w:val="28"/>
          <w:lang w:eastAsia="ru-RU"/>
        </w:rPr>
        <w:t xml:space="preserve"> </w:t>
      </w:r>
      <w:r w:rsidR="007979B2">
        <w:rPr>
          <w:rFonts w:ascii="Times New Roman" w:eastAsia="Times New Roman" w:hAnsi="Times New Roman" w:cs="Times New Roman"/>
          <w:color w:val="222222"/>
          <w:sz w:val="28"/>
          <w:szCs w:val="28"/>
          <w:lang w:eastAsia="ru-RU"/>
        </w:rPr>
        <w:t>И</w:t>
      </w:r>
      <w:r w:rsidRPr="00FE5A1B">
        <w:rPr>
          <w:rFonts w:ascii="Times New Roman" w:eastAsia="Times New Roman" w:hAnsi="Times New Roman" w:cs="Times New Roman"/>
          <w:color w:val="222222"/>
          <w:sz w:val="28"/>
          <w:szCs w:val="28"/>
          <w:lang w:eastAsia="ru-RU"/>
        </w:rPr>
        <w:t>менно наличие квалифицированной рабочей силы определяет инновационное развитие региона, что, в свою очередь, является одним из ключевых конкурентных преимуществ </w:t>
      </w:r>
      <w:hyperlink r:id="rId6" w:anchor="B3-economies-09-00059" w:history="1">
        <w:r w:rsidRPr="007B1526">
          <w:rPr>
            <w:rFonts w:ascii="Times New Roman" w:eastAsia="Times New Roman" w:hAnsi="Times New Roman" w:cs="Times New Roman"/>
            <w:color w:val="222222"/>
            <w:sz w:val="28"/>
            <w:szCs w:val="28"/>
            <w:lang w:eastAsia="ru-RU"/>
          </w:rPr>
          <w:t>региона</w:t>
        </w:r>
      </w:hyperlink>
      <w:r w:rsidR="0054575C">
        <w:rPr>
          <w:rFonts w:ascii="Times New Roman" w:eastAsia="Times New Roman" w:hAnsi="Times New Roman" w:cs="Times New Roman"/>
          <w:color w:val="222222"/>
          <w:sz w:val="28"/>
          <w:szCs w:val="28"/>
          <w:lang w:eastAsia="ru-RU"/>
        </w:rPr>
        <w:t>.</w:t>
      </w:r>
      <w:r w:rsidR="0054575C" w:rsidRPr="00FE5A1B">
        <w:rPr>
          <w:rFonts w:ascii="Times New Roman" w:eastAsia="Times New Roman" w:hAnsi="Times New Roman" w:cs="Times New Roman"/>
          <w:color w:val="222222"/>
          <w:sz w:val="28"/>
          <w:szCs w:val="28"/>
          <w:lang w:eastAsia="ru-RU"/>
        </w:rPr>
        <w:t xml:space="preserve"> </w:t>
      </w:r>
      <w:r w:rsidRPr="00FE5A1B">
        <w:rPr>
          <w:rFonts w:ascii="Times New Roman" w:eastAsia="Times New Roman" w:hAnsi="Times New Roman" w:cs="Times New Roman"/>
          <w:color w:val="222222"/>
          <w:sz w:val="28"/>
          <w:szCs w:val="28"/>
          <w:lang w:eastAsia="ru-RU"/>
        </w:rPr>
        <w:t>Региональная конкуренция стимулирует инновационное развитие и увеличивает производительность труда, создавая, таким образом, добавленную стоимость. При этом развитие конкурентной среды носит диалектический характер по отношению к региональному развитию в целом, поскольку одним из результатов индустриализации может быть экологический ущерб, а следствием автоматизации крупных промышленных предприятий региона может стать их увеличение. по безработице. Таким образом, инновационное развитие региона следует рассматривать стратегически с учетом динамической трансформации всей среды региона (социальной, экономической и т. Д.).</w:t>
      </w:r>
    </w:p>
    <w:p w:rsidR="005F576F" w:rsidRPr="00FE5A1B" w:rsidRDefault="005F576F" w:rsidP="00FE5A1B">
      <w:pPr>
        <w:spacing w:after="0" w:line="240" w:lineRule="auto"/>
        <w:ind w:firstLine="709"/>
        <w:jc w:val="both"/>
        <w:rPr>
          <w:rFonts w:ascii="Times New Roman" w:eastAsia="Times New Roman" w:hAnsi="Times New Roman" w:cs="Times New Roman"/>
          <w:color w:val="222222"/>
          <w:sz w:val="28"/>
          <w:szCs w:val="28"/>
          <w:lang w:eastAsia="ru-RU"/>
        </w:rPr>
      </w:pPr>
      <w:r w:rsidRPr="00FE5A1B">
        <w:rPr>
          <w:rFonts w:ascii="Times New Roman" w:eastAsia="Times New Roman" w:hAnsi="Times New Roman" w:cs="Times New Roman"/>
          <w:color w:val="222222"/>
          <w:sz w:val="28"/>
          <w:szCs w:val="28"/>
          <w:lang w:eastAsia="ru-RU"/>
        </w:rPr>
        <w:t>Другие члены научного сообщества определяют сложность региональной инфраструктуры как основу для развития инвестиционной привлекательности региона, а не качество ресурсов.</w:t>
      </w:r>
    </w:p>
    <w:p w:rsidR="005F576F" w:rsidRPr="00FE5A1B" w:rsidRDefault="005F576F" w:rsidP="00FE5A1B">
      <w:pPr>
        <w:spacing w:after="0" w:line="240" w:lineRule="auto"/>
        <w:ind w:firstLine="709"/>
        <w:jc w:val="both"/>
        <w:rPr>
          <w:rFonts w:ascii="Times New Roman" w:eastAsia="Times New Roman" w:hAnsi="Times New Roman" w:cs="Times New Roman"/>
          <w:color w:val="222222"/>
          <w:sz w:val="28"/>
          <w:szCs w:val="28"/>
          <w:lang w:eastAsia="ru-RU"/>
        </w:rPr>
      </w:pPr>
      <w:r w:rsidRPr="00FE5A1B">
        <w:rPr>
          <w:rFonts w:ascii="Times New Roman" w:eastAsia="Times New Roman" w:hAnsi="Times New Roman" w:cs="Times New Roman"/>
          <w:color w:val="222222"/>
          <w:sz w:val="28"/>
          <w:szCs w:val="28"/>
          <w:lang w:eastAsia="ru-RU"/>
        </w:rPr>
        <w:t xml:space="preserve">Подчеркивается, что потребность в инвестировании в транспортную инфраструктуру является важной характеристикой инфраструктуры. Приоритетность инфраструктуры как основы развития инвестиционной привлекательности региона также подтверждается ростом производительности труда и, как следствие, ростом конкурентоспособности </w:t>
      </w:r>
      <w:r w:rsidRPr="00FE5A1B">
        <w:rPr>
          <w:rFonts w:ascii="Times New Roman" w:eastAsia="Times New Roman" w:hAnsi="Times New Roman" w:cs="Times New Roman"/>
          <w:color w:val="222222"/>
          <w:sz w:val="28"/>
          <w:szCs w:val="28"/>
          <w:lang w:eastAsia="ru-RU"/>
        </w:rPr>
        <w:lastRenderedPageBreak/>
        <w:t>региона. В то же время следствием развития инфраструктуры может быть трансформация окружающей среды и потенциальное повышение уровня конкуренции на рынке труда, что, в свою очередь, может привести к социальному расслоению. Этот тезис также подтверждает диалектику инновационного развития региона. Региональная автономия может выступать посредником в развитии инфраструктуры. Следует отметить, что на развитие региональной инфраструктуры влияет множество факторов, и способов стимулировать это взаимодействие немало.</w:t>
      </w:r>
    </w:p>
    <w:p w:rsidR="005F576F" w:rsidRPr="00FE5A1B" w:rsidRDefault="005F576F" w:rsidP="00FE5A1B">
      <w:pPr>
        <w:spacing w:after="0" w:line="240" w:lineRule="auto"/>
        <w:ind w:firstLine="709"/>
        <w:jc w:val="both"/>
        <w:rPr>
          <w:rFonts w:ascii="Times New Roman" w:eastAsia="Times New Roman" w:hAnsi="Times New Roman" w:cs="Times New Roman"/>
          <w:color w:val="222222"/>
          <w:sz w:val="28"/>
          <w:szCs w:val="28"/>
          <w:lang w:eastAsia="ru-RU"/>
        </w:rPr>
      </w:pPr>
      <w:r w:rsidRPr="00FE5A1B">
        <w:rPr>
          <w:rFonts w:ascii="Times New Roman" w:eastAsia="Times New Roman" w:hAnsi="Times New Roman" w:cs="Times New Roman"/>
          <w:color w:val="222222"/>
          <w:sz w:val="28"/>
          <w:szCs w:val="28"/>
          <w:lang w:eastAsia="ru-RU"/>
        </w:rPr>
        <w:t xml:space="preserve"> Некоторые представители научного сообщества заявляют, что основой для развития инвестиционной привлекательности региона является обеспечение сравнительно невысоких административных и регулятивных барьеров (в первую очередь, уровень налоговой нагрузки), а также создание особых экономических зон. При этом необходимо помнить, что этот вопрос полностью или частично контролируется на федеральном, а не на региональном уровне. Следовательно, в рамках построения стратегии инновационного развития регион ограничен с точки зрения управления этой спецификой. Развитие особых экономических зон также предполагает уникальную факторную специфику. Несмотря на всемирное признание эффективности этого инструмента в повышении инвестиционной привлекательности региона, системность взаимодействия региональных ресурсов остается основным фактором. Некоторые ученые предполагают, что зрелость регионального законодательства и гарантии его эффективности стимулируют экономический рост, что, в свою очередь, способствует привлечению дополнительных инвестиций. Эта теория подчеркивает одно из главных качеств инвестиционной привлекательности региона - его цикличность. Привлеченные региональные инвестиции используются для развития региона, что может выражаться как в совершенствовании региональной инфраструктуры, так и в повышении качества ресурсного обеспечения, что приводит к большей инвестиционной привлекательности региона. Это утверждение также согласуется с утверждением, что региональные инвестиции обязательно повлияют на экономические результаты регионального бизнеса, что, в свою очередь, приводит к увеличению стоимости региональных ресурсов</w:t>
      </w:r>
      <w:r w:rsidR="00B431D0">
        <w:rPr>
          <w:rFonts w:ascii="Times New Roman" w:eastAsia="Times New Roman" w:hAnsi="Times New Roman" w:cs="Times New Roman"/>
          <w:color w:val="222222"/>
          <w:sz w:val="28"/>
          <w:szCs w:val="28"/>
          <w:lang w:eastAsia="ru-RU"/>
        </w:rPr>
        <w:t>.</w:t>
      </w:r>
      <w:r w:rsidRPr="00FE5A1B">
        <w:rPr>
          <w:rFonts w:ascii="Times New Roman" w:eastAsia="Times New Roman" w:hAnsi="Times New Roman" w:cs="Times New Roman"/>
          <w:color w:val="222222"/>
          <w:sz w:val="28"/>
          <w:szCs w:val="28"/>
          <w:lang w:eastAsia="ru-RU"/>
        </w:rPr>
        <w:t> Повторяющаяся модель инвестиционной привлекательности определяет ее динамический характер, который выражается в ее универсальности, являющейся результатом внутрирегиональных изменений и развития конкурирующих регионов.</w:t>
      </w:r>
    </w:p>
    <w:p w:rsidR="005F576F" w:rsidRPr="00FE5A1B" w:rsidRDefault="005F576F" w:rsidP="00FE5A1B">
      <w:pPr>
        <w:spacing w:after="0" w:line="240" w:lineRule="auto"/>
        <w:ind w:firstLine="709"/>
        <w:jc w:val="both"/>
        <w:rPr>
          <w:rFonts w:ascii="Times New Roman" w:eastAsia="Times New Roman" w:hAnsi="Times New Roman" w:cs="Times New Roman"/>
          <w:color w:val="222222"/>
          <w:sz w:val="28"/>
          <w:szCs w:val="28"/>
          <w:lang w:eastAsia="ru-RU"/>
        </w:rPr>
      </w:pPr>
      <w:r w:rsidRPr="00FE5A1B">
        <w:rPr>
          <w:rFonts w:ascii="Times New Roman" w:eastAsia="Times New Roman" w:hAnsi="Times New Roman" w:cs="Times New Roman"/>
          <w:color w:val="222222"/>
          <w:sz w:val="28"/>
          <w:szCs w:val="28"/>
          <w:lang w:eastAsia="ru-RU"/>
        </w:rPr>
        <w:t>Тем не менее, подавляющее большинство научного сообщества утверждает, что инвестиционная привлекательность региона выражается в единстве пере</w:t>
      </w:r>
      <w:r w:rsidR="0013458D">
        <w:rPr>
          <w:rFonts w:ascii="Times New Roman" w:eastAsia="Times New Roman" w:hAnsi="Times New Roman" w:cs="Times New Roman"/>
          <w:color w:val="222222"/>
          <w:sz w:val="28"/>
          <w:szCs w:val="28"/>
          <w:lang w:eastAsia="ru-RU"/>
        </w:rPr>
        <w:t xml:space="preserve">численных факторов. </w:t>
      </w:r>
      <w:r w:rsidRPr="00FE5A1B">
        <w:rPr>
          <w:rFonts w:ascii="Times New Roman" w:eastAsia="Times New Roman" w:hAnsi="Times New Roman" w:cs="Times New Roman"/>
          <w:color w:val="222222"/>
          <w:sz w:val="28"/>
          <w:szCs w:val="28"/>
          <w:lang w:eastAsia="ru-RU"/>
        </w:rPr>
        <w:t>Исследование инвестиционной привлекательности</w:t>
      </w:r>
      <w:r w:rsidR="0013458D" w:rsidRPr="0013458D">
        <w:rPr>
          <w:rFonts w:ascii="Times New Roman" w:eastAsia="Times New Roman" w:hAnsi="Times New Roman" w:cs="Times New Roman"/>
          <w:color w:val="222222"/>
          <w:sz w:val="28"/>
          <w:szCs w:val="28"/>
          <w:lang w:eastAsia="ru-RU"/>
        </w:rPr>
        <w:t xml:space="preserve"> </w:t>
      </w:r>
      <w:r w:rsidR="0013458D">
        <w:rPr>
          <w:rFonts w:ascii="Times New Roman" w:eastAsia="Times New Roman" w:hAnsi="Times New Roman" w:cs="Times New Roman"/>
          <w:color w:val="222222"/>
          <w:sz w:val="28"/>
          <w:szCs w:val="28"/>
          <w:lang w:eastAsia="ru-RU"/>
        </w:rPr>
        <w:t>подтверждает</w:t>
      </w:r>
      <w:r w:rsidRPr="00FE5A1B">
        <w:rPr>
          <w:rFonts w:ascii="Times New Roman" w:eastAsia="Times New Roman" w:hAnsi="Times New Roman" w:cs="Times New Roman"/>
          <w:color w:val="222222"/>
          <w:sz w:val="28"/>
          <w:szCs w:val="28"/>
          <w:lang w:eastAsia="ru-RU"/>
        </w:rPr>
        <w:t xml:space="preserve">, что основными факторами ее развития являются: (1) качество и стоимость трудовых ресурсов; (2) особенности агломерации; (3) зрелость инфраструктуры; (4) качество интеллектуальной базы; (5) зрелость рынка; (6) сравнительная стоимость ресурсов. Данное исследование количественно обосновывает мультипликативное влияние этих факторов на инвестиционную привлекательность региона. Подавляющее большинство этих показателей являются качественными, и методика их расчета </w:t>
      </w:r>
      <w:r w:rsidRPr="00FE5A1B">
        <w:rPr>
          <w:rFonts w:ascii="Times New Roman" w:eastAsia="Times New Roman" w:hAnsi="Times New Roman" w:cs="Times New Roman"/>
          <w:color w:val="222222"/>
          <w:sz w:val="28"/>
          <w:szCs w:val="28"/>
          <w:lang w:eastAsia="ru-RU"/>
        </w:rPr>
        <w:lastRenderedPageBreak/>
        <w:t xml:space="preserve">может существенно различаться в зависимости от страны и региона. Данный факт не позволяет говорить о возможности экстраполяции результатов данного исследования, однако детальный анализ их содержания позволяет выдвинуть ключевые компоненты, универсально определяющие </w:t>
      </w:r>
      <w:r w:rsidR="0013458D">
        <w:rPr>
          <w:rFonts w:ascii="Times New Roman" w:eastAsia="Times New Roman" w:hAnsi="Times New Roman" w:cs="Times New Roman"/>
          <w:color w:val="222222"/>
          <w:sz w:val="28"/>
          <w:szCs w:val="28"/>
          <w:lang w:eastAsia="ru-RU"/>
        </w:rPr>
        <w:t>инновационное развитие региона.</w:t>
      </w:r>
      <w:r w:rsidR="0013458D" w:rsidRPr="00FE5A1B">
        <w:rPr>
          <w:rFonts w:ascii="Times New Roman" w:eastAsia="Times New Roman" w:hAnsi="Times New Roman" w:cs="Times New Roman"/>
          <w:color w:val="222222"/>
          <w:sz w:val="28"/>
          <w:szCs w:val="28"/>
          <w:lang w:eastAsia="ru-RU"/>
        </w:rPr>
        <w:t xml:space="preserve"> </w:t>
      </w:r>
      <w:r w:rsidRPr="00FE5A1B">
        <w:rPr>
          <w:rFonts w:ascii="Times New Roman" w:eastAsia="Times New Roman" w:hAnsi="Times New Roman" w:cs="Times New Roman"/>
          <w:color w:val="222222"/>
          <w:sz w:val="28"/>
          <w:szCs w:val="28"/>
          <w:lang w:eastAsia="ru-RU"/>
        </w:rPr>
        <w:t>Таким образом, инвестиционная привлекательность - это сложная категория, которая проявляется в мультипликативном взаимодействии совокупности факторов. Следовательно, инвестиционная привлекательность региона не может быть изучена вне контекста развития региона как многомерной среды. Однако факторы, сформулированные в рамках данного исследования, также крайне неуниверсальны и могут быть дифференцированы с точки зрения методологии расчета.</w:t>
      </w:r>
    </w:p>
    <w:p w:rsidR="005F576F" w:rsidRPr="00276161" w:rsidRDefault="005F576F" w:rsidP="00FE5A1B">
      <w:pPr>
        <w:spacing w:after="0" w:line="240" w:lineRule="auto"/>
        <w:ind w:firstLine="709"/>
        <w:jc w:val="both"/>
        <w:rPr>
          <w:rFonts w:ascii="Times New Roman" w:eastAsia="Times New Roman" w:hAnsi="Times New Roman" w:cs="Times New Roman"/>
          <w:color w:val="222222"/>
          <w:sz w:val="28"/>
          <w:szCs w:val="28"/>
          <w:lang w:eastAsia="ru-RU"/>
        </w:rPr>
      </w:pPr>
      <w:r w:rsidRPr="00FE5A1B">
        <w:rPr>
          <w:rFonts w:ascii="Times New Roman" w:eastAsia="Times New Roman" w:hAnsi="Times New Roman" w:cs="Times New Roman"/>
          <w:color w:val="222222"/>
          <w:sz w:val="28"/>
          <w:szCs w:val="28"/>
          <w:lang w:eastAsia="ru-RU"/>
        </w:rPr>
        <w:t>Одним из наиболее эффективных направлений роста инвестиционной привлекательности региона является его специализация, которая, как правило, выражается в развитии региональных кластеров. Кластерные стратегии давно и</w:t>
      </w:r>
      <w:r w:rsidR="00B431D0">
        <w:rPr>
          <w:rFonts w:ascii="Times New Roman" w:eastAsia="Times New Roman" w:hAnsi="Times New Roman" w:cs="Times New Roman"/>
          <w:color w:val="222222"/>
          <w:sz w:val="28"/>
          <w:szCs w:val="28"/>
          <w:lang w:eastAsia="ru-RU"/>
        </w:rPr>
        <w:t>спользуются в развитых странах.</w:t>
      </w:r>
      <w:r w:rsidR="00B431D0" w:rsidRPr="00FE5A1B">
        <w:rPr>
          <w:rFonts w:ascii="Times New Roman" w:eastAsia="Times New Roman" w:hAnsi="Times New Roman" w:cs="Times New Roman"/>
          <w:color w:val="222222"/>
          <w:sz w:val="28"/>
          <w:szCs w:val="28"/>
          <w:lang w:eastAsia="ru-RU"/>
        </w:rPr>
        <w:t xml:space="preserve"> </w:t>
      </w:r>
      <w:r w:rsidRPr="00FE5A1B">
        <w:rPr>
          <w:rFonts w:ascii="Times New Roman" w:eastAsia="Times New Roman" w:hAnsi="Times New Roman" w:cs="Times New Roman"/>
          <w:color w:val="222222"/>
          <w:sz w:val="28"/>
          <w:szCs w:val="28"/>
          <w:lang w:eastAsia="ru-RU"/>
        </w:rPr>
        <w:t>Территория многих стран (в том числе России) существенно дифференцирована по ресурсам, климату, инфраструктуре, культуре и демографии. Регионы могут иметь ограниченную инфраструктуру, но быть богатыми природными ресурсами, что неизбежно приводит к созданию промышленных кластеров, в то время как особенности границ и климата других регионов стимулируют торговлю, логистику, маркетинг и специализацию в области консалтинга.</w:t>
      </w:r>
      <w:r w:rsidR="00B431D0" w:rsidRPr="00FE5A1B">
        <w:rPr>
          <w:rFonts w:ascii="Times New Roman" w:eastAsia="Times New Roman" w:hAnsi="Times New Roman" w:cs="Times New Roman"/>
          <w:color w:val="222222"/>
          <w:sz w:val="28"/>
          <w:szCs w:val="28"/>
          <w:lang w:eastAsia="ru-RU"/>
        </w:rPr>
        <w:t xml:space="preserve"> </w:t>
      </w:r>
      <w:r w:rsidRPr="00FE5A1B">
        <w:rPr>
          <w:rFonts w:ascii="Times New Roman" w:eastAsia="Times New Roman" w:hAnsi="Times New Roman" w:cs="Times New Roman"/>
          <w:color w:val="222222"/>
          <w:sz w:val="28"/>
          <w:szCs w:val="28"/>
          <w:lang w:eastAsia="ru-RU"/>
        </w:rPr>
        <w:t>Основная гипотеза данного исследования заключается в том, что инвестиционная привлекательность региона - это комплексный параметр, увеличение которого предполагает моделирование отдачи от управления окружающей средой региона. </w:t>
      </w:r>
    </w:p>
    <w:p w:rsidR="005F576F" w:rsidRDefault="005F576F" w:rsidP="00FE5A1B">
      <w:pPr>
        <w:spacing w:after="0" w:line="240" w:lineRule="auto"/>
        <w:ind w:firstLine="709"/>
        <w:jc w:val="both"/>
        <w:rPr>
          <w:rFonts w:ascii="Times New Roman" w:eastAsia="Times New Roman" w:hAnsi="Times New Roman" w:cs="Times New Roman"/>
          <w:color w:val="222222"/>
          <w:sz w:val="28"/>
          <w:szCs w:val="28"/>
          <w:lang w:eastAsia="ru-RU"/>
        </w:rPr>
      </w:pPr>
      <w:r w:rsidRPr="00FE5A1B">
        <w:rPr>
          <w:rFonts w:ascii="Times New Roman" w:eastAsia="Times New Roman" w:hAnsi="Times New Roman" w:cs="Times New Roman"/>
          <w:color w:val="222222"/>
          <w:sz w:val="28"/>
          <w:szCs w:val="28"/>
          <w:lang w:eastAsia="ru-RU"/>
        </w:rPr>
        <w:t>Таким образом, инвестиционная привлекательность региона формируется под действием многих факторов, таких как наличие природных ресурсов, макроэкономические условия, наличие квалифицированной рабочей силы и ее территориальное распределение, административные и информационные барьеры для выхода на рынок, состояние конкурентная среда, налоговое законодательство (в частности, налоговые льготы), уровень развития финансового рынка, законодательная безопасность инвесторов</w:t>
      </w:r>
      <w:r w:rsidR="0054575C">
        <w:rPr>
          <w:rFonts w:ascii="Times New Roman" w:eastAsia="Times New Roman" w:hAnsi="Times New Roman" w:cs="Times New Roman"/>
          <w:color w:val="222222"/>
          <w:sz w:val="28"/>
          <w:szCs w:val="28"/>
          <w:lang w:eastAsia="ru-RU"/>
        </w:rPr>
        <w:t xml:space="preserve"> и </w:t>
      </w:r>
      <w:r w:rsidR="00FE05B2">
        <w:rPr>
          <w:rFonts w:ascii="Times New Roman" w:eastAsia="Times New Roman" w:hAnsi="Times New Roman" w:cs="Times New Roman"/>
          <w:color w:val="222222"/>
          <w:sz w:val="28"/>
          <w:szCs w:val="28"/>
          <w:lang w:eastAsia="ru-RU"/>
        </w:rPr>
        <w:t>т.д.</w:t>
      </w:r>
      <w:r w:rsidR="0006591B">
        <w:rPr>
          <w:rFonts w:ascii="Times New Roman" w:eastAsia="Times New Roman" w:hAnsi="Times New Roman" w:cs="Times New Roman"/>
          <w:color w:val="222222"/>
          <w:sz w:val="28"/>
          <w:szCs w:val="28"/>
          <w:lang w:eastAsia="ru-RU"/>
        </w:rPr>
        <w:t xml:space="preserve"> </w:t>
      </w:r>
      <w:r w:rsidRPr="00FE5A1B">
        <w:rPr>
          <w:rFonts w:ascii="Times New Roman" w:eastAsia="Times New Roman" w:hAnsi="Times New Roman" w:cs="Times New Roman"/>
          <w:color w:val="222222"/>
          <w:sz w:val="28"/>
          <w:szCs w:val="28"/>
          <w:lang w:eastAsia="ru-RU"/>
        </w:rPr>
        <w:t>Таким образом, инвестиционная привлекательность региона может быть выражена состоянием двух интегральных блоков</w:t>
      </w:r>
      <w:r w:rsidR="0006591B">
        <w:rPr>
          <w:rFonts w:ascii="Times New Roman" w:eastAsia="Times New Roman" w:hAnsi="Times New Roman" w:cs="Times New Roman"/>
          <w:color w:val="222222"/>
          <w:sz w:val="28"/>
          <w:szCs w:val="28"/>
          <w:lang w:eastAsia="ru-RU"/>
        </w:rPr>
        <w:t>.</w:t>
      </w:r>
    </w:p>
    <w:p w:rsidR="0006591B" w:rsidRPr="00FE5A1B" w:rsidRDefault="0006591B" w:rsidP="00FE5A1B">
      <w:pPr>
        <w:spacing w:after="0" w:line="240" w:lineRule="auto"/>
        <w:ind w:firstLine="709"/>
        <w:jc w:val="both"/>
        <w:rPr>
          <w:rFonts w:ascii="Times New Roman" w:eastAsia="Times New Roman" w:hAnsi="Times New Roman" w:cs="Times New Roman"/>
          <w:color w:val="222222"/>
          <w:sz w:val="28"/>
          <w:szCs w:val="28"/>
          <w:lang w:eastAsia="ru-RU"/>
        </w:rPr>
      </w:pPr>
    </w:p>
    <w:p w:rsidR="0013458D" w:rsidRDefault="0013458D" w:rsidP="00FE5A1B">
      <w:pPr>
        <w:spacing w:line="240" w:lineRule="auto"/>
        <w:ind w:firstLine="709"/>
        <w:jc w:val="both"/>
        <w:rPr>
          <w:rFonts w:ascii="Times New Roman" w:eastAsia="Times New Roman" w:hAnsi="Times New Roman" w:cs="Times New Roman"/>
          <w:noProof/>
          <w:color w:val="222222"/>
          <w:sz w:val="28"/>
          <w:szCs w:val="28"/>
          <w:lang w:eastAsia="ru-RU"/>
        </w:rPr>
      </w:pPr>
      <w:r>
        <w:rPr>
          <w:rFonts w:ascii="Times New Roman" w:eastAsia="Times New Roman" w:hAnsi="Times New Roman" w:cs="Times New Roman"/>
          <w:noProof/>
          <w:color w:val="222222"/>
          <w:sz w:val="28"/>
          <w:szCs w:val="28"/>
          <w:lang w:eastAsia="ru-RU"/>
        </w:rPr>
        <mc:AlternateContent>
          <mc:Choice Requires="wps">
            <w:drawing>
              <wp:anchor distT="0" distB="0" distL="114300" distR="114300" simplePos="0" relativeHeight="251659264" behindDoc="0" locked="0" layoutInCell="1" allowOverlap="1">
                <wp:simplePos x="0" y="0"/>
                <wp:positionH relativeFrom="margin">
                  <wp:posOffset>1291590</wp:posOffset>
                </wp:positionH>
                <wp:positionV relativeFrom="paragraph">
                  <wp:posOffset>8476</wp:posOffset>
                </wp:positionV>
                <wp:extent cx="3529772" cy="453224"/>
                <wp:effectExtent l="0" t="0" r="13970" b="23495"/>
                <wp:wrapNone/>
                <wp:docPr id="1" name="Прямоугольник 1"/>
                <wp:cNvGraphicFramePr/>
                <a:graphic xmlns:a="http://schemas.openxmlformats.org/drawingml/2006/main">
                  <a:graphicData uri="http://schemas.microsoft.com/office/word/2010/wordprocessingShape">
                    <wps:wsp>
                      <wps:cNvSpPr/>
                      <wps:spPr>
                        <a:xfrm>
                          <a:off x="0" y="0"/>
                          <a:ext cx="3529772" cy="453224"/>
                        </a:xfrm>
                        <a:prstGeom prst="rect">
                          <a:avLst/>
                        </a:prstGeom>
                        <a:solidFill>
                          <a:schemeClr val="bg1"/>
                        </a:solid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13458D" w:rsidRPr="0006591B" w:rsidRDefault="0013458D" w:rsidP="0013458D">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Инвестиционная привлекательность региона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 o:spid="_x0000_s1026" style="position:absolute;left:0;text-align:left;margin-left:101.7pt;margin-top:.65pt;width:277.95pt;height:35.7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" fillcolor="white [3212]" strokecolor="black [3213]" strokeweight="1pt">
                <v:textbox>
                  <w:txbxContent>
                    <w:p w:rsidR="0013458D" w:rsidRPr="0006591B" w:rsidRDefault="0013458D" w:rsidP="0013458D">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Инвестиционная привлекательность региона</w:t>
                      </w:r>
                    </w:p>
                  </w:txbxContent>
                </v:textbox>
                <w10:wrap anchorx="margin"/>
              </v:rect>
            </w:pict>
          </mc:Fallback>
        </mc:AlternateContent>
      </w:r>
    </w:p>
    <w:p w:rsidR="0013458D" w:rsidRDefault="00FE05B2" w:rsidP="00FE5A1B">
      <w:pPr>
        <w:spacing w:line="240" w:lineRule="auto"/>
        <w:ind w:firstLine="709"/>
        <w:jc w:val="both"/>
        <w:rPr>
          <w:rFonts w:ascii="Times New Roman" w:eastAsia="Times New Roman" w:hAnsi="Times New Roman" w:cs="Times New Roman"/>
          <w:noProof/>
          <w:color w:val="222222"/>
          <w:sz w:val="28"/>
          <w:szCs w:val="28"/>
          <w:lang w:eastAsia="ru-RU"/>
        </w:rPr>
      </w:pPr>
      <w:r>
        <w:rPr>
          <w:rFonts w:ascii="Times New Roman" w:eastAsia="Times New Roman" w:hAnsi="Times New Roman" w:cs="Times New Roman"/>
          <w:noProof/>
          <w:color w:val="222222"/>
          <w:sz w:val="28"/>
          <w:szCs w:val="28"/>
          <w:lang w:eastAsia="ru-RU"/>
        </w:rPr>
        <mc:AlternateContent>
          <mc:Choice Requires="wps">
            <w:drawing>
              <wp:anchor distT="0" distB="0" distL="114300" distR="114300" simplePos="0" relativeHeight="251662336" behindDoc="0" locked="0" layoutInCell="1" allowOverlap="1" wp14:anchorId="6319C66F" wp14:editId="6EDE8848">
                <wp:simplePos x="0" y="0"/>
                <wp:positionH relativeFrom="column">
                  <wp:posOffset>3088005</wp:posOffset>
                </wp:positionH>
                <wp:positionV relativeFrom="paragraph">
                  <wp:posOffset>256236</wp:posOffset>
                </wp:positionV>
                <wp:extent cx="1732280" cy="317500"/>
                <wp:effectExtent l="0" t="0" r="20320" b="25400"/>
                <wp:wrapNone/>
                <wp:docPr id="3" name="Прямоугольник 3"/>
                <wp:cNvGraphicFramePr/>
                <a:graphic xmlns:a="http://schemas.openxmlformats.org/drawingml/2006/main">
                  <a:graphicData uri="http://schemas.microsoft.com/office/word/2010/wordprocessingShape">
                    <wps:wsp>
                      <wps:cNvSpPr/>
                      <wps:spPr>
                        <a:xfrm>
                          <a:off x="0" y="0"/>
                          <a:ext cx="1732280" cy="3175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Инфраструктура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319C66F" id="Прямоугольник 3" o:spid="_x0000_s1027" style="position:absolute;left:0;text-align:left;margin-left:243.15pt;margin-top:20.2pt;width:136.4pt;height:2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" fillcolor="white [3212]" strokecolor="black [3213]" strokeweight="1pt">
                <v:textbo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Инфраструктура</w:t>
                      </w:r>
                    </w:p>
                  </w:txbxContent>
                </v:textbox>
              </v:rect>
            </w:pict>
          </mc:Fallback>
        </mc:AlternateContent>
      </w:r>
      <w:r>
        <w:rPr>
          <w:rFonts w:ascii="Times New Roman" w:eastAsia="Times New Roman" w:hAnsi="Times New Roman" w:cs="Times New Roman"/>
          <w:noProof/>
          <w:color w:val="222222"/>
          <w:sz w:val="28"/>
          <w:szCs w:val="28"/>
          <w:lang w:eastAsia="ru-RU"/>
        </w:rPr>
        <mc:AlternateContent>
          <mc:Choice Requires="wps">
            <w:drawing>
              <wp:anchor distT="0" distB="0" distL="114300" distR="114300" simplePos="0" relativeHeight="251660288" behindDoc="0" locked="0" layoutInCell="1" allowOverlap="1">
                <wp:simplePos x="0" y="0"/>
                <wp:positionH relativeFrom="column">
                  <wp:posOffset>1291590</wp:posOffset>
                </wp:positionH>
                <wp:positionV relativeFrom="paragraph">
                  <wp:posOffset>256844</wp:posOffset>
                </wp:positionV>
                <wp:extent cx="1748790" cy="317500"/>
                <wp:effectExtent l="0" t="0" r="22860" b="25400"/>
                <wp:wrapNone/>
                <wp:docPr id="2" name="Прямоугольник 2"/>
                <wp:cNvGraphicFramePr/>
                <a:graphic xmlns:a="http://schemas.openxmlformats.org/drawingml/2006/main">
                  <a:graphicData uri="http://schemas.microsoft.com/office/word/2010/wordprocessingShape">
                    <wps:wsp>
                      <wps:cNvSpPr/>
                      <wps:spPr>
                        <a:xfrm>
                          <a:off x="0" y="0"/>
                          <a:ext cx="1748790" cy="31750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Бизнес-среда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2" o:spid="_x0000_s1028" style="position:absolute;left:0;text-align:left;margin-left:101.7pt;margin-top:20.2pt;width:137.7pt;height: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" fillcolor="white [3212]" strokecolor="black [3213]" strokeweight="1pt">
                <v:textbo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Бизнес-среда</w:t>
                      </w:r>
                    </w:p>
                  </w:txbxContent>
                </v:textbox>
              </v:rect>
            </w:pict>
          </mc:Fallback>
        </mc:AlternateContent>
      </w:r>
    </w:p>
    <w:p w:rsidR="0013458D" w:rsidRDefault="0013458D" w:rsidP="00FE5A1B">
      <w:pPr>
        <w:spacing w:line="240" w:lineRule="auto"/>
        <w:ind w:firstLine="709"/>
        <w:jc w:val="both"/>
        <w:rPr>
          <w:rFonts w:ascii="Times New Roman" w:eastAsia="Times New Roman" w:hAnsi="Times New Roman" w:cs="Times New Roman"/>
          <w:noProof/>
          <w:color w:val="222222"/>
          <w:sz w:val="28"/>
          <w:szCs w:val="28"/>
          <w:lang w:eastAsia="ru-RU"/>
        </w:rPr>
      </w:pPr>
    </w:p>
    <w:p w:rsidR="0013458D" w:rsidRDefault="00FE05B2" w:rsidP="00FE5A1B">
      <w:pPr>
        <w:spacing w:line="240" w:lineRule="auto"/>
        <w:ind w:firstLine="709"/>
        <w:jc w:val="both"/>
        <w:rPr>
          <w:rFonts w:ascii="Times New Roman" w:eastAsia="Times New Roman" w:hAnsi="Times New Roman" w:cs="Times New Roman"/>
          <w:noProof/>
          <w:color w:val="222222"/>
          <w:sz w:val="28"/>
          <w:szCs w:val="28"/>
          <w:lang w:eastAsia="ru-RU"/>
        </w:rPr>
      </w:pPr>
      <w:r>
        <w:rPr>
          <w:rFonts w:ascii="Times New Roman" w:eastAsia="Times New Roman" w:hAnsi="Times New Roman" w:cs="Times New Roman"/>
          <w:noProof/>
          <w:color w:val="222222"/>
          <w:sz w:val="28"/>
          <w:szCs w:val="28"/>
          <w:lang w:eastAsia="ru-RU"/>
        </w:rPr>
        <mc:AlternateContent>
          <mc:Choice Requires="wps">
            <w:drawing>
              <wp:anchor distT="0" distB="0" distL="114300" distR="114300" simplePos="0" relativeHeight="251669504" behindDoc="0" locked="0" layoutInCell="1" allowOverlap="1" wp14:anchorId="552F5CC1" wp14:editId="15064057">
                <wp:simplePos x="0" y="0"/>
                <wp:positionH relativeFrom="column">
                  <wp:posOffset>3096536</wp:posOffset>
                </wp:positionH>
                <wp:positionV relativeFrom="paragraph">
                  <wp:posOffset>68276</wp:posOffset>
                </wp:positionV>
                <wp:extent cx="795131" cy="372745"/>
                <wp:effectExtent l="0" t="0" r="24130" b="27305"/>
                <wp:wrapNone/>
                <wp:docPr id="7" name="Прямоугольник 7"/>
                <wp:cNvGraphicFramePr/>
                <a:graphic xmlns:a="http://schemas.openxmlformats.org/drawingml/2006/main">
                  <a:graphicData uri="http://schemas.microsoft.com/office/word/2010/wordprocessingShape">
                    <wps:wsp>
                      <wps:cNvSpPr/>
                      <wps:spPr>
                        <a:xfrm>
                          <a:off x="0" y="0"/>
                          <a:ext cx="795131" cy="372745"/>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Социальная среда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2F5CC1" id="Прямоугольник 7" o:spid="_x0000_s1029" style="position:absolute;left:0;text-align:left;margin-left:243.8pt;margin-top:5.4pt;width:62.6pt;height:29.3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" fillcolor="white [3212]" strokecolor="black [3213]" strokeweight="1pt">
                <v:textbo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Социальная среда</w:t>
                      </w:r>
                    </w:p>
                  </w:txbxContent>
                </v:textbox>
              </v:rect>
            </w:pict>
          </mc:Fallback>
        </mc:AlternateContent>
      </w:r>
      <w:r>
        <w:rPr>
          <w:rFonts w:ascii="Times New Roman" w:eastAsia="Times New Roman" w:hAnsi="Times New Roman" w:cs="Times New Roman"/>
          <w:noProof/>
          <w:color w:val="222222"/>
          <w:sz w:val="28"/>
          <w:szCs w:val="28"/>
          <w:lang w:eastAsia="ru-RU"/>
        </w:rPr>
        <mc:AlternateContent>
          <mc:Choice Requires="wps">
            <w:drawing>
              <wp:anchor distT="0" distB="0" distL="114300" distR="114300" simplePos="0" relativeHeight="251667456" behindDoc="0" locked="0" layoutInCell="1" allowOverlap="1" wp14:anchorId="552F5CC1" wp14:editId="15064057">
                <wp:simplePos x="0" y="0"/>
                <wp:positionH relativeFrom="column">
                  <wp:posOffset>3931423</wp:posOffset>
                </wp:positionH>
                <wp:positionV relativeFrom="paragraph">
                  <wp:posOffset>68276</wp:posOffset>
                </wp:positionV>
                <wp:extent cx="889718" cy="371807"/>
                <wp:effectExtent l="0" t="0" r="24765" b="28575"/>
                <wp:wrapNone/>
                <wp:docPr id="6" name="Прямоугольник 6"/>
                <wp:cNvGraphicFramePr/>
                <a:graphic xmlns:a="http://schemas.openxmlformats.org/drawingml/2006/main">
                  <a:graphicData uri="http://schemas.microsoft.com/office/word/2010/wordprocessingShape">
                    <wps:wsp>
                      <wps:cNvSpPr/>
                      <wps:spPr>
                        <a:xfrm>
                          <a:off x="0" y="0"/>
                          <a:ext cx="889718" cy="37180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Экологическая среда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52F5CC1" id="Прямоугольник 6" o:spid="_x0000_s1030" style="position:absolute;left:0;text-align:left;margin-left:309.55pt;margin-top:5.4pt;width:70.05pt;height:29.3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" fillcolor="white [3212]" strokecolor="black [3213]" strokeweight="1pt">
                <v:textbo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Экологическая среда</w:t>
                      </w:r>
                    </w:p>
                  </w:txbxContent>
                </v:textbox>
              </v:rect>
            </w:pict>
          </mc:Fallback>
        </mc:AlternateContent>
      </w:r>
      <w:r>
        <w:rPr>
          <w:rFonts w:ascii="Times New Roman" w:eastAsia="Times New Roman" w:hAnsi="Times New Roman" w:cs="Times New Roman"/>
          <w:noProof/>
          <w:color w:val="222222"/>
          <w:sz w:val="28"/>
          <w:szCs w:val="28"/>
          <w:lang w:eastAsia="ru-RU"/>
        </w:rPr>
        <mc:AlternateContent>
          <mc:Choice Requires="wps">
            <w:drawing>
              <wp:anchor distT="0" distB="0" distL="114300" distR="114300" simplePos="0" relativeHeight="251665408" behindDoc="0" locked="0" layoutInCell="1" allowOverlap="1" wp14:anchorId="3B2B9D45" wp14:editId="133D2095">
                <wp:simplePos x="0" y="0"/>
                <wp:positionH relativeFrom="column">
                  <wp:posOffset>2213610</wp:posOffset>
                </wp:positionH>
                <wp:positionV relativeFrom="paragraph">
                  <wp:posOffset>68249</wp:posOffset>
                </wp:positionV>
                <wp:extent cx="826770" cy="373077"/>
                <wp:effectExtent l="0" t="0" r="11430" b="27305"/>
                <wp:wrapNone/>
                <wp:docPr id="5" name="Прямоугольник 5"/>
                <wp:cNvGraphicFramePr/>
                <a:graphic xmlns:a="http://schemas.openxmlformats.org/drawingml/2006/main">
                  <a:graphicData uri="http://schemas.microsoft.com/office/word/2010/wordprocessingShape">
                    <wps:wsp>
                      <wps:cNvSpPr/>
                      <wps:spPr>
                        <a:xfrm>
                          <a:off x="0" y="0"/>
                          <a:ext cx="826770" cy="37307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591B" w:rsidRPr="0006591B" w:rsidRDefault="00FE05B2"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Инновацион</w:t>
                            </w:r>
                            <w:r w:rsidR="00276161">
                              <w:rPr>
                                <w:rFonts w:ascii="Arial Narrow" w:eastAsia="Times New Roman" w:hAnsi="Arial Narrow" w:cs="Times New Roman"/>
                                <w:color w:val="222222"/>
                                <w:sz w:val="18"/>
                                <w:szCs w:val="18"/>
                                <w:lang w:val="en-US" w:eastAsia="ru-RU"/>
                              </w:rPr>
                              <w:t>-</w:t>
                            </w:r>
                            <w:r>
                              <w:rPr>
                                <w:rFonts w:ascii="Arial Narrow" w:eastAsia="Times New Roman" w:hAnsi="Arial Narrow" w:cs="Times New Roman"/>
                                <w:color w:val="222222"/>
                                <w:sz w:val="18"/>
                                <w:szCs w:val="18"/>
                                <w:lang w:eastAsia="ru-RU"/>
                              </w:rPr>
                              <w:t>н</w:t>
                            </w:r>
                            <w:r w:rsidRPr="0006591B">
                              <w:rPr>
                                <w:rFonts w:ascii="Arial Narrow" w:eastAsia="Times New Roman" w:hAnsi="Arial Narrow" w:cs="Times New Roman"/>
                                <w:color w:val="222222"/>
                                <w:sz w:val="18"/>
                                <w:szCs w:val="18"/>
                                <w:lang w:eastAsia="ru-RU"/>
                              </w:rPr>
                              <w:t>ая</w:t>
                            </w:r>
                            <w:r w:rsidR="0006591B" w:rsidRPr="0006591B">
                              <w:rPr>
                                <w:rFonts w:ascii="Arial Narrow" w:eastAsia="Times New Roman" w:hAnsi="Arial Narrow" w:cs="Times New Roman"/>
                                <w:color w:val="222222"/>
                                <w:sz w:val="18"/>
                                <w:szCs w:val="18"/>
                                <w:lang w:eastAsia="ru-RU"/>
                              </w:rPr>
                              <w:t xml:space="preserve"> среда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B2B9D45" id="Прямоугольник 5" o:spid="_x0000_s1031" style="position:absolute;left:0;text-align:left;margin-left:174.3pt;margin-top:5.35pt;width:65.1pt;height:29.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" fillcolor="white [3212]" strokecolor="black [3213]" strokeweight="1pt">
                <v:textbox>
                  <w:txbxContent>
                    <w:p w:rsidR="0006591B" w:rsidRPr="0006591B" w:rsidRDefault="00FE05B2"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Инновацион</w:t>
                      </w:r>
                      <w:r w:rsidR="00276161">
                        <w:rPr>
                          <w:rFonts w:ascii="Arial Narrow" w:eastAsia="Times New Roman" w:hAnsi="Arial Narrow" w:cs="Times New Roman"/>
                          <w:color w:val="222222"/>
                          <w:sz w:val="18"/>
                          <w:szCs w:val="18"/>
                          <w:lang w:val="en-US" w:eastAsia="ru-RU"/>
                        </w:rPr>
                        <w:t>-</w:t>
                      </w:r>
                      <w:r>
                        <w:rPr>
                          <w:rFonts w:ascii="Arial Narrow" w:eastAsia="Times New Roman" w:hAnsi="Arial Narrow" w:cs="Times New Roman"/>
                          <w:color w:val="222222"/>
                          <w:sz w:val="18"/>
                          <w:szCs w:val="18"/>
                          <w:lang w:eastAsia="ru-RU"/>
                        </w:rPr>
                        <w:t>н</w:t>
                      </w:r>
                      <w:r w:rsidRPr="0006591B">
                        <w:rPr>
                          <w:rFonts w:ascii="Arial Narrow" w:eastAsia="Times New Roman" w:hAnsi="Arial Narrow" w:cs="Times New Roman"/>
                          <w:color w:val="222222"/>
                          <w:sz w:val="18"/>
                          <w:szCs w:val="18"/>
                          <w:lang w:eastAsia="ru-RU"/>
                        </w:rPr>
                        <w:t>ая</w:t>
                      </w:r>
                      <w:r w:rsidR="0006591B" w:rsidRPr="0006591B">
                        <w:rPr>
                          <w:rFonts w:ascii="Arial Narrow" w:eastAsia="Times New Roman" w:hAnsi="Arial Narrow" w:cs="Times New Roman"/>
                          <w:color w:val="222222"/>
                          <w:sz w:val="18"/>
                          <w:szCs w:val="18"/>
                          <w:lang w:eastAsia="ru-RU"/>
                        </w:rPr>
                        <w:t xml:space="preserve"> среда</w:t>
                      </w:r>
                    </w:p>
                  </w:txbxContent>
                </v:textbox>
              </v:rect>
            </w:pict>
          </mc:Fallback>
        </mc:AlternateContent>
      </w:r>
      <w:r>
        <w:rPr>
          <w:rFonts w:ascii="Times New Roman" w:eastAsia="Times New Roman" w:hAnsi="Times New Roman" w:cs="Times New Roman"/>
          <w:noProof/>
          <w:color w:val="222222"/>
          <w:sz w:val="28"/>
          <w:szCs w:val="28"/>
          <w:lang w:eastAsia="ru-RU"/>
        </w:rPr>
        <mc:AlternateContent>
          <mc:Choice Requires="wps">
            <w:drawing>
              <wp:anchor distT="0" distB="0" distL="114300" distR="114300" simplePos="0" relativeHeight="251663360" behindDoc="0" locked="0" layoutInCell="1" allowOverlap="1">
                <wp:simplePos x="0" y="0"/>
                <wp:positionH relativeFrom="column">
                  <wp:posOffset>1291590</wp:posOffset>
                </wp:positionH>
                <wp:positionV relativeFrom="paragraph">
                  <wp:posOffset>68276</wp:posOffset>
                </wp:positionV>
                <wp:extent cx="882015" cy="373077"/>
                <wp:effectExtent l="0" t="0" r="13335" b="27305"/>
                <wp:wrapNone/>
                <wp:docPr id="4" name="Прямоугольник 4"/>
                <wp:cNvGraphicFramePr/>
                <a:graphic xmlns:a="http://schemas.openxmlformats.org/drawingml/2006/main">
                  <a:graphicData uri="http://schemas.microsoft.com/office/word/2010/wordprocessingShape">
                    <wps:wsp>
                      <wps:cNvSpPr/>
                      <wps:spPr>
                        <a:xfrm>
                          <a:off x="0" y="0"/>
                          <a:ext cx="882015" cy="373077"/>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Экономическая среда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4" o:spid="_x0000_s1032" style="position:absolute;left:0;text-align:left;margin-left:101.7pt;margin-top:5.4pt;width:69.45pt;height:29.4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" fillcolor="white [3212]" strokecolor="black [3213]" strokeweight="1pt">
                <v:textbox>
                  <w:txbxContent>
                    <w:p w:rsidR="0006591B" w:rsidRPr="0006591B" w:rsidRDefault="0006591B" w:rsidP="0006591B">
                      <w:pPr>
                        <w:jc w:val="center"/>
                        <w:rPr>
                          <w:rFonts w:ascii="Arial Narrow" w:eastAsia="Times New Roman" w:hAnsi="Arial Narrow" w:cs="Times New Roman"/>
                          <w:color w:val="222222"/>
                          <w:sz w:val="18"/>
                          <w:szCs w:val="18"/>
                          <w:lang w:eastAsia="ru-RU"/>
                        </w:rPr>
                      </w:pPr>
                      <w:r w:rsidRPr="0006591B">
                        <w:rPr>
                          <w:rFonts w:ascii="Arial Narrow" w:eastAsia="Times New Roman" w:hAnsi="Arial Narrow" w:cs="Times New Roman"/>
                          <w:color w:val="222222"/>
                          <w:sz w:val="18"/>
                          <w:szCs w:val="18"/>
                          <w:lang w:eastAsia="ru-RU"/>
                        </w:rPr>
                        <w:t>Экономическая среда</w:t>
                      </w:r>
                    </w:p>
                  </w:txbxContent>
                </v:textbox>
              </v:rect>
            </w:pict>
          </mc:Fallback>
        </mc:AlternateContent>
      </w:r>
    </w:p>
    <w:p w:rsidR="0006591B" w:rsidRDefault="0006591B" w:rsidP="00FE5A1B">
      <w:pPr>
        <w:spacing w:line="240" w:lineRule="auto"/>
        <w:ind w:firstLine="709"/>
        <w:jc w:val="both"/>
        <w:rPr>
          <w:rFonts w:ascii="Times New Roman" w:eastAsia="Times New Roman" w:hAnsi="Times New Roman" w:cs="Times New Roman"/>
          <w:noProof/>
          <w:color w:val="222222"/>
          <w:sz w:val="28"/>
          <w:szCs w:val="28"/>
          <w:lang w:eastAsia="ru-RU"/>
        </w:rPr>
      </w:pPr>
    </w:p>
    <w:p w:rsidR="005F576F" w:rsidRDefault="005F576F" w:rsidP="00FE5A1B">
      <w:pPr>
        <w:spacing w:line="240" w:lineRule="auto"/>
        <w:ind w:firstLine="709"/>
        <w:jc w:val="both"/>
        <w:rPr>
          <w:rFonts w:ascii="Times New Roman" w:eastAsia="Times New Roman" w:hAnsi="Times New Roman" w:cs="Times New Roman"/>
          <w:color w:val="222222"/>
          <w:sz w:val="24"/>
          <w:szCs w:val="28"/>
          <w:lang w:eastAsia="ru-RU"/>
        </w:rPr>
      </w:pPr>
      <w:r w:rsidRPr="00FE05B2">
        <w:rPr>
          <w:rFonts w:ascii="Times New Roman" w:eastAsia="Times New Roman" w:hAnsi="Times New Roman" w:cs="Times New Roman"/>
          <w:bCs/>
          <w:color w:val="222222"/>
          <w:sz w:val="24"/>
          <w:szCs w:val="28"/>
          <w:lang w:eastAsia="ru-RU"/>
        </w:rPr>
        <w:t>Рис</w:t>
      </w:r>
      <w:r w:rsidR="00FE05B2" w:rsidRPr="00FE05B2">
        <w:rPr>
          <w:rFonts w:ascii="Times New Roman" w:eastAsia="Times New Roman" w:hAnsi="Times New Roman" w:cs="Times New Roman"/>
          <w:bCs/>
          <w:color w:val="222222"/>
          <w:sz w:val="24"/>
          <w:szCs w:val="28"/>
          <w:lang w:eastAsia="ru-RU"/>
        </w:rPr>
        <w:t>.</w:t>
      </w:r>
      <w:r w:rsidRPr="00FE05B2">
        <w:rPr>
          <w:rFonts w:ascii="Times New Roman" w:eastAsia="Times New Roman" w:hAnsi="Times New Roman" w:cs="Times New Roman"/>
          <w:bCs/>
          <w:color w:val="222222"/>
          <w:sz w:val="24"/>
          <w:szCs w:val="28"/>
          <w:lang w:eastAsia="ru-RU"/>
        </w:rPr>
        <w:t xml:space="preserve"> 1.</w:t>
      </w:r>
      <w:r w:rsidRPr="00FE05B2">
        <w:rPr>
          <w:rFonts w:ascii="Times New Roman" w:eastAsia="Times New Roman" w:hAnsi="Times New Roman" w:cs="Times New Roman"/>
          <w:color w:val="222222"/>
          <w:sz w:val="24"/>
          <w:szCs w:val="28"/>
          <w:lang w:eastAsia="ru-RU"/>
        </w:rPr>
        <w:t> Элементарная модель инвестиционной привлекательности региона.</w:t>
      </w:r>
    </w:p>
    <w:p w:rsidR="007B1526" w:rsidRDefault="007B1526" w:rsidP="00FE5A1B">
      <w:pPr>
        <w:spacing w:line="240" w:lineRule="auto"/>
        <w:ind w:firstLine="709"/>
        <w:jc w:val="both"/>
        <w:rPr>
          <w:rFonts w:ascii="Times New Roman" w:eastAsia="Times New Roman" w:hAnsi="Times New Roman" w:cs="Times New Roman"/>
          <w:color w:val="222222"/>
          <w:sz w:val="24"/>
          <w:szCs w:val="28"/>
          <w:lang w:eastAsia="ru-RU"/>
        </w:rPr>
      </w:pPr>
    </w:p>
    <w:p w:rsidR="007B1526" w:rsidRDefault="007B1526" w:rsidP="00FE5A1B">
      <w:pPr>
        <w:spacing w:line="240" w:lineRule="auto"/>
        <w:ind w:firstLine="709"/>
        <w:jc w:val="both"/>
        <w:rPr>
          <w:rFonts w:ascii="Times New Roman" w:eastAsia="Times New Roman" w:hAnsi="Times New Roman" w:cs="Times New Roman"/>
          <w:color w:val="222222"/>
          <w:sz w:val="24"/>
          <w:szCs w:val="28"/>
          <w:lang w:eastAsia="ru-RU"/>
        </w:rPr>
      </w:pPr>
    </w:p>
    <w:p w:rsidR="007130C1" w:rsidRPr="007B1526" w:rsidRDefault="007B1526" w:rsidP="007B1526">
      <w:pPr>
        <w:spacing w:line="240" w:lineRule="auto"/>
        <w:ind w:firstLine="709"/>
        <w:jc w:val="center"/>
        <w:rPr>
          <w:rFonts w:ascii="Times New Roman" w:hAnsi="Times New Roman" w:cs="Times New Roman"/>
          <w:b/>
          <w:sz w:val="28"/>
          <w:szCs w:val="28"/>
        </w:rPr>
      </w:pPr>
      <w:r w:rsidRPr="007B1526">
        <w:rPr>
          <w:rFonts w:ascii="Times New Roman" w:hAnsi="Times New Roman" w:cs="Times New Roman"/>
          <w:b/>
          <w:sz w:val="28"/>
          <w:szCs w:val="28"/>
        </w:rPr>
        <w:lastRenderedPageBreak/>
        <w:t>Библиографический список на русском языке</w:t>
      </w:r>
    </w:p>
    <w:p w:rsidR="00FE5A1B" w:rsidRPr="00276161" w:rsidRDefault="00017646" w:rsidP="00017646">
      <w:pPr>
        <w:spacing w:after="0" w:line="240" w:lineRule="auto"/>
        <w:ind w:firstLine="709"/>
        <w:jc w:val="both"/>
        <w:rPr>
          <w:rFonts w:ascii="Times New Roman" w:hAnsi="Times New Roman" w:cs="Times New Roman"/>
          <w:sz w:val="28"/>
          <w:szCs w:val="28"/>
          <w:lang w:val="en-US"/>
        </w:rPr>
      </w:pPr>
      <w:r w:rsidRPr="00017646">
        <w:rPr>
          <w:rFonts w:ascii="Times New Roman" w:hAnsi="Times New Roman" w:cs="Times New Roman"/>
          <w:sz w:val="28"/>
          <w:szCs w:val="28"/>
        </w:rPr>
        <w:t xml:space="preserve">И. </w:t>
      </w:r>
      <w:r w:rsidR="00FE5A1B" w:rsidRPr="00017646">
        <w:rPr>
          <w:rFonts w:ascii="Times New Roman" w:hAnsi="Times New Roman" w:cs="Times New Roman"/>
          <w:sz w:val="28"/>
          <w:szCs w:val="28"/>
        </w:rPr>
        <w:t>Кузовлева</w:t>
      </w:r>
      <w:r w:rsidRPr="00017646">
        <w:rPr>
          <w:rFonts w:ascii="Times New Roman" w:hAnsi="Times New Roman" w:cs="Times New Roman"/>
          <w:sz w:val="28"/>
          <w:szCs w:val="28"/>
        </w:rPr>
        <w:t xml:space="preserve">, В. </w:t>
      </w:r>
      <w:r w:rsidR="00FE5A1B" w:rsidRPr="00017646">
        <w:rPr>
          <w:rFonts w:ascii="Times New Roman" w:hAnsi="Times New Roman" w:cs="Times New Roman"/>
          <w:sz w:val="28"/>
          <w:szCs w:val="28"/>
        </w:rPr>
        <w:t>Алексеенко, Т</w:t>
      </w:r>
      <w:r w:rsidRPr="00017646">
        <w:rPr>
          <w:rFonts w:ascii="Times New Roman" w:hAnsi="Times New Roman" w:cs="Times New Roman"/>
          <w:sz w:val="28"/>
          <w:szCs w:val="28"/>
        </w:rPr>
        <w:t>.</w:t>
      </w:r>
      <w:r w:rsidR="00FE5A1B" w:rsidRPr="00017646">
        <w:rPr>
          <w:rFonts w:ascii="Times New Roman" w:hAnsi="Times New Roman" w:cs="Times New Roman"/>
          <w:sz w:val="28"/>
          <w:szCs w:val="28"/>
        </w:rPr>
        <w:t xml:space="preserve"> Филиппова и Т</w:t>
      </w:r>
      <w:r w:rsidRPr="00017646">
        <w:rPr>
          <w:rFonts w:ascii="Times New Roman" w:hAnsi="Times New Roman" w:cs="Times New Roman"/>
          <w:sz w:val="28"/>
          <w:szCs w:val="28"/>
        </w:rPr>
        <w:t>. Кудрявцева.</w:t>
      </w:r>
      <w:r w:rsidR="00FE5A1B" w:rsidRPr="00017646">
        <w:rPr>
          <w:rFonts w:ascii="Times New Roman" w:hAnsi="Times New Roman" w:cs="Times New Roman"/>
          <w:sz w:val="28"/>
          <w:szCs w:val="28"/>
        </w:rPr>
        <w:t> 2019</w:t>
      </w:r>
      <w:r w:rsidRPr="00017646">
        <w:rPr>
          <w:rFonts w:ascii="Times New Roman" w:hAnsi="Times New Roman" w:cs="Times New Roman"/>
          <w:sz w:val="28"/>
          <w:szCs w:val="28"/>
        </w:rPr>
        <w:t xml:space="preserve"> г</w:t>
      </w:r>
      <w:r w:rsidR="00FE5A1B" w:rsidRPr="00017646">
        <w:rPr>
          <w:rFonts w:ascii="Times New Roman" w:hAnsi="Times New Roman" w:cs="Times New Roman"/>
          <w:sz w:val="28"/>
          <w:szCs w:val="28"/>
        </w:rPr>
        <w:t>. Эффективность управления инновационным потенциалом строительного кластера. Доклад</w:t>
      </w:r>
      <w:r w:rsidR="00FE5A1B" w:rsidRPr="00276161">
        <w:rPr>
          <w:rFonts w:ascii="Times New Roman" w:hAnsi="Times New Roman" w:cs="Times New Roman"/>
          <w:sz w:val="28"/>
          <w:szCs w:val="28"/>
          <w:lang w:val="en-US"/>
        </w:rPr>
        <w:t xml:space="preserve">, </w:t>
      </w:r>
      <w:r w:rsidR="00FE5A1B" w:rsidRPr="00017646">
        <w:rPr>
          <w:rFonts w:ascii="Times New Roman" w:hAnsi="Times New Roman" w:cs="Times New Roman"/>
          <w:sz w:val="28"/>
          <w:szCs w:val="28"/>
        </w:rPr>
        <w:t>представленный</w:t>
      </w:r>
      <w:r w:rsidR="00FE5A1B" w:rsidRPr="00276161">
        <w:rPr>
          <w:rFonts w:ascii="Times New Roman" w:hAnsi="Times New Roman" w:cs="Times New Roman"/>
          <w:sz w:val="28"/>
          <w:szCs w:val="28"/>
          <w:lang w:val="en-US"/>
        </w:rPr>
        <w:t xml:space="preserve"> </w:t>
      </w:r>
      <w:r w:rsidR="00FE5A1B" w:rsidRPr="00017646">
        <w:rPr>
          <w:rFonts w:ascii="Times New Roman" w:hAnsi="Times New Roman" w:cs="Times New Roman"/>
          <w:sz w:val="28"/>
          <w:szCs w:val="28"/>
        </w:rPr>
        <w:t>на</w:t>
      </w:r>
      <w:r w:rsidR="00FE5A1B" w:rsidRPr="00276161">
        <w:rPr>
          <w:rFonts w:ascii="Times New Roman" w:hAnsi="Times New Roman" w:cs="Times New Roman"/>
          <w:sz w:val="28"/>
          <w:szCs w:val="28"/>
          <w:lang w:val="en-US"/>
        </w:rPr>
        <w:t xml:space="preserve"> IOP Conference Series: Materials Science and Engineering, </w:t>
      </w:r>
      <w:r w:rsidR="00FE5A1B" w:rsidRPr="00017646">
        <w:rPr>
          <w:rFonts w:ascii="Times New Roman" w:hAnsi="Times New Roman" w:cs="Times New Roman"/>
          <w:sz w:val="28"/>
          <w:szCs w:val="28"/>
        </w:rPr>
        <w:t>Санкт</w:t>
      </w:r>
      <w:r w:rsidR="00FE5A1B" w:rsidRPr="00276161">
        <w:rPr>
          <w:rFonts w:ascii="Times New Roman" w:hAnsi="Times New Roman" w:cs="Times New Roman"/>
          <w:sz w:val="28"/>
          <w:szCs w:val="28"/>
          <w:lang w:val="en-US"/>
        </w:rPr>
        <w:t>-</w:t>
      </w:r>
      <w:r w:rsidR="00FE5A1B" w:rsidRPr="00017646">
        <w:rPr>
          <w:rFonts w:ascii="Times New Roman" w:hAnsi="Times New Roman" w:cs="Times New Roman"/>
          <w:sz w:val="28"/>
          <w:szCs w:val="28"/>
        </w:rPr>
        <w:t>Петербург</w:t>
      </w:r>
      <w:r w:rsidR="00FE5A1B" w:rsidRPr="00276161">
        <w:rPr>
          <w:rFonts w:ascii="Times New Roman" w:hAnsi="Times New Roman" w:cs="Times New Roman"/>
          <w:sz w:val="28"/>
          <w:szCs w:val="28"/>
          <w:lang w:val="en-US"/>
        </w:rPr>
        <w:t xml:space="preserve">, </w:t>
      </w:r>
      <w:r w:rsidR="00FE5A1B" w:rsidRPr="00017646">
        <w:rPr>
          <w:rFonts w:ascii="Times New Roman" w:hAnsi="Times New Roman" w:cs="Times New Roman"/>
          <w:sz w:val="28"/>
          <w:szCs w:val="28"/>
        </w:rPr>
        <w:t>Россия</w:t>
      </w:r>
      <w:r w:rsidR="00FE5A1B" w:rsidRPr="00276161">
        <w:rPr>
          <w:rFonts w:ascii="Times New Roman" w:hAnsi="Times New Roman" w:cs="Times New Roman"/>
          <w:sz w:val="28"/>
          <w:szCs w:val="28"/>
          <w:lang w:val="en-US"/>
        </w:rPr>
        <w:t xml:space="preserve">, 21–22 </w:t>
      </w:r>
      <w:r w:rsidR="00FE5A1B" w:rsidRPr="00017646">
        <w:rPr>
          <w:rFonts w:ascii="Times New Roman" w:hAnsi="Times New Roman" w:cs="Times New Roman"/>
          <w:sz w:val="28"/>
          <w:szCs w:val="28"/>
        </w:rPr>
        <w:t>ноября</w:t>
      </w:r>
      <w:r w:rsidR="00FE5A1B" w:rsidRPr="00276161">
        <w:rPr>
          <w:rFonts w:ascii="Times New Roman" w:hAnsi="Times New Roman" w:cs="Times New Roman"/>
          <w:sz w:val="28"/>
          <w:szCs w:val="28"/>
          <w:lang w:val="en-US"/>
        </w:rPr>
        <w:t>; </w:t>
      </w:r>
      <w:r w:rsidR="00FE5A1B" w:rsidRPr="00017646">
        <w:rPr>
          <w:rFonts w:ascii="Times New Roman" w:hAnsi="Times New Roman" w:cs="Times New Roman"/>
          <w:sz w:val="28"/>
          <w:szCs w:val="28"/>
        </w:rPr>
        <w:t>т</w:t>
      </w:r>
      <w:r w:rsidR="00FE5A1B" w:rsidRPr="00276161">
        <w:rPr>
          <w:rFonts w:ascii="Times New Roman" w:hAnsi="Times New Roman" w:cs="Times New Roman"/>
          <w:sz w:val="28"/>
          <w:szCs w:val="28"/>
          <w:lang w:val="en-US"/>
        </w:rPr>
        <w:t>. 497.</w:t>
      </w:r>
    </w:p>
    <w:p w:rsidR="00017646" w:rsidRPr="00017646" w:rsidRDefault="00017646" w:rsidP="00017646">
      <w:pPr>
        <w:spacing w:after="0" w:line="240" w:lineRule="auto"/>
        <w:ind w:firstLine="709"/>
        <w:jc w:val="both"/>
        <w:rPr>
          <w:rFonts w:ascii="Times New Roman" w:hAnsi="Times New Roman" w:cs="Times New Roman"/>
          <w:sz w:val="28"/>
          <w:szCs w:val="28"/>
        </w:rPr>
      </w:pPr>
      <w:r w:rsidRPr="00017646">
        <w:rPr>
          <w:rFonts w:ascii="Times New Roman" w:hAnsi="Times New Roman" w:cs="Times New Roman"/>
          <w:sz w:val="28"/>
          <w:szCs w:val="28"/>
        </w:rPr>
        <w:t>Недосекин А., Рейшахрит Э., Козловский А. 2017 г. Оценка экономической устойчивости как нечетко-логическая научная задача. Доклад представлен на XX Международной конференции IEEE по мягким вычислениям и измерениям (SCM), Санкт-Петербург, Россия, 24–26 мая.</w:t>
      </w:r>
    </w:p>
    <w:p w:rsidR="00017646" w:rsidRPr="00017646" w:rsidRDefault="00017646" w:rsidP="00017646">
      <w:pPr>
        <w:shd w:val="clear" w:color="auto" w:fill="FFFFFF"/>
        <w:spacing w:after="0" w:line="240" w:lineRule="auto"/>
        <w:ind w:firstLine="709"/>
        <w:jc w:val="both"/>
        <w:rPr>
          <w:rFonts w:ascii="Times New Roman" w:hAnsi="Times New Roman" w:cs="Times New Roman"/>
          <w:sz w:val="28"/>
          <w:szCs w:val="28"/>
          <w:lang w:val="en-US"/>
        </w:rPr>
      </w:pPr>
      <w:r w:rsidRPr="00017646">
        <w:rPr>
          <w:rFonts w:ascii="Times New Roman" w:hAnsi="Times New Roman" w:cs="Times New Roman"/>
          <w:sz w:val="28"/>
          <w:szCs w:val="28"/>
        </w:rPr>
        <w:t>Е.Рытова и С.Гутман. 2019 г. Оценка стратегии регионального развития в условиях цифровизации экономики на основе метода нечетких множеств. Доклад</w:t>
      </w:r>
      <w:r w:rsidRPr="00017646">
        <w:rPr>
          <w:rFonts w:ascii="Times New Roman" w:hAnsi="Times New Roman" w:cs="Times New Roman"/>
          <w:sz w:val="28"/>
          <w:szCs w:val="28"/>
          <w:lang w:val="en-US"/>
        </w:rPr>
        <w:t xml:space="preserve">, </w:t>
      </w:r>
      <w:r w:rsidRPr="00017646">
        <w:rPr>
          <w:rFonts w:ascii="Times New Roman" w:hAnsi="Times New Roman" w:cs="Times New Roman"/>
          <w:sz w:val="28"/>
          <w:szCs w:val="28"/>
        </w:rPr>
        <w:t>представленный</w:t>
      </w:r>
      <w:r w:rsidRPr="00017646">
        <w:rPr>
          <w:rFonts w:ascii="Times New Roman" w:hAnsi="Times New Roman" w:cs="Times New Roman"/>
          <w:sz w:val="28"/>
          <w:szCs w:val="28"/>
          <w:lang w:val="en-US"/>
        </w:rPr>
        <w:t xml:space="preserve"> </w:t>
      </w:r>
      <w:r w:rsidRPr="00017646">
        <w:rPr>
          <w:rFonts w:ascii="Times New Roman" w:hAnsi="Times New Roman" w:cs="Times New Roman"/>
          <w:sz w:val="28"/>
          <w:szCs w:val="28"/>
        </w:rPr>
        <w:t>на</w:t>
      </w:r>
      <w:r w:rsidRPr="00017646">
        <w:rPr>
          <w:rFonts w:ascii="Times New Roman" w:hAnsi="Times New Roman" w:cs="Times New Roman"/>
          <w:sz w:val="28"/>
          <w:szCs w:val="28"/>
          <w:lang w:val="en-US"/>
        </w:rPr>
        <w:t xml:space="preserve"> IOP Conference Series: Materials Science and Engineering, </w:t>
      </w:r>
      <w:r w:rsidRPr="00017646">
        <w:rPr>
          <w:rFonts w:ascii="Times New Roman" w:hAnsi="Times New Roman" w:cs="Times New Roman"/>
          <w:sz w:val="28"/>
          <w:szCs w:val="28"/>
        </w:rPr>
        <w:t>Санкт</w:t>
      </w:r>
      <w:r w:rsidRPr="00017646">
        <w:rPr>
          <w:rFonts w:ascii="Times New Roman" w:hAnsi="Times New Roman" w:cs="Times New Roman"/>
          <w:sz w:val="28"/>
          <w:szCs w:val="28"/>
          <w:lang w:val="en-US"/>
        </w:rPr>
        <w:t>-</w:t>
      </w:r>
      <w:r w:rsidRPr="00017646">
        <w:rPr>
          <w:rFonts w:ascii="Times New Roman" w:hAnsi="Times New Roman" w:cs="Times New Roman"/>
          <w:sz w:val="28"/>
          <w:szCs w:val="28"/>
        </w:rPr>
        <w:t>Петербург</w:t>
      </w:r>
      <w:r w:rsidRPr="00017646">
        <w:rPr>
          <w:rFonts w:ascii="Times New Roman" w:hAnsi="Times New Roman" w:cs="Times New Roman"/>
          <w:sz w:val="28"/>
          <w:szCs w:val="28"/>
          <w:lang w:val="en-US"/>
        </w:rPr>
        <w:t xml:space="preserve">, </w:t>
      </w:r>
      <w:r w:rsidRPr="00017646">
        <w:rPr>
          <w:rFonts w:ascii="Times New Roman" w:hAnsi="Times New Roman" w:cs="Times New Roman"/>
          <w:sz w:val="28"/>
          <w:szCs w:val="28"/>
        </w:rPr>
        <w:t>Россия</w:t>
      </w:r>
      <w:r w:rsidRPr="00017646">
        <w:rPr>
          <w:rFonts w:ascii="Times New Roman" w:hAnsi="Times New Roman" w:cs="Times New Roman"/>
          <w:sz w:val="28"/>
          <w:szCs w:val="28"/>
          <w:lang w:val="en-US"/>
        </w:rPr>
        <w:t xml:space="preserve">, 21–22 </w:t>
      </w:r>
      <w:r w:rsidRPr="00017646">
        <w:rPr>
          <w:rFonts w:ascii="Times New Roman" w:hAnsi="Times New Roman" w:cs="Times New Roman"/>
          <w:sz w:val="28"/>
          <w:szCs w:val="28"/>
        </w:rPr>
        <w:t>ноября</w:t>
      </w:r>
      <w:r w:rsidRPr="00017646">
        <w:rPr>
          <w:rFonts w:ascii="Times New Roman" w:hAnsi="Times New Roman" w:cs="Times New Roman"/>
          <w:sz w:val="28"/>
          <w:szCs w:val="28"/>
          <w:lang w:val="en-US"/>
        </w:rPr>
        <w:t>; </w:t>
      </w:r>
      <w:r w:rsidRPr="00017646">
        <w:rPr>
          <w:rFonts w:ascii="Times New Roman" w:hAnsi="Times New Roman" w:cs="Times New Roman"/>
          <w:sz w:val="28"/>
          <w:szCs w:val="28"/>
        </w:rPr>
        <w:t>т</w:t>
      </w:r>
      <w:r w:rsidRPr="00017646">
        <w:rPr>
          <w:rFonts w:ascii="Times New Roman" w:hAnsi="Times New Roman" w:cs="Times New Roman"/>
          <w:sz w:val="28"/>
          <w:szCs w:val="28"/>
          <w:lang w:val="en-US"/>
        </w:rPr>
        <w:t>. 497.</w:t>
      </w:r>
    </w:p>
    <w:p w:rsidR="00017646" w:rsidRPr="00017646" w:rsidRDefault="00017646" w:rsidP="00017646">
      <w:pPr>
        <w:shd w:val="clear" w:color="auto" w:fill="FFFFFF"/>
        <w:spacing w:after="0" w:line="240" w:lineRule="auto"/>
        <w:ind w:firstLine="709"/>
        <w:jc w:val="both"/>
        <w:rPr>
          <w:rFonts w:ascii="Times New Roman" w:hAnsi="Times New Roman" w:cs="Times New Roman"/>
          <w:sz w:val="28"/>
          <w:szCs w:val="28"/>
        </w:rPr>
      </w:pPr>
      <w:r w:rsidRPr="00017646">
        <w:rPr>
          <w:rFonts w:ascii="Times New Roman" w:hAnsi="Times New Roman" w:cs="Times New Roman"/>
          <w:sz w:val="28"/>
          <w:szCs w:val="28"/>
        </w:rPr>
        <w:t>В. Щепинин , А. Схведиани и Т. Кудрявцева. 2018 г. Эмпирическое исследование кластера производственных технологий и регионального экономического роста в России. Доклад, представленный на Европейской конференции по инновациям и предпринимательству, ECIE, Авейру, Португалия, 20–21 сентября; С. 732–40. </w:t>
      </w:r>
    </w:p>
    <w:p w:rsidR="00017646" w:rsidRPr="00017646" w:rsidRDefault="00017646" w:rsidP="00017646">
      <w:pPr>
        <w:shd w:val="clear" w:color="auto" w:fill="FFFFFF"/>
        <w:spacing w:after="0" w:line="240" w:lineRule="auto"/>
        <w:ind w:firstLine="709"/>
        <w:jc w:val="both"/>
        <w:rPr>
          <w:rFonts w:ascii="Times New Roman" w:hAnsi="Times New Roman" w:cs="Times New Roman"/>
          <w:sz w:val="28"/>
          <w:szCs w:val="28"/>
        </w:rPr>
      </w:pPr>
      <w:r w:rsidRPr="00017646">
        <w:rPr>
          <w:rFonts w:ascii="Times New Roman" w:hAnsi="Times New Roman" w:cs="Times New Roman"/>
          <w:sz w:val="28"/>
          <w:szCs w:val="28"/>
        </w:rPr>
        <w:t>Х. Шариф и Х.Уму. 2019</w:t>
      </w:r>
      <w:r>
        <w:rPr>
          <w:rFonts w:ascii="Times New Roman" w:hAnsi="Times New Roman" w:cs="Times New Roman"/>
          <w:sz w:val="28"/>
          <w:szCs w:val="28"/>
        </w:rPr>
        <w:t xml:space="preserve"> г</w:t>
      </w:r>
      <w:r w:rsidRPr="00017646">
        <w:rPr>
          <w:rFonts w:ascii="Times New Roman" w:hAnsi="Times New Roman" w:cs="Times New Roman"/>
          <w:sz w:val="28"/>
          <w:szCs w:val="28"/>
        </w:rPr>
        <w:t>. Как повысить инвестиционную привлекательность города. Международный журнал научных и технологических исследований 8: 1070–73. </w:t>
      </w:r>
    </w:p>
    <w:p w:rsidR="00017646" w:rsidRDefault="00017646" w:rsidP="00017646">
      <w:pPr>
        <w:shd w:val="clear" w:color="auto" w:fill="FFFFFF"/>
        <w:spacing w:after="0" w:line="240" w:lineRule="auto"/>
        <w:ind w:firstLine="709"/>
        <w:jc w:val="both"/>
        <w:rPr>
          <w:rFonts w:ascii="Times New Roman" w:hAnsi="Times New Roman" w:cs="Times New Roman"/>
          <w:sz w:val="28"/>
          <w:szCs w:val="28"/>
        </w:rPr>
      </w:pPr>
      <w:r>
        <w:rPr>
          <w:rFonts w:ascii="Times New Roman" w:hAnsi="Times New Roman" w:cs="Times New Roman"/>
          <w:sz w:val="28"/>
          <w:szCs w:val="28"/>
        </w:rPr>
        <w:t>Д.</w:t>
      </w:r>
      <w:r w:rsidRPr="00017646">
        <w:rPr>
          <w:rFonts w:ascii="Times New Roman" w:hAnsi="Times New Roman" w:cs="Times New Roman"/>
          <w:sz w:val="28"/>
          <w:szCs w:val="28"/>
        </w:rPr>
        <w:t>Родионов, Т</w:t>
      </w:r>
      <w:r>
        <w:rPr>
          <w:rFonts w:ascii="Times New Roman" w:hAnsi="Times New Roman" w:cs="Times New Roman"/>
          <w:sz w:val="28"/>
          <w:szCs w:val="28"/>
        </w:rPr>
        <w:t xml:space="preserve">. Кудрявцева и </w:t>
      </w:r>
      <w:r w:rsidRPr="00017646">
        <w:rPr>
          <w:rFonts w:ascii="Times New Roman" w:hAnsi="Times New Roman" w:cs="Times New Roman"/>
          <w:sz w:val="28"/>
          <w:szCs w:val="28"/>
        </w:rPr>
        <w:t>Е. Схведиани. 2018</w:t>
      </w:r>
      <w:r>
        <w:rPr>
          <w:rFonts w:ascii="Times New Roman" w:hAnsi="Times New Roman" w:cs="Times New Roman"/>
          <w:sz w:val="28"/>
          <w:szCs w:val="28"/>
        </w:rPr>
        <w:t xml:space="preserve"> г</w:t>
      </w:r>
      <w:r w:rsidRPr="00017646">
        <w:rPr>
          <w:rFonts w:ascii="Times New Roman" w:hAnsi="Times New Roman" w:cs="Times New Roman"/>
          <w:sz w:val="28"/>
          <w:szCs w:val="28"/>
        </w:rPr>
        <w:t>. Человеческое развитие и неравенство доходов как факторы регионального экономического роста. Журнал европейских исследований 21: 323–37. </w:t>
      </w:r>
    </w:p>
    <w:p w:rsidR="00017646" w:rsidRDefault="00017646" w:rsidP="00017646">
      <w:pPr>
        <w:shd w:val="clear" w:color="auto" w:fill="FFFFFF"/>
        <w:spacing w:after="0" w:line="240" w:lineRule="auto"/>
        <w:ind w:firstLine="709"/>
        <w:jc w:val="both"/>
        <w:rPr>
          <w:rFonts w:ascii="Times New Roman" w:hAnsi="Times New Roman" w:cs="Times New Roman"/>
          <w:sz w:val="28"/>
          <w:szCs w:val="28"/>
        </w:rPr>
      </w:pPr>
    </w:p>
    <w:p w:rsidR="00017646" w:rsidRPr="00017646" w:rsidRDefault="00017646" w:rsidP="00017646">
      <w:pPr>
        <w:shd w:val="clear" w:color="auto" w:fill="FFFFFF"/>
        <w:spacing w:after="0" w:line="240" w:lineRule="auto"/>
        <w:ind w:firstLine="709"/>
        <w:jc w:val="center"/>
        <w:rPr>
          <w:rFonts w:ascii="Times New Roman" w:hAnsi="Times New Roman" w:cs="Times New Roman"/>
          <w:b/>
          <w:sz w:val="28"/>
          <w:szCs w:val="28"/>
        </w:rPr>
      </w:pPr>
      <w:r w:rsidRPr="00017646">
        <w:rPr>
          <w:rFonts w:ascii="Times New Roman" w:hAnsi="Times New Roman" w:cs="Times New Roman"/>
          <w:b/>
          <w:sz w:val="28"/>
          <w:szCs w:val="28"/>
        </w:rPr>
        <w:t>Информация об авторе на русском языке</w:t>
      </w:r>
    </w:p>
    <w:p w:rsidR="00017646" w:rsidRDefault="00017646" w:rsidP="00017646">
      <w:pPr>
        <w:spacing w:line="240" w:lineRule="auto"/>
        <w:ind w:firstLine="709"/>
        <w:jc w:val="both"/>
        <w:rPr>
          <w:rFonts w:ascii="Times New Roman" w:hAnsi="Times New Roman" w:cs="Times New Roman"/>
          <w:sz w:val="28"/>
          <w:szCs w:val="28"/>
        </w:rPr>
      </w:pPr>
      <w:r>
        <w:rPr>
          <w:rFonts w:ascii="Times New Roman" w:hAnsi="Times New Roman" w:cs="Times New Roman"/>
          <w:sz w:val="28"/>
          <w:szCs w:val="28"/>
        </w:rPr>
        <w:t>Рычкова Анна Сергеевна (Россия, Москва) – аспирант, Российский университет транспорта (РУТ).</w:t>
      </w:r>
    </w:p>
    <w:p w:rsidR="00017646" w:rsidRDefault="00017646" w:rsidP="00017646">
      <w:pPr>
        <w:spacing w:line="240" w:lineRule="auto"/>
        <w:ind w:firstLine="709"/>
        <w:jc w:val="right"/>
        <w:rPr>
          <w:rFonts w:ascii="Times New Roman" w:hAnsi="Times New Roman" w:cs="Times New Roman"/>
          <w:sz w:val="28"/>
          <w:szCs w:val="28"/>
          <w:lang w:val="en-US"/>
        </w:rPr>
      </w:pPr>
      <w:r>
        <w:rPr>
          <w:rFonts w:ascii="Times New Roman" w:hAnsi="Times New Roman" w:cs="Times New Roman"/>
          <w:sz w:val="28"/>
          <w:szCs w:val="28"/>
          <w:lang w:val="en-US"/>
        </w:rPr>
        <w:t>Rychkova A.S.</w:t>
      </w:r>
    </w:p>
    <w:p w:rsidR="00017646" w:rsidRDefault="00017646" w:rsidP="00017646">
      <w:pPr>
        <w:pStyle w:val="1"/>
        <w:shd w:val="clear" w:color="auto" w:fill="FFFFFF"/>
        <w:spacing w:before="0" w:beforeAutospacing="0" w:after="0" w:afterAutospacing="0"/>
        <w:jc w:val="center"/>
        <w:rPr>
          <w:color w:val="000000"/>
          <w:sz w:val="28"/>
          <w:szCs w:val="28"/>
          <w:lang w:val="en-US"/>
        </w:rPr>
      </w:pPr>
      <w:r w:rsidRPr="00017646">
        <w:rPr>
          <w:color w:val="000000"/>
          <w:sz w:val="28"/>
          <w:szCs w:val="28"/>
          <w:lang w:val="en-US"/>
        </w:rPr>
        <w:t>A Transformation of the Approach to Evaluating a Region’s Investment Attractiveness as a Consequence of the COVID-19 Pandemic</w:t>
      </w:r>
    </w:p>
    <w:p w:rsidR="00325AFC" w:rsidRPr="00325AFC" w:rsidRDefault="00017646" w:rsidP="00325AFC">
      <w:pPr>
        <w:pStyle w:val="1"/>
        <w:shd w:val="clear" w:color="auto" w:fill="FFFFFF"/>
        <w:spacing w:after="0" w:afterAutospacing="0"/>
        <w:ind w:firstLine="709"/>
        <w:rPr>
          <w:b w:val="0"/>
          <w:i/>
          <w:color w:val="000000"/>
          <w:sz w:val="28"/>
          <w:szCs w:val="28"/>
          <w:lang w:val="en-US"/>
        </w:rPr>
      </w:pPr>
      <w:r w:rsidRPr="00325AFC">
        <w:rPr>
          <w:i/>
          <w:color w:val="000000"/>
          <w:sz w:val="28"/>
          <w:szCs w:val="28"/>
          <w:lang w:val="en-US"/>
        </w:rPr>
        <w:t>A</w:t>
      </w:r>
      <w:r w:rsidR="00325AFC">
        <w:rPr>
          <w:i/>
          <w:color w:val="000000"/>
          <w:sz w:val="28"/>
          <w:szCs w:val="28"/>
          <w:lang w:val="en-US"/>
        </w:rPr>
        <w:t>nnotation.</w:t>
      </w:r>
      <w:r w:rsidR="00325AFC" w:rsidRPr="00325AFC">
        <w:rPr>
          <w:lang w:val="en-US"/>
        </w:rPr>
        <w:t xml:space="preserve"> </w:t>
      </w:r>
      <w:r w:rsidR="00325AFC" w:rsidRPr="00325AFC">
        <w:rPr>
          <w:b w:val="0"/>
          <w:i/>
          <w:color w:val="000000"/>
          <w:sz w:val="28"/>
          <w:szCs w:val="28"/>
          <w:lang w:val="en-US"/>
        </w:rPr>
        <w:t>The article discusses the current problems of assessing the investment attractiveness of regions, taking into account the consequences of the pandemic. New criteria for assessing the attractiveness of regions in connection with their transformation are also described.</w:t>
      </w:r>
    </w:p>
    <w:p w:rsidR="00017646" w:rsidRDefault="00325AFC" w:rsidP="00325AFC">
      <w:pPr>
        <w:pStyle w:val="1"/>
        <w:shd w:val="clear" w:color="auto" w:fill="FFFFFF"/>
        <w:spacing w:before="0" w:beforeAutospacing="0" w:after="0" w:afterAutospacing="0"/>
        <w:ind w:firstLine="709"/>
        <w:rPr>
          <w:b w:val="0"/>
          <w:i/>
          <w:color w:val="000000"/>
          <w:sz w:val="28"/>
          <w:szCs w:val="28"/>
          <w:lang w:val="en-US"/>
        </w:rPr>
      </w:pPr>
      <w:r w:rsidRPr="00325AFC">
        <w:rPr>
          <w:i/>
          <w:color w:val="000000"/>
          <w:sz w:val="28"/>
          <w:szCs w:val="28"/>
          <w:lang w:val="en-US"/>
        </w:rPr>
        <w:t>Keywords</w:t>
      </w:r>
      <w:r>
        <w:rPr>
          <w:i/>
          <w:color w:val="000000"/>
          <w:sz w:val="28"/>
          <w:szCs w:val="28"/>
          <w:lang w:val="en-US"/>
        </w:rPr>
        <w:t>.</w:t>
      </w:r>
      <w:r w:rsidRPr="00325AFC">
        <w:rPr>
          <w:i/>
          <w:color w:val="000000"/>
          <w:sz w:val="28"/>
          <w:szCs w:val="28"/>
          <w:lang w:val="en-US"/>
        </w:rPr>
        <w:t xml:space="preserve"> </w:t>
      </w:r>
      <w:r w:rsidRPr="00325AFC">
        <w:rPr>
          <w:b w:val="0"/>
          <w:i/>
          <w:color w:val="000000"/>
          <w:sz w:val="28"/>
          <w:szCs w:val="28"/>
          <w:lang w:val="en-US"/>
        </w:rPr>
        <w:t>Investment attractiveness of the region, pandemic, infrastructure, innovative development, transformation.</w:t>
      </w:r>
    </w:p>
    <w:p w:rsidR="00325AFC" w:rsidRDefault="00325AFC" w:rsidP="00325AFC">
      <w:pPr>
        <w:pStyle w:val="1"/>
        <w:shd w:val="clear" w:color="auto" w:fill="FFFFFF"/>
        <w:spacing w:before="0" w:beforeAutospacing="0" w:after="0" w:afterAutospacing="0"/>
        <w:ind w:firstLine="709"/>
        <w:rPr>
          <w:b w:val="0"/>
          <w:i/>
          <w:color w:val="000000"/>
          <w:sz w:val="28"/>
          <w:szCs w:val="28"/>
          <w:lang w:val="en-US"/>
        </w:rPr>
      </w:pPr>
    </w:p>
    <w:p w:rsidR="00325AFC" w:rsidRPr="00325AFC" w:rsidRDefault="00325AFC" w:rsidP="00325AFC">
      <w:pPr>
        <w:pStyle w:val="1"/>
        <w:shd w:val="clear" w:color="auto" w:fill="FFFFFF"/>
        <w:spacing w:before="0" w:beforeAutospacing="0" w:after="0" w:afterAutospacing="0"/>
        <w:ind w:firstLine="709"/>
        <w:jc w:val="center"/>
        <w:rPr>
          <w:i/>
          <w:color w:val="000000"/>
          <w:sz w:val="28"/>
          <w:szCs w:val="28"/>
          <w:lang w:val="en-US"/>
        </w:rPr>
      </w:pPr>
      <w:r w:rsidRPr="00325AFC">
        <w:rPr>
          <w:i/>
          <w:color w:val="000000"/>
          <w:sz w:val="28"/>
          <w:szCs w:val="28"/>
          <w:lang w:val="en-US"/>
        </w:rPr>
        <w:t>Information about author</w:t>
      </w:r>
    </w:p>
    <w:p w:rsidR="00017646" w:rsidRDefault="00325AFC" w:rsidP="00325AFC">
      <w:pPr>
        <w:spacing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Rychkova Anna Sergeevna (Russia, Moscow) – graduate student, Russian university of transport.</w:t>
      </w:r>
    </w:p>
    <w:p w:rsidR="00325AFC" w:rsidRDefault="00325AFC" w:rsidP="00325AFC">
      <w:pPr>
        <w:spacing w:line="240" w:lineRule="auto"/>
        <w:ind w:firstLine="709"/>
        <w:jc w:val="center"/>
        <w:rPr>
          <w:rFonts w:ascii="Times New Roman" w:hAnsi="Times New Roman" w:cs="Times New Roman"/>
          <w:b/>
          <w:sz w:val="28"/>
          <w:szCs w:val="28"/>
          <w:lang w:val="en-US"/>
        </w:rPr>
      </w:pPr>
    </w:p>
    <w:p w:rsidR="00325AFC" w:rsidRDefault="00325AFC" w:rsidP="00325AFC">
      <w:pPr>
        <w:spacing w:line="240" w:lineRule="auto"/>
        <w:ind w:firstLine="709"/>
        <w:jc w:val="center"/>
        <w:rPr>
          <w:rFonts w:ascii="Times New Roman" w:hAnsi="Times New Roman" w:cs="Times New Roman"/>
          <w:b/>
          <w:sz w:val="28"/>
          <w:szCs w:val="28"/>
          <w:lang w:val="en-US"/>
        </w:rPr>
      </w:pPr>
      <w:r w:rsidRPr="00325AFC">
        <w:rPr>
          <w:rFonts w:ascii="Times New Roman" w:hAnsi="Times New Roman" w:cs="Times New Roman"/>
          <w:b/>
          <w:sz w:val="28"/>
          <w:szCs w:val="28"/>
          <w:lang w:val="en-US"/>
        </w:rPr>
        <w:lastRenderedPageBreak/>
        <w:t>Bibliographic list in English</w:t>
      </w:r>
    </w:p>
    <w:p w:rsidR="00325AFC" w:rsidRPr="00325AFC" w:rsidRDefault="00325AFC" w:rsidP="0044496B">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I. </w:t>
      </w:r>
      <w:r w:rsidRPr="00325AFC">
        <w:rPr>
          <w:rFonts w:ascii="Times New Roman" w:hAnsi="Times New Roman" w:cs="Times New Roman"/>
          <w:sz w:val="28"/>
          <w:szCs w:val="28"/>
          <w:lang w:val="en-US"/>
        </w:rPr>
        <w:t>Kuzovleva , V. Alekseenko, T</w:t>
      </w:r>
      <w:r>
        <w:rPr>
          <w:rFonts w:ascii="Times New Roman" w:hAnsi="Times New Roman" w:cs="Times New Roman"/>
          <w:sz w:val="28"/>
          <w:szCs w:val="28"/>
          <w:lang w:val="en-US"/>
        </w:rPr>
        <w:t>.</w:t>
      </w:r>
      <w:r w:rsidRPr="00325AFC">
        <w:rPr>
          <w:rFonts w:ascii="Times New Roman" w:hAnsi="Times New Roman" w:cs="Times New Roman"/>
          <w:sz w:val="28"/>
          <w:szCs w:val="28"/>
          <w:lang w:val="en-US"/>
        </w:rPr>
        <w:t xml:space="preserve"> Filippova, and T</w:t>
      </w:r>
      <w:r>
        <w:rPr>
          <w:rFonts w:ascii="Times New Roman" w:hAnsi="Times New Roman" w:cs="Times New Roman"/>
          <w:sz w:val="28"/>
          <w:szCs w:val="28"/>
          <w:lang w:val="en-US"/>
        </w:rPr>
        <w:t xml:space="preserve">. </w:t>
      </w:r>
      <w:r w:rsidRPr="00325AFC">
        <w:rPr>
          <w:rFonts w:ascii="Times New Roman" w:hAnsi="Times New Roman" w:cs="Times New Roman"/>
          <w:sz w:val="28"/>
          <w:szCs w:val="28"/>
          <w:lang w:val="en-US"/>
        </w:rPr>
        <w:t>Kudryavtseva. 2019. Efficiency of construction cluster innovative potential management. Paper presented at IOP Conference Series: Materials Science and Engineering, Saint-Petersburg, Russia, November 21–22; vol. 497.</w:t>
      </w:r>
    </w:p>
    <w:p w:rsidR="00325AFC" w:rsidRPr="00325AFC" w:rsidRDefault="00325AFC" w:rsidP="0044496B">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A. Nedosekin</w:t>
      </w:r>
      <w:r w:rsidRPr="00325AFC">
        <w:rPr>
          <w:rFonts w:ascii="Times New Roman" w:hAnsi="Times New Roman" w:cs="Times New Roman"/>
          <w:sz w:val="28"/>
          <w:szCs w:val="28"/>
          <w:lang w:val="en-US"/>
        </w:rPr>
        <w:t>, E. Reishahrit, and A. Kozlovsky. 2017. Estimation of economic resilience as a fuzzy-logical scientific task. Paper presented at XX IEEE International Conference on Soft Computing and Measurements (SCM), St. Petersburg, Russia, May 24–26. </w:t>
      </w:r>
    </w:p>
    <w:p w:rsidR="00325AFC" w:rsidRPr="00325AFC" w:rsidRDefault="00325AFC" w:rsidP="0044496B">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325AFC">
        <w:rPr>
          <w:rFonts w:ascii="Times New Roman" w:hAnsi="Times New Roman" w:cs="Times New Roman"/>
          <w:sz w:val="28"/>
          <w:szCs w:val="28"/>
          <w:lang w:val="en-US"/>
        </w:rPr>
        <w:t>Rytova</w:t>
      </w:r>
      <w:r>
        <w:rPr>
          <w:rFonts w:ascii="Times New Roman" w:hAnsi="Times New Roman" w:cs="Times New Roman"/>
          <w:sz w:val="28"/>
          <w:szCs w:val="28"/>
          <w:lang w:val="en-US"/>
        </w:rPr>
        <w:t xml:space="preserve"> </w:t>
      </w:r>
      <w:r w:rsidRPr="00325AFC">
        <w:rPr>
          <w:rFonts w:ascii="Times New Roman" w:hAnsi="Times New Roman" w:cs="Times New Roman"/>
          <w:sz w:val="28"/>
          <w:szCs w:val="28"/>
          <w:lang w:val="en-US"/>
        </w:rPr>
        <w:t xml:space="preserve"> and S</w:t>
      </w:r>
      <w:r>
        <w:rPr>
          <w:rFonts w:ascii="Times New Roman" w:hAnsi="Times New Roman" w:cs="Times New Roman"/>
          <w:sz w:val="28"/>
          <w:szCs w:val="28"/>
          <w:lang w:val="en-US"/>
        </w:rPr>
        <w:t>.</w:t>
      </w:r>
      <w:r w:rsidRPr="00325AFC">
        <w:rPr>
          <w:rFonts w:ascii="Times New Roman" w:hAnsi="Times New Roman" w:cs="Times New Roman"/>
          <w:sz w:val="28"/>
          <w:szCs w:val="28"/>
          <w:lang w:val="en-US"/>
        </w:rPr>
        <w:t xml:space="preserve"> Gutman. 2019. Assessment of regional development strategy in the context of economy digitization on the basis of fuzzy set method. Paper presented at IOP Conference Series: Materials Science and Engineering, Saint-Petersburg, Russia, November 21–22; vol. 497. [</w:t>
      </w:r>
      <w:hyperlink r:id="rId7" w:tgtFrame="_blank" w:history="1">
        <w:r w:rsidRPr="00325AFC">
          <w:rPr>
            <w:rFonts w:ascii="Times New Roman" w:hAnsi="Times New Roman" w:cs="Times New Roman"/>
            <w:sz w:val="28"/>
            <w:szCs w:val="28"/>
            <w:lang w:val="en-US"/>
          </w:rPr>
          <w:t>Google Scholar</w:t>
        </w:r>
      </w:hyperlink>
      <w:r w:rsidRPr="00325AFC">
        <w:rPr>
          <w:rFonts w:ascii="Times New Roman" w:hAnsi="Times New Roman" w:cs="Times New Roman"/>
          <w:sz w:val="28"/>
          <w:szCs w:val="28"/>
          <w:lang w:val="en-US"/>
        </w:rPr>
        <w:t>]</w:t>
      </w:r>
    </w:p>
    <w:p w:rsidR="00325AFC" w:rsidRPr="00325AFC" w:rsidRDefault="00325AFC" w:rsidP="0044496B">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V. </w:t>
      </w:r>
      <w:r w:rsidRPr="00325AFC">
        <w:rPr>
          <w:rFonts w:ascii="Times New Roman" w:hAnsi="Times New Roman" w:cs="Times New Roman"/>
          <w:sz w:val="28"/>
          <w:szCs w:val="28"/>
          <w:lang w:val="en-US"/>
        </w:rPr>
        <w:t>Schepinin, A</w:t>
      </w:r>
      <w:r>
        <w:rPr>
          <w:rFonts w:ascii="Times New Roman" w:hAnsi="Times New Roman" w:cs="Times New Roman"/>
          <w:sz w:val="28"/>
          <w:szCs w:val="28"/>
          <w:lang w:val="en-US"/>
        </w:rPr>
        <w:t>.</w:t>
      </w:r>
      <w:r w:rsidRPr="00325AFC">
        <w:rPr>
          <w:rFonts w:ascii="Times New Roman" w:hAnsi="Times New Roman" w:cs="Times New Roman"/>
          <w:sz w:val="28"/>
          <w:szCs w:val="28"/>
          <w:lang w:val="en-US"/>
        </w:rPr>
        <w:t xml:space="preserve"> Skhvediani, and T</w:t>
      </w:r>
      <w:r>
        <w:rPr>
          <w:rFonts w:ascii="Times New Roman" w:hAnsi="Times New Roman" w:cs="Times New Roman"/>
          <w:sz w:val="28"/>
          <w:szCs w:val="28"/>
          <w:lang w:val="en-US"/>
        </w:rPr>
        <w:t>.</w:t>
      </w:r>
      <w:r w:rsidRPr="00325AFC">
        <w:rPr>
          <w:rFonts w:ascii="Times New Roman" w:hAnsi="Times New Roman" w:cs="Times New Roman"/>
          <w:sz w:val="28"/>
          <w:szCs w:val="28"/>
          <w:lang w:val="en-US"/>
        </w:rPr>
        <w:t xml:space="preserve"> Kudryavtseva. 2018. An empirical study of the production technology cluster and regional economic growth in Russia. Paper presented at European Conference on Innovation and Entrepreneurship, ECIE, Aveiro, Portugal, September 20–21; pp. 732–40.</w:t>
      </w:r>
    </w:p>
    <w:p w:rsidR="00325AFC" w:rsidRPr="00325AFC" w:rsidRDefault="00325AFC" w:rsidP="0044496B">
      <w:pPr>
        <w:spacing w:after="0" w:line="240" w:lineRule="auto"/>
        <w:ind w:firstLine="709"/>
        <w:jc w:val="both"/>
        <w:rPr>
          <w:rFonts w:ascii="Times New Roman" w:hAnsi="Times New Roman" w:cs="Times New Roman"/>
          <w:sz w:val="28"/>
          <w:szCs w:val="28"/>
          <w:lang w:val="en-US"/>
        </w:rPr>
      </w:pPr>
      <w:r w:rsidRPr="00325AFC">
        <w:rPr>
          <w:rFonts w:ascii="Times New Roman" w:hAnsi="Times New Roman" w:cs="Times New Roman"/>
          <w:sz w:val="28"/>
          <w:szCs w:val="28"/>
          <w:lang w:val="en-US"/>
        </w:rPr>
        <w:t>H</w:t>
      </w:r>
      <w:r>
        <w:rPr>
          <w:rFonts w:ascii="Times New Roman" w:hAnsi="Times New Roman" w:cs="Times New Roman"/>
          <w:sz w:val="28"/>
          <w:szCs w:val="28"/>
          <w:lang w:val="en-US"/>
        </w:rPr>
        <w:t>.</w:t>
      </w:r>
      <w:r w:rsidRPr="00325AFC">
        <w:rPr>
          <w:rFonts w:ascii="Times New Roman" w:hAnsi="Times New Roman" w:cs="Times New Roman"/>
          <w:sz w:val="28"/>
          <w:szCs w:val="28"/>
          <w:lang w:val="en-US"/>
        </w:rPr>
        <w:t>Syarif, and Kh</w:t>
      </w:r>
      <w:r>
        <w:rPr>
          <w:rFonts w:ascii="Times New Roman" w:hAnsi="Times New Roman" w:cs="Times New Roman"/>
          <w:sz w:val="28"/>
          <w:szCs w:val="28"/>
          <w:lang w:val="en-US"/>
        </w:rPr>
        <w:t>.</w:t>
      </w:r>
      <w:r w:rsidRPr="00325AFC">
        <w:rPr>
          <w:rFonts w:ascii="Times New Roman" w:hAnsi="Times New Roman" w:cs="Times New Roman"/>
          <w:sz w:val="28"/>
          <w:szCs w:val="28"/>
          <w:lang w:val="en-US"/>
        </w:rPr>
        <w:t xml:space="preserve"> Umu. 2019. How to Increase City Investment Attraction. International Journal of Scientific &amp; Technology Research 8: 1070–73.</w:t>
      </w:r>
    </w:p>
    <w:p w:rsidR="00325AFC" w:rsidRPr="00325AFC" w:rsidRDefault="0044496B" w:rsidP="0044496B">
      <w:pPr>
        <w:spacing w:after="0" w:line="24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D. </w:t>
      </w:r>
      <w:r w:rsidR="00325AFC" w:rsidRPr="00325AFC">
        <w:rPr>
          <w:rFonts w:ascii="Times New Roman" w:hAnsi="Times New Roman" w:cs="Times New Roman"/>
          <w:sz w:val="28"/>
          <w:szCs w:val="28"/>
          <w:lang w:val="en-US"/>
        </w:rPr>
        <w:t>Rodionov, T</w:t>
      </w:r>
      <w:r>
        <w:rPr>
          <w:rFonts w:ascii="Times New Roman" w:hAnsi="Times New Roman" w:cs="Times New Roman"/>
          <w:sz w:val="28"/>
          <w:szCs w:val="28"/>
          <w:lang w:val="en-US"/>
        </w:rPr>
        <w:t xml:space="preserve">. </w:t>
      </w:r>
      <w:r w:rsidR="00325AFC" w:rsidRPr="00325AFC">
        <w:rPr>
          <w:rFonts w:ascii="Times New Roman" w:hAnsi="Times New Roman" w:cs="Times New Roman"/>
          <w:sz w:val="28"/>
          <w:szCs w:val="28"/>
          <w:lang w:val="en-US"/>
        </w:rPr>
        <w:t>Kudryavtseva, and A</w:t>
      </w:r>
      <w:r>
        <w:rPr>
          <w:rFonts w:ascii="Times New Roman" w:hAnsi="Times New Roman" w:cs="Times New Roman"/>
          <w:sz w:val="28"/>
          <w:szCs w:val="28"/>
          <w:lang w:val="en-US"/>
        </w:rPr>
        <w:t>.</w:t>
      </w:r>
      <w:r w:rsidR="00325AFC" w:rsidRPr="00325AFC">
        <w:rPr>
          <w:rFonts w:ascii="Times New Roman" w:hAnsi="Times New Roman" w:cs="Times New Roman"/>
          <w:sz w:val="28"/>
          <w:szCs w:val="28"/>
          <w:lang w:val="en-US"/>
        </w:rPr>
        <w:t>Skhvediani. 2018. Human development and income inequality as factors of regional economic growth. European Research Studies Journal 21: 323–37</w:t>
      </w:r>
    </w:p>
    <w:sectPr w:rsidR="00325AFC" w:rsidRPr="00325AFC" w:rsidSect="00FE5A1B">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09F" w:csb1="00000000"/>
  </w:font>
  <w:font w:name="Arial Narrow">
    <w:panose1 w:val="020B0606020202030204"/>
    <w:charset w:val="CC"/>
    <w:family w:val="swiss"/>
    <w:pitch w:val="variable"/>
    <w:sig w:usb0="00000287" w:usb1="000008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B107C6"/>
    <w:multiLevelType w:val="multilevel"/>
    <w:tmpl w:val="CC788D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43B252C"/>
    <w:multiLevelType w:val="hybridMultilevel"/>
    <w:tmpl w:val="60F87EDC"/>
    <w:lvl w:ilvl="0" w:tplc="E55A675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15:restartNumberingAfterBreak="0">
    <w:nsid w:val="24DE0C09"/>
    <w:multiLevelType w:val="multilevel"/>
    <w:tmpl w:val="B4EC4A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3CEA1733"/>
    <w:multiLevelType w:val="multilevel"/>
    <w:tmpl w:val="6E8085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DE23FD9"/>
    <w:multiLevelType w:val="hybridMultilevel"/>
    <w:tmpl w:val="3DD6C0AE"/>
    <w:lvl w:ilvl="0" w:tplc="BBD2FD70">
      <w:start w:val="1"/>
      <w:numFmt w:val="upperRoman"/>
      <w:lvlText w:val="%1."/>
      <w:lvlJc w:val="left"/>
      <w:pPr>
        <w:ind w:left="1429" w:hanging="7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621934CF"/>
    <w:multiLevelType w:val="multilevel"/>
    <w:tmpl w:val="5756DD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6C402F37"/>
    <w:multiLevelType w:val="multilevel"/>
    <w:tmpl w:val="26AE5AC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777063F9"/>
    <w:multiLevelType w:val="hybridMultilevel"/>
    <w:tmpl w:val="27B83D2A"/>
    <w:lvl w:ilvl="0" w:tplc="E12026E2">
      <w:start w:val="1"/>
      <w:numFmt w:val="decimal"/>
      <w:lvlText w:val="%1."/>
      <w:lvlJc w:val="left"/>
      <w:pPr>
        <w:ind w:left="1069" w:hanging="360"/>
      </w:pPr>
      <w:rPr>
        <w:rFonts w:ascii="Arial" w:hAnsi="Arial" w:cs="Arial" w:hint="default"/>
        <w:color w:val="222222"/>
        <w:sz w:val="20"/>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8" w15:restartNumberingAfterBreak="0">
    <w:nsid w:val="78337ECF"/>
    <w:multiLevelType w:val="multilevel"/>
    <w:tmpl w:val="5686BF6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 w:numId="2">
    <w:abstractNumId w:val="7"/>
  </w:num>
  <w:num w:numId="3">
    <w:abstractNumId w:val="1"/>
  </w:num>
  <w:num w:numId="4">
    <w:abstractNumId w:val="8"/>
  </w:num>
  <w:num w:numId="5">
    <w:abstractNumId w:val="5"/>
  </w:num>
  <w:num w:numId="6">
    <w:abstractNumId w:val="3"/>
  </w:num>
  <w:num w:numId="7">
    <w:abstractNumId w:val="6"/>
  </w:num>
  <w:num w:numId="8">
    <w:abstractNumId w:val="2"/>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30C1"/>
    <w:rsid w:val="00017646"/>
    <w:rsid w:val="0006591B"/>
    <w:rsid w:val="0013458D"/>
    <w:rsid w:val="00276161"/>
    <w:rsid w:val="00325AFC"/>
    <w:rsid w:val="0044496B"/>
    <w:rsid w:val="0054575C"/>
    <w:rsid w:val="005F576F"/>
    <w:rsid w:val="007130C1"/>
    <w:rsid w:val="007979B2"/>
    <w:rsid w:val="007B1526"/>
    <w:rsid w:val="007B2A7B"/>
    <w:rsid w:val="00B00214"/>
    <w:rsid w:val="00B431D0"/>
    <w:rsid w:val="00B525A5"/>
    <w:rsid w:val="00FE05B2"/>
    <w:rsid w:val="00FE5A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2B618E"/>
  <w15:chartTrackingRefBased/>
  <w15:docId w15:val="{F03535EF-A7AB-43AC-B386-F05FD91086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link w:val="10"/>
    <w:uiPriority w:val="9"/>
    <w:qFormat/>
    <w:rsid w:val="007130C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paragraph" w:styleId="2">
    <w:name w:val="heading 2"/>
    <w:basedOn w:val="a"/>
    <w:next w:val="a"/>
    <w:link w:val="20"/>
    <w:uiPriority w:val="9"/>
    <w:semiHidden/>
    <w:unhideWhenUsed/>
    <w:qFormat/>
    <w:rsid w:val="007130C1"/>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7130C1"/>
    <w:rPr>
      <w:rFonts w:ascii="Times New Roman" w:eastAsia="Times New Roman" w:hAnsi="Times New Roman" w:cs="Times New Roman"/>
      <w:b/>
      <w:bCs/>
      <w:kern w:val="36"/>
      <w:sz w:val="48"/>
      <w:szCs w:val="48"/>
      <w:lang w:eastAsia="ru-RU"/>
    </w:rPr>
  </w:style>
  <w:style w:type="character" w:customStyle="1" w:styleId="20">
    <w:name w:val="Заголовок 2 Знак"/>
    <w:basedOn w:val="a0"/>
    <w:link w:val="2"/>
    <w:uiPriority w:val="9"/>
    <w:semiHidden/>
    <w:rsid w:val="007130C1"/>
    <w:rPr>
      <w:rFonts w:asciiTheme="majorHAnsi" w:eastAsiaTheme="majorEastAsia" w:hAnsiTheme="majorHAnsi" w:cstheme="majorBidi"/>
      <w:color w:val="2E74B5" w:themeColor="accent1" w:themeShade="BF"/>
      <w:sz w:val="26"/>
      <w:szCs w:val="26"/>
    </w:rPr>
  </w:style>
  <w:style w:type="character" w:styleId="a3">
    <w:name w:val="Hyperlink"/>
    <w:basedOn w:val="a0"/>
    <w:uiPriority w:val="99"/>
    <w:semiHidden/>
    <w:unhideWhenUsed/>
    <w:rsid w:val="007130C1"/>
    <w:rPr>
      <w:color w:val="0000FF"/>
      <w:u w:val="single"/>
    </w:rPr>
  </w:style>
  <w:style w:type="paragraph" w:styleId="a4">
    <w:name w:val="List Paragraph"/>
    <w:basedOn w:val="a"/>
    <w:uiPriority w:val="34"/>
    <w:qFormat/>
    <w:rsid w:val="00FE5A1B"/>
    <w:pPr>
      <w:ind w:left="720"/>
      <w:contextualSpacing/>
    </w:pPr>
  </w:style>
  <w:style w:type="character" w:customStyle="1" w:styleId="html-italic">
    <w:name w:val="html-italic"/>
    <w:basedOn w:val="a0"/>
    <w:rsid w:val="0001764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6361943">
      <w:bodyDiv w:val="1"/>
      <w:marLeft w:val="0"/>
      <w:marRight w:val="0"/>
      <w:marTop w:val="0"/>
      <w:marBottom w:val="0"/>
      <w:divBdr>
        <w:top w:val="none" w:sz="0" w:space="0" w:color="auto"/>
        <w:left w:val="none" w:sz="0" w:space="0" w:color="auto"/>
        <w:bottom w:val="none" w:sz="0" w:space="0" w:color="auto"/>
        <w:right w:val="none" w:sz="0" w:space="0" w:color="auto"/>
      </w:divBdr>
    </w:div>
    <w:div w:id="503864254">
      <w:bodyDiv w:val="1"/>
      <w:marLeft w:val="0"/>
      <w:marRight w:val="0"/>
      <w:marTop w:val="0"/>
      <w:marBottom w:val="0"/>
      <w:divBdr>
        <w:top w:val="none" w:sz="0" w:space="0" w:color="auto"/>
        <w:left w:val="none" w:sz="0" w:space="0" w:color="auto"/>
        <w:bottom w:val="none" w:sz="0" w:space="0" w:color="auto"/>
        <w:right w:val="none" w:sz="0" w:space="0" w:color="auto"/>
      </w:divBdr>
    </w:div>
    <w:div w:id="582186512">
      <w:bodyDiv w:val="1"/>
      <w:marLeft w:val="0"/>
      <w:marRight w:val="0"/>
      <w:marTop w:val="0"/>
      <w:marBottom w:val="0"/>
      <w:divBdr>
        <w:top w:val="none" w:sz="0" w:space="0" w:color="auto"/>
        <w:left w:val="none" w:sz="0" w:space="0" w:color="auto"/>
        <w:bottom w:val="none" w:sz="0" w:space="0" w:color="auto"/>
        <w:right w:val="none" w:sz="0" w:space="0" w:color="auto"/>
      </w:divBdr>
    </w:div>
    <w:div w:id="969282126">
      <w:bodyDiv w:val="1"/>
      <w:marLeft w:val="0"/>
      <w:marRight w:val="0"/>
      <w:marTop w:val="0"/>
      <w:marBottom w:val="0"/>
      <w:divBdr>
        <w:top w:val="none" w:sz="0" w:space="0" w:color="auto"/>
        <w:left w:val="none" w:sz="0" w:space="0" w:color="auto"/>
        <w:bottom w:val="none" w:sz="0" w:space="0" w:color="auto"/>
        <w:right w:val="none" w:sz="0" w:space="0" w:color="auto"/>
      </w:divBdr>
    </w:div>
    <w:div w:id="1046680468">
      <w:bodyDiv w:val="1"/>
      <w:marLeft w:val="0"/>
      <w:marRight w:val="0"/>
      <w:marTop w:val="0"/>
      <w:marBottom w:val="0"/>
      <w:divBdr>
        <w:top w:val="none" w:sz="0" w:space="0" w:color="auto"/>
        <w:left w:val="none" w:sz="0" w:space="0" w:color="auto"/>
        <w:bottom w:val="none" w:sz="0" w:space="0" w:color="auto"/>
        <w:right w:val="none" w:sz="0" w:space="0" w:color="auto"/>
      </w:divBdr>
    </w:div>
    <w:div w:id="1392654018">
      <w:bodyDiv w:val="1"/>
      <w:marLeft w:val="0"/>
      <w:marRight w:val="0"/>
      <w:marTop w:val="0"/>
      <w:marBottom w:val="0"/>
      <w:divBdr>
        <w:top w:val="none" w:sz="0" w:space="0" w:color="auto"/>
        <w:left w:val="none" w:sz="0" w:space="0" w:color="auto"/>
        <w:bottom w:val="none" w:sz="0" w:space="0" w:color="auto"/>
        <w:right w:val="none" w:sz="0" w:space="0" w:color="auto"/>
      </w:divBdr>
    </w:div>
    <w:div w:id="1606840706">
      <w:bodyDiv w:val="1"/>
      <w:marLeft w:val="0"/>
      <w:marRight w:val="0"/>
      <w:marTop w:val="0"/>
      <w:marBottom w:val="0"/>
      <w:divBdr>
        <w:top w:val="none" w:sz="0" w:space="0" w:color="auto"/>
        <w:left w:val="none" w:sz="0" w:space="0" w:color="auto"/>
        <w:bottom w:val="none" w:sz="0" w:space="0" w:color="auto"/>
        <w:right w:val="none" w:sz="0" w:space="0" w:color="auto"/>
      </w:divBdr>
    </w:div>
    <w:div w:id="1902055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hyperlink" Target="https://scholar.google.com/scholar_lookup?title=Assessment+of+regional+development+strategy+in+the+context+of+economy+digitization+on+the+basis+of+fuzzy+set+method&amp;conference=Paper+presented+at+IOP+Conference+Series:+Materials+Science+and+Engineering&amp;author=Rytova,+Elena&amp;author=and+Svetlana+Gutman&amp;publication_year=2019"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s://www.mdpi.com/2227-7099/9/2/59/htm" TargetMode="Externa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70F0BC0-6621-4EA2-8F24-08E0E2CAC3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348</TotalTime>
  <Pages>6</Pages>
  <Words>2281</Words>
  <Characters>13005</Characters>
  <Application>Microsoft Office Word</Application>
  <DocSecurity>0</DocSecurity>
  <Lines>108</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Leroy Merlin Vostok</Company>
  <LinksUpToDate>false</LinksUpToDate>
  <CharactersWithSpaces>15256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Анна Рычкова</dc:creator>
  <cp:keywords/>
  <dc:description/>
  <cp:lastModifiedBy>Анна Рычкова</cp:lastModifiedBy>
  <cp:revision>7</cp:revision>
  <dcterms:created xsi:type="dcterms:W3CDTF">2021-10-27T07:02:00Z</dcterms:created>
  <dcterms:modified xsi:type="dcterms:W3CDTF">2021-10-27T14:05:00Z</dcterms:modified>
</cp:coreProperties>
</file>