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63C2" w:rsidRPr="00990747" w:rsidRDefault="00B763C2" w:rsidP="00B763C2">
      <w:pPr>
        <w:widowControl w:val="0"/>
        <w:spacing w:after="0" w:line="240" w:lineRule="auto"/>
        <w:rPr>
          <w:rFonts w:ascii="Times New Roman" w:eastAsia="Courier New" w:hAnsi="Times New Roman" w:cs="Courier New"/>
          <w:b/>
          <w:sz w:val="24"/>
          <w:szCs w:val="24"/>
        </w:rPr>
      </w:pPr>
      <w:r w:rsidRPr="00990747">
        <w:rPr>
          <w:rFonts w:ascii="Times New Roman" w:hAnsi="Times New Roman" w:cs="Times New Roman"/>
          <w:b/>
          <w:bCs/>
          <w:sz w:val="24"/>
          <w:szCs w:val="24"/>
        </w:rPr>
        <w:t xml:space="preserve">УДК </w:t>
      </w:r>
      <w:r w:rsidRPr="00990747">
        <w:rPr>
          <w:rFonts w:ascii="Times New Roman" w:eastAsia="Courier New" w:hAnsi="Times New Roman" w:cs="Courier New"/>
          <w:b/>
          <w:sz w:val="24"/>
          <w:szCs w:val="24"/>
        </w:rPr>
        <w:t>330.3/ББК 65.5</w:t>
      </w:r>
    </w:p>
    <w:p w:rsidR="00B763C2" w:rsidRPr="00990747" w:rsidRDefault="00B763C2" w:rsidP="00B763C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763C2" w:rsidRPr="00990747" w:rsidRDefault="00B763C2" w:rsidP="00B763C2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990747">
        <w:rPr>
          <w:rFonts w:ascii="Times New Roman" w:hAnsi="Times New Roman" w:cs="Times New Roman"/>
          <w:b/>
          <w:bCs/>
          <w:sz w:val="24"/>
          <w:szCs w:val="24"/>
        </w:rPr>
        <w:t>Малышев М.К.</w:t>
      </w:r>
    </w:p>
    <w:p w:rsidR="00B763C2" w:rsidRPr="003148E6" w:rsidRDefault="00B763C2" w:rsidP="00B763C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763C2">
        <w:rPr>
          <w:rFonts w:ascii="Times New Roman" w:hAnsi="Times New Roman" w:cs="Times New Roman"/>
          <w:b/>
          <w:bCs/>
          <w:sz w:val="24"/>
          <w:szCs w:val="24"/>
        </w:rPr>
        <w:t xml:space="preserve">КЛЮЧЕВЫЕ ФИНАНСОВЫЕ ПОКАЗАТЕЛИ ХОЛДИНГА ПАО «СЕВЕРСТАЛЬ» И ИХ ВЛИЯНИЕ НА </w:t>
      </w:r>
      <w:r w:rsidR="00F75432">
        <w:rPr>
          <w:rFonts w:ascii="Times New Roman" w:hAnsi="Times New Roman" w:cs="Times New Roman"/>
          <w:b/>
          <w:bCs/>
          <w:sz w:val="24"/>
          <w:szCs w:val="24"/>
        </w:rPr>
        <w:t>ДОХОДЫ БЮДЖЕТНОЙ СИСТЕМЫ</w:t>
      </w:r>
      <w:r w:rsidR="005A313C">
        <w:rPr>
          <w:rStyle w:val="a9"/>
          <w:rFonts w:ascii="Times New Roman" w:hAnsi="Times New Roman" w:cs="Times New Roman"/>
          <w:b/>
          <w:bCs/>
          <w:sz w:val="24"/>
          <w:szCs w:val="24"/>
        </w:rPr>
        <w:footnoteReference w:id="1"/>
      </w:r>
    </w:p>
    <w:p w:rsidR="00B763C2" w:rsidRPr="00990747" w:rsidRDefault="00B763C2" w:rsidP="00B763C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763C2" w:rsidRPr="00990747" w:rsidRDefault="00B763C2" w:rsidP="00B763C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90747">
        <w:rPr>
          <w:rFonts w:ascii="Times New Roman" w:hAnsi="Times New Roman" w:cs="Times New Roman"/>
          <w:b/>
          <w:bCs/>
          <w:sz w:val="24"/>
          <w:szCs w:val="24"/>
        </w:rPr>
        <w:t>Аннотация статьи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F75432" w:rsidRDefault="00B763C2" w:rsidP="00B763C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В данном исследовании проведен анализ основных показателей финансовых результатов металлургического холдинга ПАО «Северсталь»</w:t>
      </w:r>
      <w:r w:rsidR="00F75432">
        <w:rPr>
          <w:rFonts w:ascii="Times New Roman" w:hAnsi="Times New Roman" w:cs="Times New Roman"/>
          <w:i/>
          <w:iCs/>
          <w:sz w:val="24"/>
          <w:szCs w:val="24"/>
        </w:rPr>
        <w:t xml:space="preserve"> за 2016–2021 гг. Выявлены причины изменений в динамик</w:t>
      </w:r>
      <w:r w:rsidR="008C48C0">
        <w:rPr>
          <w:rFonts w:ascii="Times New Roman" w:hAnsi="Times New Roman" w:cs="Times New Roman"/>
          <w:i/>
          <w:iCs/>
          <w:sz w:val="24"/>
          <w:szCs w:val="24"/>
        </w:rPr>
        <w:t>е финансовых результатов. Продемонстрирована роль холдинга в формировании доходов бюджетной системы страны.</w:t>
      </w:r>
    </w:p>
    <w:p w:rsidR="00B763C2" w:rsidRPr="00990747" w:rsidRDefault="00B763C2" w:rsidP="00B763C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90747"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B763C2" w:rsidRDefault="00B763C2" w:rsidP="00B763C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Черня металлургия, </w:t>
      </w:r>
      <w:r w:rsidR="00F75432">
        <w:rPr>
          <w:rFonts w:ascii="Times New Roman" w:hAnsi="Times New Roman" w:cs="Times New Roman"/>
          <w:i/>
          <w:iCs/>
          <w:sz w:val="24"/>
          <w:szCs w:val="24"/>
        </w:rPr>
        <w:t>бюджетная система</w:t>
      </w:r>
      <w:r>
        <w:rPr>
          <w:rFonts w:ascii="Times New Roman" w:hAnsi="Times New Roman" w:cs="Times New Roman"/>
          <w:i/>
          <w:iCs/>
          <w:sz w:val="24"/>
          <w:szCs w:val="24"/>
        </w:rPr>
        <w:t>, олигархический капитализм</w:t>
      </w:r>
      <w:r w:rsidRPr="00990747">
        <w:rPr>
          <w:rFonts w:ascii="Times New Roman" w:hAnsi="Times New Roman" w:cs="Times New Roman"/>
          <w:i/>
          <w:iCs/>
          <w:sz w:val="24"/>
          <w:szCs w:val="24"/>
        </w:rPr>
        <w:t xml:space="preserve">, влияние пандемии на спрос </w:t>
      </w:r>
      <w:r>
        <w:rPr>
          <w:rFonts w:ascii="Times New Roman" w:hAnsi="Times New Roman" w:cs="Times New Roman"/>
          <w:i/>
          <w:iCs/>
          <w:sz w:val="24"/>
          <w:szCs w:val="24"/>
        </w:rPr>
        <w:t>черных металлов</w:t>
      </w:r>
      <w:r w:rsidR="00F75432">
        <w:rPr>
          <w:rFonts w:ascii="Times New Roman" w:hAnsi="Times New Roman" w:cs="Times New Roman"/>
          <w:i/>
          <w:iCs/>
          <w:sz w:val="24"/>
          <w:szCs w:val="24"/>
        </w:rPr>
        <w:t>, налог на прибыль, консолидированное налогообложение, офшорные уставные капиталы.</w:t>
      </w:r>
    </w:p>
    <w:p w:rsidR="0006566B" w:rsidRDefault="0006566B" w:rsidP="00B763C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06566B" w:rsidRDefault="00FB2DD9" w:rsidP="00B763C2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Особенность российской металлургии (как черной, так и цветной) заключается в том, что контрольный пакет акций корпораций находится в руках одного владельца. Так, например, богатейшими россиянами по версии 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>Forbes</w:t>
      </w:r>
      <w:r w:rsidRPr="00FB2DD9"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 xml:space="preserve">на начало 2021 </w:t>
      </w:r>
      <w:r w:rsidR="004D0E91">
        <w:rPr>
          <w:rFonts w:ascii="Times New Roman" w:hAnsi="Times New Roman" w:cs="Times New Roman"/>
          <w:iCs/>
          <w:sz w:val="24"/>
          <w:szCs w:val="24"/>
        </w:rPr>
        <w:t>года стали: 1-е место – Алексей Мордашов (76</w:t>
      </w:r>
      <w:r>
        <w:rPr>
          <w:rFonts w:ascii="Times New Roman" w:hAnsi="Times New Roman" w:cs="Times New Roman"/>
          <w:iCs/>
          <w:sz w:val="24"/>
          <w:szCs w:val="24"/>
        </w:rPr>
        <w:t>% акций ПАО «Северсталь»</w:t>
      </w:r>
      <w:r w:rsidR="00CC5D95">
        <w:rPr>
          <w:rFonts w:ascii="Times New Roman" w:hAnsi="Times New Roman" w:cs="Times New Roman"/>
          <w:iCs/>
          <w:sz w:val="24"/>
          <w:szCs w:val="24"/>
        </w:rPr>
        <w:t>, черная металлургия</w:t>
      </w:r>
      <w:r>
        <w:rPr>
          <w:rFonts w:ascii="Times New Roman" w:hAnsi="Times New Roman" w:cs="Times New Roman"/>
          <w:iCs/>
          <w:sz w:val="24"/>
          <w:szCs w:val="24"/>
        </w:rPr>
        <w:t>)</w:t>
      </w:r>
      <w:r w:rsidR="004D0E91">
        <w:rPr>
          <w:rFonts w:ascii="Times New Roman" w:hAnsi="Times New Roman" w:cs="Times New Roman"/>
          <w:iCs/>
          <w:sz w:val="24"/>
          <w:szCs w:val="24"/>
        </w:rPr>
        <w:t>; 2-е место –</w:t>
      </w:r>
      <w:r>
        <w:rPr>
          <w:rFonts w:ascii="Times New Roman" w:hAnsi="Times New Roman" w:cs="Times New Roman"/>
          <w:iCs/>
          <w:sz w:val="24"/>
          <w:szCs w:val="24"/>
        </w:rPr>
        <w:t xml:space="preserve"> Владимир </w:t>
      </w:r>
      <w:r w:rsidR="00CC5D95">
        <w:rPr>
          <w:rFonts w:ascii="Times New Roman" w:hAnsi="Times New Roman" w:cs="Times New Roman"/>
          <w:iCs/>
          <w:sz w:val="24"/>
          <w:szCs w:val="24"/>
        </w:rPr>
        <w:t>Потанин</w:t>
      </w:r>
      <w:r>
        <w:rPr>
          <w:rFonts w:ascii="Times New Roman" w:hAnsi="Times New Roman" w:cs="Times New Roman"/>
          <w:iCs/>
          <w:sz w:val="24"/>
          <w:szCs w:val="24"/>
        </w:rPr>
        <w:t xml:space="preserve"> (</w:t>
      </w:r>
      <w:r w:rsidR="004D0E91">
        <w:rPr>
          <w:rFonts w:ascii="Times New Roman" w:hAnsi="Times New Roman" w:cs="Times New Roman"/>
          <w:iCs/>
          <w:sz w:val="24"/>
          <w:szCs w:val="24"/>
        </w:rPr>
        <w:t xml:space="preserve">35% </w:t>
      </w:r>
      <w:r w:rsidR="00CC5D95">
        <w:rPr>
          <w:rFonts w:ascii="Times New Roman" w:hAnsi="Times New Roman" w:cs="Times New Roman"/>
          <w:iCs/>
          <w:sz w:val="24"/>
          <w:szCs w:val="24"/>
        </w:rPr>
        <w:t>акций</w:t>
      </w:r>
      <w:r>
        <w:rPr>
          <w:rFonts w:ascii="Times New Roman" w:hAnsi="Times New Roman" w:cs="Times New Roman"/>
          <w:iCs/>
          <w:sz w:val="24"/>
          <w:szCs w:val="24"/>
        </w:rPr>
        <w:t xml:space="preserve"> ПАО «Норникель»</w:t>
      </w:r>
      <w:r w:rsidR="00CC5D95">
        <w:rPr>
          <w:rFonts w:ascii="Times New Roman" w:hAnsi="Times New Roman" w:cs="Times New Roman"/>
          <w:iCs/>
          <w:sz w:val="24"/>
          <w:szCs w:val="24"/>
        </w:rPr>
        <w:t>, цветная металлургия</w:t>
      </w:r>
      <w:r>
        <w:rPr>
          <w:rFonts w:ascii="Times New Roman" w:hAnsi="Times New Roman" w:cs="Times New Roman"/>
          <w:iCs/>
          <w:sz w:val="24"/>
          <w:szCs w:val="24"/>
        </w:rPr>
        <w:t>)</w:t>
      </w:r>
      <w:r w:rsidR="00CC5D95"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 xml:space="preserve">и </w:t>
      </w:r>
      <w:r w:rsidR="004D0E91">
        <w:rPr>
          <w:rFonts w:ascii="Times New Roman" w:hAnsi="Times New Roman" w:cs="Times New Roman"/>
          <w:iCs/>
          <w:sz w:val="24"/>
          <w:szCs w:val="24"/>
        </w:rPr>
        <w:t xml:space="preserve">3-е место – </w:t>
      </w:r>
      <w:r>
        <w:rPr>
          <w:rFonts w:ascii="Times New Roman" w:hAnsi="Times New Roman" w:cs="Times New Roman"/>
          <w:iCs/>
          <w:sz w:val="24"/>
          <w:szCs w:val="24"/>
        </w:rPr>
        <w:t>Владимир Лисин</w:t>
      </w:r>
      <w:r w:rsidR="004D0E91">
        <w:rPr>
          <w:rFonts w:ascii="Times New Roman" w:hAnsi="Times New Roman" w:cs="Times New Roman"/>
          <w:iCs/>
          <w:sz w:val="24"/>
          <w:szCs w:val="24"/>
        </w:rPr>
        <w:t xml:space="preserve"> (79</w:t>
      </w:r>
      <w:r>
        <w:rPr>
          <w:rFonts w:ascii="Times New Roman" w:hAnsi="Times New Roman" w:cs="Times New Roman"/>
          <w:iCs/>
          <w:sz w:val="24"/>
          <w:szCs w:val="24"/>
        </w:rPr>
        <w:t>% акций ПАО «НЛ</w:t>
      </w:r>
      <w:r w:rsidR="00CC5D95">
        <w:rPr>
          <w:rFonts w:ascii="Times New Roman" w:hAnsi="Times New Roman" w:cs="Times New Roman"/>
          <w:iCs/>
          <w:sz w:val="24"/>
          <w:szCs w:val="24"/>
        </w:rPr>
        <w:t>МК</w:t>
      </w:r>
      <w:r>
        <w:rPr>
          <w:rFonts w:ascii="Times New Roman" w:hAnsi="Times New Roman" w:cs="Times New Roman"/>
          <w:iCs/>
          <w:sz w:val="24"/>
          <w:szCs w:val="24"/>
        </w:rPr>
        <w:t>»)</w:t>
      </w:r>
      <w:r w:rsidR="00635FDB">
        <w:rPr>
          <w:rStyle w:val="a9"/>
          <w:rFonts w:ascii="Times New Roman" w:hAnsi="Times New Roman" w:cs="Times New Roman"/>
          <w:iCs/>
          <w:sz w:val="24"/>
          <w:szCs w:val="24"/>
        </w:rPr>
        <w:footnoteReference w:id="2"/>
      </w:r>
      <w:r w:rsidR="004D0E91">
        <w:rPr>
          <w:rFonts w:ascii="Times New Roman" w:hAnsi="Times New Roman" w:cs="Times New Roman"/>
          <w:iCs/>
          <w:sz w:val="24"/>
          <w:szCs w:val="24"/>
        </w:rPr>
        <w:t>.</w:t>
      </w:r>
      <w:r w:rsidR="004D53EF">
        <w:rPr>
          <w:rFonts w:ascii="Times New Roman" w:hAnsi="Times New Roman" w:cs="Times New Roman"/>
          <w:iCs/>
          <w:sz w:val="24"/>
          <w:szCs w:val="24"/>
        </w:rPr>
        <w:t xml:space="preserve"> В средине 1990-х гг. нынешние миллиардеры в ходе различных залоговых аукционов, закрытых торгов и прочих манипуляций с акциями практически за бесценок приобрели ключевую долю в уставных капиталах металлургических корпораций, а государство фактически полностью потеряло контроль над металлургией</w:t>
      </w:r>
      <w:r w:rsidR="00635FDB" w:rsidRPr="00635FDB">
        <w:rPr>
          <w:rFonts w:ascii="Times New Roman" w:hAnsi="Times New Roman" w:cs="Times New Roman"/>
          <w:iCs/>
          <w:sz w:val="24"/>
          <w:szCs w:val="24"/>
        </w:rPr>
        <w:t xml:space="preserve"> [1]</w:t>
      </w:r>
      <w:r w:rsidR="004D53EF">
        <w:rPr>
          <w:rFonts w:ascii="Times New Roman" w:hAnsi="Times New Roman" w:cs="Times New Roman"/>
          <w:iCs/>
          <w:sz w:val="24"/>
          <w:szCs w:val="24"/>
        </w:rPr>
        <w:t xml:space="preserve">. </w:t>
      </w:r>
    </w:p>
    <w:p w:rsidR="004D53EF" w:rsidRDefault="008B2308" w:rsidP="00B763C2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Ровно так, как ключевым налогом в нефтегазовой отрасли является НДПИ от Ханты-Мансийского и</w:t>
      </w:r>
      <w:r w:rsidRPr="008B2308">
        <w:rPr>
          <w:rFonts w:ascii="Times New Roman" w:hAnsi="Times New Roman" w:cs="Times New Roman"/>
          <w:iCs/>
          <w:sz w:val="24"/>
          <w:szCs w:val="24"/>
        </w:rPr>
        <w:t xml:space="preserve"> Ямало-Ненецк</w:t>
      </w:r>
      <w:r>
        <w:rPr>
          <w:rFonts w:ascii="Times New Roman" w:hAnsi="Times New Roman" w:cs="Times New Roman"/>
          <w:iCs/>
          <w:sz w:val="24"/>
          <w:szCs w:val="24"/>
        </w:rPr>
        <w:t>ого</w:t>
      </w:r>
      <w:r w:rsidRPr="008B2308">
        <w:rPr>
          <w:rFonts w:ascii="Times New Roman" w:hAnsi="Times New Roman" w:cs="Times New Roman"/>
          <w:iCs/>
          <w:sz w:val="24"/>
          <w:szCs w:val="24"/>
        </w:rPr>
        <w:t xml:space="preserve"> автономны</w:t>
      </w:r>
      <w:r>
        <w:rPr>
          <w:rFonts w:ascii="Times New Roman" w:hAnsi="Times New Roman" w:cs="Times New Roman"/>
          <w:iCs/>
          <w:sz w:val="24"/>
          <w:szCs w:val="24"/>
        </w:rPr>
        <w:t>х</w:t>
      </w:r>
      <w:r w:rsidRPr="008B2308">
        <w:rPr>
          <w:rFonts w:ascii="Times New Roman" w:hAnsi="Times New Roman" w:cs="Times New Roman"/>
          <w:iCs/>
          <w:sz w:val="24"/>
          <w:szCs w:val="24"/>
        </w:rPr>
        <w:t xml:space="preserve"> округ</w:t>
      </w:r>
      <w:r>
        <w:rPr>
          <w:rFonts w:ascii="Times New Roman" w:hAnsi="Times New Roman" w:cs="Times New Roman"/>
          <w:iCs/>
          <w:sz w:val="24"/>
          <w:szCs w:val="24"/>
        </w:rPr>
        <w:t xml:space="preserve">ов – 2,3 и 1,1 трлн. рублей </w:t>
      </w:r>
      <w:r w:rsidR="00E05F44">
        <w:rPr>
          <w:rFonts w:ascii="Times New Roman" w:hAnsi="Times New Roman" w:cs="Times New Roman"/>
          <w:iCs/>
          <w:sz w:val="24"/>
          <w:szCs w:val="24"/>
        </w:rPr>
        <w:t xml:space="preserve">соответственно </w:t>
      </w:r>
      <w:r>
        <w:rPr>
          <w:rFonts w:ascii="Times New Roman" w:hAnsi="Times New Roman" w:cs="Times New Roman"/>
          <w:iCs/>
          <w:sz w:val="24"/>
          <w:szCs w:val="24"/>
        </w:rPr>
        <w:t>поступлений НДПИ в бюджетную систему страны</w:t>
      </w:r>
      <w:r w:rsidR="00E05F44">
        <w:rPr>
          <w:rFonts w:ascii="Times New Roman" w:hAnsi="Times New Roman" w:cs="Times New Roman"/>
          <w:iCs/>
          <w:sz w:val="24"/>
          <w:szCs w:val="24"/>
        </w:rPr>
        <w:t xml:space="preserve"> за 2021 год</w:t>
      </w:r>
      <w:r>
        <w:rPr>
          <w:rFonts w:ascii="Times New Roman" w:hAnsi="Times New Roman" w:cs="Times New Roman"/>
          <w:iCs/>
          <w:sz w:val="24"/>
          <w:szCs w:val="24"/>
        </w:rPr>
        <w:t>, так и к</w:t>
      </w:r>
      <w:r w:rsidR="004D53EF">
        <w:rPr>
          <w:rFonts w:ascii="Times New Roman" w:hAnsi="Times New Roman" w:cs="Times New Roman"/>
          <w:iCs/>
          <w:sz w:val="24"/>
          <w:szCs w:val="24"/>
        </w:rPr>
        <w:t xml:space="preserve">лючевым бюджетоформирующим налогом от металлургической отрасли </w:t>
      </w:r>
      <w:r>
        <w:rPr>
          <w:rFonts w:ascii="Times New Roman" w:hAnsi="Times New Roman" w:cs="Times New Roman"/>
          <w:iCs/>
          <w:sz w:val="24"/>
          <w:szCs w:val="24"/>
        </w:rPr>
        <w:t>являлся,</w:t>
      </w:r>
      <w:r w:rsidR="004D53EF">
        <w:rPr>
          <w:rFonts w:ascii="Times New Roman" w:hAnsi="Times New Roman" w:cs="Times New Roman"/>
          <w:iCs/>
          <w:sz w:val="24"/>
          <w:szCs w:val="24"/>
        </w:rPr>
        <w:t xml:space="preserve"> и будет являться</w:t>
      </w:r>
      <w:r>
        <w:rPr>
          <w:rFonts w:ascii="Times New Roman" w:hAnsi="Times New Roman" w:cs="Times New Roman"/>
          <w:iCs/>
          <w:sz w:val="24"/>
          <w:szCs w:val="24"/>
        </w:rPr>
        <w:t>,</w:t>
      </w:r>
      <w:r w:rsidR="00E05F44">
        <w:rPr>
          <w:rFonts w:ascii="Times New Roman" w:hAnsi="Times New Roman" w:cs="Times New Roman"/>
          <w:iCs/>
          <w:sz w:val="24"/>
          <w:szCs w:val="24"/>
        </w:rPr>
        <w:t xml:space="preserve"> налог на прибыль. Несмотря на достаточно большую сумму поступлений по НДС в бюджетную систему от металлургии – зачастую этот налог имеет отрицательное значение, то есть возмещает из федерального бюджета в пользу предприятий в связи с экспортными продажами. </w:t>
      </w:r>
    </w:p>
    <w:p w:rsidR="00F17AD2" w:rsidRPr="0098257F" w:rsidRDefault="00E05F44" w:rsidP="008F530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Рассмотрим динамику финансовых результатов </w:t>
      </w:r>
      <w:r w:rsidRPr="00C37724">
        <w:rPr>
          <w:rFonts w:ascii="Times New Roman" w:hAnsi="Times New Roman" w:cs="Times New Roman"/>
          <w:sz w:val="24"/>
        </w:rPr>
        <w:t>холдинга</w:t>
      </w:r>
      <w:r>
        <w:rPr>
          <w:rFonts w:ascii="Times New Roman" w:hAnsi="Times New Roman" w:cs="Times New Roman"/>
          <w:sz w:val="24"/>
        </w:rPr>
        <w:t xml:space="preserve"> </w:t>
      </w:r>
      <w:r w:rsidRPr="00C37724">
        <w:rPr>
          <w:rFonts w:ascii="Times New Roman" w:hAnsi="Times New Roman" w:cs="Times New Roman"/>
          <w:sz w:val="24"/>
        </w:rPr>
        <w:t>ПАО «Северсталь»</w:t>
      </w:r>
      <w:r>
        <w:rPr>
          <w:rFonts w:ascii="Times New Roman" w:hAnsi="Times New Roman" w:cs="Times New Roman"/>
          <w:sz w:val="24"/>
        </w:rPr>
        <w:t xml:space="preserve"> за 2016–2021 гг. Как видно из </w:t>
      </w:r>
      <w:r w:rsidRPr="00E05F44">
        <w:rPr>
          <w:rFonts w:ascii="Times New Roman" w:hAnsi="Times New Roman" w:cs="Times New Roman"/>
          <w:i/>
          <w:sz w:val="24"/>
        </w:rPr>
        <w:t>таблицы 1</w:t>
      </w:r>
      <w:r>
        <w:rPr>
          <w:rFonts w:ascii="Times New Roman" w:hAnsi="Times New Roman" w:cs="Times New Roman"/>
          <w:sz w:val="24"/>
        </w:rPr>
        <w:t xml:space="preserve"> консолидированная выручка холдинга за период увеличилась в 2,2 раза. </w:t>
      </w:r>
      <w:r w:rsidR="0098257F">
        <w:rPr>
          <w:rFonts w:ascii="Times New Roman" w:hAnsi="Times New Roman" w:cs="Times New Roman"/>
          <w:sz w:val="24"/>
        </w:rPr>
        <w:t xml:space="preserve">В большей степени на рост повлиял рост курса доллара, а также цены на металл на мировых рынках. После падения спроса и цен в 2020 году из-за пандемии коронавируса, в 2021 году в результате оживления предпринимательской активности, снятия ограничений и многократно увеличившимся спросе, выручка </w:t>
      </w:r>
      <w:r w:rsidR="0098257F" w:rsidRPr="00C37724">
        <w:rPr>
          <w:rFonts w:ascii="Times New Roman" w:hAnsi="Times New Roman" w:cs="Times New Roman"/>
          <w:sz w:val="24"/>
        </w:rPr>
        <w:t>ПАО «Северсталь»</w:t>
      </w:r>
      <w:r w:rsidR="0098257F">
        <w:rPr>
          <w:rFonts w:ascii="Times New Roman" w:hAnsi="Times New Roman" w:cs="Times New Roman"/>
          <w:sz w:val="24"/>
        </w:rPr>
        <w:t xml:space="preserve"> за год выросла на +72% с 485,8 до 835,5 млрд. рублей. </w:t>
      </w:r>
      <w:r w:rsidR="00BC2B70">
        <w:rPr>
          <w:rFonts w:ascii="Times New Roman" w:hAnsi="Times New Roman" w:cs="Times New Roman"/>
          <w:sz w:val="24"/>
        </w:rPr>
        <w:t>С</w:t>
      </w:r>
      <w:r w:rsidR="008F5308">
        <w:rPr>
          <w:rFonts w:ascii="Times New Roman" w:hAnsi="Times New Roman" w:cs="Times New Roman"/>
          <w:sz w:val="24"/>
        </w:rPr>
        <w:t xml:space="preserve">ебестоимость продукции увеличилась в 1,5 раза относительно 2016 года и на +28% относительно 2020 года. В связи с ростом выручки, опережающим рост себестоимость, валовая прибыль выросла в 3,2 раза. </w:t>
      </w:r>
      <w:r w:rsidR="008F5308" w:rsidRPr="008F5308">
        <w:rPr>
          <w:rFonts w:ascii="Times New Roman" w:hAnsi="Times New Roman" w:cs="Times New Roman"/>
          <w:sz w:val="24"/>
        </w:rPr>
        <w:t>Общехозяйственные и административные расходы</w:t>
      </w:r>
      <w:r w:rsidR="008F5308">
        <w:rPr>
          <w:rFonts w:ascii="Times New Roman" w:hAnsi="Times New Roman" w:cs="Times New Roman"/>
          <w:sz w:val="24"/>
        </w:rPr>
        <w:t xml:space="preserve"> выросли на +37%, з</w:t>
      </w:r>
      <w:r w:rsidR="008F5308" w:rsidRPr="008F5308">
        <w:rPr>
          <w:rFonts w:ascii="Times New Roman" w:hAnsi="Times New Roman" w:cs="Times New Roman"/>
          <w:sz w:val="24"/>
        </w:rPr>
        <w:t>атраты на сбыт</w:t>
      </w:r>
      <w:r w:rsidR="008F5308">
        <w:rPr>
          <w:rFonts w:ascii="Times New Roman" w:hAnsi="Times New Roman" w:cs="Times New Roman"/>
          <w:sz w:val="24"/>
        </w:rPr>
        <w:t xml:space="preserve"> на +66%. В 6,6 раза увеличилась сумма налогов, отличных от налога на прибыль. Одним из самых важных показателей в </w:t>
      </w:r>
      <w:r w:rsidR="00BC2B70">
        <w:rPr>
          <w:rFonts w:ascii="Times New Roman" w:hAnsi="Times New Roman" w:cs="Times New Roman"/>
          <w:sz w:val="24"/>
        </w:rPr>
        <w:t>финансовых</w:t>
      </w:r>
      <w:r w:rsidR="008F5308">
        <w:rPr>
          <w:rFonts w:ascii="Times New Roman" w:hAnsi="Times New Roman" w:cs="Times New Roman"/>
          <w:sz w:val="24"/>
        </w:rPr>
        <w:t xml:space="preserve"> </w:t>
      </w:r>
      <w:r w:rsidR="00BC2B70">
        <w:rPr>
          <w:rFonts w:ascii="Times New Roman" w:hAnsi="Times New Roman" w:cs="Times New Roman"/>
          <w:sz w:val="24"/>
        </w:rPr>
        <w:t>результатах</w:t>
      </w:r>
      <w:r w:rsidR="008F5308">
        <w:rPr>
          <w:rFonts w:ascii="Times New Roman" w:hAnsi="Times New Roman" w:cs="Times New Roman"/>
          <w:sz w:val="24"/>
        </w:rPr>
        <w:t xml:space="preserve"> </w:t>
      </w:r>
      <w:r w:rsidR="00BC2B70">
        <w:rPr>
          <w:rFonts w:ascii="Times New Roman" w:hAnsi="Times New Roman" w:cs="Times New Roman"/>
          <w:sz w:val="24"/>
        </w:rPr>
        <w:t xml:space="preserve">для </w:t>
      </w:r>
      <w:r w:rsidR="008F5308">
        <w:rPr>
          <w:rFonts w:ascii="Times New Roman" w:hAnsi="Times New Roman" w:cs="Times New Roman"/>
          <w:sz w:val="24"/>
        </w:rPr>
        <w:t xml:space="preserve">налоговой службы и для социально-экономического </w:t>
      </w:r>
      <w:r w:rsidR="00BC2B70">
        <w:rPr>
          <w:rFonts w:ascii="Times New Roman" w:hAnsi="Times New Roman" w:cs="Times New Roman"/>
          <w:sz w:val="24"/>
        </w:rPr>
        <w:t>развития</w:t>
      </w:r>
      <w:r w:rsidR="008F5308">
        <w:rPr>
          <w:rFonts w:ascii="Times New Roman" w:hAnsi="Times New Roman" w:cs="Times New Roman"/>
          <w:sz w:val="24"/>
        </w:rPr>
        <w:t xml:space="preserve"> </w:t>
      </w:r>
      <w:r w:rsidR="00BC2B70">
        <w:rPr>
          <w:rFonts w:ascii="Times New Roman" w:hAnsi="Times New Roman" w:cs="Times New Roman"/>
          <w:sz w:val="24"/>
        </w:rPr>
        <w:t xml:space="preserve">является налоговая база. Так, прибыль до налогообложения холдинга за исследуемый период выросла со 108,8 до 369,4 млрд. </w:t>
      </w:r>
      <w:r w:rsidR="00BC2B70">
        <w:rPr>
          <w:rFonts w:ascii="Times New Roman" w:hAnsi="Times New Roman" w:cs="Times New Roman"/>
          <w:sz w:val="24"/>
        </w:rPr>
        <w:lastRenderedPageBreak/>
        <w:t xml:space="preserve">рублей или в 3,4 раза, а прошлый год – в 3,9 раза. Поступления по налогу на прибыль выросли в 10,3 раза – с 6,8 до 69,8 млрд. рублей. Рост чистой прибыли составил 2,9 раза. </w:t>
      </w:r>
      <w:r w:rsidR="008F5308">
        <w:rPr>
          <w:rFonts w:ascii="Times New Roman" w:hAnsi="Times New Roman" w:cs="Times New Roman"/>
          <w:sz w:val="24"/>
        </w:rPr>
        <w:t xml:space="preserve"> </w:t>
      </w:r>
    </w:p>
    <w:p w:rsidR="002752C5" w:rsidRPr="00C37724" w:rsidRDefault="002752C5" w:rsidP="002752C5">
      <w:pPr>
        <w:pStyle w:val="a3"/>
        <w:jc w:val="right"/>
        <w:rPr>
          <w:rFonts w:ascii="Times New Roman" w:hAnsi="Times New Roman" w:cs="Times New Roman"/>
          <w:i/>
          <w:sz w:val="24"/>
        </w:rPr>
      </w:pPr>
      <w:r w:rsidRPr="00C37724">
        <w:rPr>
          <w:rFonts w:ascii="Times New Roman" w:hAnsi="Times New Roman" w:cs="Times New Roman"/>
          <w:i/>
          <w:sz w:val="24"/>
        </w:rPr>
        <w:t xml:space="preserve">Таблица </w:t>
      </w:r>
      <w:r>
        <w:rPr>
          <w:rFonts w:ascii="Times New Roman" w:hAnsi="Times New Roman" w:cs="Times New Roman"/>
          <w:i/>
          <w:sz w:val="24"/>
        </w:rPr>
        <w:t>1</w:t>
      </w:r>
    </w:p>
    <w:p w:rsidR="00F17AD2" w:rsidRDefault="002752C5" w:rsidP="002752C5">
      <w:pPr>
        <w:pStyle w:val="a3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Ключевые финансовые результаты </w:t>
      </w:r>
      <w:r w:rsidRPr="00C37724">
        <w:rPr>
          <w:rFonts w:ascii="Times New Roman" w:hAnsi="Times New Roman" w:cs="Times New Roman"/>
          <w:sz w:val="24"/>
        </w:rPr>
        <w:t xml:space="preserve">металлургического холдинга </w:t>
      </w:r>
      <w:r>
        <w:rPr>
          <w:rFonts w:ascii="Times New Roman" w:hAnsi="Times New Roman" w:cs="Times New Roman"/>
          <w:sz w:val="24"/>
        </w:rPr>
        <w:br/>
      </w:r>
      <w:r w:rsidRPr="00C37724">
        <w:rPr>
          <w:rFonts w:ascii="Times New Roman" w:hAnsi="Times New Roman" w:cs="Times New Roman"/>
          <w:sz w:val="24"/>
        </w:rPr>
        <w:t>ПАО «Северсталь»</w:t>
      </w:r>
      <w:r>
        <w:rPr>
          <w:rFonts w:ascii="Times New Roman" w:hAnsi="Times New Roman" w:cs="Times New Roman"/>
          <w:sz w:val="24"/>
        </w:rPr>
        <w:t xml:space="preserve"> за 2016–2021 гг.</w:t>
      </w:r>
      <w:r w:rsidR="00974C3C">
        <w:rPr>
          <w:rFonts w:ascii="Times New Roman" w:hAnsi="Times New Roman" w:cs="Times New Roman"/>
          <w:sz w:val="24"/>
        </w:rPr>
        <w:t>, руб.</w:t>
      </w:r>
    </w:p>
    <w:tbl>
      <w:tblPr>
        <w:tblStyle w:val="a6"/>
        <w:tblW w:w="9384" w:type="dxa"/>
        <w:tblInd w:w="108" w:type="dxa"/>
        <w:tblLook w:val="04A0" w:firstRow="1" w:lastRow="0" w:firstColumn="1" w:lastColumn="0" w:noHBand="0" w:noVBand="1"/>
      </w:tblPr>
      <w:tblGrid>
        <w:gridCol w:w="2041"/>
        <w:gridCol w:w="1049"/>
        <w:gridCol w:w="1049"/>
        <w:gridCol w:w="1049"/>
        <w:gridCol w:w="1049"/>
        <w:gridCol w:w="1049"/>
        <w:gridCol w:w="1049"/>
        <w:gridCol w:w="1049"/>
      </w:tblGrid>
      <w:tr w:rsidR="00F17AD2" w:rsidRPr="00F17AD2" w:rsidTr="00F17AD2">
        <w:tc>
          <w:tcPr>
            <w:tcW w:w="2041" w:type="dxa"/>
            <w:vAlign w:val="center"/>
          </w:tcPr>
          <w:p w:rsidR="00F17AD2" w:rsidRPr="00F17AD2" w:rsidRDefault="00F17AD2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Показатель</w:t>
            </w:r>
          </w:p>
        </w:tc>
        <w:tc>
          <w:tcPr>
            <w:tcW w:w="1049" w:type="dxa"/>
            <w:vAlign w:val="center"/>
          </w:tcPr>
          <w:p w:rsidR="00F17AD2" w:rsidRPr="00F17AD2" w:rsidRDefault="00F17AD2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2016</w:t>
            </w:r>
          </w:p>
        </w:tc>
        <w:tc>
          <w:tcPr>
            <w:tcW w:w="1049" w:type="dxa"/>
            <w:vAlign w:val="center"/>
          </w:tcPr>
          <w:p w:rsidR="00F17AD2" w:rsidRPr="00F17AD2" w:rsidRDefault="00F17AD2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2017</w:t>
            </w:r>
          </w:p>
        </w:tc>
        <w:tc>
          <w:tcPr>
            <w:tcW w:w="1049" w:type="dxa"/>
            <w:vAlign w:val="center"/>
          </w:tcPr>
          <w:p w:rsidR="00F17AD2" w:rsidRPr="00F17AD2" w:rsidRDefault="00F17AD2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2018</w:t>
            </w:r>
          </w:p>
        </w:tc>
        <w:tc>
          <w:tcPr>
            <w:tcW w:w="1049" w:type="dxa"/>
            <w:vAlign w:val="center"/>
          </w:tcPr>
          <w:p w:rsidR="00F17AD2" w:rsidRPr="00F17AD2" w:rsidRDefault="00F17AD2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2019</w:t>
            </w:r>
          </w:p>
        </w:tc>
        <w:tc>
          <w:tcPr>
            <w:tcW w:w="1049" w:type="dxa"/>
            <w:vAlign w:val="center"/>
          </w:tcPr>
          <w:p w:rsidR="00F17AD2" w:rsidRPr="00F17AD2" w:rsidRDefault="00F17AD2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2020</w:t>
            </w:r>
          </w:p>
        </w:tc>
        <w:tc>
          <w:tcPr>
            <w:tcW w:w="1049" w:type="dxa"/>
            <w:vAlign w:val="center"/>
          </w:tcPr>
          <w:p w:rsidR="00F17AD2" w:rsidRPr="00F17AD2" w:rsidRDefault="00F17AD2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2021</w:t>
            </w:r>
          </w:p>
        </w:tc>
        <w:tc>
          <w:tcPr>
            <w:tcW w:w="1049" w:type="dxa"/>
            <w:vAlign w:val="center"/>
          </w:tcPr>
          <w:p w:rsidR="00F17AD2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2021 к 2016, раз</w:t>
            </w:r>
          </w:p>
        </w:tc>
      </w:tr>
      <w:tr w:rsidR="006E4ED3" w:rsidRPr="00F17AD2" w:rsidTr="00F17AD2">
        <w:tc>
          <w:tcPr>
            <w:tcW w:w="2041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Выручка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385262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450410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528108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517737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485750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835451</w:t>
            </w:r>
          </w:p>
        </w:tc>
        <w:tc>
          <w:tcPr>
            <w:tcW w:w="1049" w:type="dxa"/>
            <w:vAlign w:val="center"/>
          </w:tcPr>
          <w:p w:rsidR="006E4ED3" w:rsidRPr="006E4ED3" w:rsidRDefault="006E4ED3" w:rsidP="006E4ED3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6E4ED3">
              <w:rPr>
                <w:rFonts w:ascii="Times New Roman" w:hAnsi="Times New Roman" w:cs="Times New Roman"/>
                <w:iCs/>
                <w:sz w:val="20"/>
                <w:szCs w:val="20"/>
              </w:rPr>
              <w:t>2,2</w:t>
            </w:r>
          </w:p>
        </w:tc>
      </w:tr>
      <w:tr w:rsidR="006E4ED3" w:rsidRPr="00F17AD2" w:rsidTr="00F17AD2">
        <w:tc>
          <w:tcPr>
            <w:tcW w:w="2041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Себестоимость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236523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275698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307274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317535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283657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361667</w:t>
            </w:r>
          </w:p>
        </w:tc>
        <w:tc>
          <w:tcPr>
            <w:tcW w:w="1049" w:type="dxa"/>
            <w:vAlign w:val="center"/>
          </w:tcPr>
          <w:p w:rsidR="006E4ED3" w:rsidRPr="006E4ED3" w:rsidRDefault="006E4ED3" w:rsidP="006E4ED3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6E4ED3">
              <w:rPr>
                <w:rFonts w:ascii="Times New Roman" w:hAnsi="Times New Roman" w:cs="Times New Roman"/>
                <w:iCs/>
                <w:sz w:val="20"/>
                <w:szCs w:val="20"/>
              </w:rPr>
              <w:t>1,5</w:t>
            </w:r>
          </w:p>
        </w:tc>
      </w:tr>
      <w:tr w:rsidR="006E4ED3" w:rsidRPr="00F17AD2" w:rsidTr="00F17AD2">
        <w:tc>
          <w:tcPr>
            <w:tcW w:w="2041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Валовая прибыль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155621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181823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229856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210217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211112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493916</w:t>
            </w:r>
          </w:p>
        </w:tc>
        <w:tc>
          <w:tcPr>
            <w:tcW w:w="1049" w:type="dxa"/>
            <w:vAlign w:val="center"/>
          </w:tcPr>
          <w:p w:rsidR="006E4ED3" w:rsidRPr="006E4ED3" w:rsidRDefault="006E4ED3" w:rsidP="006E4ED3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6E4ED3">
              <w:rPr>
                <w:rFonts w:ascii="Times New Roman" w:hAnsi="Times New Roman" w:cs="Times New Roman"/>
                <w:iCs/>
                <w:sz w:val="20"/>
                <w:szCs w:val="20"/>
              </w:rPr>
              <w:t>3,2</w:t>
            </w:r>
          </w:p>
        </w:tc>
      </w:tr>
      <w:tr w:rsidR="006E4ED3" w:rsidRPr="00F17AD2" w:rsidTr="00F17AD2">
        <w:tc>
          <w:tcPr>
            <w:tcW w:w="2041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Общехозяйственные и административные расходы</w:t>
            </w:r>
          </w:p>
        </w:tc>
        <w:tc>
          <w:tcPr>
            <w:tcW w:w="1049" w:type="dxa"/>
            <w:vAlign w:val="center"/>
          </w:tcPr>
          <w:p w:rsidR="006E4ED3" w:rsidRPr="00636CCC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18714</w:t>
            </w:r>
          </w:p>
        </w:tc>
        <w:tc>
          <w:tcPr>
            <w:tcW w:w="1049" w:type="dxa"/>
            <w:vAlign w:val="center"/>
          </w:tcPr>
          <w:p w:rsidR="006E4ED3" w:rsidRPr="00636CCC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16697</w:t>
            </w:r>
          </w:p>
        </w:tc>
        <w:tc>
          <w:tcPr>
            <w:tcW w:w="1049" w:type="dxa"/>
            <w:vAlign w:val="center"/>
          </w:tcPr>
          <w:p w:rsidR="006E4ED3" w:rsidRPr="005229A1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19168</w:t>
            </w:r>
          </w:p>
        </w:tc>
        <w:tc>
          <w:tcPr>
            <w:tcW w:w="1049" w:type="dxa"/>
            <w:vAlign w:val="center"/>
          </w:tcPr>
          <w:p w:rsidR="006E4ED3" w:rsidRPr="005229A1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23079</w:t>
            </w:r>
          </w:p>
        </w:tc>
        <w:tc>
          <w:tcPr>
            <w:tcW w:w="1049" w:type="dxa"/>
            <w:vAlign w:val="center"/>
          </w:tcPr>
          <w:p w:rsidR="006E4ED3" w:rsidRPr="006E4ED3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22444</w:t>
            </w:r>
          </w:p>
        </w:tc>
        <w:tc>
          <w:tcPr>
            <w:tcW w:w="1049" w:type="dxa"/>
            <w:vAlign w:val="center"/>
          </w:tcPr>
          <w:p w:rsidR="006E4ED3" w:rsidRPr="006E4ED3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25662</w:t>
            </w:r>
          </w:p>
        </w:tc>
        <w:tc>
          <w:tcPr>
            <w:tcW w:w="1049" w:type="dxa"/>
            <w:vAlign w:val="center"/>
          </w:tcPr>
          <w:p w:rsidR="006E4ED3" w:rsidRPr="006E4ED3" w:rsidRDefault="006E4ED3" w:rsidP="006E4ED3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6E4ED3">
              <w:rPr>
                <w:rFonts w:ascii="Times New Roman" w:hAnsi="Times New Roman" w:cs="Times New Roman"/>
                <w:iCs/>
                <w:sz w:val="20"/>
                <w:szCs w:val="20"/>
              </w:rPr>
              <w:t>1,4</w:t>
            </w:r>
          </w:p>
        </w:tc>
      </w:tr>
      <w:tr w:rsidR="006E4ED3" w:rsidRPr="00F17AD2" w:rsidTr="00F17AD2">
        <w:tc>
          <w:tcPr>
            <w:tcW w:w="2041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Затраты на сбыт</w:t>
            </w:r>
          </w:p>
        </w:tc>
        <w:tc>
          <w:tcPr>
            <w:tcW w:w="1049" w:type="dxa"/>
            <w:vAlign w:val="center"/>
          </w:tcPr>
          <w:p w:rsidR="006E4ED3" w:rsidRPr="005229A1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30818</w:t>
            </w:r>
          </w:p>
        </w:tc>
        <w:tc>
          <w:tcPr>
            <w:tcW w:w="1049" w:type="dxa"/>
            <w:vAlign w:val="center"/>
          </w:tcPr>
          <w:p w:rsidR="006E4ED3" w:rsidRPr="005229A1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34855</w:t>
            </w:r>
          </w:p>
        </w:tc>
        <w:tc>
          <w:tcPr>
            <w:tcW w:w="1049" w:type="dxa"/>
            <w:vAlign w:val="center"/>
          </w:tcPr>
          <w:p w:rsidR="006E4ED3" w:rsidRPr="005229A1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36052</w:t>
            </w:r>
          </w:p>
        </w:tc>
        <w:tc>
          <w:tcPr>
            <w:tcW w:w="1049" w:type="dxa"/>
            <w:vAlign w:val="center"/>
          </w:tcPr>
          <w:p w:rsidR="006E4ED3" w:rsidRPr="005229A1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34423</w:t>
            </w:r>
          </w:p>
        </w:tc>
        <w:tc>
          <w:tcPr>
            <w:tcW w:w="1049" w:type="dxa"/>
            <w:vAlign w:val="center"/>
          </w:tcPr>
          <w:p w:rsidR="006E4ED3" w:rsidRPr="006E4ED3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47464</w:t>
            </w:r>
          </w:p>
        </w:tc>
        <w:tc>
          <w:tcPr>
            <w:tcW w:w="1049" w:type="dxa"/>
            <w:vAlign w:val="center"/>
          </w:tcPr>
          <w:p w:rsidR="006E4ED3" w:rsidRPr="006E4ED3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51099</w:t>
            </w:r>
          </w:p>
        </w:tc>
        <w:tc>
          <w:tcPr>
            <w:tcW w:w="1049" w:type="dxa"/>
            <w:vAlign w:val="center"/>
          </w:tcPr>
          <w:p w:rsidR="006E4ED3" w:rsidRPr="006E4ED3" w:rsidRDefault="006E4ED3" w:rsidP="006E4ED3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6E4ED3">
              <w:rPr>
                <w:rFonts w:ascii="Times New Roman" w:hAnsi="Times New Roman" w:cs="Times New Roman"/>
                <w:iCs/>
                <w:sz w:val="20"/>
                <w:szCs w:val="20"/>
              </w:rPr>
              <w:t>1,7</w:t>
            </w:r>
          </w:p>
        </w:tc>
      </w:tr>
      <w:tr w:rsidR="006E4ED3" w:rsidRPr="00F17AD2" w:rsidTr="00F17AD2">
        <w:tc>
          <w:tcPr>
            <w:tcW w:w="2041" w:type="dxa"/>
            <w:vAlign w:val="center"/>
          </w:tcPr>
          <w:p w:rsidR="006E4ED3" w:rsidRDefault="006E4ED3" w:rsidP="00F17AD2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Налоги за исключением налогов на прибыль и прочие отчисления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3633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4164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4328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3640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1990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22447</w:t>
            </w:r>
          </w:p>
        </w:tc>
        <w:tc>
          <w:tcPr>
            <w:tcW w:w="1049" w:type="dxa"/>
            <w:vAlign w:val="center"/>
          </w:tcPr>
          <w:p w:rsidR="006E4ED3" w:rsidRPr="006E4ED3" w:rsidRDefault="006E4ED3" w:rsidP="006E4ED3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6E4ED3">
              <w:rPr>
                <w:rFonts w:ascii="Times New Roman" w:hAnsi="Times New Roman" w:cs="Times New Roman"/>
                <w:iCs/>
                <w:sz w:val="20"/>
                <w:szCs w:val="20"/>
              </w:rPr>
              <w:t>6,2</w:t>
            </w:r>
          </w:p>
        </w:tc>
      </w:tr>
      <w:tr w:rsidR="006E4ED3" w:rsidRPr="00F17AD2" w:rsidTr="00F17AD2">
        <w:tc>
          <w:tcPr>
            <w:tcW w:w="2041" w:type="dxa"/>
            <w:vAlign w:val="center"/>
          </w:tcPr>
          <w:p w:rsidR="006E4ED3" w:rsidRDefault="006E4ED3" w:rsidP="00F17AD2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Прибыль до налога на прибыль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108781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169812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158442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144457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95951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369434</w:t>
            </w:r>
          </w:p>
        </w:tc>
        <w:tc>
          <w:tcPr>
            <w:tcW w:w="1049" w:type="dxa"/>
            <w:vAlign w:val="center"/>
          </w:tcPr>
          <w:p w:rsidR="006E4ED3" w:rsidRPr="006E4ED3" w:rsidRDefault="006E4ED3" w:rsidP="006E4ED3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6E4ED3">
              <w:rPr>
                <w:rFonts w:ascii="Times New Roman" w:hAnsi="Times New Roman" w:cs="Times New Roman"/>
                <w:iCs/>
                <w:sz w:val="20"/>
                <w:szCs w:val="20"/>
              </w:rPr>
              <w:t>3,4</w:t>
            </w:r>
          </w:p>
        </w:tc>
      </w:tr>
      <w:tr w:rsidR="006E4ED3" w:rsidRPr="00F17AD2" w:rsidTr="00F17AD2">
        <w:tc>
          <w:tcPr>
            <w:tcW w:w="2041" w:type="dxa"/>
            <w:vAlign w:val="center"/>
          </w:tcPr>
          <w:p w:rsidR="006E4ED3" w:rsidRDefault="006E4ED3" w:rsidP="00F17AD2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Расходы по налогу на прибыль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6751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23846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29764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30096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21327</w:t>
            </w:r>
          </w:p>
        </w:tc>
        <w:tc>
          <w:tcPr>
            <w:tcW w:w="1049" w:type="dxa"/>
            <w:vAlign w:val="center"/>
          </w:tcPr>
          <w:p w:rsidR="006E4ED3" w:rsidRPr="00F17AD2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69786</w:t>
            </w:r>
          </w:p>
        </w:tc>
        <w:tc>
          <w:tcPr>
            <w:tcW w:w="1049" w:type="dxa"/>
            <w:vAlign w:val="center"/>
          </w:tcPr>
          <w:p w:rsidR="006E4ED3" w:rsidRPr="006E4ED3" w:rsidRDefault="006E4ED3" w:rsidP="006E4ED3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6E4ED3">
              <w:rPr>
                <w:rFonts w:ascii="Times New Roman" w:hAnsi="Times New Roman" w:cs="Times New Roman"/>
                <w:iCs/>
                <w:sz w:val="20"/>
                <w:szCs w:val="20"/>
              </w:rPr>
              <w:t>10,3</w:t>
            </w:r>
          </w:p>
        </w:tc>
      </w:tr>
      <w:tr w:rsidR="006E4ED3" w:rsidRPr="00F17AD2" w:rsidTr="00F17AD2">
        <w:tc>
          <w:tcPr>
            <w:tcW w:w="2041" w:type="dxa"/>
            <w:vAlign w:val="center"/>
          </w:tcPr>
          <w:p w:rsidR="006E4ED3" w:rsidRDefault="006E4ED3" w:rsidP="00F17AD2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Прибыль за период</w:t>
            </w:r>
          </w:p>
        </w:tc>
        <w:tc>
          <w:tcPr>
            <w:tcW w:w="1049" w:type="dxa"/>
            <w:vAlign w:val="center"/>
          </w:tcPr>
          <w:p w:rsidR="006E4ED3" w:rsidRPr="005229A1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102030</w:t>
            </w:r>
          </w:p>
        </w:tc>
        <w:tc>
          <w:tcPr>
            <w:tcW w:w="1049" w:type="dxa"/>
            <w:vAlign w:val="center"/>
          </w:tcPr>
          <w:p w:rsidR="006E4ED3" w:rsidRPr="005229A1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145966</w:t>
            </w:r>
          </w:p>
        </w:tc>
        <w:tc>
          <w:tcPr>
            <w:tcW w:w="1049" w:type="dxa"/>
            <w:vAlign w:val="center"/>
          </w:tcPr>
          <w:p w:rsidR="006E4ED3" w:rsidRPr="005229A1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128678</w:t>
            </w:r>
          </w:p>
        </w:tc>
        <w:tc>
          <w:tcPr>
            <w:tcW w:w="1049" w:type="dxa"/>
            <w:vAlign w:val="center"/>
          </w:tcPr>
          <w:p w:rsidR="006E4ED3" w:rsidRPr="005229A1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114361</w:t>
            </w:r>
          </w:p>
        </w:tc>
        <w:tc>
          <w:tcPr>
            <w:tcW w:w="1049" w:type="dxa"/>
            <w:vAlign w:val="center"/>
          </w:tcPr>
          <w:p w:rsidR="006E4ED3" w:rsidRPr="006E4ED3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74624</w:t>
            </w:r>
          </w:p>
        </w:tc>
        <w:tc>
          <w:tcPr>
            <w:tcW w:w="1049" w:type="dxa"/>
            <w:vAlign w:val="center"/>
          </w:tcPr>
          <w:p w:rsidR="006E4ED3" w:rsidRPr="006E4ED3" w:rsidRDefault="006E4ED3" w:rsidP="00F17AD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299648</w:t>
            </w:r>
          </w:p>
        </w:tc>
        <w:tc>
          <w:tcPr>
            <w:tcW w:w="1049" w:type="dxa"/>
            <w:vAlign w:val="center"/>
          </w:tcPr>
          <w:p w:rsidR="006E4ED3" w:rsidRPr="006E4ED3" w:rsidRDefault="006E4ED3" w:rsidP="006E4ED3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6E4ED3">
              <w:rPr>
                <w:rFonts w:ascii="Times New Roman" w:hAnsi="Times New Roman" w:cs="Times New Roman"/>
                <w:iCs/>
                <w:sz w:val="20"/>
                <w:szCs w:val="20"/>
              </w:rPr>
              <w:t>2,9</w:t>
            </w:r>
          </w:p>
        </w:tc>
      </w:tr>
      <w:tr w:rsidR="00974C3C" w:rsidRPr="00974C3C" w:rsidTr="00B35C8F">
        <w:tc>
          <w:tcPr>
            <w:tcW w:w="9384" w:type="dxa"/>
            <w:gridSpan w:val="8"/>
            <w:vAlign w:val="center"/>
          </w:tcPr>
          <w:p w:rsidR="00974C3C" w:rsidRPr="006E4ED3" w:rsidRDefault="00974C3C" w:rsidP="009F410B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Источник: составлено автором по данным консолидированной финансовой отчетности (МСФ</w:t>
            </w:r>
            <w:r w:rsidR="009F410B">
              <w:rPr>
                <w:rFonts w:ascii="Times New Roman" w:hAnsi="Times New Roman" w:cs="Times New Roman"/>
                <w:iCs/>
                <w:sz w:val="20"/>
                <w:szCs w:val="20"/>
              </w:rPr>
              <w:t>О</w:t>
            </w: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) холдинга ПАО «Северсталь»</w:t>
            </w:r>
            <w:r>
              <w:rPr>
                <w:rStyle w:val="a9"/>
                <w:rFonts w:ascii="Times New Roman" w:hAnsi="Times New Roman" w:cs="Times New Roman"/>
                <w:iCs/>
                <w:sz w:val="20"/>
                <w:szCs w:val="20"/>
              </w:rPr>
              <w:footnoteReference w:id="3"/>
            </w:r>
          </w:p>
        </w:tc>
      </w:tr>
    </w:tbl>
    <w:p w:rsidR="00F17AD2" w:rsidRPr="00974C3C" w:rsidRDefault="00F17AD2" w:rsidP="00B763C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3148E6" w:rsidRDefault="00BC2B70" w:rsidP="00B763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В связи с тем, что данный холдинг обладает высокой степенью вертикальной интеграции и контролирует все процессы от добычи сырья до сбыта и реализации продукции – себестоимость холдинга не так сильно зависит от курса доллара, а вот экспортные продажи в результате роста цен очень выгодны. Данные </w:t>
      </w:r>
      <w:r w:rsidRPr="00BC2B70">
        <w:rPr>
          <w:rFonts w:ascii="Times New Roman" w:hAnsi="Times New Roman" w:cs="Times New Roman"/>
          <w:i/>
          <w:sz w:val="24"/>
        </w:rPr>
        <w:t>таблицы 2</w:t>
      </w:r>
      <w:r>
        <w:rPr>
          <w:rFonts w:ascii="Times New Roman" w:hAnsi="Times New Roman" w:cs="Times New Roman"/>
          <w:sz w:val="24"/>
        </w:rPr>
        <w:t xml:space="preserve"> говорят о росте производственной эффективности компании. Всего за период доля себестоимости в выручке сократилась с 61,4 до 43,3 п.п., а рентабельность валовой прибыли увеличилась на 18,7 п.п., такое сокращение затрат на производство несомненно благотворно повлияло на рост налоговой базы</w:t>
      </w:r>
      <w:r w:rsidR="00635FDB" w:rsidRPr="00635FDB">
        <w:rPr>
          <w:rFonts w:ascii="Times New Roman" w:hAnsi="Times New Roman" w:cs="Times New Roman"/>
          <w:sz w:val="24"/>
        </w:rPr>
        <w:t xml:space="preserve"> [2]</w:t>
      </w:r>
      <w:r>
        <w:rPr>
          <w:rFonts w:ascii="Times New Roman" w:hAnsi="Times New Roman" w:cs="Times New Roman"/>
          <w:sz w:val="24"/>
        </w:rPr>
        <w:t xml:space="preserve">. </w:t>
      </w:r>
    </w:p>
    <w:p w:rsidR="00C37724" w:rsidRPr="00C37724" w:rsidRDefault="00C37724" w:rsidP="00C37724">
      <w:pPr>
        <w:pStyle w:val="a3"/>
        <w:jc w:val="right"/>
        <w:rPr>
          <w:rFonts w:ascii="Times New Roman" w:hAnsi="Times New Roman" w:cs="Times New Roman"/>
          <w:i/>
          <w:sz w:val="24"/>
        </w:rPr>
      </w:pPr>
      <w:r w:rsidRPr="00C37724">
        <w:rPr>
          <w:rFonts w:ascii="Times New Roman" w:hAnsi="Times New Roman" w:cs="Times New Roman"/>
          <w:i/>
          <w:sz w:val="24"/>
        </w:rPr>
        <w:t>Таблица 2</w:t>
      </w:r>
    </w:p>
    <w:p w:rsidR="007E7C8E" w:rsidRPr="00C37724" w:rsidRDefault="007E7C8E" w:rsidP="00C37724">
      <w:pPr>
        <w:pStyle w:val="a3"/>
        <w:jc w:val="center"/>
        <w:rPr>
          <w:rFonts w:ascii="Times New Roman" w:hAnsi="Times New Roman" w:cs="Times New Roman"/>
          <w:sz w:val="24"/>
        </w:rPr>
      </w:pPr>
      <w:r w:rsidRPr="00C37724">
        <w:rPr>
          <w:rFonts w:ascii="Times New Roman" w:hAnsi="Times New Roman" w:cs="Times New Roman"/>
          <w:sz w:val="24"/>
        </w:rPr>
        <w:t xml:space="preserve">Производственная эффективность металлургического холдинга </w:t>
      </w:r>
      <w:r w:rsidR="00C37724">
        <w:rPr>
          <w:rFonts w:ascii="Times New Roman" w:hAnsi="Times New Roman" w:cs="Times New Roman"/>
          <w:sz w:val="24"/>
        </w:rPr>
        <w:br/>
      </w:r>
      <w:r w:rsidRPr="00C37724">
        <w:rPr>
          <w:rFonts w:ascii="Times New Roman" w:hAnsi="Times New Roman" w:cs="Times New Roman"/>
          <w:sz w:val="24"/>
        </w:rPr>
        <w:t>ПАО «Северсталь»</w:t>
      </w:r>
      <w:r w:rsidR="00C37724">
        <w:rPr>
          <w:rFonts w:ascii="Times New Roman" w:hAnsi="Times New Roman" w:cs="Times New Roman"/>
          <w:sz w:val="24"/>
        </w:rPr>
        <w:t xml:space="preserve"> за 2016–2021 гг.</w:t>
      </w:r>
    </w:p>
    <w:tbl>
      <w:tblPr>
        <w:tblStyle w:val="a6"/>
        <w:tblW w:w="9388" w:type="dxa"/>
        <w:tblInd w:w="108" w:type="dxa"/>
        <w:tblLook w:val="04A0" w:firstRow="1" w:lastRow="0" w:firstColumn="1" w:lastColumn="0" w:noHBand="0" w:noVBand="1"/>
      </w:tblPr>
      <w:tblGrid>
        <w:gridCol w:w="2038"/>
        <w:gridCol w:w="1008"/>
        <w:gridCol w:w="1008"/>
        <w:gridCol w:w="1008"/>
        <w:gridCol w:w="1008"/>
        <w:gridCol w:w="1008"/>
        <w:gridCol w:w="1008"/>
        <w:gridCol w:w="1302"/>
      </w:tblGrid>
      <w:tr w:rsidR="002752C5" w:rsidRPr="00F17AD2" w:rsidTr="002752C5">
        <w:trPr>
          <w:trHeight w:val="162"/>
        </w:trPr>
        <w:tc>
          <w:tcPr>
            <w:tcW w:w="2038" w:type="dxa"/>
            <w:vAlign w:val="center"/>
          </w:tcPr>
          <w:p w:rsidR="007E7C8E" w:rsidRPr="00F17AD2" w:rsidRDefault="007E7C8E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Показатель</w:t>
            </w:r>
          </w:p>
        </w:tc>
        <w:tc>
          <w:tcPr>
            <w:tcW w:w="1008" w:type="dxa"/>
            <w:vAlign w:val="center"/>
          </w:tcPr>
          <w:p w:rsidR="007E7C8E" w:rsidRPr="00F17AD2" w:rsidRDefault="007E7C8E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2016</w:t>
            </w:r>
          </w:p>
        </w:tc>
        <w:tc>
          <w:tcPr>
            <w:tcW w:w="1008" w:type="dxa"/>
            <w:vAlign w:val="center"/>
          </w:tcPr>
          <w:p w:rsidR="007E7C8E" w:rsidRPr="00F17AD2" w:rsidRDefault="007E7C8E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2017</w:t>
            </w:r>
          </w:p>
        </w:tc>
        <w:tc>
          <w:tcPr>
            <w:tcW w:w="1008" w:type="dxa"/>
            <w:vAlign w:val="center"/>
          </w:tcPr>
          <w:p w:rsidR="007E7C8E" w:rsidRPr="00F17AD2" w:rsidRDefault="007E7C8E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2018</w:t>
            </w:r>
          </w:p>
        </w:tc>
        <w:tc>
          <w:tcPr>
            <w:tcW w:w="1008" w:type="dxa"/>
            <w:vAlign w:val="center"/>
          </w:tcPr>
          <w:p w:rsidR="007E7C8E" w:rsidRPr="00F17AD2" w:rsidRDefault="007E7C8E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2019</w:t>
            </w:r>
          </w:p>
        </w:tc>
        <w:tc>
          <w:tcPr>
            <w:tcW w:w="1008" w:type="dxa"/>
            <w:vAlign w:val="center"/>
          </w:tcPr>
          <w:p w:rsidR="007E7C8E" w:rsidRPr="00F17AD2" w:rsidRDefault="007E7C8E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2020</w:t>
            </w:r>
          </w:p>
        </w:tc>
        <w:tc>
          <w:tcPr>
            <w:tcW w:w="1008" w:type="dxa"/>
            <w:vAlign w:val="center"/>
          </w:tcPr>
          <w:p w:rsidR="007E7C8E" w:rsidRPr="00F17AD2" w:rsidRDefault="007E7C8E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2021</w:t>
            </w:r>
          </w:p>
        </w:tc>
        <w:tc>
          <w:tcPr>
            <w:tcW w:w="1302" w:type="dxa"/>
            <w:vAlign w:val="center"/>
          </w:tcPr>
          <w:p w:rsidR="007E7C8E" w:rsidRPr="00F17AD2" w:rsidRDefault="00C37724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2021 к 2016, +/- п.п.</w:t>
            </w:r>
          </w:p>
        </w:tc>
      </w:tr>
      <w:tr w:rsidR="00C37724" w:rsidRPr="006E4ED3" w:rsidTr="002752C5">
        <w:trPr>
          <w:trHeight w:val="165"/>
        </w:trPr>
        <w:tc>
          <w:tcPr>
            <w:tcW w:w="2038" w:type="dxa"/>
            <w:vAlign w:val="center"/>
          </w:tcPr>
          <w:p w:rsidR="00C37724" w:rsidRPr="00F17AD2" w:rsidRDefault="00C37724" w:rsidP="00C37724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Доля себестоимости в выручке, %</w:t>
            </w:r>
          </w:p>
        </w:tc>
        <w:tc>
          <w:tcPr>
            <w:tcW w:w="1008" w:type="dxa"/>
            <w:vAlign w:val="center"/>
          </w:tcPr>
          <w:p w:rsidR="00C37724" w:rsidRPr="00C37724" w:rsidRDefault="00C37724" w:rsidP="00C37724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C37724">
              <w:rPr>
                <w:rFonts w:ascii="Times New Roman" w:hAnsi="Times New Roman" w:cs="Times New Roman"/>
                <w:iCs/>
                <w:sz w:val="20"/>
                <w:szCs w:val="20"/>
              </w:rPr>
              <w:t>61,4</w:t>
            </w:r>
          </w:p>
        </w:tc>
        <w:tc>
          <w:tcPr>
            <w:tcW w:w="1008" w:type="dxa"/>
            <w:vAlign w:val="center"/>
          </w:tcPr>
          <w:p w:rsidR="00C37724" w:rsidRPr="00C37724" w:rsidRDefault="00C37724" w:rsidP="00C37724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C37724">
              <w:rPr>
                <w:rFonts w:ascii="Times New Roman" w:hAnsi="Times New Roman" w:cs="Times New Roman"/>
                <w:iCs/>
                <w:sz w:val="20"/>
                <w:szCs w:val="20"/>
              </w:rPr>
              <w:t>61,2</w:t>
            </w:r>
          </w:p>
        </w:tc>
        <w:tc>
          <w:tcPr>
            <w:tcW w:w="1008" w:type="dxa"/>
            <w:vAlign w:val="center"/>
          </w:tcPr>
          <w:p w:rsidR="00C37724" w:rsidRPr="00C37724" w:rsidRDefault="00C37724" w:rsidP="00C37724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C37724">
              <w:rPr>
                <w:rFonts w:ascii="Times New Roman" w:hAnsi="Times New Roman" w:cs="Times New Roman"/>
                <w:iCs/>
                <w:sz w:val="20"/>
                <w:szCs w:val="20"/>
              </w:rPr>
              <w:t>58,2</w:t>
            </w:r>
          </w:p>
        </w:tc>
        <w:tc>
          <w:tcPr>
            <w:tcW w:w="1008" w:type="dxa"/>
            <w:vAlign w:val="center"/>
          </w:tcPr>
          <w:p w:rsidR="00C37724" w:rsidRPr="00C37724" w:rsidRDefault="00C37724" w:rsidP="00C37724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C37724">
              <w:rPr>
                <w:rFonts w:ascii="Times New Roman" w:hAnsi="Times New Roman" w:cs="Times New Roman"/>
                <w:iCs/>
                <w:sz w:val="20"/>
                <w:szCs w:val="20"/>
              </w:rPr>
              <w:t>61,3</w:t>
            </w:r>
          </w:p>
        </w:tc>
        <w:tc>
          <w:tcPr>
            <w:tcW w:w="1008" w:type="dxa"/>
            <w:vAlign w:val="center"/>
          </w:tcPr>
          <w:p w:rsidR="00C37724" w:rsidRPr="00C37724" w:rsidRDefault="00C37724" w:rsidP="00C37724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C37724">
              <w:rPr>
                <w:rFonts w:ascii="Times New Roman" w:hAnsi="Times New Roman" w:cs="Times New Roman"/>
                <w:iCs/>
                <w:sz w:val="20"/>
                <w:szCs w:val="20"/>
              </w:rPr>
              <w:t>58,4</w:t>
            </w:r>
          </w:p>
        </w:tc>
        <w:tc>
          <w:tcPr>
            <w:tcW w:w="1008" w:type="dxa"/>
            <w:vAlign w:val="center"/>
          </w:tcPr>
          <w:p w:rsidR="00C37724" w:rsidRPr="00C37724" w:rsidRDefault="00C37724" w:rsidP="00C37724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C37724">
              <w:rPr>
                <w:rFonts w:ascii="Times New Roman" w:hAnsi="Times New Roman" w:cs="Times New Roman"/>
                <w:iCs/>
                <w:sz w:val="20"/>
                <w:szCs w:val="20"/>
              </w:rPr>
              <w:t>43,3</w:t>
            </w:r>
          </w:p>
        </w:tc>
        <w:tc>
          <w:tcPr>
            <w:tcW w:w="1302" w:type="dxa"/>
            <w:vAlign w:val="center"/>
          </w:tcPr>
          <w:p w:rsidR="00C37724" w:rsidRPr="00C37724" w:rsidRDefault="00C37724" w:rsidP="00C37724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C37724">
              <w:rPr>
                <w:rFonts w:ascii="Times New Roman" w:hAnsi="Times New Roman" w:cs="Times New Roman"/>
                <w:iCs/>
                <w:sz w:val="20"/>
                <w:szCs w:val="20"/>
              </w:rPr>
              <w:t>-18,1</w:t>
            </w:r>
          </w:p>
        </w:tc>
      </w:tr>
      <w:tr w:rsidR="00C37724" w:rsidRPr="006E4ED3" w:rsidTr="002752C5">
        <w:trPr>
          <w:trHeight w:val="165"/>
        </w:trPr>
        <w:tc>
          <w:tcPr>
            <w:tcW w:w="2038" w:type="dxa"/>
            <w:vAlign w:val="center"/>
          </w:tcPr>
          <w:p w:rsidR="00C37724" w:rsidRPr="00F17AD2" w:rsidRDefault="00C37724" w:rsidP="00C37724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Рентабельность валовой прибыли, %</w:t>
            </w:r>
          </w:p>
        </w:tc>
        <w:tc>
          <w:tcPr>
            <w:tcW w:w="1008" w:type="dxa"/>
            <w:vAlign w:val="center"/>
          </w:tcPr>
          <w:p w:rsidR="00C37724" w:rsidRPr="00C37724" w:rsidRDefault="00C37724" w:rsidP="00C37724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C37724">
              <w:rPr>
                <w:rFonts w:ascii="Times New Roman" w:hAnsi="Times New Roman" w:cs="Times New Roman"/>
                <w:iCs/>
                <w:sz w:val="20"/>
                <w:szCs w:val="20"/>
              </w:rPr>
              <w:t>40,4</w:t>
            </w:r>
          </w:p>
        </w:tc>
        <w:tc>
          <w:tcPr>
            <w:tcW w:w="1008" w:type="dxa"/>
            <w:vAlign w:val="center"/>
          </w:tcPr>
          <w:p w:rsidR="00C37724" w:rsidRPr="00C37724" w:rsidRDefault="00C37724" w:rsidP="00C37724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C37724">
              <w:rPr>
                <w:rFonts w:ascii="Times New Roman" w:hAnsi="Times New Roman" w:cs="Times New Roman"/>
                <w:iCs/>
                <w:sz w:val="20"/>
                <w:szCs w:val="20"/>
              </w:rPr>
              <w:t>40,4</w:t>
            </w:r>
          </w:p>
        </w:tc>
        <w:tc>
          <w:tcPr>
            <w:tcW w:w="1008" w:type="dxa"/>
            <w:vAlign w:val="center"/>
          </w:tcPr>
          <w:p w:rsidR="00C37724" w:rsidRPr="00C37724" w:rsidRDefault="00C37724" w:rsidP="00C37724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C37724">
              <w:rPr>
                <w:rFonts w:ascii="Times New Roman" w:hAnsi="Times New Roman" w:cs="Times New Roman"/>
                <w:iCs/>
                <w:sz w:val="20"/>
                <w:szCs w:val="20"/>
              </w:rPr>
              <w:t>43,5</w:t>
            </w:r>
          </w:p>
        </w:tc>
        <w:tc>
          <w:tcPr>
            <w:tcW w:w="1008" w:type="dxa"/>
            <w:vAlign w:val="center"/>
          </w:tcPr>
          <w:p w:rsidR="00C37724" w:rsidRPr="00C37724" w:rsidRDefault="00C37724" w:rsidP="00C37724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C37724">
              <w:rPr>
                <w:rFonts w:ascii="Times New Roman" w:hAnsi="Times New Roman" w:cs="Times New Roman"/>
                <w:iCs/>
                <w:sz w:val="20"/>
                <w:szCs w:val="20"/>
              </w:rPr>
              <w:t>40,6</w:t>
            </w:r>
          </w:p>
        </w:tc>
        <w:tc>
          <w:tcPr>
            <w:tcW w:w="1008" w:type="dxa"/>
            <w:vAlign w:val="center"/>
          </w:tcPr>
          <w:p w:rsidR="00C37724" w:rsidRPr="00C37724" w:rsidRDefault="00C37724" w:rsidP="00C37724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C37724">
              <w:rPr>
                <w:rFonts w:ascii="Times New Roman" w:hAnsi="Times New Roman" w:cs="Times New Roman"/>
                <w:iCs/>
                <w:sz w:val="20"/>
                <w:szCs w:val="20"/>
              </w:rPr>
              <w:t>43,5</w:t>
            </w:r>
          </w:p>
        </w:tc>
        <w:tc>
          <w:tcPr>
            <w:tcW w:w="1008" w:type="dxa"/>
            <w:vAlign w:val="center"/>
          </w:tcPr>
          <w:p w:rsidR="00C37724" w:rsidRPr="00C37724" w:rsidRDefault="00C37724" w:rsidP="00C37724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C37724">
              <w:rPr>
                <w:rFonts w:ascii="Times New Roman" w:hAnsi="Times New Roman" w:cs="Times New Roman"/>
                <w:iCs/>
                <w:sz w:val="20"/>
                <w:szCs w:val="20"/>
              </w:rPr>
              <w:t>59,1</w:t>
            </w:r>
          </w:p>
        </w:tc>
        <w:tc>
          <w:tcPr>
            <w:tcW w:w="1302" w:type="dxa"/>
            <w:vAlign w:val="center"/>
          </w:tcPr>
          <w:p w:rsidR="00C37724" w:rsidRPr="00C37724" w:rsidRDefault="00C37724" w:rsidP="00C37724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+</w:t>
            </w:r>
            <w:r w:rsidRPr="00C37724">
              <w:rPr>
                <w:rFonts w:ascii="Times New Roman" w:hAnsi="Times New Roman" w:cs="Times New Roman"/>
                <w:iCs/>
                <w:sz w:val="20"/>
                <w:szCs w:val="20"/>
              </w:rPr>
              <w:t>18,7</w:t>
            </w:r>
          </w:p>
        </w:tc>
      </w:tr>
      <w:tr w:rsidR="002752C5" w:rsidRPr="006E4ED3" w:rsidTr="002752C5">
        <w:trPr>
          <w:trHeight w:val="165"/>
        </w:trPr>
        <w:tc>
          <w:tcPr>
            <w:tcW w:w="9388" w:type="dxa"/>
            <w:gridSpan w:val="8"/>
            <w:vAlign w:val="center"/>
          </w:tcPr>
          <w:p w:rsidR="002752C5" w:rsidRDefault="002752C5" w:rsidP="002752C5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Источник: составлено автором по данным таблицы 1</w:t>
            </w:r>
          </w:p>
        </w:tc>
      </w:tr>
    </w:tbl>
    <w:p w:rsidR="007E7C8E" w:rsidRPr="00E51AD1" w:rsidRDefault="007E7C8E" w:rsidP="00E51AD1">
      <w:pPr>
        <w:pStyle w:val="a3"/>
      </w:pPr>
    </w:p>
    <w:p w:rsidR="00673661" w:rsidRDefault="00E51AD1" w:rsidP="009F410B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Помимо сокращения производительных затрат </w:t>
      </w:r>
      <w:r w:rsidR="009F410B">
        <w:rPr>
          <w:rFonts w:ascii="Times New Roman" w:hAnsi="Times New Roman" w:cs="Times New Roman"/>
          <w:sz w:val="24"/>
          <w:szCs w:val="24"/>
        </w:rPr>
        <w:t>у холдинга снизились коммерческие и управленческие расходы, которые в стандартах МСФО отражаются как общехозяйственные и административные расходы, а также расходы на сбыт. Так, о</w:t>
      </w:r>
      <w:r w:rsidR="009F410B" w:rsidRPr="009F410B">
        <w:rPr>
          <w:rFonts w:ascii="Times New Roman" w:hAnsi="Times New Roman" w:cs="Times New Roman"/>
          <w:sz w:val="24"/>
          <w:szCs w:val="24"/>
        </w:rPr>
        <w:t>бщехозяйственная и административная нагрузка</w:t>
      </w:r>
      <w:r w:rsidR="009F410B">
        <w:rPr>
          <w:rFonts w:ascii="Times New Roman" w:hAnsi="Times New Roman" w:cs="Times New Roman"/>
          <w:sz w:val="24"/>
          <w:szCs w:val="24"/>
        </w:rPr>
        <w:t xml:space="preserve"> сократилась на 1,8 п.п., а сбытовые расходы на 1,9 п.п. за период. Стоит сказать, что административные затраты, относящиеся к постоянным издержкам и независящим от объема производств имели темпы роста значительно ниже темпов роста выручки, а значит корпоративное управление не использует успешный финансовый результат от </w:t>
      </w:r>
      <w:r w:rsidR="0080386B">
        <w:rPr>
          <w:rFonts w:ascii="Times New Roman" w:hAnsi="Times New Roman" w:cs="Times New Roman"/>
          <w:sz w:val="24"/>
          <w:szCs w:val="24"/>
        </w:rPr>
        <w:t xml:space="preserve">цен на внешних рынках с целью обогащения ключевых менеджеров. Удельно-весовое сокращение общехозяйственных, </w:t>
      </w:r>
      <w:r w:rsidR="0080386B">
        <w:rPr>
          <w:rFonts w:ascii="Times New Roman" w:hAnsi="Times New Roman" w:cs="Times New Roman"/>
          <w:sz w:val="24"/>
          <w:szCs w:val="24"/>
        </w:rPr>
        <w:lastRenderedPageBreak/>
        <w:t xml:space="preserve">административных и сбытовых расходов относительно выручки также положительно влияет на налогооблагаемую прибыль холдинга </w:t>
      </w:r>
      <w:r w:rsidR="0080386B" w:rsidRPr="0080386B">
        <w:rPr>
          <w:rFonts w:ascii="Times New Roman" w:hAnsi="Times New Roman" w:cs="Times New Roman"/>
          <w:i/>
          <w:sz w:val="24"/>
          <w:szCs w:val="24"/>
        </w:rPr>
        <w:t>(табл. 3).</w:t>
      </w:r>
    </w:p>
    <w:p w:rsidR="003476A8" w:rsidRPr="00C37724" w:rsidRDefault="00BC2B70" w:rsidP="0080386B">
      <w:pPr>
        <w:pStyle w:val="a3"/>
        <w:jc w:val="right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3476A8" w:rsidRPr="00C37724">
        <w:rPr>
          <w:rFonts w:ascii="Times New Roman" w:hAnsi="Times New Roman" w:cs="Times New Roman"/>
          <w:i/>
          <w:sz w:val="24"/>
        </w:rPr>
        <w:t xml:space="preserve">Таблица </w:t>
      </w:r>
      <w:r w:rsidR="003476A8">
        <w:rPr>
          <w:rFonts w:ascii="Times New Roman" w:hAnsi="Times New Roman" w:cs="Times New Roman"/>
          <w:i/>
          <w:sz w:val="24"/>
        </w:rPr>
        <w:t>3</w:t>
      </w:r>
    </w:p>
    <w:p w:rsidR="003476A8" w:rsidRPr="00C37724" w:rsidRDefault="009428E4" w:rsidP="0080386B">
      <w:pPr>
        <w:pStyle w:val="a3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Доля общехозяйственных, административных и сбытовых затрат в выручке холд</w:t>
      </w:r>
      <w:r w:rsidR="003476A8" w:rsidRPr="00C37724">
        <w:rPr>
          <w:rFonts w:ascii="Times New Roman" w:hAnsi="Times New Roman" w:cs="Times New Roman"/>
          <w:sz w:val="24"/>
        </w:rPr>
        <w:t xml:space="preserve">инга </w:t>
      </w:r>
      <w:r w:rsidR="003476A8">
        <w:rPr>
          <w:rFonts w:ascii="Times New Roman" w:hAnsi="Times New Roman" w:cs="Times New Roman"/>
          <w:sz w:val="24"/>
        </w:rPr>
        <w:br/>
      </w:r>
      <w:r w:rsidR="003476A8" w:rsidRPr="00C37724">
        <w:rPr>
          <w:rFonts w:ascii="Times New Roman" w:hAnsi="Times New Roman" w:cs="Times New Roman"/>
          <w:sz w:val="24"/>
        </w:rPr>
        <w:t>ПАО «Северсталь»</w:t>
      </w:r>
      <w:r w:rsidR="003476A8">
        <w:rPr>
          <w:rFonts w:ascii="Times New Roman" w:hAnsi="Times New Roman" w:cs="Times New Roman"/>
          <w:sz w:val="24"/>
        </w:rPr>
        <w:t xml:space="preserve"> за 2016–2021 гг.</w:t>
      </w:r>
    </w:p>
    <w:tbl>
      <w:tblPr>
        <w:tblStyle w:val="a6"/>
        <w:tblW w:w="9388" w:type="dxa"/>
        <w:tblInd w:w="108" w:type="dxa"/>
        <w:tblLook w:val="04A0" w:firstRow="1" w:lastRow="0" w:firstColumn="1" w:lastColumn="0" w:noHBand="0" w:noVBand="1"/>
      </w:tblPr>
      <w:tblGrid>
        <w:gridCol w:w="2038"/>
        <w:gridCol w:w="1008"/>
        <w:gridCol w:w="1008"/>
        <w:gridCol w:w="1008"/>
        <w:gridCol w:w="1008"/>
        <w:gridCol w:w="1008"/>
        <w:gridCol w:w="1008"/>
        <w:gridCol w:w="1302"/>
      </w:tblGrid>
      <w:tr w:rsidR="003476A8" w:rsidRPr="00F17AD2" w:rsidTr="00B35C8F">
        <w:trPr>
          <w:trHeight w:val="162"/>
        </w:trPr>
        <w:tc>
          <w:tcPr>
            <w:tcW w:w="2038" w:type="dxa"/>
            <w:vAlign w:val="center"/>
          </w:tcPr>
          <w:p w:rsidR="003476A8" w:rsidRPr="00F17AD2" w:rsidRDefault="003476A8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Показатель</w:t>
            </w:r>
          </w:p>
        </w:tc>
        <w:tc>
          <w:tcPr>
            <w:tcW w:w="1008" w:type="dxa"/>
            <w:vAlign w:val="center"/>
          </w:tcPr>
          <w:p w:rsidR="003476A8" w:rsidRPr="00F17AD2" w:rsidRDefault="003476A8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2016</w:t>
            </w:r>
          </w:p>
        </w:tc>
        <w:tc>
          <w:tcPr>
            <w:tcW w:w="1008" w:type="dxa"/>
            <w:vAlign w:val="center"/>
          </w:tcPr>
          <w:p w:rsidR="003476A8" w:rsidRPr="00F17AD2" w:rsidRDefault="003476A8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2017</w:t>
            </w:r>
          </w:p>
        </w:tc>
        <w:tc>
          <w:tcPr>
            <w:tcW w:w="1008" w:type="dxa"/>
            <w:vAlign w:val="center"/>
          </w:tcPr>
          <w:p w:rsidR="003476A8" w:rsidRPr="00F17AD2" w:rsidRDefault="003476A8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2018</w:t>
            </w:r>
          </w:p>
        </w:tc>
        <w:tc>
          <w:tcPr>
            <w:tcW w:w="1008" w:type="dxa"/>
            <w:vAlign w:val="center"/>
          </w:tcPr>
          <w:p w:rsidR="003476A8" w:rsidRPr="00F17AD2" w:rsidRDefault="003476A8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2019</w:t>
            </w:r>
          </w:p>
        </w:tc>
        <w:tc>
          <w:tcPr>
            <w:tcW w:w="1008" w:type="dxa"/>
            <w:vAlign w:val="center"/>
          </w:tcPr>
          <w:p w:rsidR="003476A8" w:rsidRPr="00F17AD2" w:rsidRDefault="003476A8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2020</w:t>
            </w:r>
          </w:p>
        </w:tc>
        <w:tc>
          <w:tcPr>
            <w:tcW w:w="1008" w:type="dxa"/>
            <w:vAlign w:val="center"/>
          </w:tcPr>
          <w:p w:rsidR="003476A8" w:rsidRPr="00F17AD2" w:rsidRDefault="003476A8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F17AD2">
              <w:rPr>
                <w:rFonts w:ascii="Times New Roman" w:hAnsi="Times New Roman" w:cs="Times New Roman"/>
                <w:iCs/>
                <w:sz w:val="20"/>
                <w:szCs w:val="20"/>
              </w:rPr>
              <w:t>2021</w:t>
            </w:r>
          </w:p>
        </w:tc>
        <w:tc>
          <w:tcPr>
            <w:tcW w:w="1302" w:type="dxa"/>
            <w:vAlign w:val="center"/>
          </w:tcPr>
          <w:p w:rsidR="003476A8" w:rsidRPr="00F17AD2" w:rsidRDefault="003476A8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2021 к 2016, +/- п.п.</w:t>
            </w:r>
          </w:p>
        </w:tc>
      </w:tr>
      <w:tr w:rsidR="003476A8" w:rsidRPr="006E4ED3" w:rsidTr="00B35C8F">
        <w:trPr>
          <w:trHeight w:val="165"/>
        </w:trPr>
        <w:tc>
          <w:tcPr>
            <w:tcW w:w="2038" w:type="dxa"/>
            <w:vAlign w:val="center"/>
          </w:tcPr>
          <w:p w:rsidR="003476A8" w:rsidRPr="00F17AD2" w:rsidRDefault="003476A8" w:rsidP="00B35C8F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Общехозяйственная и административная нагрузка, %</w:t>
            </w:r>
          </w:p>
        </w:tc>
        <w:tc>
          <w:tcPr>
            <w:tcW w:w="1008" w:type="dxa"/>
            <w:vAlign w:val="center"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4,9</w:t>
            </w:r>
          </w:p>
        </w:tc>
        <w:tc>
          <w:tcPr>
            <w:tcW w:w="1008" w:type="dxa"/>
            <w:vAlign w:val="center"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3,7</w:t>
            </w:r>
          </w:p>
        </w:tc>
        <w:tc>
          <w:tcPr>
            <w:tcW w:w="1008" w:type="dxa"/>
            <w:vAlign w:val="center"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3,6</w:t>
            </w:r>
          </w:p>
        </w:tc>
        <w:tc>
          <w:tcPr>
            <w:tcW w:w="1008" w:type="dxa"/>
            <w:vAlign w:val="center"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4,5</w:t>
            </w:r>
          </w:p>
        </w:tc>
        <w:tc>
          <w:tcPr>
            <w:tcW w:w="1008" w:type="dxa"/>
            <w:vAlign w:val="center"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4,6</w:t>
            </w:r>
          </w:p>
        </w:tc>
        <w:tc>
          <w:tcPr>
            <w:tcW w:w="1008" w:type="dxa"/>
            <w:vAlign w:val="center"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3,1</w:t>
            </w:r>
          </w:p>
        </w:tc>
        <w:tc>
          <w:tcPr>
            <w:tcW w:w="1302" w:type="dxa"/>
            <w:vAlign w:val="center"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-1,8</w:t>
            </w:r>
          </w:p>
        </w:tc>
      </w:tr>
      <w:tr w:rsidR="003476A8" w:rsidRPr="006E4ED3" w:rsidTr="00B35C8F">
        <w:trPr>
          <w:trHeight w:val="165"/>
        </w:trPr>
        <w:tc>
          <w:tcPr>
            <w:tcW w:w="2038" w:type="dxa"/>
            <w:vAlign w:val="center"/>
          </w:tcPr>
          <w:p w:rsidR="003476A8" w:rsidRPr="00F17AD2" w:rsidRDefault="003476A8" w:rsidP="003476A8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Доля затрат на сбыт в выручке, %</w:t>
            </w:r>
          </w:p>
        </w:tc>
        <w:tc>
          <w:tcPr>
            <w:tcW w:w="1008" w:type="dxa"/>
            <w:vAlign w:val="center"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8,0</w:t>
            </w:r>
          </w:p>
        </w:tc>
        <w:tc>
          <w:tcPr>
            <w:tcW w:w="1008" w:type="dxa"/>
            <w:vAlign w:val="center"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7,7</w:t>
            </w:r>
          </w:p>
        </w:tc>
        <w:tc>
          <w:tcPr>
            <w:tcW w:w="1008" w:type="dxa"/>
            <w:vAlign w:val="center"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6,8</w:t>
            </w:r>
          </w:p>
        </w:tc>
        <w:tc>
          <w:tcPr>
            <w:tcW w:w="1008" w:type="dxa"/>
            <w:vAlign w:val="center"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6,6</w:t>
            </w:r>
          </w:p>
        </w:tc>
        <w:tc>
          <w:tcPr>
            <w:tcW w:w="1008" w:type="dxa"/>
            <w:vAlign w:val="center"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9,8</w:t>
            </w:r>
          </w:p>
        </w:tc>
        <w:tc>
          <w:tcPr>
            <w:tcW w:w="1008" w:type="dxa"/>
            <w:vAlign w:val="center"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6,1</w:t>
            </w:r>
          </w:p>
        </w:tc>
        <w:tc>
          <w:tcPr>
            <w:tcW w:w="1302" w:type="dxa"/>
            <w:vAlign w:val="center"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-1,9</w:t>
            </w:r>
          </w:p>
        </w:tc>
      </w:tr>
      <w:tr w:rsidR="003476A8" w:rsidRPr="006E4ED3" w:rsidTr="00B35C8F">
        <w:trPr>
          <w:trHeight w:val="165"/>
        </w:trPr>
        <w:tc>
          <w:tcPr>
            <w:tcW w:w="9388" w:type="dxa"/>
            <w:gridSpan w:val="8"/>
            <w:vAlign w:val="center"/>
          </w:tcPr>
          <w:p w:rsidR="003476A8" w:rsidRDefault="003476A8" w:rsidP="00B35C8F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Источник: составлено автором по данным таблицы 1</w:t>
            </w:r>
          </w:p>
        </w:tc>
      </w:tr>
    </w:tbl>
    <w:p w:rsidR="003476A8" w:rsidRPr="0080386B" w:rsidRDefault="003476A8" w:rsidP="0080386B">
      <w:pPr>
        <w:pStyle w:val="a3"/>
      </w:pPr>
    </w:p>
    <w:p w:rsidR="00C90D59" w:rsidRDefault="0080386B" w:rsidP="003E6FDB">
      <w:pPr>
        <w:pStyle w:val="a3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Как уже было сказано ранее, ключевым показателем для социально-экономического развития территорий в финансовой отчетности металлургических корпораций является налог на прибыль. Именно его величина, доля </w:t>
      </w:r>
      <w:r w:rsidR="00B35C8F">
        <w:rPr>
          <w:rFonts w:ascii="Times New Roman" w:hAnsi="Times New Roman" w:cs="Times New Roman"/>
          <w:sz w:val="24"/>
          <w:szCs w:val="24"/>
        </w:rPr>
        <w:t>относительно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35C8F">
        <w:rPr>
          <w:rFonts w:ascii="Times New Roman" w:hAnsi="Times New Roman" w:cs="Times New Roman"/>
          <w:sz w:val="24"/>
          <w:szCs w:val="24"/>
        </w:rPr>
        <w:t>налоговой базы и определяет роль компании в бюджетных доходах региона и страны в целом. Перейдя к анализу отчетности холдинга ПАО «Северсталь» можно сказать, что наблюдаются положительные изменения, заключающиеся в росте налоговой базы, налога на прибыль и налоговой нагрузки. Всего за 6 лет налоговая нагрузка выросла с 6,2% в 2016 году до 18,9% в 2021 году. В 2019 и 2020 году текущая ставка налогообложения прибыли составила 20,8 и 22,2% соответственно, что может быть связано с оплатой налога на прибыль предыдущих периодов. К причинам увеличения объема налога на прибыль от холдинга, помимо высоких цен на металлы, низкого курса рубля, снижения себестоимости, можно отнести: прибыльность дочерних компаний, которые в рамках консолидированного налогообложения не сократили налоговую базу материнской компании</w:t>
      </w:r>
      <w:r w:rsidR="00635FDB">
        <w:rPr>
          <w:rFonts w:ascii="Times New Roman" w:hAnsi="Times New Roman" w:cs="Times New Roman"/>
          <w:sz w:val="24"/>
          <w:szCs w:val="24"/>
        </w:rPr>
        <w:t xml:space="preserve"> </w:t>
      </w:r>
      <w:r w:rsidR="00635FDB" w:rsidRPr="00635FDB">
        <w:rPr>
          <w:rFonts w:ascii="Times New Roman" w:hAnsi="Times New Roman" w:cs="Times New Roman"/>
          <w:sz w:val="24"/>
          <w:szCs w:val="24"/>
        </w:rPr>
        <w:t>[3]</w:t>
      </w:r>
      <w:r w:rsidR="00B35C8F">
        <w:rPr>
          <w:rFonts w:ascii="Times New Roman" w:hAnsi="Times New Roman" w:cs="Times New Roman"/>
          <w:sz w:val="24"/>
          <w:szCs w:val="24"/>
        </w:rPr>
        <w:t xml:space="preserve">; </w:t>
      </w:r>
      <w:r w:rsidR="003E6FDB">
        <w:rPr>
          <w:rFonts w:ascii="Times New Roman" w:hAnsi="Times New Roman" w:cs="Times New Roman"/>
          <w:sz w:val="24"/>
          <w:szCs w:val="24"/>
        </w:rPr>
        <w:t xml:space="preserve">готовность ПАО «Северсталь» платить налоги. </w:t>
      </w:r>
      <w:r w:rsidR="003E6FDB" w:rsidRPr="003E6FDB">
        <w:rPr>
          <w:rFonts w:ascii="Times New Roman" w:hAnsi="Times New Roman" w:cs="Times New Roman"/>
          <w:sz w:val="24"/>
          <w:szCs w:val="24"/>
        </w:rPr>
        <w:t>Основной владелец «Северстали» Алексей Мордашов заявил о готовности платить более высокие налоги, если власти решат их повысить</w:t>
      </w:r>
      <w:r w:rsidR="003E6FDB">
        <w:rPr>
          <w:rFonts w:ascii="Times New Roman" w:hAnsi="Times New Roman" w:cs="Times New Roman"/>
          <w:sz w:val="24"/>
          <w:szCs w:val="24"/>
        </w:rPr>
        <w:t>, о</w:t>
      </w:r>
      <w:r w:rsidR="003E6FDB" w:rsidRPr="003E6FDB">
        <w:rPr>
          <w:rFonts w:ascii="Times New Roman" w:hAnsi="Times New Roman" w:cs="Times New Roman"/>
          <w:sz w:val="24"/>
          <w:szCs w:val="24"/>
        </w:rPr>
        <w:t>днако такие решения должны быть очень взвешенными</w:t>
      </w:r>
      <w:r w:rsidR="003E6FDB">
        <w:rPr>
          <w:rStyle w:val="a9"/>
          <w:rFonts w:ascii="Times New Roman" w:hAnsi="Times New Roman" w:cs="Times New Roman"/>
          <w:sz w:val="24"/>
          <w:szCs w:val="24"/>
        </w:rPr>
        <w:footnoteReference w:id="4"/>
      </w:r>
      <w:r w:rsidR="003E6FDB">
        <w:rPr>
          <w:rFonts w:ascii="Times New Roman" w:hAnsi="Times New Roman" w:cs="Times New Roman"/>
          <w:sz w:val="24"/>
          <w:szCs w:val="24"/>
        </w:rPr>
        <w:t xml:space="preserve"> </w:t>
      </w:r>
      <w:r w:rsidR="003E6FDB" w:rsidRPr="003E6FDB">
        <w:rPr>
          <w:rFonts w:ascii="Times New Roman" w:hAnsi="Times New Roman" w:cs="Times New Roman"/>
          <w:i/>
          <w:sz w:val="24"/>
          <w:szCs w:val="24"/>
        </w:rPr>
        <w:t>(рис. 1).</w:t>
      </w:r>
    </w:p>
    <w:p w:rsidR="00C90D59" w:rsidRDefault="00C90D59" w:rsidP="00C90D59">
      <w:pPr>
        <w:pStyle w:val="a3"/>
        <w:rPr>
          <w:rFonts w:ascii="Times New Roman" w:hAnsi="Times New Roman" w:cs="Times New Roman"/>
          <w:i/>
          <w:sz w:val="24"/>
        </w:rPr>
      </w:pPr>
      <w:r>
        <w:rPr>
          <w:noProof/>
          <w:lang w:eastAsia="ru-RU"/>
        </w:rPr>
        <w:drawing>
          <wp:inline distT="0" distB="0" distL="0" distR="0" wp14:anchorId="07881EB1" wp14:editId="417E2C55">
            <wp:extent cx="5940425" cy="2857707"/>
            <wp:effectExtent l="0" t="0" r="3175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B0CE0" w:rsidRPr="00C37724" w:rsidRDefault="007B0CE0" w:rsidP="007B0CE0">
      <w:pPr>
        <w:pStyle w:val="a3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Рисунок 1. </w:t>
      </w:r>
      <w:r w:rsidR="0006566B">
        <w:rPr>
          <w:rFonts w:ascii="Times New Roman" w:hAnsi="Times New Roman" w:cs="Times New Roman"/>
          <w:sz w:val="24"/>
        </w:rPr>
        <w:t>Графоаналитическая модель н</w:t>
      </w:r>
      <w:r>
        <w:rPr>
          <w:rFonts w:ascii="Times New Roman" w:hAnsi="Times New Roman" w:cs="Times New Roman"/>
          <w:sz w:val="24"/>
        </w:rPr>
        <w:t>алогов</w:t>
      </w:r>
      <w:r w:rsidR="0006566B">
        <w:rPr>
          <w:rFonts w:ascii="Times New Roman" w:hAnsi="Times New Roman" w:cs="Times New Roman"/>
          <w:sz w:val="24"/>
        </w:rPr>
        <w:t>ой</w:t>
      </w:r>
      <w:r>
        <w:rPr>
          <w:rFonts w:ascii="Times New Roman" w:hAnsi="Times New Roman" w:cs="Times New Roman"/>
          <w:sz w:val="24"/>
        </w:rPr>
        <w:t xml:space="preserve"> нагрузк</w:t>
      </w:r>
      <w:r w:rsidR="0006566B">
        <w:rPr>
          <w:rFonts w:ascii="Times New Roman" w:hAnsi="Times New Roman" w:cs="Times New Roman"/>
          <w:sz w:val="24"/>
        </w:rPr>
        <w:t>и</w:t>
      </w:r>
      <w:r>
        <w:rPr>
          <w:rFonts w:ascii="Times New Roman" w:hAnsi="Times New Roman" w:cs="Times New Roman"/>
          <w:sz w:val="24"/>
        </w:rPr>
        <w:t xml:space="preserve"> (налог на прибыль) по налогооблагаемой базе холд</w:t>
      </w:r>
      <w:r w:rsidRPr="00C37724">
        <w:rPr>
          <w:rFonts w:ascii="Times New Roman" w:hAnsi="Times New Roman" w:cs="Times New Roman"/>
          <w:sz w:val="24"/>
        </w:rPr>
        <w:t>инга ПАО «Северсталь»</w:t>
      </w:r>
      <w:r>
        <w:rPr>
          <w:rFonts w:ascii="Times New Roman" w:hAnsi="Times New Roman" w:cs="Times New Roman"/>
          <w:sz w:val="24"/>
        </w:rPr>
        <w:t xml:space="preserve"> за 2016–2021 гг.</w:t>
      </w:r>
    </w:p>
    <w:p w:rsidR="00C90D59" w:rsidRDefault="00002BA1" w:rsidP="00002BA1">
      <w:pPr>
        <w:pStyle w:val="a3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Cs/>
          <w:sz w:val="20"/>
          <w:szCs w:val="20"/>
        </w:rPr>
        <w:t>Источник: составлено автором по данным таблицы 1</w:t>
      </w:r>
    </w:p>
    <w:p w:rsidR="003148E6" w:rsidRDefault="003E6FDB" w:rsidP="005A313C">
      <w:pPr>
        <w:pStyle w:val="a3"/>
        <w:jc w:val="both"/>
        <w:rPr>
          <w:rFonts w:ascii="Times New Roman" w:hAnsi="Times New Roman" w:cs="Times New Roman"/>
          <w:sz w:val="24"/>
        </w:rPr>
      </w:pPr>
      <w:r w:rsidRPr="005A313C">
        <w:rPr>
          <w:rFonts w:ascii="Times New Roman" w:hAnsi="Times New Roman" w:cs="Times New Roman"/>
          <w:sz w:val="24"/>
        </w:rPr>
        <w:lastRenderedPageBreak/>
        <w:tab/>
      </w:r>
      <w:r w:rsidR="00401CF1">
        <w:rPr>
          <w:rFonts w:ascii="Times New Roman" w:hAnsi="Times New Roman" w:cs="Times New Roman"/>
          <w:sz w:val="24"/>
        </w:rPr>
        <w:t xml:space="preserve">Естественно, что более чем 10-кратный роста налога на прибыль повлиял и на увеличение налоговой нагрузки по валовой прибыли и выручке. </w:t>
      </w:r>
      <w:r w:rsidR="00401CF1" w:rsidRPr="00401CF1">
        <w:rPr>
          <w:rFonts w:ascii="Times New Roman" w:hAnsi="Times New Roman" w:cs="Times New Roman"/>
          <w:sz w:val="24"/>
        </w:rPr>
        <w:t>Доля налога на прибыль в валовой прибыли</w:t>
      </w:r>
      <w:r w:rsidR="00401CF1">
        <w:rPr>
          <w:rFonts w:ascii="Times New Roman" w:hAnsi="Times New Roman" w:cs="Times New Roman"/>
          <w:sz w:val="24"/>
        </w:rPr>
        <w:t xml:space="preserve"> выросла на 9,8 п.п., а по выручке – на 6,6 п.п. за исследуемый период. Стоить сказать, что </w:t>
      </w:r>
      <w:r w:rsidR="002B41F3">
        <w:rPr>
          <w:rFonts w:ascii="Times New Roman" w:hAnsi="Times New Roman" w:cs="Times New Roman"/>
          <w:sz w:val="24"/>
        </w:rPr>
        <w:t xml:space="preserve">уровень </w:t>
      </w:r>
      <w:r w:rsidR="00401CF1">
        <w:rPr>
          <w:rFonts w:ascii="Times New Roman" w:hAnsi="Times New Roman" w:cs="Times New Roman"/>
          <w:sz w:val="24"/>
        </w:rPr>
        <w:t>налогов</w:t>
      </w:r>
      <w:r w:rsidR="002B41F3">
        <w:rPr>
          <w:rFonts w:ascii="Times New Roman" w:hAnsi="Times New Roman" w:cs="Times New Roman"/>
          <w:sz w:val="24"/>
        </w:rPr>
        <w:t>ой нагрузки</w:t>
      </w:r>
      <w:r w:rsidR="00401CF1">
        <w:rPr>
          <w:rFonts w:ascii="Times New Roman" w:hAnsi="Times New Roman" w:cs="Times New Roman"/>
          <w:sz w:val="24"/>
        </w:rPr>
        <w:t xml:space="preserve"> </w:t>
      </w:r>
      <w:r w:rsidR="002B41F3">
        <w:rPr>
          <w:rFonts w:ascii="Times New Roman" w:hAnsi="Times New Roman" w:cs="Times New Roman"/>
          <w:sz w:val="24"/>
        </w:rPr>
        <w:t xml:space="preserve">ПАО «Северсталь» в </w:t>
      </w:r>
      <w:r w:rsidR="00401CF1">
        <w:rPr>
          <w:rFonts w:ascii="Times New Roman" w:hAnsi="Times New Roman" w:cs="Times New Roman"/>
          <w:sz w:val="24"/>
        </w:rPr>
        <w:t>2021 год</w:t>
      </w:r>
      <w:r w:rsidR="002B41F3">
        <w:rPr>
          <w:rFonts w:ascii="Times New Roman" w:hAnsi="Times New Roman" w:cs="Times New Roman"/>
          <w:sz w:val="24"/>
        </w:rPr>
        <w:t>у</w:t>
      </w:r>
      <w:r w:rsidR="00401CF1">
        <w:rPr>
          <w:rFonts w:ascii="Times New Roman" w:hAnsi="Times New Roman" w:cs="Times New Roman"/>
          <w:sz w:val="24"/>
        </w:rPr>
        <w:t xml:space="preserve"> схож с уровнем 2004–2007 гг., когда </w:t>
      </w:r>
      <w:r w:rsidR="002B41F3">
        <w:rPr>
          <w:rFonts w:ascii="Times New Roman" w:hAnsi="Times New Roman" w:cs="Times New Roman"/>
          <w:sz w:val="24"/>
        </w:rPr>
        <w:t xml:space="preserve">предприятие </w:t>
      </w:r>
      <w:r w:rsidR="00401CF1">
        <w:rPr>
          <w:rFonts w:ascii="Times New Roman" w:hAnsi="Times New Roman" w:cs="Times New Roman"/>
          <w:sz w:val="24"/>
        </w:rPr>
        <w:t>максимально наполнял</w:t>
      </w:r>
      <w:r w:rsidR="002B41F3">
        <w:rPr>
          <w:rFonts w:ascii="Times New Roman" w:hAnsi="Times New Roman" w:cs="Times New Roman"/>
          <w:sz w:val="24"/>
        </w:rPr>
        <w:t>о</w:t>
      </w:r>
      <w:r w:rsidR="00401CF1">
        <w:rPr>
          <w:rFonts w:ascii="Times New Roman" w:hAnsi="Times New Roman" w:cs="Times New Roman"/>
          <w:sz w:val="24"/>
        </w:rPr>
        <w:t xml:space="preserve"> бюджетную систему налогом на прибыль и имело очень значимую роль в формировании бюджетных доходов Вологодской области </w:t>
      </w:r>
      <w:r w:rsidR="00401CF1" w:rsidRPr="00401CF1">
        <w:rPr>
          <w:rFonts w:ascii="Times New Roman" w:hAnsi="Times New Roman" w:cs="Times New Roman"/>
          <w:i/>
          <w:sz w:val="24"/>
        </w:rPr>
        <w:t>(табл. 4).</w:t>
      </w:r>
    </w:p>
    <w:p w:rsidR="009428E4" w:rsidRPr="00C37724" w:rsidRDefault="009428E4" w:rsidP="009428E4">
      <w:pPr>
        <w:pStyle w:val="a3"/>
        <w:jc w:val="right"/>
        <w:rPr>
          <w:rFonts w:ascii="Times New Roman" w:hAnsi="Times New Roman" w:cs="Times New Roman"/>
          <w:i/>
          <w:sz w:val="24"/>
        </w:rPr>
      </w:pPr>
      <w:r w:rsidRPr="00C37724">
        <w:rPr>
          <w:rFonts w:ascii="Times New Roman" w:hAnsi="Times New Roman" w:cs="Times New Roman"/>
          <w:i/>
          <w:sz w:val="24"/>
        </w:rPr>
        <w:t xml:space="preserve">Таблица </w:t>
      </w:r>
      <w:r>
        <w:rPr>
          <w:rFonts w:ascii="Times New Roman" w:hAnsi="Times New Roman" w:cs="Times New Roman"/>
          <w:i/>
          <w:sz w:val="24"/>
        </w:rPr>
        <w:t>4</w:t>
      </w:r>
    </w:p>
    <w:p w:rsidR="009428E4" w:rsidRPr="00C37724" w:rsidRDefault="009428E4" w:rsidP="009428E4">
      <w:pPr>
        <w:pStyle w:val="a3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Налоговая нагрузка (налог на прибыль) по </w:t>
      </w:r>
      <w:r w:rsidR="007B0CE0">
        <w:rPr>
          <w:rFonts w:ascii="Times New Roman" w:hAnsi="Times New Roman" w:cs="Times New Roman"/>
          <w:sz w:val="24"/>
        </w:rPr>
        <w:t>валовой прибыли</w:t>
      </w:r>
      <w:r>
        <w:rPr>
          <w:rFonts w:ascii="Times New Roman" w:hAnsi="Times New Roman" w:cs="Times New Roman"/>
          <w:sz w:val="24"/>
        </w:rPr>
        <w:t xml:space="preserve"> и выручке холд</w:t>
      </w:r>
      <w:r w:rsidRPr="00C37724">
        <w:rPr>
          <w:rFonts w:ascii="Times New Roman" w:hAnsi="Times New Roman" w:cs="Times New Roman"/>
          <w:sz w:val="24"/>
        </w:rPr>
        <w:t xml:space="preserve">инга </w:t>
      </w:r>
      <w:r>
        <w:rPr>
          <w:rFonts w:ascii="Times New Roman" w:hAnsi="Times New Roman" w:cs="Times New Roman"/>
          <w:sz w:val="24"/>
        </w:rPr>
        <w:br/>
      </w:r>
      <w:r w:rsidRPr="00C37724">
        <w:rPr>
          <w:rFonts w:ascii="Times New Roman" w:hAnsi="Times New Roman" w:cs="Times New Roman"/>
          <w:sz w:val="24"/>
        </w:rPr>
        <w:t>ПАО «Северсталь»</w:t>
      </w:r>
      <w:r>
        <w:rPr>
          <w:rFonts w:ascii="Times New Roman" w:hAnsi="Times New Roman" w:cs="Times New Roman"/>
          <w:sz w:val="24"/>
        </w:rPr>
        <w:t xml:space="preserve"> за 2016–2021 гг.</w:t>
      </w:r>
    </w:p>
    <w:tbl>
      <w:tblPr>
        <w:tblStyle w:val="a6"/>
        <w:tblW w:w="9523" w:type="dxa"/>
        <w:tblLook w:val="04A0" w:firstRow="1" w:lastRow="0" w:firstColumn="1" w:lastColumn="0" w:noHBand="0" w:noVBand="1"/>
      </w:tblPr>
      <w:tblGrid>
        <w:gridCol w:w="2592"/>
        <w:gridCol w:w="932"/>
        <w:gridCol w:w="932"/>
        <w:gridCol w:w="932"/>
        <w:gridCol w:w="932"/>
        <w:gridCol w:w="932"/>
        <w:gridCol w:w="932"/>
        <w:gridCol w:w="1339"/>
      </w:tblGrid>
      <w:tr w:rsidR="003476A8" w:rsidRPr="003476A8" w:rsidTr="003476A8">
        <w:trPr>
          <w:trHeight w:val="31"/>
        </w:trPr>
        <w:tc>
          <w:tcPr>
            <w:tcW w:w="2592" w:type="dxa"/>
            <w:vAlign w:val="center"/>
            <w:hideMark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Показатель</w:t>
            </w:r>
          </w:p>
        </w:tc>
        <w:tc>
          <w:tcPr>
            <w:tcW w:w="932" w:type="dxa"/>
            <w:vAlign w:val="center"/>
            <w:hideMark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2016</w:t>
            </w:r>
          </w:p>
        </w:tc>
        <w:tc>
          <w:tcPr>
            <w:tcW w:w="932" w:type="dxa"/>
            <w:vAlign w:val="center"/>
            <w:hideMark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2017</w:t>
            </w:r>
          </w:p>
        </w:tc>
        <w:tc>
          <w:tcPr>
            <w:tcW w:w="932" w:type="dxa"/>
            <w:vAlign w:val="center"/>
            <w:hideMark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2018</w:t>
            </w:r>
          </w:p>
        </w:tc>
        <w:tc>
          <w:tcPr>
            <w:tcW w:w="932" w:type="dxa"/>
            <w:vAlign w:val="center"/>
            <w:hideMark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2019</w:t>
            </w:r>
          </w:p>
        </w:tc>
        <w:tc>
          <w:tcPr>
            <w:tcW w:w="932" w:type="dxa"/>
            <w:vAlign w:val="center"/>
            <w:hideMark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2020</w:t>
            </w:r>
          </w:p>
        </w:tc>
        <w:tc>
          <w:tcPr>
            <w:tcW w:w="932" w:type="dxa"/>
            <w:vAlign w:val="center"/>
            <w:hideMark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2021</w:t>
            </w:r>
          </w:p>
        </w:tc>
        <w:tc>
          <w:tcPr>
            <w:tcW w:w="1339" w:type="dxa"/>
            <w:vAlign w:val="center"/>
            <w:hideMark/>
          </w:tcPr>
          <w:p w:rsidR="003476A8" w:rsidRPr="00F17AD2" w:rsidRDefault="003476A8" w:rsidP="00B35C8F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2021 к 2016, +/- п.п.</w:t>
            </w:r>
          </w:p>
        </w:tc>
      </w:tr>
      <w:tr w:rsidR="0006566B" w:rsidRPr="003476A8" w:rsidTr="007B0CE0">
        <w:trPr>
          <w:trHeight w:val="118"/>
        </w:trPr>
        <w:tc>
          <w:tcPr>
            <w:tcW w:w="2592" w:type="dxa"/>
            <w:vAlign w:val="center"/>
            <w:hideMark/>
          </w:tcPr>
          <w:p w:rsidR="0006566B" w:rsidRPr="003476A8" w:rsidRDefault="0006566B" w:rsidP="007B0CE0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Доля налога на прибыль в </w:t>
            </w: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валовой прибыли, %</w:t>
            </w:r>
          </w:p>
        </w:tc>
        <w:tc>
          <w:tcPr>
            <w:tcW w:w="932" w:type="dxa"/>
            <w:noWrap/>
            <w:vAlign w:val="center"/>
          </w:tcPr>
          <w:p w:rsidR="0006566B" w:rsidRPr="0006566B" w:rsidRDefault="0006566B" w:rsidP="0006566B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06566B">
              <w:rPr>
                <w:rFonts w:ascii="Times New Roman" w:hAnsi="Times New Roman" w:cs="Times New Roman"/>
                <w:iCs/>
                <w:sz w:val="20"/>
                <w:szCs w:val="20"/>
              </w:rPr>
              <w:t>4,3</w:t>
            </w:r>
          </w:p>
        </w:tc>
        <w:tc>
          <w:tcPr>
            <w:tcW w:w="932" w:type="dxa"/>
            <w:noWrap/>
            <w:vAlign w:val="center"/>
          </w:tcPr>
          <w:p w:rsidR="0006566B" w:rsidRPr="0006566B" w:rsidRDefault="0006566B" w:rsidP="0006566B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06566B">
              <w:rPr>
                <w:rFonts w:ascii="Times New Roman" w:hAnsi="Times New Roman" w:cs="Times New Roman"/>
                <w:iCs/>
                <w:sz w:val="20"/>
                <w:szCs w:val="20"/>
              </w:rPr>
              <w:t>13,1</w:t>
            </w:r>
          </w:p>
        </w:tc>
        <w:tc>
          <w:tcPr>
            <w:tcW w:w="932" w:type="dxa"/>
            <w:noWrap/>
            <w:vAlign w:val="center"/>
          </w:tcPr>
          <w:p w:rsidR="0006566B" w:rsidRPr="0006566B" w:rsidRDefault="0006566B" w:rsidP="0006566B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06566B">
              <w:rPr>
                <w:rFonts w:ascii="Times New Roman" w:hAnsi="Times New Roman" w:cs="Times New Roman"/>
                <w:iCs/>
                <w:sz w:val="20"/>
                <w:szCs w:val="20"/>
              </w:rPr>
              <w:t>12,9</w:t>
            </w:r>
          </w:p>
        </w:tc>
        <w:tc>
          <w:tcPr>
            <w:tcW w:w="932" w:type="dxa"/>
            <w:noWrap/>
            <w:vAlign w:val="center"/>
          </w:tcPr>
          <w:p w:rsidR="0006566B" w:rsidRPr="0006566B" w:rsidRDefault="0006566B" w:rsidP="0006566B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06566B">
              <w:rPr>
                <w:rFonts w:ascii="Times New Roman" w:hAnsi="Times New Roman" w:cs="Times New Roman"/>
                <w:iCs/>
                <w:sz w:val="20"/>
                <w:szCs w:val="20"/>
              </w:rPr>
              <w:t>14,3</w:t>
            </w:r>
          </w:p>
        </w:tc>
        <w:tc>
          <w:tcPr>
            <w:tcW w:w="932" w:type="dxa"/>
            <w:noWrap/>
            <w:vAlign w:val="center"/>
          </w:tcPr>
          <w:p w:rsidR="0006566B" w:rsidRPr="0006566B" w:rsidRDefault="0006566B" w:rsidP="0006566B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06566B">
              <w:rPr>
                <w:rFonts w:ascii="Times New Roman" w:hAnsi="Times New Roman" w:cs="Times New Roman"/>
                <w:iCs/>
                <w:sz w:val="20"/>
                <w:szCs w:val="20"/>
              </w:rPr>
              <w:t>10,1</w:t>
            </w:r>
          </w:p>
        </w:tc>
        <w:tc>
          <w:tcPr>
            <w:tcW w:w="932" w:type="dxa"/>
            <w:noWrap/>
            <w:vAlign w:val="center"/>
          </w:tcPr>
          <w:p w:rsidR="0006566B" w:rsidRPr="0006566B" w:rsidRDefault="0006566B" w:rsidP="0006566B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06566B">
              <w:rPr>
                <w:rFonts w:ascii="Times New Roman" w:hAnsi="Times New Roman" w:cs="Times New Roman"/>
                <w:iCs/>
                <w:sz w:val="20"/>
                <w:szCs w:val="20"/>
              </w:rPr>
              <w:t>14,1</w:t>
            </w:r>
          </w:p>
        </w:tc>
        <w:tc>
          <w:tcPr>
            <w:tcW w:w="1339" w:type="dxa"/>
            <w:noWrap/>
            <w:vAlign w:val="center"/>
          </w:tcPr>
          <w:p w:rsidR="0006566B" w:rsidRPr="0006566B" w:rsidRDefault="0006566B" w:rsidP="0006566B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+</w:t>
            </w:r>
            <w:r w:rsidRPr="0006566B">
              <w:rPr>
                <w:rFonts w:ascii="Times New Roman" w:hAnsi="Times New Roman" w:cs="Times New Roman"/>
                <w:iCs/>
                <w:sz w:val="20"/>
                <w:szCs w:val="20"/>
              </w:rPr>
              <w:t>9,8</w:t>
            </w:r>
          </w:p>
        </w:tc>
      </w:tr>
      <w:tr w:rsidR="003476A8" w:rsidRPr="003476A8" w:rsidTr="003476A8">
        <w:trPr>
          <w:trHeight w:val="59"/>
        </w:trPr>
        <w:tc>
          <w:tcPr>
            <w:tcW w:w="2592" w:type="dxa"/>
            <w:vAlign w:val="center"/>
            <w:hideMark/>
          </w:tcPr>
          <w:p w:rsidR="003476A8" w:rsidRPr="003476A8" w:rsidRDefault="003476A8" w:rsidP="003476A8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Доля налога на прибыль в выручке</w:t>
            </w: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, %</w:t>
            </w:r>
          </w:p>
        </w:tc>
        <w:tc>
          <w:tcPr>
            <w:tcW w:w="932" w:type="dxa"/>
            <w:noWrap/>
            <w:vAlign w:val="center"/>
            <w:hideMark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1,8</w:t>
            </w:r>
          </w:p>
        </w:tc>
        <w:tc>
          <w:tcPr>
            <w:tcW w:w="932" w:type="dxa"/>
            <w:noWrap/>
            <w:vAlign w:val="center"/>
            <w:hideMark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5,3</w:t>
            </w:r>
          </w:p>
        </w:tc>
        <w:tc>
          <w:tcPr>
            <w:tcW w:w="932" w:type="dxa"/>
            <w:noWrap/>
            <w:vAlign w:val="center"/>
            <w:hideMark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5,6</w:t>
            </w:r>
          </w:p>
        </w:tc>
        <w:tc>
          <w:tcPr>
            <w:tcW w:w="932" w:type="dxa"/>
            <w:noWrap/>
            <w:vAlign w:val="center"/>
            <w:hideMark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5,8</w:t>
            </w:r>
          </w:p>
        </w:tc>
        <w:tc>
          <w:tcPr>
            <w:tcW w:w="932" w:type="dxa"/>
            <w:noWrap/>
            <w:vAlign w:val="center"/>
            <w:hideMark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4,4</w:t>
            </w:r>
          </w:p>
        </w:tc>
        <w:tc>
          <w:tcPr>
            <w:tcW w:w="932" w:type="dxa"/>
            <w:noWrap/>
            <w:vAlign w:val="center"/>
            <w:hideMark/>
          </w:tcPr>
          <w:p w:rsidR="003476A8" w:rsidRPr="003476A8" w:rsidRDefault="003476A8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8,4</w:t>
            </w:r>
          </w:p>
        </w:tc>
        <w:tc>
          <w:tcPr>
            <w:tcW w:w="1339" w:type="dxa"/>
            <w:noWrap/>
            <w:vAlign w:val="center"/>
            <w:hideMark/>
          </w:tcPr>
          <w:p w:rsidR="003476A8" w:rsidRPr="003476A8" w:rsidRDefault="0006566B" w:rsidP="003476A8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+</w:t>
            </w:r>
            <w:r w:rsidR="003476A8"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6,6</w:t>
            </w:r>
          </w:p>
        </w:tc>
      </w:tr>
      <w:tr w:rsidR="009428E4" w:rsidRPr="003476A8" w:rsidTr="00B35C8F">
        <w:trPr>
          <w:trHeight w:val="59"/>
        </w:trPr>
        <w:tc>
          <w:tcPr>
            <w:tcW w:w="9523" w:type="dxa"/>
            <w:gridSpan w:val="8"/>
            <w:vAlign w:val="center"/>
          </w:tcPr>
          <w:p w:rsidR="009428E4" w:rsidRDefault="009428E4" w:rsidP="00B35C8F">
            <w:pPr>
              <w:spacing w:after="0" w:line="240" w:lineRule="auto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Источник: составлено автором по данным таблицы 1</w:t>
            </w:r>
          </w:p>
        </w:tc>
      </w:tr>
    </w:tbl>
    <w:p w:rsidR="003476A8" w:rsidRPr="002B41F3" w:rsidRDefault="003476A8" w:rsidP="002B41F3">
      <w:pPr>
        <w:pStyle w:val="a3"/>
      </w:pPr>
    </w:p>
    <w:p w:rsidR="0080386B" w:rsidRDefault="002B41F3" w:rsidP="009A21E1">
      <w:pPr>
        <w:pStyle w:val="a3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Что касается данных Федеральной налоговой службы, общая сумма ключевых налогов от металлургического производства Вологодской области, среди которых: налог на прибыль, НДС, НДФЛ и налог на имущество, выросла пятикратно – с 16 до 79,6 млрд. рублей. Больше все увеличился </w:t>
      </w:r>
      <w:r w:rsidR="009A21E1">
        <w:rPr>
          <w:rFonts w:ascii="Times New Roman" w:hAnsi="Times New Roman" w:cs="Times New Roman"/>
          <w:sz w:val="24"/>
          <w:szCs w:val="24"/>
        </w:rPr>
        <w:t>объём</w:t>
      </w:r>
      <w:r>
        <w:rPr>
          <w:rFonts w:ascii="Times New Roman" w:hAnsi="Times New Roman" w:cs="Times New Roman"/>
          <w:sz w:val="24"/>
          <w:szCs w:val="24"/>
        </w:rPr>
        <w:t xml:space="preserve"> поступлений по налогу на приб</w:t>
      </w:r>
      <w:r w:rsidR="009A21E1">
        <w:rPr>
          <w:rFonts w:ascii="Times New Roman" w:hAnsi="Times New Roman" w:cs="Times New Roman"/>
          <w:sz w:val="24"/>
          <w:szCs w:val="24"/>
        </w:rPr>
        <w:t xml:space="preserve">ыль с 4,4 до 43,5 млрд. рублей. В связи с этим роль налога в общей массе возросла с 27,6 до 54,7% или в 2 раза. </w:t>
      </w:r>
      <w:r>
        <w:rPr>
          <w:rFonts w:ascii="Times New Roman" w:hAnsi="Times New Roman" w:cs="Times New Roman"/>
          <w:sz w:val="24"/>
          <w:szCs w:val="24"/>
        </w:rPr>
        <w:t>Поступления НДФЛ выросли в 1,5 раза, а налог на имущество сократился на 36,7%.</w:t>
      </w:r>
      <w:r w:rsidR="009A21E1">
        <w:rPr>
          <w:rFonts w:ascii="Times New Roman" w:hAnsi="Times New Roman" w:cs="Times New Roman"/>
          <w:sz w:val="24"/>
          <w:szCs w:val="24"/>
        </w:rPr>
        <w:t xml:space="preserve"> В бюджет региона в 2021 году от металлургического производства Вологодской области поступило 32,5 млрд. рублей, что является абсолютным рекордом за всю историю налоговых расчетов предприятия с бюджетом региона. В результате этого сумма доходов областного бюджета составила 142,4 млрд. рублей. Получается, что доля налога на прибыль </w:t>
      </w:r>
      <w:r w:rsidR="009A21E1">
        <w:rPr>
          <w:rFonts w:ascii="Times New Roman" w:hAnsi="Times New Roman" w:cs="Times New Roman"/>
          <w:sz w:val="24"/>
        </w:rPr>
        <w:t xml:space="preserve">ПАО «Северсталь», предназначенная для регионального бюджета в доходах области составила около 22,8%, что является достаточно высоким показателем </w:t>
      </w:r>
      <w:r w:rsidR="009A21E1" w:rsidRPr="009A21E1">
        <w:rPr>
          <w:rFonts w:ascii="Times New Roman" w:hAnsi="Times New Roman" w:cs="Times New Roman"/>
          <w:i/>
          <w:sz w:val="24"/>
        </w:rPr>
        <w:t>(табл. 5).</w:t>
      </w:r>
    </w:p>
    <w:p w:rsidR="00002BA1" w:rsidRDefault="004D0E91" w:rsidP="004D0E91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C37724">
        <w:rPr>
          <w:rFonts w:ascii="Times New Roman" w:hAnsi="Times New Roman" w:cs="Times New Roman"/>
          <w:i/>
          <w:sz w:val="24"/>
        </w:rPr>
        <w:t xml:space="preserve">Таблица </w:t>
      </w:r>
      <w:r>
        <w:rPr>
          <w:rFonts w:ascii="Times New Roman" w:hAnsi="Times New Roman" w:cs="Times New Roman"/>
          <w:i/>
          <w:sz w:val="24"/>
        </w:rPr>
        <w:t>5</w:t>
      </w:r>
    </w:p>
    <w:p w:rsidR="003148E6" w:rsidRPr="004D0E91" w:rsidRDefault="004D0E91" w:rsidP="004D0E91">
      <w:pPr>
        <w:pStyle w:val="a3"/>
        <w:jc w:val="center"/>
        <w:rPr>
          <w:rFonts w:ascii="Times New Roman" w:hAnsi="Times New Roman" w:cs="Times New Roman"/>
          <w:sz w:val="24"/>
        </w:rPr>
      </w:pPr>
      <w:r w:rsidRPr="004D0E91">
        <w:rPr>
          <w:rFonts w:ascii="Times New Roman" w:hAnsi="Times New Roman" w:cs="Times New Roman"/>
          <w:sz w:val="24"/>
        </w:rPr>
        <w:t xml:space="preserve">Налоговые поступления от металлургического производства </w:t>
      </w:r>
      <w:r>
        <w:rPr>
          <w:rFonts w:ascii="Times New Roman" w:hAnsi="Times New Roman" w:cs="Times New Roman"/>
          <w:sz w:val="24"/>
        </w:rPr>
        <w:br/>
        <w:t>Вологодской области (ПАО «</w:t>
      </w:r>
      <w:r w:rsidRPr="004D0E91">
        <w:rPr>
          <w:rFonts w:ascii="Times New Roman" w:hAnsi="Times New Roman" w:cs="Times New Roman"/>
          <w:sz w:val="24"/>
        </w:rPr>
        <w:t>Северсталь</w:t>
      </w:r>
      <w:r>
        <w:rPr>
          <w:rFonts w:ascii="Times New Roman" w:hAnsi="Times New Roman" w:cs="Times New Roman"/>
          <w:sz w:val="24"/>
        </w:rPr>
        <w:t>»</w:t>
      </w:r>
      <w:r w:rsidRPr="004D0E91">
        <w:rPr>
          <w:rFonts w:ascii="Times New Roman" w:hAnsi="Times New Roman" w:cs="Times New Roman"/>
          <w:sz w:val="24"/>
        </w:rPr>
        <w:t>)</w:t>
      </w:r>
    </w:p>
    <w:tbl>
      <w:tblPr>
        <w:tblStyle w:val="a6"/>
        <w:tblW w:w="9362" w:type="dxa"/>
        <w:tblInd w:w="108" w:type="dxa"/>
        <w:tblLook w:val="04A0" w:firstRow="1" w:lastRow="0" w:firstColumn="1" w:lastColumn="0" w:noHBand="0" w:noVBand="1"/>
      </w:tblPr>
      <w:tblGrid>
        <w:gridCol w:w="1998"/>
        <w:gridCol w:w="1052"/>
        <w:gridCol w:w="1052"/>
        <w:gridCol w:w="1052"/>
        <w:gridCol w:w="1052"/>
        <w:gridCol w:w="1052"/>
        <w:gridCol w:w="1052"/>
        <w:gridCol w:w="1052"/>
      </w:tblGrid>
      <w:tr w:rsidR="003148E6" w:rsidRPr="003148E6" w:rsidTr="00607798">
        <w:trPr>
          <w:trHeight w:val="215"/>
        </w:trPr>
        <w:tc>
          <w:tcPr>
            <w:tcW w:w="1998" w:type="dxa"/>
            <w:noWrap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ru-RU"/>
              </w:rPr>
            </w:pPr>
            <w:r w:rsidRPr="003476A8">
              <w:rPr>
                <w:rFonts w:ascii="Times New Roman" w:hAnsi="Times New Roman" w:cs="Times New Roman"/>
                <w:iCs/>
                <w:sz w:val="20"/>
                <w:szCs w:val="20"/>
              </w:rPr>
              <w:t>Показатель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2016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2017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2018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2019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2020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2021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2021 к 2016, раз</w:t>
            </w:r>
          </w:p>
        </w:tc>
      </w:tr>
      <w:tr w:rsidR="003148E6" w:rsidRPr="003148E6" w:rsidTr="00607798">
        <w:trPr>
          <w:trHeight w:val="323"/>
        </w:trPr>
        <w:tc>
          <w:tcPr>
            <w:tcW w:w="1998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Налог на прибыль, из него: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4404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11411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17831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16790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10826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43535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9,9</w:t>
            </w:r>
          </w:p>
        </w:tc>
      </w:tr>
      <w:tr w:rsidR="003148E6" w:rsidRPr="003148E6" w:rsidTr="00607798">
        <w:trPr>
          <w:trHeight w:val="108"/>
        </w:trPr>
        <w:tc>
          <w:tcPr>
            <w:tcW w:w="1998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Удельный</w:t>
            </w: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вес, 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27,6%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41,9%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43,5%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50,0%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75,2%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54,7%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2,0</w:t>
            </w:r>
          </w:p>
        </w:tc>
      </w:tr>
      <w:tr w:rsidR="003148E6" w:rsidRPr="003148E6" w:rsidTr="00607798">
        <w:trPr>
          <w:trHeight w:val="215"/>
        </w:trPr>
        <w:tc>
          <w:tcPr>
            <w:tcW w:w="1998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 федеральный бюджет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1816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5942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4392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3881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2553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11037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6,1</w:t>
            </w:r>
          </w:p>
        </w:tc>
      </w:tr>
      <w:tr w:rsidR="003148E6" w:rsidRPr="003148E6" w:rsidTr="00607798">
        <w:trPr>
          <w:trHeight w:val="215"/>
        </w:trPr>
        <w:tc>
          <w:tcPr>
            <w:tcW w:w="1998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 региональный бюджет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2588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5469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13439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12909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8273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32498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12,6</w:t>
            </w:r>
          </w:p>
        </w:tc>
      </w:tr>
      <w:tr w:rsidR="003148E6" w:rsidRPr="003148E6" w:rsidTr="00607798">
        <w:trPr>
          <w:trHeight w:val="108"/>
        </w:trPr>
        <w:tc>
          <w:tcPr>
            <w:tcW w:w="1998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НДС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3524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462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1220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-3834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-11091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-11902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х</w:t>
            </w:r>
          </w:p>
        </w:tc>
      </w:tr>
      <w:tr w:rsidR="003148E6" w:rsidRPr="003148E6" w:rsidTr="00607798">
        <w:trPr>
          <w:trHeight w:val="108"/>
        </w:trPr>
        <w:tc>
          <w:tcPr>
            <w:tcW w:w="1998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НДФЛ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2470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2764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2991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2979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3194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3680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1,5</w:t>
            </w:r>
          </w:p>
        </w:tc>
      </w:tr>
      <w:tr w:rsidR="003148E6" w:rsidRPr="003148E6" w:rsidTr="00607798">
        <w:trPr>
          <w:trHeight w:val="108"/>
        </w:trPr>
        <w:tc>
          <w:tcPr>
            <w:tcW w:w="1998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Удельный</w:t>
            </w: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вес, 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15,5%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10,2%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7,3%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8,9%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22,2%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4,6%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3148E6" w:rsidRPr="003148E6" w:rsidTr="00607798">
        <w:trPr>
          <w:trHeight w:val="215"/>
        </w:trPr>
        <w:tc>
          <w:tcPr>
            <w:tcW w:w="1998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Налог на имущество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1167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1158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1110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826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641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738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0,6</w:t>
            </w:r>
          </w:p>
        </w:tc>
      </w:tr>
      <w:tr w:rsidR="003148E6" w:rsidRPr="003148E6" w:rsidTr="00607798">
        <w:trPr>
          <w:trHeight w:val="108"/>
        </w:trPr>
        <w:tc>
          <w:tcPr>
            <w:tcW w:w="1998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Удельный</w:t>
            </w: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вес, 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7,3%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4,3%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2,7%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2,5%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4,5%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0,9%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0,1</w:t>
            </w:r>
          </w:p>
        </w:tc>
      </w:tr>
      <w:tr w:rsidR="003148E6" w:rsidRPr="003148E6" w:rsidTr="00607798">
        <w:trPr>
          <w:trHeight w:val="108"/>
        </w:trPr>
        <w:tc>
          <w:tcPr>
            <w:tcW w:w="1998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Всего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15969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27206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40983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33551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14396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79586</w:t>
            </w:r>
          </w:p>
        </w:tc>
        <w:tc>
          <w:tcPr>
            <w:tcW w:w="1052" w:type="dxa"/>
            <w:vAlign w:val="center"/>
            <w:hideMark/>
          </w:tcPr>
          <w:p w:rsidR="003148E6" w:rsidRPr="003148E6" w:rsidRDefault="003148E6" w:rsidP="00314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48E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5,0</w:t>
            </w:r>
          </w:p>
        </w:tc>
      </w:tr>
      <w:tr w:rsidR="004D0E91" w:rsidRPr="003148E6" w:rsidTr="00607798">
        <w:trPr>
          <w:trHeight w:val="108"/>
        </w:trPr>
        <w:tc>
          <w:tcPr>
            <w:tcW w:w="9361" w:type="dxa"/>
            <w:gridSpan w:val="8"/>
            <w:vAlign w:val="center"/>
          </w:tcPr>
          <w:p w:rsidR="004D0E91" w:rsidRPr="004D0E91" w:rsidRDefault="004D0E91" w:rsidP="004D0E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Источник: составлено автором по данным сайта </w:t>
            </w:r>
            <w:proofErr w:type="spellStart"/>
            <w:r>
              <w:rPr>
                <w:rFonts w:ascii="Times New Roman" w:hAnsi="Times New Roman" w:cs="Times New Roman"/>
                <w:iCs/>
                <w:sz w:val="20"/>
                <w:szCs w:val="20"/>
                <w:lang w:val="en-US"/>
              </w:rPr>
              <w:t>nalog</w:t>
            </w:r>
            <w:proofErr w:type="spellEnd"/>
            <w:r w:rsidRPr="004D0E91">
              <w:rPr>
                <w:rFonts w:ascii="Times New Roman" w:hAnsi="Times New Roman" w:cs="Times New Roman"/>
                <w:iCs/>
                <w:sz w:val="20"/>
                <w:szCs w:val="20"/>
              </w:rPr>
              <w:t>.</w:t>
            </w:r>
            <w:proofErr w:type="spellStart"/>
            <w:r>
              <w:rPr>
                <w:rFonts w:ascii="Times New Roman" w:hAnsi="Times New Roman" w:cs="Times New Roman"/>
                <w:iCs/>
                <w:sz w:val="20"/>
                <w:szCs w:val="20"/>
                <w:lang w:val="en-US"/>
              </w:rPr>
              <w:t>gov</w:t>
            </w:r>
            <w:proofErr w:type="spellEnd"/>
            <w:r w:rsidRPr="004D0E91">
              <w:rPr>
                <w:rFonts w:ascii="Times New Roman" w:hAnsi="Times New Roman" w:cs="Times New Roman"/>
                <w:iCs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iCs/>
                <w:sz w:val="20"/>
                <w:szCs w:val="20"/>
                <w:lang w:val="en-US"/>
              </w:rPr>
              <w:t>ru</w:t>
            </w:r>
            <w:r>
              <w:rPr>
                <w:rStyle w:val="a9"/>
                <w:rFonts w:ascii="Times New Roman" w:hAnsi="Times New Roman" w:cs="Times New Roman"/>
                <w:iCs/>
                <w:sz w:val="20"/>
                <w:szCs w:val="20"/>
                <w:lang w:val="en-US"/>
              </w:rPr>
              <w:footnoteReference w:id="5"/>
            </w:r>
          </w:p>
        </w:tc>
      </w:tr>
    </w:tbl>
    <w:p w:rsidR="003148E6" w:rsidRPr="00607798" w:rsidRDefault="003148E6" w:rsidP="00607798">
      <w:pPr>
        <w:pStyle w:val="a3"/>
      </w:pPr>
    </w:p>
    <w:p w:rsidR="00607798" w:rsidRDefault="00607798" w:rsidP="00C1481A">
      <w:pPr>
        <w:pStyle w:val="a3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4"/>
          <w:szCs w:val="24"/>
        </w:rPr>
        <w:t>Подводя итог исследованию</w:t>
      </w:r>
      <w:r w:rsidR="00C1481A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хочется </w:t>
      </w:r>
      <w:r w:rsidR="00C1481A">
        <w:rPr>
          <w:rFonts w:ascii="Times New Roman" w:hAnsi="Times New Roman" w:cs="Times New Roman"/>
          <w:sz w:val="24"/>
          <w:szCs w:val="24"/>
        </w:rPr>
        <w:t>отметить,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481A">
        <w:rPr>
          <w:rFonts w:ascii="Times New Roman" w:hAnsi="Times New Roman" w:cs="Times New Roman"/>
          <w:sz w:val="24"/>
          <w:szCs w:val="24"/>
        </w:rPr>
        <w:t>несомненно,</w:t>
      </w:r>
      <w:r>
        <w:rPr>
          <w:rFonts w:ascii="Times New Roman" w:hAnsi="Times New Roman" w:cs="Times New Roman"/>
          <w:sz w:val="24"/>
          <w:szCs w:val="24"/>
        </w:rPr>
        <w:t xml:space="preserve"> положительные </w:t>
      </w:r>
      <w:r w:rsidR="00C1481A">
        <w:rPr>
          <w:rFonts w:ascii="Times New Roman" w:hAnsi="Times New Roman" w:cs="Times New Roman"/>
          <w:sz w:val="24"/>
          <w:szCs w:val="24"/>
        </w:rPr>
        <w:t>сдвиги</w:t>
      </w:r>
      <w:r>
        <w:rPr>
          <w:rFonts w:ascii="Times New Roman" w:hAnsi="Times New Roman" w:cs="Times New Roman"/>
          <w:sz w:val="24"/>
          <w:szCs w:val="24"/>
        </w:rPr>
        <w:t xml:space="preserve"> в системе налоговых отношений между металлургическим холдингом</w:t>
      </w:r>
      <w:r w:rsidRPr="00607798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ПАО «</w:t>
      </w:r>
      <w:r w:rsidRPr="004D0E91">
        <w:rPr>
          <w:rFonts w:ascii="Times New Roman" w:hAnsi="Times New Roman" w:cs="Times New Roman"/>
          <w:sz w:val="24"/>
        </w:rPr>
        <w:t>Северсталь</w:t>
      </w:r>
      <w:r>
        <w:rPr>
          <w:rFonts w:ascii="Times New Roman" w:hAnsi="Times New Roman" w:cs="Times New Roman"/>
          <w:sz w:val="24"/>
        </w:rPr>
        <w:t xml:space="preserve">» и бюджетом Вологодской области. </w:t>
      </w:r>
      <w:r w:rsidR="00C1481A">
        <w:rPr>
          <w:rFonts w:ascii="Times New Roman" w:hAnsi="Times New Roman" w:cs="Times New Roman"/>
          <w:sz w:val="24"/>
        </w:rPr>
        <w:t xml:space="preserve">Учитывая тот факт, что конвоированное </w:t>
      </w:r>
      <w:r w:rsidR="00C1481A">
        <w:rPr>
          <w:rFonts w:ascii="Times New Roman" w:hAnsi="Times New Roman" w:cs="Times New Roman"/>
          <w:sz w:val="24"/>
        </w:rPr>
        <w:lastRenderedPageBreak/>
        <w:t>налогообложение полностью прекращает свое существование в 2023 году, то ставки по налогу на прибыль в размере от 5 до 10-12% полностью уйдут в прошлое, так как убытки дочерних компаний не будут сокращать налоговую базу главной компании. Не будем прогнозировать выручку и налоговые поступления в 2022 году, поскольку, в связи с военной спецоперацией России в Украине, нет четкого представления о том</w:t>
      </w:r>
      <w:r w:rsidR="00635FDB" w:rsidRPr="00635FDB">
        <w:rPr>
          <w:rFonts w:ascii="Times New Roman" w:hAnsi="Times New Roman" w:cs="Times New Roman"/>
          <w:sz w:val="24"/>
        </w:rPr>
        <w:t>.</w:t>
      </w:r>
      <w:r w:rsidR="00C1481A">
        <w:rPr>
          <w:rFonts w:ascii="Times New Roman" w:hAnsi="Times New Roman" w:cs="Times New Roman"/>
          <w:sz w:val="24"/>
        </w:rPr>
        <w:t xml:space="preserve"> как будет переориентирована логистика и рынки сбыта. </w:t>
      </w:r>
    </w:p>
    <w:p w:rsidR="00607798" w:rsidRPr="00C1481A" w:rsidRDefault="00607798" w:rsidP="00C1481A">
      <w:pPr>
        <w:pStyle w:val="a3"/>
      </w:pPr>
    </w:p>
    <w:p w:rsidR="00C1481A" w:rsidRDefault="00B763C2" w:rsidP="00B763C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90747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:rsidR="00C1481A" w:rsidRDefault="00C1481A" w:rsidP="00635F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E9641D">
        <w:rPr>
          <w:rFonts w:ascii="Times New Roman" w:hAnsi="Times New Roman" w:cs="Times New Roman"/>
          <w:sz w:val="24"/>
          <w:szCs w:val="24"/>
        </w:rPr>
        <w:t>Печенская-Полищук М.А., Малышев М.К. Металлургические корпорации и государство: тенденции финансового взаимодействия последнего десятилетия // Экономические и социальные перемены: факты, тен</w:t>
      </w:r>
      <w:r w:rsidR="00635FDB">
        <w:rPr>
          <w:rFonts w:ascii="Times New Roman" w:hAnsi="Times New Roman" w:cs="Times New Roman"/>
          <w:sz w:val="24"/>
          <w:szCs w:val="24"/>
        </w:rPr>
        <w:t>денции, прогноз. 2021. Т. 14. №</w:t>
      </w:r>
      <w:r w:rsidRPr="00E9641D">
        <w:rPr>
          <w:rFonts w:ascii="Times New Roman" w:hAnsi="Times New Roman" w:cs="Times New Roman"/>
          <w:sz w:val="24"/>
          <w:szCs w:val="24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br/>
      </w:r>
      <w:r w:rsidRPr="00E9641D">
        <w:rPr>
          <w:rFonts w:ascii="Times New Roman" w:hAnsi="Times New Roman" w:cs="Times New Roman"/>
          <w:sz w:val="24"/>
          <w:szCs w:val="24"/>
        </w:rPr>
        <w:t xml:space="preserve">С. 150–166. </w:t>
      </w:r>
    </w:p>
    <w:p w:rsidR="00C1481A" w:rsidRDefault="00635FDB" w:rsidP="00635F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C1481A" w:rsidRPr="00E9641D">
        <w:rPr>
          <w:rFonts w:ascii="Times New Roman" w:hAnsi="Times New Roman" w:cs="Times New Roman"/>
          <w:sz w:val="24"/>
          <w:szCs w:val="24"/>
        </w:rPr>
        <w:t xml:space="preserve">Печенская-Полищук М.А., Малышев М.К. </w:t>
      </w:r>
      <w:r w:rsidR="00C1481A" w:rsidRPr="00FD27CD">
        <w:rPr>
          <w:rFonts w:ascii="Times New Roman" w:hAnsi="Times New Roman" w:cs="Times New Roman"/>
          <w:sz w:val="24"/>
          <w:szCs w:val="24"/>
        </w:rPr>
        <w:t>Особенности</w:t>
      </w:r>
      <w:r w:rsidR="00C1481A">
        <w:rPr>
          <w:rFonts w:ascii="Times New Roman" w:hAnsi="Times New Roman" w:cs="Times New Roman"/>
          <w:sz w:val="24"/>
          <w:szCs w:val="24"/>
        </w:rPr>
        <w:t xml:space="preserve"> </w:t>
      </w:r>
      <w:r w:rsidR="00C1481A" w:rsidRPr="00FD27CD">
        <w:rPr>
          <w:rFonts w:ascii="Times New Roman" w:hAnsi="Times New Roman" w:cs="Times New Roman"/>
          <w:sz w:val="24"/>
          <w:szCs w:val="24"/>
        </w:rPr>
        <w:t>развития</w:t>
      </w:r>
      <w:r w:rsidR="00C1481A">
        <w:rPr>
          <w:rFonts w:ascii="Times New Roman" w:hAnsi="Times New Roman" w:cs="Times New Roman"/>
          <w:sz w:val="24"/>
          <w:szCs w:val="24"/>
        </w:rPr>
        <w:t xml:space="preserve"> </w:t>
      </w:r>
      <w:r w:rsidR="00C1481A" w:rsidRPr="00FD27CD">
        <w:rPr>
          <w:rFonts w:ascii="Times New Roman" w:hAnsi="Times New Roman" w:cs="Times New Roman"/>
          <w:sz w:val="24"/>
          <w:szCs w:val="24"/>
        </w:rPr>
        <w:t>черной</w:t>
      </w:r>
      <w:r w:rsidR="00C1481A">
        <w:rPr>
          <w:rFonts w:ascii="Times New Roman" w:hAnsi="Times New Roman" w:cs="Times New Roman"/>
          <w:sz w:val="24"/>
          <w:szCs w:val="24"/>
        </w:rPr>
        <w:t xml:space="preserve"> </w:t>
      </w:r>
      <w:r w:rsidR="00C1481A" w:rsidRPr="00FD27CD">
        <w:rPr>
          <w:rFonts w:ascii="Times New Roman" w:hAnsi="Times New Roman" w:cs="Times New Roman"/>
          <w:sz w:val="24"/>
          <w:szCs w:val="24"/>
        </w:rPr>
        <w:t>металлургии</w:t>
      </w:r>
      <w:r w:rsidR="00C1481A">
        <w:rPr>
          <w:rFonts w:ascii="Times New Roman" w:hAnsi="Times New Roman" w:cs="Times New Roman"/>
          <w:sz w:val="24"/>
          <w:szCs w:val="24"/>
        </w:rPr>
        <w:t xml:space="preserve"> </w:t>
      </w:r>
      <w:r w:rsidR="00C1481A" w:rsidRPr="00FD27CD">
        <w:rPr>
          <w:rFonts w:ascii="Times New Roman" w:hAnsi="Times New Roman" w:cs="Times New Roman"/>
          <w:sz w:val="24"/>
          <w:szCs w:val="24"/>
        </w:rPr>
        <w:t>в</w:t>
      </w:r>
      <w:r w:rsidR="00C1481A">
        <w:rPr>
          <w:rFonts w:ascii="Times New Roman" w:hAnsi="Times New Roman" w:cs="Times New Roman"/>
          <w:sz w:val="24"/>
          <w:szCs w:val="24"/>
        </w:rPr>
        <w:t xml:space="preserve"> </w:t>
      </w:r>
      <w:r w:rsidR="00C1481A" w:rsidRPr="00FD27CD">
        <w:rPr>
          <w:rFonts w:ascii="Times New Roman" w:hAnsi="Times New Roman" w:cs="Times New Roman"/>
          <w:sz w:val="24"/>
          <w:szCs w:val="24"/>
        </w:rPr>
        <w:t>России</w:t>
      </w:r>
      <w:r w:rsidR="00C1481A">
        <w:rPr>
          <w:rFonts w:ascii="Times New Roman" w:hAnsi="Times New Roman" w:cs="Times New Roman"/>
          <w:sz w:val="24"/>
          <w:szCs w:val="24"/>
        </w:rPr>
        <w:t xml:space="preserve"> </w:t>
      </w:r>
      <w:r w:rsidR="00C1481A" w:rsidRPr="00FD27CD">
        <w:rPr>
          <w:rFonts w:ascii="Times New Roman" w:hAnsi="Times New Roman" w:cs="Times New Roman"/>
          <w:sz w:val="24"/>
          <w:szCs w:val="24"/>
        </w:rPr>
        <w:t>и</w:t>
      </w:r>
      <w:r w:rsidR="00C1481A">
        <w:rPr>
          <w:rFonts w:ascii="Times New Roman" w:hAnsi="Times New Roman" w:cs="Times New Roman"/>
          <w:sz w:val="24"/>
          <w:szCs w:val="24"/>
        </w:rPr>
        <w:t xml:space="preserve"> </w:t>
      </w:r>
      <w:r w:rsidR="00C1481A" w:rsidRPr="00FD27CD">
        <w:rPr>
          <w:rFonts w:ascii="Times New Roman" w:hAnsi="Times New Roman" w:cs="Times New Roman"/>
          <w:sz w:val="24"/>
          <w:szCs w:val="24"/>
        </w:rPr>
        <w:t>мире</w:t>
      </w:r>
      <w:r w:rsidR="00C1481A">
        <w:rPr>
          <w:rFonts w:ascii="Times New Roman" w:hAnsi="Times New Roman" w:cs="Times New Roman"/>
          <w:sz w:val="24"/>
          <w:szCs w:val="24"/>
        </w:rPr>
        <w:t xml:space="preserve"> </w:t>
      </w:r>
      <w:r w:rsidR="00C1481A" w:rsidRPr="00FD27CD">
        <w:rPr>
          <w:rFonts w:ascii="Times New Roman" w:hAnsi="Times New Roman" w:cs="Times New Roman"/>
          <w:sz w:val="24"/>
          <w:szCs w:val="24"/>
        </w:rPr>
        <w:t>в  2000-2019 гг. // Проблемы</w:t>
      </w:r>
      <w:r w:rsidR="00C1481A">
        <w:rPr>
          <w:rFonts w:ascii="Times New Roman" w:hAnsi="Times New Roman" w:cs="Times New Roman"/>
          <w:sz w:val="24"/>
          <w:szCs w:val="24"/>
        </w:rPr>
        <w:t xml:space="preserve"> </w:t>
      </w:r>
      <w:r w:rsidR="00C1481A" w:rsidRPr="00FD27CD">
        <w:rPr>
          <w:rFonts w:ascii="Times New Roman" w:hAnsi="Times New Roman" w:cs="Times New Roman"/>
          <w:sz w:val="24"/>
          <w:szCs w:val="24"/>
        </w:rPr>
        <w:t>прогнозирования. 2022.</w:t>
      </w:r>
      <w:r w:rsidR="00C148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№</w:t>
      </w:r>
      <w:r w:rsidR="00C1481A" w:rsidRPr="00FD27C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481A" w:rsidRPr="00FD27CD">
        <w:rPr>
          <w:rFonts w:ascii="Times New Roman" w:hAnsi="Times New Roman" w:cs="Times New Roman"/>
          <w:sz w:val="24"/>
          <w:szCs w:val="24"/>
        </w:rPr>
        <w:t xml:space="preserve">(190). С. 125-135. </w:t>
      </w:r>
    </w:p>
    <w:p w:rsidR="00635FDB" w:rsidRDefault="00635FDB" w:rsidP="00635F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C1481A">
        <w:rPr>
          <w:rFonts w:ascii="Times New Roman" w:hAnsi="Times New Roman" w:cs="Times New Roman"/>
          <w:sz w:val="24"/>
          <w:szCs w:val="24"/>
        </w:rPr>
        <w:t>Малышев М.К. Последствия от внедрения института консолидированных групп налогоплательщиков в сегменте черной металлургии // Экономическая безопа</w:t>
      </w:r>
      <w:r>
        <w:rPr>
          <w:rFonts w:ascii="Times New Roman" w:hAnsi="Times New Roman" w:cs="Times New Roman"/>
          <w:sz w:val="24"/>
          <w:szCs w:val="24"/>
        </w:rPr>
        <w:t>сность. – 2021. – Том 4. – №1.</w:t>
      </w:r>
    </w:p>
    <w:p w:rsidR="00B763C2" w:rsidRDefault="00B763C2" w:rsidP="00B763C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763C2" w:rsidRPr="00990747" w:rsidRDefault="00B763C2" w:rsidP="00B763C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90747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:rsidR="00B763C2" w:rsidRPr="00B763C2" w:rsidRDefault="00B763C2" w:rsidP="00B763C2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</w:pPr>
      <w:r w:rsidRPr="00990747">
        <w:rPr>
          <w:rFonts w:ascii="Times New Roman" w:eastAsia="Calibri" w:hAnsi="Times New Roman" w:cs="Courier New"/>
          <w:spacing w:val="-4"/>
          <w:sz w:val="24"/>
          <w:szCs w:val="24"/>
        </w:rPr>
        <w:t>Малышев Михаил Константинович (Россия, г. Вологда) – инженер-исследователь, Федеральное государственное бюджетное учреждение науки «Вологодский научный центр Российской академии наук» (Россия, 160014, г. Вологда, ул. Горького</w:t>
      </w:r>
      <w:r w:rsidRPr="00B763C2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 xml:space="preserve">, </w:t>
      </w:r>
      <w:r w:rsidRPr="00990747">
        <w:rPr>
          <w:rFonts w:ascii="Times New Roman" w:eastAsia="Calibri" w:hAnsi="Times New Roman" w:cs="Courier New"/>
          <w:spacing w:val="-4"/>
          <w:sz w:val="24"/>
          <w:szCs w:val="24"/>
        </w:rPr>
        <w:t>д</w:t>
      </w:r>
      <w:r w:rsidRPr="00B763C2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. 56</w:t>
      </w:r>
      <w:r w:rsidRPr="00990747">
        <w:rPr>
          <w:rFonts w:ascii="Times New Roman" w:eastAsia="Calibri" w:hAnsi="Times New Roman" w:cs="Courier New"/>
          <w:spacing w:val="-4"/>
          <w:sz w:val="24"/>
          <w:szCs w:val="24"/>
        </w:rPr>
        <w:t>а</w:t>
      </w:r>
      <w:r w:rsidRPr="00B763C2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 xml:space="preserve">, </w:t>
      </w:r>
      <w:r w:rsidRPr="00990747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mmk</w:t>
      </w:r>
      <w:r w:rsidRPr="00B763C2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1995@</w:t>
      </w:r>
      <w:r w:rsidRPr="00990747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mail</w:t>
      </w:r>
      <w:r w:rsidRPr="00B763C2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.</w:t>
      </w:r>
      <w:r w:rsidRPr="00990747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ru</w:t>
      </w:r>
      <w:r w:rsidRPr="00B763C2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)</w:t>
      </w:r>
    </w:p>
    <w:p w:rsidR="00B763C2" w:rsidRPr="00B763C2" w:rsidRDefault="00B763C2" w:rsidP="00B763C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B763C2" w:rsidRPr="007559B3" w:rsidRDefault="00B763C2" w:rsidP="00B763C2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Malyshev</w:t>
      </w:r>
      <w:r w:rsidRPr="007559B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M</w:t>
      </w:r>
      <w:r w:rsidRPr="007559B3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K</w:t>
      </w:r>
      <w:r w:rsidRPr="007559B3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</w:p>
    <w:p w:rsidR="00B763C2" w:rsidRPr="00F75432" w:rsidRDefault="00F75432" w:rsidP="00F7543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75432">
        <w:rPr>
          <w:rFonts w:ascii="Times New Roman" w:hAnsi="Times New Roman" w:cs="Times New Roman"/>
          <w:b/>
          <w:bCs/>
          <w:sz w:val="24"/>
          <w:szCs w:val="24"/>
          <w:lang w:val="en-US"/>
        </w:rPr>
        <w:t>KEY FINANCIAL INDICATORS OF PJSC SEVERSTAL HOLDING AND THEIR IMPACT ON BUDGET SYSTEM REVENUES</w:t>
      </w:r>
    </w:p>
    <w:p w:rsidR="00F17AD2" w:rsidRPr="003148E6" w:rsidRDefault="00F17AD2" w:rsidP="00F17AD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F17AD2" w:rsidRPr="00F17AD2" w:rsidRDefault="00F17AD2" w:rsidP="00F17AD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17AD2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 of the article:</w:t>
      </w:r>
    </w:p>
    <w:p w:rsidR="00F17AD2" w:rsidRPr="00F17AD2" w:rsidRDefault="00F17AD2" w:rsidP="00F17AD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  <w:lang w:val="en-US"/>
        </w:rPr>
      </w:pPr>
      <w:r w:rsidRPr="00F17AD2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This study analyzes the main indicators of the financial results of the metallurgical holding of PJSC </w:t>
      </w:r>
      <w:proofErr w:type="spellStart"/>
      <w:r w:rsidRPr="00F17AD2">
        <w:rPr>
          <w:rFonts w:ascii="Times New Roman" w:hAnsi="Times New Roman" w:cs="Times New Roman"/>
          <w:bCs/>
          <w:i/>
          <w:sz w:val="24"/>
          <w:szCs w:val="24"/>
          <w:lang w:val="en-US"/>
        </w:rPr>
        <w:t>Severstal</w:t>
      </w:r>
      <w:proofErr w:type="spellEnd"/>
      <w:r w:rsidRPr="00F17AD2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 for 2016-2021. The reasons for changes in the dynamics of financial results are revealed. The role of the holding in the formation of revenues of the country's budget system is demonstrated.</w:t>
      </w:r>
    </w:p>
    <w:p w:rsidR="00F17AD2" w:rsidRPr="00F17AD2" w:rsidRDefault="00F17AD2" w:rsidP="00F17AD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17AD2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</w:p>
    <w:p w:rsidR="00F75432" w:rsidRPr="00F17AD2" w:rsidRDefault="00F17AD2" w:rsidP="00F17AD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  <w:lang w:val="en-US"/>
        </w:rPr>
      </w:pPr>
      <w:r w:rsidRPr="00F17AD2">
        <w:rPr>
          <w:rFonts w:ascii="Times New Roman" w:hAnsi="Times New Roman" w:cs="Times New Roman"/>
          <w:bCs/>
          <w:i/>
          <w:sz w:val="24"/>
          <w:szCs w:val="24"/>
          <w:lang w:val="en-US"/>
        </w:rPr>
        <w:t>Ferrous metallurgy, the budget system, oligarchic capitalism, the impact of the pandemic on the demand for ferrous metals, income tax, consolidated taxation, offshore authorized capital.</w:t>
      </w:r>
    </w:p>
    <w:p w:rsidR="00F17AD2" w:rsidRPr="003148E6" w:rsidRDefault="00F17AD2" w:rsidP="00B763C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B763C2" w:rsidRDefault="00B763C2" w:rsidP="00B763C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763C2">
        <w:rPr>
          <w:rFonts w:ascii="Times New Roman" w:hAnsi="Times New Roman" w:cs="Times New Roman"/>
          <w:b/>
          <w:bCs/>
          <w:sz w:val="24"/>
          <w:szCs w:val="24"/>
          <w:lang w:val="en-US"/>
        </w:rPr>
        <w:t>Information about the author</w:t>
      </w:r>
    </w:p>
    <w:p w:rsidR="00B763C2" w:rsidRPr="00990747" w:rsidRDefault="00B763C2" w:rsidP="00B763C2">
      <w:pPr>
        <w:spacing w:after="0" w:line="240" w:lineRule="auto"/>
        <w:ind w:firstLine="709"/>
        <w:jc w:val="both"/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</w:pPr>
      <w:r w:rsidRPr="00990747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 xml:space="preserve">Malyshev Mikhail </w:t>
      </w:r>
      <w:proofErr w:type="spellStart"/>
      <w:r w:rsidRPr="00990747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Konstantinovich</w:t>
      </w:r>
      <w:proofErr w:type="spellEnd"/>
      <w:r w:rsidRPr="00990747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 xml:space="preserve"> (Vologda, Russia) - Research Engineer, Federal State Budgetary Institution of Science «Vologda Scientific Center of the Russian Academy of Sciences» (Russia, 160014, Vologda, Gorky str., 56a, mmk1995@mail.ru)</w:t>
      </w:r>
    </w:p>
    <w:p w:rsidR="00B763C2" w:rsidRDefault="00B763C2" w:rsidP="00B763C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B763C2" w:rsidRPr="00B763C2" w:rsidRDefault="00B763C2" w:rsidP="00B763C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559B3">
        <w:rPr>
          <w:rFonts w:ascii="Times New Roman" w:hAnsi="Times New Roman" w:cs="Times New Roman"/>
          <w:b/>
          <w:bCs/>
          <w:sz w:val="24"/>
          <w:szCs w:val="24"/>
          <w:lang w:val="en-US"/>
        </w:rPr>
        <w:t>Bibliographic list</w:t>
      </w:r>
    </w:p>
    <w:p w:rsidR="00635FDB" w:rsidRPr="00635FDB" w:rsidRDefault="00635FDB" w:rsidP="00635FDB">
      <w:pPr>
        <w:spacing w:after="0" w:line="240" w:lineRule="auto"/>
        <w:ind w:firstLine="709"/>
        <w:jc w:val="both"/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</w:pPr>
      <w:r w:rsidRPr="00635FDB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 xml:space="preserve">1. </w:t>
      </w:r>
      <w:proofErr w:type="spellStart"/>
      <w:r w:rsidRPr="00635FDB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Pechengskaya-Polishchuk</w:t>
      </w:r>
      <w:proofErr w:type="spellEnd"/>
      <w:r w:rsidRPr="00635FDB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 xml:space="preserve"> M.A., Malyshev M.K. Metallurgical corporations and the state: trends in financial interaction of the last decade // Economic and social changes: facts, trends, forecast. 2021. Vol. 14. No. 3.</w:t>
      </w:r>
    </w:p>
    <w:p w:rsidR="00635FDB" w:rsidRPr="00635FDB" w:rsidRDefault="00635FDB" w:rsidP="00635FDB">
      <w:pPr>
        <w:spacing w:after="0" w:line="240" w:lineRule="auto"/>
        <w:ind w:firstLine="709"/>
        <w:jc w:val="both"/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</w:pPr>
      <w:r w:rsidRPr="00635FDB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pp. 150-166.</w:t>
      </w:r>
    </w:p>
    <w:p w:rsidR="00635FDB" w:rsidRPr="00635FDB" w:rsidRDefault="00635FDB" w:rsidP="00635FDB">
      <w:pPr>
        <w:spacing w:after="0" w:line="240" w:lineRule="auto"/>
        <w:ind w:firstLine="709"/>
        <w:jc w:val="both"/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</w:pPr>
      <w:r w:rsidRPr="00635FDB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 xml:space="preserve">2. </w:t>
      </w:r>
      <w:proofErr w:type="spellStart"/>
      <w:r w:rsidRPr="00635FDB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Pechengskaya-Polishchuk</w:t>
      </w:r>
      <w:proofErr w:type="spellEnd"/>
      <w:r w:rsidRPr="00635FDB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 xml:space="preserve"> M.A., Malyshev M.K. Features of the development of ferrous metallurgy in Russia and the world in 2000-2019. // Problems of forecasting. 2022. No. 1 (190). pp. 125-135.</w:t>
      </w:r>
    </w:p>
    <w:p w:rsidR="00635FDB" w:rsidRPr="00635FDB" w:rsidRDefault="00635FDB" w:rsidP="00635FDB">
      <w:pPr>
        <w:spacing w:after="0" w:line="240" w:lineRule="auto"/>
        <w:ind w:firstLine="709"/>
        <w:jc w:val="both"/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</w:pPr>
      <w:r w:rsidRPr="00635FDB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3. Malyshev M.K. Consequences of the introduction of the institute of consolidated groups of taxpayers in the ferrous metallurgy segment // Economic security. - 2021. - Volume 4. - No. 1.</w:t>
      </w:r>
    </w:p>
    <w:sectPr w:rsidR="00635FDB" w:rsidRPr="00635FDB" w:rsidSect="005A313C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5C8F" w:rsidRDefault="00B35C8F" w:rsidP="00974C3C">
      <w:pPr>
        <w:spacing w:after="0" w:line="240" w:lineRule="auto"/>
      </w:pPr>
      <w:r>
        <w:separator/>
      </w:r>
    </w:p>
  </w:endnote>
  <w:endnote w:type="continuationSeparator" w:id="0">
    <w:p w:rsidR="00B35C8F" w:rsidRDefault="00B35C8F" w:rsidP="00974C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5C8F" w:rsidRDefault="00B35C8F" w:rsidP="00974C3C">
      <w:pPr>
        <w:spacing w:after="0" w:line="240" w:lineRule="auto"/>
      </w:pPr>
      <w:r>
        <w:separator/>
      </w:r>
    </w:p>
  </w:footnote>
  <w:footnote w:type="continuationSeparator" w:id="0">
    <w:p w:rsidR="00B35C8F" w:rsidRDefault="00B35C8F" w:rsidP="00974C3C">
      <w:pPr>
        <w:spacing w:after="0" w:line="240" w:lineRule="auto"/>
      </w:pPr>
      <w:r>
        <w:continuationSeparator/>
      </w:r>
    </w:p>
  </w:footnote>
  <w:footnote w:id="1">
    <w:p w:rsidR="005A313C" w:rsidRPr="005A313C" w:rsidRDefault="005A313C" w:rsidP="005A313C">
      <w:pPr>
        <w:pStyle w:val="a7"/>
        <w:jc w:val="both"/>
        <w:rPr>
          <w:rFonts w:ascii="Times New Roman" w:hAnsi="Times New Roman" w:cs="Times New Roman"/>
        </w:rPr>
      </w:pPr>
      <w:r w:rsidRPr="005A313C">
        <w:rPr>
          <w:rStyle w:val="a9"/>
          <w:rFonts w:ascii="Times New Roman" w:hAnsi="Times New Roman" w:cs="Times New Roman"/>
        </w:rPr>
        <w:footnoteRef/>
      </w:r>
      <w:r w:rsidRPr="005A313C">
        <w:rPr>
          <w:rFonts w:ascii="Times New Roman" w:hAnsi="Times New Roman" w:cs="Times New Roman"/>
        </w:rPr>
        <w:t xml:space="preserve"> Статья подготовлена в соответствии с государственным заданием для ФГБУН ВолНЦ РАН по теме НИР </w:t>
      </w:r>
      <w:r>
        <w:rPr>
          <w:rFonts w:ascii="Times New Roman" w:hAnsi="Times New Roman" w:cs="Times New Roman"/>
        </w:rPr>
        <w:br/>
      </w:r>
      <w:bookmarkStart w:id="0" w:name="_GoBack"/>
      <w:bookmarkEnd w:id="0"/>
      <w:r w:rsidRPr="005A313C">
        <w:rPr>
          <w:rFonts w:ascii="Times New Roman" w:hAnsi="Times New Roman" w:cs="Times New Roman"/>
        </w:rPr>
        <w:t>№ FMGZ-2022-0012 «Факторы и методы устойчивого социально-экономического развития территориальных систем в изменяющихся условиях внешней и внутренней среды».</w:t>
      </w:r>
    </w:p>
  </w:footnote>
  <w:footnote w:id="2">
    <w:p w:rsidR="00635FDB" w:rsidRPr="00635FDB" w:rsidRDefault="00635FDB" w:rsidP="00635FDB">
      <w:pPr>
        <w:pStyle w:val="a7"/>
        <w:jc w:val="both"/>
        <w:rPr>
          <w:rFonts w:ascii="Times New Roman" w:hAnsi="Times New Roman" w:cs="Times New Roman"/>
          <w:lang w:val="en-US"/>
        </w:rPr>
      </w:pPr>
      <w:r w:rsidRPr="00635FDB">
        <w:rPr>
          <w:rStyle w:val="a9"/>
          <w:rFonts w:ascii="Times New Roman" w:hAnsi="Times New Roman" w:cs="Times New Roman"/>
        </w:rPr>
        <w:footnoteRef/>
      </w:r>
      <w:r w:rsidRPr="00635FDB">
        <w:rPr>
          <w:rFonts w:ascii="Times New Roman" w:hAnsi="Times New Roman" w:cs="Times New Roman"/>
        </w:rPr>
        <w:t xml:space="preserve"> 200 богатейших бизнесменов России — 2021. Рейтинг </w:t>
      </w:r>
      <w:proofErr w:type="spellStart"/>
      <w:r w:rsidRPr="00635FDB">
        <w:rPr>
          <w:rFonts w:ascii="Times New Roman" w:hAnsi="Times New Roman" w:cs="Times New Roman"/>
        </w:rPr>
        <w:t>Forbes</w:t>
      </w:r>
      <w:proofErr w:type="spellEnd"/>
      <w:r w:rsidRPr="00635FDB">
        <w:rPr>
          <w:rFonts w:ascii="Times New Roman" w:hAnsi="Times New Roman" w:cs="Times New Roman"/>
        </w:rPr>
        <w:t xml:space="preserve">. </w:t>
      </w:r>
      <w:r w:rsidRPr="00635FDB">
        <w:rPr>
          <w:rFonts w:ascii="Times New Roman" w:hAnsi="Times New Roman" w:cs="Times New Roman"/>
          <w:lang w:val="en-US"/>
        </w:rPr>
        <w:t>URL: https://www.forbes.ru/rating/426935-200-bogateyshih-biznesmenov-rossii-2021-reyting-forbes</w:t>
      </w:r>
    </w:p>
  </w:footnote>
  <w:footnote w:id="3">
    <w:p w:rsidR="00B35C8F" w:rsidRPr="005A313C" w:rsidRDefault="00B35C8F" w:rsidP="00974C3C">
      <w:pPr>
        <w:pStyle w:val="a7"/>
        <w:jc w:val="both"/>
        <w:rPr>
          <w:rFonts w:ascii="Times New Roman" w:hAnsi="Times New Roman" w:cs="Times New Roman"/>
          <w:lang w:val="en-US"/>
        </w:rPr>
      </w:pPr>
      <w:r w:rsidRPr="00974C3C">
        <w:rPr>
          <w:rStyle w:val="a9"/>
          <w:rFonts w:ascii="Times New Roman" w:hAnsi="Times New Roman" w:cs="Times New Roman"/>
        </w:rPr>
        <w:footnoteRef/>
      </w:r>
      <w:r w:rsidRPr="00974C3C">
        <w:rPr>
          <w:rFonts w:ascii="Times New Roman" w:hAnsi="Times New Roman" w:cs="Times New Roman"/>
        </w:rPr>
        <w:t xml:space="preserve"> Финансовые результаты </w:t>
      </w:r>
      <w:r>
        <w:rPr>
          <w:rFonts w:ascii="Times New Roman" w:hAnsi="Times New Roman" w:cs="Times New Roman"/>
        </w:rPr>
        <w:t xml:space="preserve">холдинга </w:t>
      </w:r>
      <w:r w:rsidRPr="00974C3C">
        <w:rPr>
          <w:rFonts w:ascii="Times New Roman" w:hAnsi="Times New Roman" w:cs="Times New Roman"/>
        </w:rPr>
        <w:t>ПАО «Северсталь»</w:t>
      </w:r>
      <w:r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  <w:lang w:val="en-US"/>
        </w:rPr>
        <w:t>URL</w:t>
      </w:r>
      <w:r w:rsidRPr="005A313C">
        <w:rPr>
          <w:rFonts w:ascii="Times New Roman" w:hAnsi="Times New Roman" w:cs="Times New Roman"/>
          <w:lang w:val="en-US"/>
        </w:rPr>
        <w:t xml:space="preserve">:  </w:t>
      </w:r>
      <w:r w:rsidRPr="00974C3C">
        <w:rPr>
          <w:rFonts w:ascii="Times New Roman" w:hAnsi="Times New Roman" w:cs="Times New Roman"/>
          <w:lang w:val="en-US"/>
        </w:rPr>
        <w:t>https</w:t>
      </w:r>
      <w:r w:rsidRPr="005A313C">
        <w:rPr>
          <w:rFonts w:ascii="Times New Roman" w:hAnsi="Times New Roman" w:cs="Times New Roman"/>
          <w:lang w:val="en-US"/>
        </w:rPr>
        <w:t>://</w:t>
      </w:r>
      <w:r w:rsidRPr="00974C3C">
        <w:rPr>
          <w:rFonts w:ascii="Times New Roman" w:hAnsi="Times New Roman" w:cs="Times New Roman"/>
          <w:lang w:val="en-US"/>
        </w:rPr>
        <w:t>www</w:t>
      </w:r>
      <w:r w:rsidRPr="005A313C">
        <w:rPr>
          <w:rFonts w:ascii="Times New Roman" w:hAnsi="Times New Roman" w:cs="Times New Roman"/>
          <w:lang w:val="en-US"/>
        </w:rPr>
        <w:t>.</w:t>
      </w:r>
      <w:r w:rsidRPr="00974C3C">
        <w:rPr>
          <w:rFonts w:ascii="Times New Roman" w:hAnsi="Times New Roman" w:cs="Times New Roman"/>
          <w:lang w:val="en-US"/>
        </w:rPr>
        <w:t>severstal</w:t>
      </w:r>
      <w:r w:rsidRPr="005A313C">
        <w:rPr>
          <w:rFonts w:ascii="Times New Roman" w:hAnsi="Times New Roman" w:cs="Times New Roman"/>
          <w:lang w:val="en-US"/>
        </w:rPr>
        <w:t>.</w:t>
      </w:r>
      <w:r w:rsidRPr="00974C3C">
        <w:rPr>
          <w:rFonts w:ascii="Times New Roman" w:hAnsi="Times New Roman" w:cs="Times New Roman"/>
          <w:lang w:val="en-US"/>
        </w:rPr>
        <w:t>com</w:t>
      </w:r>
      <w:r w:rsidRPr="005A313C">
        <w:rPr>
          <w:rFonts w:ascii="Times New Roman" w:hAnsi="Times New Roman" w:cs="Times New Roman"/>
          <w:lang w:val="en-US"/>
        </w:rPr>
        <w:t>/</w:t>
      </w:r>
      <w:r w:rsidRPr="00974C3C">
        <w:rPr>
          <w:rFonts w:ascii="Times New Roman" w:hAnsi="Times New Roman" w:cs="Times New Roman"/>
          <w:lang w:val="en-US"/>
        </w:rPr>
        <w:t>rus</w:t>
      </w:r>
      <w:r w:rsidRPr="005A313C">
        <w:rPr>
          <w:rFonts w:ascii="Times New Roman" w:hAnsi="Times New Roman" w:cs="Times New Roman"/>
          <w:lang w:val="en-US"/>
        </w:rPr>
        <w:t>/</w:t>
      </w:r>
      <w:r w:rsidRPr="00974C3C">
        <w:rPr>
          <w:rFonts w:ascii="Times New Roman" w:hAnsi="Times New Roman" w:cs="Times New Roman"/>
          <w:lang w:val="en-US"/>
        </w:rPr>
        <w:t>ir</w:t>
      </w:r>
      <w:r w:rsidRPr="005A313C">
        <w:rPr>
          <w:rFonts w:ascii="Times New Roman" w:hAnsi="Times New Roman" w:cs="Times New Roman"/>
          <w:lang w:val="en-US"/>
        </w:rPr>
        <w:t>/</w:t>
      </w:r>
      <w:r w:rsidRPr="00974C3C">
        <w:rPr>
          <w:rFonts w:ascii="Times New Roman" w:hAnsi="Times New Roman" w:cs="Times New Roman"/>
          <w:lang w:val="en-US"/>
        </w:rPr>
        <w:t>results</w:t>
      </w:r>
      <w:r w:rsidRPr="005A313C">
        <w:rPr>
          <w:rFonts w:ascii="Times New Roman" w:hAnsi="Times New Roman" w:cs="Times New Roman"/>
          <w:lang w:val="en-US"/>
        </w:rPr>
        <w:t>_</w:t>
      </w:r>
      <w:r w:rsidRPr="00974C3C">
        <w:rPr>
          <w:rFonts w:ascii="Times New Roman" w:hAnsi="Times New Roman" w:cs="Times New Roman"/>
          <w:lang w:val="en-US"/>
        </w:rPr>
        <w:t>reports</w:t>
      </w:r>
      <w:r w:rsidRPr="005A313C">
        <w:rPr>
          <w:rFonts w:ascii="Times New Roman" w:hAnsi="Times New Roman" w:cs="Times New Roman"/>
          <w:lang w:val="en-US"/>
        </w:rPr>
        <w:t>/</w:t>
      </w:r>
      <w:r w:rsidRPr="00974C3C">
        <w:rPr>
          <w:rFonts w:ascii="Times New Roman" w:hAnsi="Times New Roman" w:cs="Times New Roman"/>
          <w:lang w:val="en-US"/>
        </w:rPr>
        <w:t>financial</w:t>
      </w:r>
      <w:r w:rsidRPr="005A313C">
        <w:rPr>
          <w:rFonts w:ascii="Times New Roman" w:hAnsi="Times New Roman" w:cs="Times New Roman"/>
          <w:lang w:val="en-US"/>
        </w:rPr>
        <w:t>_</w:t>
      </w:r>
      <w:r w:rsidRPr="00974C3C">
        <w:rPr>
          <w:rFonts w:ascii="Times New Roman" w:hAnsi="Times New Roman" w:cs="Times New Roman"/>
          <w:lang w:val="en-US"/>
        </w:rPr>
        <w:t>results</w:t>
      </w:r>
      <w:r w:rsidRPr="005A313C">
        <w:rPr>
          <w:rFonts w:ascii="Times New Roman" w:hAnsi="Times New Roman" w:cs="Times New Roman"/>
          <w:lang w:val="en-US"/>
        </w:rPr>
        <w:t>/</w:t>
      </w:r>
    </w:p>
  </w:footnote>
  <w:footnote w:id="4">
    <w:p w:rsidR="003E6FDB" w:rsidRPr="003E6FDB" w:rsidRDefault="003E6FDB" w:rsidP="003E6FDB">
      <w:pPr>
        <w:pStyle w:val="a7"/>
        <w:jc w:val="both"/>
        <w:rPr>
          <w:rFonts w:ascii="Times New Roman" w:hAnsi="Times New Roman" w:cs="Times New Roman"/>
          <w:lang w:val="en-US"/>
        </w:rPr>
      </w:pPr>
      <w:r w:rsidRPr="003E6FDB">
        <w:rPr>
          <w:rStyle w:val="a9"/>
          <w:rFonts w:ascii="Times New Roman" w:hAnsi="Times New Roman" w:cs="Times New Roman"/>
        </w:rPr>
        <w:footnoteRef/>
      </w:r>
      <w:r w:rsidRPr="003E6FDB">
        <w:rPr>
          <w:rFonts w:ascii="Times New Roman" w:hAnsi="Times New Roman" w:cs="Times New Roman"/>
        </w:rPr>
        <w:t xml:space="preserve"> Мордашов выразил готовность платить более высокие налоги. </w:t>
      </w:r>
      <w:r w:rsidRPr="003E6FDB">
        <w:rPr>
          <w:rFonts w:ascii="Times New Roman" w:hAnsi="Times New Roman" w:cs="Times New Roman"/>
          <w:lang w:val="en-US"/>
        </w:rPr>
        <w:t>URL: https://www.kommersant.ru/doc/4839605</w:t>
      </w:r>
    </w:p>
  </w:footnote>
  <w:footnote w:id="5">
    <w:p w:rsidR="00B35C8F" w:rsidRPr="004D0E91" w:rsidRDefault="00B35C8F" w:rsidP="004D0E91">
      <w:pPr>
        <w:pStyle w:val="a7"/>
        <w:jc w:val="both"/>
        <w:rPr>
          <w:rFonts w:ascii="Times New Roman" w:hAnsi="Times New Roman" w:cs="Times New Roman"/>
          <w:lang w:val="en-US"/>
        </w:rPr>
      </w:pPr>
      <w:r w:rsidRPr="004D0E91">
        <w:rPr>
          <w:rStyle w:val="a9"/>
          <w:rFonts w:ascii="Times New Roman" w:hAnsi="Times New Roman" w:cs="Times New Roman"/>
        </w:rPr>
        <w:footnoteRef/>
      </w:r>
      <w:r w:rsidRPr="004D0E91">
        <w:rPr>
          <w:rFonts w:ascii="Times New Roman" w:hAnsi="Times New Roman" w:cs="Times New Roman"/>
        </w:rPr>
        <w:t xml:space="preserve"> Федеральная налоговая служба. Статистика и аналитика. </w:t>
      </w:r>
      <w:r w:rsidRPr="004D0E91">
        <w:rPr>
          <w:rFonts w:ascii="Times New Roman" w:hAnsi="Times New Roman" w:cs="Times New Roman"/>
          <w:lang w:val="en-US"/>
        </w:rPr>
        <w:t>URL: https://www.nalog.gov.ru/rn77/related_activities/statistics_and_analytics/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2E3B"/>
    <w:rsid w:val="00002BA1"/>
    <w:rsid w:val="0006566B"/>
    <w:rsid w:val="001A2E3B"/>
    <w:rsid w:val="001B402B"/>
    <w:rsid w:val="002752C5"/>
    <w:rsid w:val="002B41F3"/>
    <w:rsid w:val="003148E6"/>
    <w:rsid w:val="003476A8"/>
    <w:rsid w:val="003E6FDB"/>
    <w:rsid w:val="00401CF1"/>
    <w:rsid w:val="004D0E91"/>
    <w:rsid w:val="004D53EF"/>
    <w:rsid w:val="005229A1"/>
    <w:rsid w:val="0057010D"/>
    <w:rsid w:val="005A313C"/>
    <w:rsid w:val="00607798"/>
    <w:rsid w:val="00613A40"/>
    <w:rsid w:val="00635FDB"/>
    <w:rsid w:val="00636CCC"/>
    <w:rsid w:val="00673661"/>
    <w:rsid w:val="006E4ED3"/>
    <w:rsid w:val="007B0CE0"/>
    <w:rsid w:val="007E7C8E"/>
    <w:rsid w:val="0080386B"/>
    <w:rsid w:val="008B2308"/>
    <w:rsid w:val="008C48C0"/>
    <w:rsid w:val="008F5308"/>
    <w:rsid w:val="009428E4"/>
    <w:rsid w:val="00974C3C"/>
    <w:rsid w:val="0098257F"/>
    <w:rsid w:val="009A21E1"/>
    <w:rsid w:val="009F410B"/>
    <w:rsid w:val="00B35C8F"/>
    <w:rsid w:val="00B763C2"/>
    <w:rsid w:val="00BC2B70"/>
    <w:rsid w:val="00C1481A"/>
    <w:rsid w:val="00C37724"/>
    <w:rsid w:val="00C90D59"/>
    <w:rsid w:val="00CC5D95"/>
    <w:rsid w:val="00E05F44"/>
    <w:rsid w:val="00E51AD1"/>
    <w:rsid w:val="00F17AD2"/>
    <w:rsid w:val="00F75432"/>
    <w:rsid w:val="00FB2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3C2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uiPriority w:val="1"/>
    <w:qFormat/>
    <w:rsid w:val="00B763C2"/>
    <w:pPr>
      <w:spacing w:after="0" w:line="240" w:lineRule="auto"/>
    </w:pPr>
  </w:style>
  <w:style w:type="character" w:customStyle="1" w:styleId="a4">
    <w:name w:val="Без интервала Знак"/>
    <w:link w:val="a3"/>
    <w:uiPriority w:val="1"/>
    <w:locked/>
    <w:rsid w:val="00B763C2"/>
  </w:style>
  <w:style w:type="character" w:styleId="a5">
    <w:name w:val="annotation reference"/>
    <w:basedOn w:val="a0"/>
    <w:uiPriority w:val="99"/>
    <w:semiHidden/>
    <w:unhideWhenUsed/>
    <w:rsid w:val="00B763C2"/>
    <w:rPr>
      <w:sz w:val="16"/>
      <w:szCs w:val="16"/>
    </w:rPr>
  </w:style>
  <w:style w:type="table" w:styleId="a6">
    <w:name w:val="Table Grid"/>
    <w:basedOn w:val="a1"/>
    <w:uiPriority w:val="59"/>
    <w:rsid w:val="00F17A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a8"/>
    <w:uiPriority w:val="99"/>
    <w:semiHidden/>
    <w:unhideWhenUsed/>
    <w:rsid w:val="00974C3C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974C3C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974C3C"/>
    <w:rPr>
      <w:vertAlign w:val="superscript"/>
    </w:rPr>
  </w:style>
  <w:style w:type="paragraph" w:styleId="aa">
    <w:name w:val="Balloon Text"/>
    <w:basedOn w:val="a"/>
    <w:link w:val="ab"/>
    <w:uiPriority w:val="99"/>
    <w:semiHidden/>
    <w:unhideWhenUsed/>
    <w:rsid w:val="00C90D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90D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3C2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uiPriority w:val="1"/>
    <w:qFormat/>
    <w:rsid w:val="00B763C2"/>
    <w:pPr>
      <w:spacing w:after="0" w:line="240" w:lineRule="auto"/>
    </w:pPr>
  </w:style>
  <w:style w:type="character" w:customStyle="1" w:styleId="a4">
    <w:name w:val="Без интервала Знак"/>
    <w:link w:val="a3"/>
    <w:uiPriority w:val="1"/>
    <w:locked/>
    <w:rsid w:val="00B763C2"/>
  </w:style>
  <w:style w:type="character" w:styleId="a5">
    <w:name w:val="annotation reference"/>
    <w:basedOn w:val="a0"/>
    <w:uiPriority w:val="99"/>
    <w:semiHidden/>
    <w:unhideWhenUsed/>
    <w:rsid w:val="00B763C2"/>
    <w:rPr>
      <w:sz w:val="16"/>
      <w:szCs w:val="16"/>
    </w:rPr>
  </w:style>
  <w:style w:type="table" w:styleId="a6">
    <w:name w:val="Table Grid"/>
    <w:basedOn w:val="a1"/>
    <w:uiPriority w:val="59"/>
    <w:rsid w:val="00F17A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a8"/>
    <w:uiPriority w:val="99"/>
    <w:semiHidden/>
    <w:unhideWhenUsed/>
    <w:rsid w:val="00974C3C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974C3C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974C3C"/>
    <w:rPr>
      <w:vertAlign w:val="superscript"/>
    </w:rPr>
  </w:style>
  <w:style w:type="paragraph" w:styleId="aa">
    <w:name w:val="Balloon Text"/>
    <w:basedOn w:val="a"/>
    <w:link w:val="ab"/>
    <w:uiPriority w:val="99"/>
    <w:semiHidden/>
    <w:unhideWhenUsed/>
    <w:rsid w:val="00C90D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90D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85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2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6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69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4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7.1538252840346178E-2"/>
          <c:y val="4.692030781947451E-2"/>
          <c:w val="0.91749080145469608"/>
          <c:h val="0.7227253069057419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Лист1!$D$53</c:f>
              <c:strCache>
                <c:ptCount val="1"/>
                <c:pt idx="0">
                  <c:v>Прибыль до налога на прибыль, млн. руб.</c:v>
                </c:pt>
              </c:strCache>
            </c:strRef>
          </c:tx>
          <c:invertIfNegative val="0"/>
          <c:dLbls>
            <c:dLbl>
              <c:idx val="0"/>
              <c:layout>
                <c:manualLayout>
                  <c:x val="-1.2812629418906891E-2"/>
                  <c:y val="8.880364360650476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9.8986810221922475E-3"/>
                  <c:y val="1.2508727405328848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Лист1!$E$52:$J$52</c:f>
              <c:numCache>
                <c:formatCode>General</c:formatCode>
                <c:ptCount val="6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</c:numCache>
            </c:numRef>
          </c:cat>
          <c:val>
            <c:numRef>
              <c:f>Лист1!$E$53:$J$53</c:f>
              <c:numCache>
                <c:formatCode>General</c:formatCode>
                <c:ptCount val="6"/>
                <c:pt idx="0">
                  <c:v>108781</c:v>
                </c:pt>
                <c:pt idx="1">
                  <c:v>169812</c:v>
                </c:pt>
                <c:pt idx="2">
                  <c:v>158442</c:v>
                </c:pt>
                <c:pt idx="3">
                  <c:v>144457</c:v>
                </c:pt>
                <c:pt idx="4">
                  <c:v>95951</c:v>
                </c:pt>
                <c:pt idx="5">
                  <c:v>369434</c:v>
                </c:pt>
              </c:numCache>
            </c:numRef>
          </c:val>
        </c:ser>
        <c:ser>
          <c:idx val="1"/>
          <c:order val="1"/>
          <c:tx>
            <c:strRef>
              <c:f>Лист1!$D$54</c:f>
              <c:strCache>
                <c:ptCount val="1"/>
                <c:pt idx="0">
                  <c:v>Расходы по налогу на прибыль, млн. руб.</c:v>
                </c:pt>
              </c:strCache>
            </c:strRef>
          </c:tx>
          <c:invertIfNegative val="0"/>
          <c:dLbls>
            <c:dLbl>
              <c:idx val="0"/>
              <c:layout>
                <c:manualLayout>
                  <c:x val="3.8816102753253677E-3"/>
                  <c:y val="4.0342908367913344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1.1644678006673889E-2"/>
                  <c:y val="8.068581673582668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7.7632205506507354E-3"/>
                  <c:y val="8.0685816735826688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9.7038728690112402E-3"/>
                  <c:y val="1.210287251037400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1.1644830825976102E-2"/>
                  <c:y val="4.0342908367913344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7.7632205506507354E-3"/>
                  <c:y val="8.068581673582596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Лист1!$E$52:$J$52</c:f>
              <c:numCache>
                <c:formatCode>General</c:formatCode>
                <c:ptCount val="6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</c:numCache>
            </c:numRef>
          </c:cat>
          <c:val>
            <c:numRef>
              <c:f>Лист1!$E$54:$J$54</c:f>
              <c:numCache>
                <c:formatCode>General</c:formatCode>
                <c:ptCount val="6"/>
                <c:pt idx="0">
                  <c:v>6751</c:v>
                </c:pt>
                <c:pt idx="1">
                  <c:v>23846</c:v>
                </c:pt>
                <c:pt idx="2">
                  <c:v>29764</c:v>
                </c:pt>
                <c:pt idx="3">
                  <c:v>30096</c:v>
                </c:pt>
                <c:pt idx="4">
                  <c:v>21327</c:v>
                </c:pt>
                <c:pt idx="5">
                  <c:v>69786</c:v>
                </c:pt>
              </c:numCache>
            </c:numRef>
          </c:val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09989888"/>
        <c:axId val="109993344"/>
      </c:barChart>
      <c:lineChart>
        <c:grouping val="standard"/>
        <c:varyColors val="0"/>
        <c:ser>
          <c:idx val="2"/>
          <c:order val="2"/>
          <c:tx>
            <c:strRef>
              <c:f>Лист1!$D$55</c:f>
              <c:strCache>
                <c:ptCount val="1"/>
                <c:pt idx="0">
                  <c:v>Доля налога на прибыль в налогооблагаемой базе</c:v>
                </c:pt>
              </c:strCache>
            </c:strRef>
          </c:tx>
          <c:dLbls>
            <c:dLbl>
              <c:idx val="0"/>
              <c:layout>
                <c:manualLayout>
                  <c:x val="-9.5391336612631796E-3"/>
                  <c:y val="2.924860856673717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3.3209745093995408E-3"/>
                  <c:y val="1.596850393700787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3.9621613295034781E-2"/>
                  <c:y val="6.5557226097859189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6.6279259547691542E-3"/>
                  <c:y val="5.3454353587485189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Лист1!$E$52:$J$52</c:f>
              <c:numCache>
                <c:formatCode>General</c:formatCode>
                <c:ptCount val="6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</c:numCache>
            </c:numRef>
          </c:cat>
          <c:val>
            <c:numRef>
              <c:f>Лист1!$E$55:$J$55</c:f>
              <c:numCache>
                <c:formatCode>0.0%</c:formatCode>
                <c:ptCount val="6"/>
                <c:pt idx="0">
                  <c:v>6.2060470118862669E-2</c:v>
                </c:pt>
                <c:pt idx="1">
                  <c:v>0.14042588274091347</c:v>
                </c:pt>
                <c:pt idx="2">
                  <c:v>0.18785423057017711</c:v>
                </c:pt>
                <c:pt idx="3">
                  <c:v>0.20833881362620019</c:v>
                </c:pt>
                <c:pt idx="4">
                  <c:v>0.22226970015945638</c:v>
                </c:pt>
                <c:pt idx="5">
                  <c:v>0.18889977641473171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3123328"/>
        <c:axId val="112850048"/>
      </c:lineChart>
      <c:catAx>
        <c:axId val="10998988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09993344"/>
        <c:crosses val="autoZero"/>
        <c:auto val="1"/>
        <c:lblAlgn val="ctr"/>
        <c:lblOffset val="100"/>
        <c:noMultiLvlLbl val="0"/>
      </c:catAx>
      <c:valAx>
        <c:axId val="109993344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crossAx val="109989888"/>
        <c:crosses val="autoZero"/>
        <c:crossBetween val="between"/>
      </c:valAx>
      <c:valAx>
        <c:axId val="112850048"/>
        <c:scaling>
          <c:orientation val="minMax"/>
          <c:max val="0.25"/>
        </c:scaling>
        <c:delete val="0"/>
        <c:axPos val="r"/>
        <c:numFmt formatCode="0.0%" sourceLinked="1"/>
        <c:majorTickMark val="cross"/>
        <c:minorTickMark val="none"/>
        <c:tickLblPos val="nextTo"/>
        <c:crossAx val="113123328"/>
        <c:crosses val="max"/>
        <c:crossBetween val="between"/>
      </c:valAx>
      <c:catAx>
        <c:axId val="113123328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112850048"/>
        <c:crossesAt val="20"/>
        <c:auto val="1"/>
        <c:lblAlgn val="ctr"/>
        <c:lblOffset val="100"/>
        <c:noMultiLvlLbl val="0"/>
      </c:catAx>
    </c:plotArea>
    <c:legend>
      <c:legendPos val="r"/>
      <c:layout>
        <c:manualLayout>
          <c:xMode val="edge"/>
          <c:yMode val="edge"/>
          <c:x val="7.5998060954823362E-3"/>
          <c:y val="0.86517900262467196"/>
          <c:w val="0.98524412178589227"/>
          <c:h val="0.13482106240623612"/>
        </c:manualLayout>
      </c:layout>
      <c:overlay val="0"/>
      <c:txPr>
        <a:bodyPr/>
        <a:lstStyle/>
        <a:p>
          <a:pPr>
            <a:defRPr sz="900"/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800">
          <a:ln>
            <a:noFill/>
          </a:ln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0.14161</cdr:x>
      <cdr:y>0.18688</cdr:y>
    </cdr:from>
    <cdr:to>
      <cdr:x>0.51597</cdr:x>
      <cdr:y>0.59392</cdr:y>
    </cdr:to>
    <cdr:sp macro="" textlink="">
      <cdr:nvSpPr>
        <cdr:cNvPr id="16" name="Полилиния 15"/>
        <cdr:cNvSpPr/>
      </cdr:nvSpPr>
      <cdr:spPr>
        <a:xfrm xmlns:a="http://schemas.openxmlformats.org/drawingml/2006/main">
          <a:off x="841248" y="534009"/>
          <a:ext cx="2223820" cy="1163117"/>
        </a:xfrm>
        <a:custGeom xmlns:a="http://schemas.openxmlformats.org/drawingml/2006/main">
          <a:avLst/>
          <a:gdLst>
            <a:gd name="connsiteX0" fmla="*/ 0 w 2223820"/>
            <a:gd name="connsiteY0" fmla="*/ 1163117 h 1163117"/>
            <a:gd name="connsiteX1" fmla="*/ 0 w 2223820"/>
            <a:gd name="connsiteY1" fmla="*/ 0 h 1163117"/>
            <a:gd name="connsiteX2" fmla="*/ 2223820 w 2223820"/>
            <a:gd name="connsiteY2" fmla="*/ 0 h 1163117"/>
            <a:gd name="connsiteX3" fmla="*/ 1726387 w 2223820"/>
            <a:gd name="connsiteY3" fmla="*/ 109728 h 1163117"/>
            <a:gd name="connsiteX4" fmla="*/ 848563 w 2223820"/>
            <a:gd name="connsiteY4" fmla="*/ 504749 h 1163117"/>
            <a:gd name="connsiteX5" fmla="*/ 0 w 2223820"/>
            <a:gd name="connsiteY5" fmla="*/ 1163117 h 1163117"/>
          </a:gdLst>
          <a:ahLst/>
          <a:cxnLst>
            <a:cxn ang="0">
              <a:pos x="connsiteX0" y="connsiteY0"/>
            </a:cxn>
            <a:cxn ang="0">
              <a:pos x="connsiteX1" y="connsiteY1"/>
            </a:cxn>
            <a:cxn ang="0">
              <a:pos x="connsiteX2" y="connsiteY2"/>
            </a:cxn>
            <a:cxn ang="0">
              <a:pos x="connsiteX3" y="connsiteY3"/>
            </a:cxn>
            <a:cxn ang="0">
              <a:pos x="connsiteX4" y="connsiteY4"/>
            </a:cxn>
            <a:cxn ang="0">
              <a:pos x="connsiteX5" y="connsiteY5"/>
            </a:cxn>
          </a:cxnLst>
          <a:rect l="l" t="t" r="r" b="b"/>
          <a:pathLst>
            <a:path w="2223820" h="1163117">
              <a:moveTo>
                <a:pt x="0" y="1163117"/>
              </a:moveTo>
              <a:lnTo>
                <a:pt x="0" y="0"/>
              </a:lnTo>
              <a:lnTo>
                <a:pt x="2223820" y="0"/>
              </a:lnTo>
              <a:lnTo>
                <a:pt x="1726387" y="109728"/>
              </a:lnTo>
              <a:lnTo>
                <a:pt x="848563" y="504749"/>
              </a:lnTo>
              <a:lnTo>
                <a:pt x="0" y="1163117"/>
              </a:lnTo>
              <a:close/>
            </a:path>
          </a:pathLst>
        </a:custGeom>
        <a:solidFill xmlns:a="http://schemas.openxmlformats.org/drawingml/2006/main">
          <a:schemeClr val="accent2">
            <a:lumMod val="60000"/>
            <a:lumOff val="40000"/>
          </a:schemeClr>
        </a:solidFill>
        <a:ln xmlns:a="http://schemas.openxmlformats.org/drawingml/2006/main">
          <a:solidFill>
            <a:schemeClr val="accent2">
              <a:lumMod val="75000"/>
            </a:schemeClr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ru-RU"/>
        </a:p>
      </cdr:txBody>
    </cdr:sp>
  </cdr:relSizeAnchor>
  <cdr:relSizeAnchor xmlns:cdr="http://schemas.openxmlformats.org/drawingml/2006/chartDrawing">
    <cdr:from>
      <cdr:x>0.07019</cdr:x>
      <cdr:y>0.18944</cdr:y>
    </cdr:from>
    <cdr:to>
      <cdr:x>0.93835</cdr:x>
      <cdr:y>0.18944</cdr:y>
    </cdr:to>
    <cdr:cxnSp macro="">
      <cdr:nvCxnSpPr>
        <cdr:cNvPr id="5" name="Прямая соединительная линия 4"/>
        <cdr:cNvCxnSpPr/>
      </cdr:nvCxnSpPr>
      <cdr:spPr>
        <a:xfrm xmlns:a="http://schemas.openxmlformats.org/drawingml/2006/main" flipH="1">
          <a:off x="416966" y="541324"/>
          <a:ext cx="5157216" cy="0"/>
        </a:xfrm>
        <a:prstGeom xmlns:a="http://schemas.openxmlformats.org/drawingml/2006/main" prst="line">
          <a:avLst/>
        </a:prstGeom>
        <a:ln xmlns:a="http://schemas.openxmlformats.org/drawingml/2006/main" w="28575"/>
      </cdr:spPr>
      <cdr:style>
        <a:lnRef xmlns:a="http://schemas.openxmlformats.org/drawingml/2006/main" idx="1">
          <a:schemeClr val="accent3"/>
        </a:lnRef>
        <a:fillRef xmlns:a="http://schemas.openxmlformats.org/drawingml/2006/main" idx="0">
          <a:schemeClr val="accent3"/>
        </a:fillRef>
        <a:effectRef xmlns:a="http://schemas.openxmlformats.org/drawingml/2006/main" idx="0">
          <a:schemeClr val="accent3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0.06527</cdr:x>
      <cdr:y>0.04096</cdr:y>
    </cdr:from>
    <cdr:to>
      <cdr:x>0.21919</cdr:x>
      <cdr:y>0.36096</cdr:y>
    </cdr:to>
    <cdr:sp macro="" textlink="">
      <cdr:nvSpPr>
        <cdr:cNvPr id="15" name="Поле 14"/>
        <cdr:cNvSpPr txBox="1"/>
      </cdr:nvSpPr>
      <cdr:spPr>
        <a:xfrm xmlns:a="http://schemas.openxmlformats.org/drawingml/2006/main">
          <a:off x="387705" y="117042"/>
          <a:ext cx="914400" cy="9144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ru-RU" sz="1050">
              <a:latin typeface="Times New Roman" panose="02020603050405020304" pitchFamily="18" charset="0"/>
              <a:cs typeface="Times New Roman" panose="02020603050405020304" pitchFamily="18" charset="0"/>
            </a:rPr>
            <a:t>Законодательно установленная </a:t>
          </a:r>
        </a:p>
        <a:p xmlns:a="http://schemas.openxmlformats.org/drawingml/2006/main">
          <a:r>
            <a:rPr lang="ru-RU" sz="1050">
              <a:latin typeface="Times New Roman" panose="02020603050405020304" pitchFamily="18" charset="0"/>
              <a:cs typeface="Times New Roman" panose="02020603050405020304" pitchFamily="18" charset="0"/>
            </a:rPr>
            <a:t>ставка налога на прибыль 20%</a:t>
          </a:r>
        </a:p>
      </cdr:txBody>
    </cdr:sp>
  </cdr:relSizeAnchor>
  <cdr:relSizeAnchor xmlns:cdr="http://schemas.openxmlformats.org/drawingml/2006/chartDrawing">
    <cdr:from>
      <cdr:x>0.53321</cdr:x>
      <cdr:y>0.13312</cdr:y>
    </cdr:from>
    <cdr:to>
      <cdr:x>0.81151</cdr:x>
      <cdr:y>0.18688</cdr:y>
    </cdr:to>
    <cdr:sp macro="" textlink="">
      <cdr:nvSpPr>
        <cdr:cNvPr id="17" name="Полилиния 16"/>
        <cdr:cNvSpPr/>
      </cdr:nvSpPr>
      <cdr:spPr>
        <a:xfrm xmlns:a="http://schemas.openxmlformats.org/drawingml/2006/main">
          <a:off x="3167481" y="380390"/>
          <a:ext cx="1653235" cy="153619"/>
        </a:xfrm>
        <a:custGeom xmlns:a="http://schemas.openxmlformats.org/drawingml/2006/main">
          <a:avLst/>
          <a:gdLst>
            <a:gd name="connsiteX0" fmla="*/ 0 w 1653235"/>
            <a:gd name="connsiteY0" fmla="*/ 153619 h 153619"/>
            <a:gd name="connsiteX1" fmla="*/ 277978 w 1653235"/>
            <a:gd name="connsiteY1" fmla="*/ 102413 h 153619"/>
            <a:gd name="connsiteX2" fmla="*/ 1126541 w 1653235"/>
            <a:gd name="connsiteY2" fmla="*/ 0 h 153619"/>
            <a:gd name="connsiteX3" fmla="*/ 1653235 w 1653235"/>
            <a:gd name="connsiteY3" fmla="*/ 153619 h 153619"/>
            <a:gd name="connsiteX4" fmla="*/ 0 w 1653235"/>
            <a:gd name="connsiteY4" fmla="*/ 153619 h 153619"/>
          </a:gdLst>
          <a:ahLst/>
          <a:cxnLst>
            <a:cxn ang="0">
              <a:pos x="connsiteX0" y="connsiteY0"/>
            </a:cxn>
            <a:cxn ang="0">
              <a:pos x="connsiteX1" y="connsiteY1"/>
            </a:cxn>
            <a:cxn ang="0">
              <a:pos x="connsiteX2" y="connsiteY2"/>
            </a:cxn>
            <a:cxn ang="0">
              <a:pos x="connsiteX3" y="connsiteY3"/>
            </a:cxn>
            <a:cxn ang="0">
              <a:pos x="connsiteX4" y="connsiteY4"/>
            </a:cxn>
          </a:cxnLst>
          <a:rect l="l" t="t" r="r" b="b"/>
          <a:pathLst>
            <a:path w="1653235" h="153619">
              <a:moveTo>
                <a:pt x="0" y="153619"/>
              </a:moveTo>
              <a:lnTo>
                <a:pt x="277978" y="102413"/>
              </a:lnTo>
              <a:lnTo>
                <a:pt x="1126541" y="0"/>
              </a:lnTo>
              <a:lnTo>
                <a:pt x="1653235" y="153619"/>
              </a:lnTo>
              <a:lnTo>
                <a:pt x="0" y="153619"/>
              </a:lnTo>
              <a:close/>
            </a:path>
          </a:pathLst>
        </a:custGeom>
        <a:solidFill xmlns:a="http://schemas.openxmlformats.org/drawingml/2006/main">
          <a:schemeClr val="accent3">
            <a:lumMod val="60000"/>
            <a:lumOff val="40000"/>
          </a:schemeClr>
        </a:solidFill>
        <a:ln xmlns:a="http://schemas.openxmlformats.org/drawingml/2006/main">
          <a:solidFill>
            <a:schemeClr val="accent3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ru-RU"/>
        </a:p>
      </cdr:txBody>
    </cdr:sp>
  </cdr:relSizeAnchor>
  <cdr:relSizeAnchor xmlns:cdr="http://schemas.openxmlformats.org/drawingml/2006/chartDrawing">
    <cdr:from>
      <cdr:x>0.81767</cdr:x>
      <cdr:y>0.192</cdr:y>
    </cdr:from>
    <cdr:to>
      <cdr:x>0.86569</cdr:x>
      <cdr:y>0.22528</cdr:y>
    </cdr:to>
    <cdr:sp macro="" textlink="">
      <cdr:nvSpPr>
        <cdr:cNvPr id="18" name="Полилиния 17"/>
        <cdr:cNvSpPr/>
      </cdr:nvSpPr>
      <cdr:spPr>
        <a:xfrm xmlns:a="http://schemas.openxmlformats.org/drawingml/2006/main">
          <a:off x="4857292" y="548640"/>
          <a:ext cx="285293" cy="95097"/>
        </a:xfrm>
        <a:custGeom xmlns:a="http://schemas.openxmlformats.org/drawingml/2006/main">
          <a:avLst/>
          <a:gdLst>
            <a:gd name="connsiteX0" fmla="*/ 0 w 285293"/>
            <a:gd name="connsiteY0" fmla="*/ 0 h 95097"/>
            <a:gd name="connsiteX1" fmla="*/ 285293 w 285293"/>
            <a:gd name="connsiteY1" fmla="*/ 0 h 95097"/>
            <a:gd name="connsiteX2" fmla="*/ 285293 w 285293"/>
            <a:gd name="connsiteY2" fmla="*/ 95097 h 95097"/>
            <a:gd name="connsiteX3" fmla="*/ 0 w 285293"/>
            <a:gd name="connsiteY3" fmla="*/ 0 h 95097"/>
          </a:gdLst>
          <a:ahLst/>
          <a:cxnLst>
            <a:cxn ang="0">
              <a:pos x="connsiteX0" y="connsiteY0"/>
            </a:cxn>
            <a:cxn ang="0">
              <a:pos x="connsiteX1" y="connsiteY1"/>
            </a:cxn>
            <a:cxn ang="0">
              <a:pos x="connsiteX2" y="connsiteY2"/>
            </a:cxn>
            <a:cxn ang="0">
              <a:pos x="connsiteX3" y="connsiteY3"/>
            </a:cxn>
          </a:cxnLst>
          <a:rect l="l" t="t" r="r" b="b"/>
          <a:pathLst>
            <a:path w="285293" h="95097">
              <a:moveTo>
                <a:pt x="0" y="0"/>
              </a:moveTo>
              <a:lnTo>
                <a:pt x="285293" y="0"/>
              </a:lnTo>
              <a:lnTo>
                <a:pt x="285293" y="95097"/>
              </a:lnTo>
              <a:lnTo>
                <a:pt x="0" y="0"/>
              </a:lnTo>
              <a:close/>
            </a:path>
          </a:pathLst>
        </a:custGeom>
        <a:solidFill xmlns:a="http://schemas.openxmlformats.org/drawingml/2006/main">
          <a:schemeClr val="accent2">
            <a:lumMod val="60000"/>
            <a:lumOff val="40000"/>
          </a:schemeClr>
        </a:solidFill>
        <a:ln xmlns:a="http://schemas.openxmlformats.org/drawingml/2006/main">
          <a:solidFill>
            <a:schemeClr val="accent2">
              <a:lumMod val="75000"/>
            </a:schemeClr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ru-RU"/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21CA93-2758-413C-B1A2-64D3A3C67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618</TotalTime>
  <Pages>5</Pages>
  <Words>2026</Words>
  <Characters>11551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Михаил Конста. Малышев</dc:creator>
  <cp:keywords/>
  <dc:description/>
  <cp:lastModifiedBy>Михаил Конста. Малышев</cp:lastModifiedBy>
  <cp:revision>10</cp:revision>
  <dcterms:created xsi:type="dcterms:W3CDTF">2022-03-10T07:27:00Z</dcterms:created>
  <dcterms:modified xsi:type="dcterms:W3CDTF">2022-03-11T12:23:00Z</dcterms:modified>
</cp:coreProperties>
</file>