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D9F" w:rsidRPr="00093D9F" w:rsidRDefault="00093D9F" w:rsidP="00093D9F">
      <w:pPr>
        <w:spacing w:line="259" w:lineRule="auto"/>
        <w:ind w:left="-5" w:right="73" w:hanging="10"/>
        <w:rPr>
          <w:rFonts w:ascii="Times New Roman" w:hAnsi="Times New Roman" w:cs="Times New Roman"/>
          <w:sz w:val="24"/>
          <w:szCs w:val="24"/>
        </w:rPr>
      </w:pPr>
      <w:r w:rsidRPr="00093D9F">
        <w:rPr>
          <w:rFonts w:ascii="Times New Roman" w:hAnsi="Times New Roman" w:cs="Times New Roman"/>
          <w:sz w:val="24"/>
          <w:szCs w:val="24"/>
        </w:rPr>
        <w:t>УДК</w:t>
      </w:r>
      <w:r w:rsidRPr="00AD62B5">
        <w:rPr>
          <w:rFonts w:ascii="Times New Roman" w:hAnsi="Times New Roman" w:cs="Times New Roman"/>
          <w:sz w:val="24"/>
          <w:szCs w:val="24"/>
        </w:rPr>
        <w:t xml:space="preserve"> 316.34 </w:t>
      </w:r>
    </w:p>
    <w:p w:rsidR="00093D9F" w:rsidRPr="00093D9F" w:rsidRDefault="00093D9F" w:rsidP="00093D9F">
      <w:pPr>
        <w:spacing w:line="259" w:lineRule="auto"/>
        <w:ind w:left="-5" w:right="73" w:hanging="10"/>
        <w:rPr>
          <w:rFonts w:ascii="Times New Roman" w:hAnsi="Times New Roman" w:cs="Times New Roman"/>
          <w:sz w:val="24"/>
          <w:szCs w:val="24"/>
        </w:rPr>
      </w:pPr>
      <w:r w:rsidRPr="00093D9F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093D9F">
        <w:rPr>
          <w:rFonts w:ascii="Times New Roman" w:hAnsi="Times New Roman" w:cs="Times New Roman"/>
          <w:sz w:val="24"/>
          <w:szCs w:val="24"/>
        </w:rPr>
        <w:t>: 10.21668/</w:t>
      </w:r>
      <w:r w:rsidRPr="00093D9F">
        <w:rPr>
          <w:rFonts w:ascii="Times New Roman" w:hAnsi="Times New Roman" w:cs="Times New Roman"/>
          <w:sz w:val="24"/>
          <w:szCs w:val="24"/>
          <w:lang w:val="en-US"/>
        </w:rPr>
        <w:t>health</w:t>
      </w:r>
      <w:r w:rsidRPr="00093D9F">
        <w:rPr>
          <w:rFonts w:ascii="Times New Roman" w:hAnsi="Times New Roman" w:cs="Times New Roman"/>
          <w:sz w:val="24"/>
          <w:szCs w:val="24"/>
        </w:rPr>
        <w:t>.</w:t>
      </w:r>
      <w:r w:rsidRPr="00093D9F">
        <w:rPr>
          <w:rFonts w:ascii="Times New Roman" w:hAnsi="Times New Roman" w:cs="Times New Roman"/>
          <w:sz w:val="24"/>
          <w:szCs w:val="24"/>
          <w:lang w:val="en-US"/>
        </w:rPr>
        <w:t>risk</w:t>
      </w:r>
      <w:r w:rsidRPr="00093D9F">
        <w:rPr>
          <w:rFonts w:ascii="Times New Roman" w:hAnsi="Times New Roman" w:cs="Times New Roman"/>
          <w:sz w:val="24"/>
          <w:szCs w:val="24"/>
        </w:rPr>
        <w:t>/2021.3.11</w:t>
      </w:r>
    </w:p>
    <w:p w:rsidR="000D4455" w:rsidRPr="004D4820" w:rsidRDefault="00DB20B2" w:rsidP="00093D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4820">
        <w:rPr>
          <w:rFonts w:ascii="Times New Roman" w:hAnsi="Times New Roman" w:cs="Times New Roman"/>
          <w:b/>
          <w:sz w:val="24"/>
          <w:szCs w:val="24"/>
        </w:rPr>
        <w:t>ВИЧ-инфекция и безработица в регионах России</w:t>
      </w:r>
    </w:p>
    <w:p w:rsidR="00DB20B2" w:rsidRPr="004D4820" w:rsidRDefault="00DB20B2" w:rsidP="00DB20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i/>
          <w:iCs/>
          <w:sz w:val="24"/>
          <w:szCs w:val="24"/>
        </w:rPr>
        <w:t>Бояркина С.И.</w:t>
      </w:r>
    </w:p>
    <w:p w:rsidR="00DB20B2" w:rsidRPr="004D4820" w:rsidRDefault="00DB20B2" w:rsidP="00DB20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4D4820">
        <w:rPr>
          <w:rFonts w:ascii="Times New Roman" w:hAnsi="Times New Roman" w:cs="Times New Roman"/>
          <w:i/>
          <w:iCs/>
          <w:sz w:val="24"/>
          <w:szCs w:val="24"/>
        </w:rPr>
        <w:t>Ходоренко</w:t>
      </w:r>
      <w:proofErr w:type="spellEnd"/>
      <w:r w:rsidRPr="004D4820">
        <w:rPr>
          <w:rFonts w:ascii="Times New Roman" w:hAnsi="Times New Roman" w:cs="Times New Roman"/>
          <w:i/>
          <w:iCs/>
          <w:sz w:val="24"/>
          <w:szCs w:val="24"/>
        </w:rPr>
        <w:t xml:space="preserve"> Д.К.</w:t>
      </w:r>
    </w:p>
    <w:p w:rsidR="00DB20B2" w:rsidRPr="004D4820" w:rsidRDefault="00DB20B2" w:rsidP="00DB20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sz w:val="24"/>
          <w:szCs w:val="24"/>
        </w:rPr>
        <w:t>сектор социологии здоровья</w:t>
      </w:r>
    </w:p>
    <w:p w:rsidR="00DB20B2" w:rsidRPr="004D4820" w:rsidRDefault="00DB20B2" w:rsidP="00DB20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sz w:val="24"/>
          <w:szCs w:val="24"/>
        </w:rPr>
        <w:t>Социологический институт РАН – филиал Федерального научно-исследовательского социологического центра Российской академии наук</w:t>
      </w:r>
    </w:p>
    <w:p w:rsidR="00DB20B2" w:rsidRPr="00DB20B2" w:rsidRDefault="00DB20B2" w:rsidP="00DB20B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B20B2" w:rsidRPr="00DB20B2" w:rsidRDefault="004D4820" w:rsidP="00DB20B2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1560E" w:rsidRPr="0021560E">
        <w:rPr>
          <w:rFonts w:ascii="Times New Roman" w:hAnsi="Times New Roman" w:cs="Times New Roman"/>
          <w:b/>
          <w:sz w:val="24"/>
          <w:szCs w:val="24"/>
        </w:rPr>
        <w:t>Введение</w:t>
      </w:r>
      <w:r w:rsidR="0021560E">
        <w:rPr>
          <w:rFonts w:ascii="Times New Roman" w:hAnsi="Times New Roman" w:cs="Times New Roman"/>
          <w:sz w:val="24"/>
          <w:szCs w:val="24"/>
        </w:rPr>
        <w:t>.</w:t>
      </w:r>
      <w:r w:rsidR="0086576D">
        <w:rPr>
          <w:rFonts w:ascii="Times New Roman" w:hAnsi="Times New Roman" w:cs="Times New Roman"/>
          <w:sz w:val="24"/>
          <w:szCs w:val="24"/>
        </w:rPr>
        <w:t xml:space="preserve"> </w:t>
      </w:r>
      <w:r w:rsidR="00DB20B2" w:rsidRPr="00DB20B2">
        <w:rPr>
          <w:rFonts w:ascii="Times New Roman" w:hAnsi="Times New Roman" w:cs="Times New Roman"/>
          <w:sz w:val="24"/>
          <w:szCs w:val="24"/>
        </w:rPr>
        <w:t>Несмотря на неоспоримую значимость проблемы социальных неравен</w:t>
      </w:r>
      <w:proofErr w:type="gramStart"/>
      <w:r w:rsidR="00DB20B2" w:rsidRPr="00DB20B2">
        <w:rPr>
          <w:rFonts w:ascii="Times New Roman" w:hAnsi="Times New Roman" w:cs="Times New Roman"/>
          <w:sz w:val="24"/>
          <w:szCs w:val="24"/>
        </w:rPr>
        <w:t>ств в зд</w:t>
      </w:r>
      <w:proofErr w:type="gramEnd"/>
      <w:r w:rsidR="00DB20B2" w:rsidRPr="00DB20B2">
        <w:rPr>
          <w:rFonts w:ascii="Times New Roman" w:hAnsi="Times New Roman" w:cs="Times New Roman"/>
          <w:sz w:val="24"/>
          <w:szCs w:val="24"/>
        </w:rPr>
        <w:t xml:space="preserve">оровье, в России тематика социальной обусловленности здоровья параметрами макро контекста также является мало изученной, что  позволяет поставить вопрос о необходимости выявления факторов, оказывающих наибольшее влияние на распространение социально опасных болезней. </w:t>
      </w:r>
    </w:p>
    <w:p w:rsidR="00DB20B2" w:rsidRPr="00DB20B2" w:rsidRDefault="00DB20B2" w:rsidP="00DB20B2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DB20B2">
        <w:rPr>
          <w:rFonts w:ascii="Times New Roman" w:hAnsi="Times New Roman" w:cs="Times New Roman"/>
        </w:rPr>
        <w:t xml:space="preserve">По данным статистики Министерства здравоохранения РФ, Министерства труда и Росстат на протяжении последних десятилетий в России в числе </w:t>
      </w:r>
      <w:r w:rsidRPr="00DB20B2">
        <w:rPr>
          <w:rFonts w:ascii="Times New Roman" w:hAnsi="Times New Roman" w:cs="Times New Roman"/>
          <w:color w:val="auto"/>
        </w:rPr>
        <w:t xml:space="preserve">социально опасных заболеваний чаще других регистрируется болезнь, вызванная вирусом иммунодефицита человека (ВИЧ) </w:t>
      </w:r>
      <w:r w:rsidRPr="00DB20B2">
        <w:rPr>
          <w:rFonts w:ascii="Times New Roman" w:hAnsi="Times New Roman" w:cs="Times New Roman"/>
          <w:bCs/>
          <w:color w:val="auto"/>
        </w:rPr>
        <w:t>[1</w:t>
      </w:r>
      <w:r w:rsidRPr="00DB20B2">
        <w:rPr>
          <w:rFonts w:ascii="Times New Roman" w:hAnsi="Times New Roman" w:cs="Times New Roman"/>
          <w:color w:val="auto"/>
        </w:rPr>
        <w:t>]. Формируемый в ходе регистрации индикатор  –  ч</w:t>
      </w:r>
      <w:r w:rsidRPr="00DB20B2">
        <w:rPr>
          <w:rFonts w:ascii="Times New Roman" w:hAnsi="Times New Roman" w:cs="Times New Roman"/>
        </w:rPr>
        <w:t>исло зарегистрированных больных на конец года за вычетом умерших – отражает степень распространенности болезни в отдельных регионах и является важным аналитическим показателем, позволяющим производить сравнительную оценку территориальных особенностей распространения болезни.</w:t>
      </w:r>
    </w:p>
    <w:p w:rsidR="00DB20B2" w:rsidRPr="00DB20B2" w:rsidRDefault="00DB20B2" w:rsidP="00DB20B2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DB20B2">
        <w:rPr>
          <w:rFonts w:ascii="Times New Roman" w:hAnsi="Times New Roman" w:cs="Times New Roman"/>
        </w:rPr>
        <w:t>Проверка основных гипотез, высказываемых в рамках социально-эпидемиологического подхода  в отношении особенностей территориального распределения ВИЧ, позволяет обозначить общие закономерности в распространении заболевания в Российской Федерации, высказать предположения о причинах существующих региональных различий, что может служить основанием для дальнейшей разработки целевых мер социальной политики, направленных на оптимизацию региональной эпидемической ситуации</w:t>
      </w:r>
      <w:r w:rsidRPr="00DB20B2">
        <w:rPr>
          <w:rFonts w:ascii="Times New Roman" w:hAnsi="Times New Roman" w:cs="Times New Roman"/>
          <w:color w:val="auto"/>
        </w:rPr>
        <w:t>.</w:t>
      </w:r>
    </w:p>
    <w:p w:rsidR="00DB20B2" w:rsidRPr="00DB20B2" w:rsidRDefault="0021560E" w:rsidP="0021560E">
      <w:pPr>
        <w:pStyle w:val="a3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="00DB20B2" w:rsidRPr="00DB20B2">
        <w:rPr>
          <w:rFonts w:ascii="Times New Roman" w:hAnsi="Times New Roman" w:cs="Times New Roman"/>
          <w:b/>
          <w:bCs/>
          <w:iCs/>
          <w:sz w:val="24"/>
          <w:szCs w:val="24"/>
        </w:rPr>
        <w:t>Материалы и методы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. </w:t>
      </w:r>
      <w:r w:rsidR="00DB20B2" w:rsidRPr="004D4820">
        <w:rPr>
          <w:rFonts w:ascii="Times New Roman" w:eastAsia="TimesNewRomanPSMT" w:hAnsi="Times New Roman" w:cs="Times New Roman"/>
          <w:sz w:val="24"/>
          <w:szCs w:val="24"/>
        </w:rPr>
        <w:t>Возможности проведения анализа, соответствующего поставленным задачам, были ограничены имеющимися статистическими данными, отражающими интересующие характеристики макро контекста регионов России.</w:t>
      </w:r>
      <w:r w:rsidR="00DB20B2" w:rsidRPr="004D4820">
        <w:rPr>
          <w:rFonts w:ascii="Times New Roman" w:hAnsi="Times New Roman" w:cs="Times New Roman"/>
          <w:sz w:val="24"/>
          <w:szCs w:val="24"/>
        </w:rPr>
        <w:t xml:space="preserve"> Поэтому нами было проведено исследование показателей 2017 года, наиболее полно представленных в российской базе Федеральной службы государственной статистики. Предварительный анализ дескриптивной статистики по всем регионам России за 2017 год позволяет зафиксировать наличие выраженных территориальных</w:t>
      </w:r>
      <w:r w:rsidR="00DB20B2" w:rsidRPr="00DB20B2">
        <w:rPr>
          <w:rFonts w:ascii="Times New Roman" w:hAnsi="Times New Roman" w:cs="Times New Roman"/>
          <w:sz w:val="24"/>
          <w:szCs w:val="24"/>
        </w:rPr>
        <w:t xml:space="preserve"> различий в распространении ВИЧ-инфекции (Рис. 1). </w:t>
      </w:r>
    </w:p>
    <w:p w:rsidR="00DB20B2" w:rsidRPr="00DB20B2" w:rsidRDefault="00DB20B2" w:rsidP="00DB20B2">
      <w:pPr>
        <w:keepNext/>
        <w:spacing w:after="0" w:line="240" w:lineRule="auto"/>
        <w:jc w:val="center"/>
        <w:rPr>
          <w:sz w:val="24"/>
          <w:szCs w:val="24"/>
        </w:rPr>
      </w:pPr>
      <w:r w:rsidRPr="00DB20B2">
        <w:rPr>
          <w:b/>
          <w:noProof/>
          <w:sz w:val="24"/>
          <w:szCs w:val="24"/>
          <w:lang w:eastAsia="ru-RU"/>
        </w:rPr>
        <w:lastRenderedPageBreak/>
        <w:drawing>
          <wp:inline distT="0" distB="0" distL="0" distR="0" wp14:anchorId="62ECA011" wp14:editId="2AC5A08B">
            <wp:extent cx="5314950" cy="2643513"/>
            <wp:effectExtent l="0" t="0" r="0" b="444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134" cy="2661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20B2" w:rsidRPr="00DB20B2" w:rsidRDefault="00DB20B2" w:rsidP="00DB20B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Ref64924087"/>
      <w:r w:rsidRPr="00DB20B2">
        <w:rPr>
          <w:rFonts w:ascii="Times New Roman" w:hAnsi="Times New Roman" w:cs="Times New Roman"/>
          <w:sz w:val="24"/>
          <w:szCs w:val="24"/>
        </w:rPr>
        <w:t>Рис.</w:t>
      </w:r>
      <w:bookmarkEnd w:id="0"/>
      <w:r w:rsidRPr="00DB20B2">
        <w:rPr>
          <w:rFonts w:ascii="Times New Roman" w:hAnsi="Times New Roman" w:cs="Times New Roman"/>
          <w:sz w:val="24"/>
          <w:szCs w:val="24"/>
        </w:rPr>
        <w:t>1</w:t>
      </w:r>
      <w:r w:rsidRPr="00DB20B2">
        <w:rPr>
          <w:rFonts w:ascii="Times New Roman" w:hAnsi="Times New Roman" w:cs="Times New Roman"/>
          <w:i/>
          <w:sz w:val="24"/>
          <w:szCs w:val="24"/>
        </w:rPr>
        <w:t>.</w:t>
      </w:r>
      <w:r w:rsidRPr="00DB20B2">
        <w:rPr>
          <w:rFonts w:ascii="Times New Roman" w:hAnsi="Times New Roman" w:cs="Times New Roman"/>
          <w:sz w:val="24"/>
          <w:szCs w:val="24"/>
        </w:rPr>
        <w:t xml:space="preserve"> Численность пациентов </w:t>
      </w:r>
      <w:proofErr w:type="gramStart"/>
      <w:r w:rsidRPr="00DB20B2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DB20B2">
        <w:rPr>
          <w:rFonts w:ascii="Times New Roman" w:hAnsi="Times New Roman" w:cs="Times New Roman"/>
          <w:sz w:val="24"/>
          <w:szCs w:val="24"/>
        </w:rPr>
        <w:t xml:space="preserve"> впервые </w:t>
      </w:r>
      <w:proofErr w:type="gramStart"/>
      <w:r w:rsidRPr="00DB20B2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DB20B2">
        <w:rPr>
          <w:rFonts w:ascii="Times New Roman" w:hAnsi="Times New Roman" w:cs="Times New Roman"/>
          <w:sz w:val="24"/>
          <w:szCs w:val="24"/>
        </w:rPr>
        <w:t xml:space="preserve"> жизни установленным диагнозом ВИЧ </w:t>
      </w:r>
      <w:r w:rsidRPr="00DB20B2">
        <w:rPr>
          <w:rFonts w:ascii="Times New Roman" w:hAnsi="Times New Roman" w:cs="Times New Roman"/>
          <w:i/>
          <w:sz w:val="24"/>
          <w:szCs w:val="24"/>
        </w:rPr>
        <w:t>на 100000 населения</w:t>
      </w:r>
    </w:p>
    <w:p w:rsidR="00DB20B2" w:rsidRPr="00DB20B2" w:rsidRDefault="00DB20B2" w:rsidP="00DB20B2">
      <w:pPr>
        <w:pStyle w:val="Default"/>
        <w:ind w:firstLine="708"/>
        <w:jc w:val="both"/>
        <w:rPr>
          <w:rFonts w:ascii="Times New Roman" w:hAnsi="Times New Roman" w:cs="Times New Roman"/>
          <w:color w:val="C00000"/>
        </w:rPr>
      </w:pPr>
      <w:r w:rsidRPr="00DB20B2">
        <w:rPr>
          <w:rFonts w:ascii="Times New Roman" w:hAnsi="Times New Roman" w:cs="Times New Roman"/>
        </w:rPr>
        <w:t xml:space="preserve">Обзор публикаций, посвященных объяснению различий в заболеваемости населения социально-значимыми болезнями в разных странах мира, позволяет обозначить ряд ключевых детерминант макроуровня, воздействующих на распространение социально-значимых болезней. Это факторы социально-экономического развития – ВВП (валовой внутренний продукт) и коэффициент Джини (отражает доходные неравенства); социально-политические характеристики общества и функционирования страны – социальная политика в образовательной сфере и здравоохранении, расходы на систему здравоохранения и обеспеченность медицинской помощью; факторы социальной структуры общества – характеристики уровня дохода, образования и трудовой занятости населения; культурно-поведенческие детерминанты – степень распространенности деструктивных по отношению к здоровью </w:t>
      </w:r>
      <w:r w:rsidRPr="00DB20B2">
        <w:rPr>
          <w:rFonts w:ascii="Times New Roman" w:hAnsi="Times New Roman" w:cs="Times New Roman"/>
          <w:color w:val="auto"/>
        </w:rPr>
        <w:t>форм поведения, уровень преступности и т.п.</w:t>
      </w:r>
    </w:p>
    <w:p w:rsidR="00DB20B2" w:rsidRPr="00DB20B2" w:rsidRDefault="00DB20B2" w:rsidP="00DB20B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20B2">
        <w:rPr>
          <w:rFonts w:ascii="Times New Roman" w:hAnsi="Times New Roman" w:cs="Times New Roman"/>
          <w:sz w:val="24"/>
          <w:szCs w:val="24"/>
        </w:rPr>
        <w:t>Эти и ряд других показателей могут использоваться для оценки причин распространения социально опасных болезней в регионах Российской Федерации, изучения региональных различий [</w:t>
      </w:r>
      <w:r w:rsidR="00254025">
        <w:rPr>
          <w:rFonts w:ascii="Times New Roman" w:hAnsi="Times New Roman" w:cs="Times New Roman"/>
          <w:sz w:val="24"/>
          <w:szCs w:val="24"/>
        </w:rPr>
        <w:t>2</w:t>
      </w:r>
      <w:r w:rsidRPr="00DB20B2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DB20B2" w:rsidRPr="00DB20B2" w:rsidRDefault="00DB20B2" w:rsidP="00DB20B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20B2">
        <w:rPr>
          <w:rFonts w:ascii="Times New Roman" w:hAnsi="Times New Roman" w:cs="Times New Roman"/>
          <w:sz w:val="24"/>
          <w:szCs w:val="24"/>
        </w:rPr>
        <w:t>Для реализации поставленной задачи из источников официальной статистики были извлечены данные, характеризующие 85 регионов России. При создании базы данных были отобраны следующие группы показателей: демографические (численность населения в регионе, соотношение мужчин и женщин, удельный вес городского и сельского населения в общей численности населения, население в трудоспособном возрасте, население старше трудоспособного возраста, коэффициент миграционного прироста); экономические (коэффициент Джини, численность населения с денежными доходами ниже величины прожиточного минимума, ва</w:t>
      </w:r>
      <w:r w:rsidRPr="00DB20B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ловой региональный продукт на душу населения, общая площадь жилых помещений, приходящаяся в среднем на одного жителя, </w:t>
      </w:r>
      <w:r w:rsidRPr="00DB20B2">
        <w:rPr>
          <w:rFonts w:ascii="Times New Roman" w:hAnsi="Times New Roman" w:cs="Times New Roman"/>
          <w:sz w:val="24"/>
          <w:szCs w:val="24"/>
        </w:rPr>
        <w:t>число собственных легковых автомобилей на 1000 человек населения,</w:t>
      </w:r>
      <w:r w:rsidRPr="00DB20B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DB20B2">
        <w:rPr>
          <w:rFonts w:ascii="Times New Roman" w:hAnsi="Times New Roman" w:cs="Times New Roman"/>
          <w:sz w:val="24"/>
          <w:szCs w:val="24"/>
        </w:rPr>
        <w:t xml:space="preserve">численность безработных в возрасте 15-72 лет, уровень безработицы); </w:t>
      </w:r>
      <w:proofErr w:type="gramStart"/>
      <w:r w:rsidRPr="00DB20B2">
        <w:rPr>
          <w:rFonts w:ascii="Times New Roman" w:hAnsi="Times New Roman" w:cs="Times New Roman"/>
          <w:sz w:val="24"/>
          <w:szCs w:val="24"/>
        </w:rPr>
        <w:t>доступность медицинской помощи (число больничных коек на 10000 населения, численность населения на одну больничную койку, мощность амбулаторно-поликлинических организаций, численность врачей всех специальностей), культурно-поведенческие  (число  выпуска специалистов образовательных организаций, осуществляющих образовательную деятельность по образовательным программам высшего образования в 2017 году,  число зарегистрированных преступлений на 100000 человек населения, число зарегистрированных преступлений несовершеннолетних на 100000 человек населения, число пациентов с впервые в жизни</w:t>
      </w:r>
      <w:proofErr w:type="gramEnd"/>
      <w:r w:rsidRPr="00DB20B2">
        <w:rPr>
          <w:rFonts w:ascii="Times New Roman" w:hAnsi="Times New Roman" w:cs="Times New Roman"/>
          <w:sz w:val="24"/>
          <w:szCs w:val="24"/>
        </w:rPr>
        <w:t xml:space="preserve"> установленным диагнозом, взятых под диспансерное наблюдение с синдромом зависимости от наркотических веществ на 100000 человек населения). </w:t>
      </w:r>
    </w:p>
    <w:p w:rsidR="00DB20B2" w:rsidRPr="00DB20B2" w:rsidRDefault="00DB20B2" w:rsidP="00DB20B2">
      <w:pPr>
        <w:spacing w:after="0" w:line="240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DB20B2">
        <w:rPr>
          <w:rFonts w:ascii="Times New Roman" w:hAnsi="Times New Roman" w:cs="Times New Roman"/>
          <w:sz w:val="24"/>
          <w:szCs w:val="24"/>
        </w:rPr>
        <w:lastRenderedPageBreak/>
        <w:t>На этапе статистической обработки данных методом линейной регрессии, проведен анализ связи распространённости ВИЧ-инфекции и демографических, экономических, культурно-поведенческих характеристик, доступности медицинской помощи в каждом субъекте Российской Федерации. Построена серия регрессий с проверкой влияния каждой группы характеристик региона, из которых отобраны наиболее значимые факторы, включенные в общую регрессионную модель. Такой способ анализа данных позволяет произвести отбор факторов, сильнее других связанных с распространением болезни, и выявить ключевые характеристики регионов, определяющие неравенства в здоровье их населения.</w:t>
      </w:r>
    </w:p>
    <w:p w:rsidR="00DB20B2" w:rsidRPr="00DB20B2" w:rsidRDefault="00DB20B2" w:rsidP="00DB20B2">
      <w:pPr>
        <w:spacing w:after="0" w:line="240" w:lineRule="auto"/>
        <w:ind w:firstLine="708"/>
        <w:jc w:val="both"/>
        <w:rPr>
          <w:noProof/>
          <w:sz w:val="24"/>
          <w:szCs w:val="24"/>
          <w:lang w:eastAsia="ru-RU"/>
        </w:rPr>
      </w:pPr>
      <w:r w:rsidRPr="0086576D">
        <w:rPr>
          <w:rFonts w:ascii="Times New Roman" w:hAnsi="Times New Roman" w:cs="Times New Roman"/>
          <w:sz w:val="24"/>
          <w:szCs w:val="24"/>
        </w:rPr>
        <w:t xml:space="preserve">Проведенный анализ </w:t>
      </w:r>
      <w:r w:rsidR="0086576D" w:rsidRPr="0086576D">
        <w:rPr>
          <w:rFonts w:ascii="Times New Roman" w:hAnsi="Times New Roman" w:cs="Times New Roman"/>
          <w:sz w:val="24"/>
          <w:szCs w:val="24"/>
        </w:rPr>
        <w:t xml:space="preserve">методом множественной линейной регрессии </w:t>
      </w:r>
      <w:r w:rsidRPr="0086576D">
        <w:rPr>
          <w:rFonts w:ascii="Times New Roman" w:hAnsi="Times New Roman" w:cs="Times New Roman"/>
          <w:sz w:val="24"/>
          <w:szCs w:val="24"/>
        </w:rPr>
        <w:t>показал, что</w:t>
      </w:r>
      <w:r w:rsidRPr="00DB20B2">
        <w:rPr>
          <w:rFonts w:ascii="Times New Roman" w:hAnsi="Times New Roman" w:cs="Times New Roman"/>
          <w:sz w:val="24"/>
          <w:szCs w:val="24"/>
        </w:rPr>
        <w:t xml:space="preserve"> количество ВИЧ-инфицированных, регистрируемых в регионах России, связано с количеством городского населения в регионе, обеспеченностью амбулаторно-поликлиническими учреждениями, числом безработных и числом зарегистрированных преступлений несовершеннолетних (показатели перечислены в порядке возрастания силы связи).  Последние две характеристики (безработица и число зарегистрированных преступлений несовершеннолетних)  связаны между собой, что позволяет предположить, что и </w:t>
      </w:r>
      <w:bookmarkStart w:id="1" w:name="_GoBack"/>
      <w:r w:rsidRPr="00DB20B2">
        <w:rPr>
          <w:rFonts w:ascii="Times New Roman" w:hAnsi="Times New Roman" w:cs="Times New Roman"/>
          <w:sz w:val="24"/>
          <w:szCs w:val="24"/>
        </w:rPr>
        <w:t>распространение ВИЧ-инфекции, и рост молодежной преступности могут являться последствиями неблагоприятной ситуации на региональных рынках труда</w:t>
      </w:r>
      <w:bookmarkEnd w:id="1"/>
      <w:r w:rsidRPr="00DB20B2">
        <w:rPr>
          <w:rFonts w:ascii="Times New Roman" w:hAnsi="Times New Roman" w:cs="Times New Roman"/>
          <w:sz w:val="24"/>
          <w:szCs w:val="24"/>
        </w:rPr>
        <w:t>.</w:t>
      </w:r>
      <w:r w:rsidRPr="00DB20B2">
        <w:rPr>
          <w:noProof/>
          <w:sz w:val="24"/>
          <w:szCs w:val="24"/>
          <w:lang w:eastAsia="ru-RU"/>
        </w:rPr>
        <w:t xml:space="preserve"> </w:t>
      </w:r>
      <w:r w:rsidRPr="00DB20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20B2" w:rsidRPr="00DB20B2" w:rsidRDefault="00DB20B2" w:rsidP="00DB20B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B20B2" w:rsidRDefault="004D4820" w:rsidP="004D48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DDCE97B" wp14:editId="4EF6142F">
            <wp:extent cx="6010275" cy="258127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4D4820" w:rsidRDefault="004D4820" w:rsidP="00DB20B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D4820" w:rsidRPr="00DB20B2" w:rsidRDefault="004D4820" w:rsidP="00DB20B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2 </w:t>
      </w:r>
      <w:r w:rsidRPr="004D4820">
        <w:rPr>
          <w:rFonts w:ascii="Times New Roman" w:hAnsi="Times New Roman" w:cs="Times New Roman"/>
          <w:sz w:val="24"/>
          <w:szCs w:val="24"/>
        </w:rPr>
        <w:t xml:space="preserve">Связь численности пациентов </w:t>
      </w:r>
      <w:proofErr w:type="gramStart"/>
      <w:r w:rsidRPr="004D4820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4D4820">
        <w:rPr>
          <w:rFonts w:ascii="Times New Roman" w:hAnsi="Times New Roman" w:cs="Times New Roman"/>
          <w:sz w:val="24"/>
          <w:szCs w:val="24"/>
        </w:rPr>
        <w:t xml:space="preserve"> впервые </w:t>
      </w:r>
      <w:proofErr w:type="gramStart"/>
      <w:r w:rsidRPr="004D4820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D4820">
        <w:rPr>
          <w:rFonts w:ascii="Times New Roman" w:hAnsi="Times New Roman" w:cs="Times New Roman"/>
          <w:sz w:val="24"/>
          <w:szCs w:val="24"/>
        </w:rPr>
        <w:t xml:space="preserve"> жизни установленным диагнозом ВИЧ с численностью безработных в возрасте 15-72 лет</w:t>
      </w:r>
    </w:p>
    <w:p w:rsidR="00DB20B2" w:rsidRPr="00DB20B2" w:rsidRDefault="00DB20B2" w:rsidP="00DB20B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B20B2" w:rsidRPr="00DB20B2" w:rsidRDefault="00DB20B2" w:rsidP="00DB20B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D4820" w:rsidRDefault="004D4820" w:rsidP="004D48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5F588F3C" wp14:editId="637BDEB7">
            <wp:extent cx="5686425" cy="2762250"/>
            <wp:effectExtent l="0" t="0" r="9525" b="190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Pr="004D4820">
        <w:rPr>
          <w:rFonts w:eastAsiaTheme="majorEastAsia"/>
          <w:color w:val="000000" w:themeColor="text1"/>
          <w:kern w:val="24"/>
          <w:sz w:val="40"/>
          <w:szCs w:val="40"/>
        </w:rPr>
        <w:t xml:space="preserve"> </w:t>
      </w:r>
      <w:r w:rsidRPr="004D4820">
        <w:rPr>
          <w:rFonts w:ascii="Times New Roman" w:eastAsiaTheme="majorEastAsia" w:hAnsi="Times New Roman" w:cs="Times New Roman"/>
          <w:color w:val="000000" w:themeColor="text1"/>
          <w:kern w:val="24"/>
          <w:sz w:val="24"/>
          <w:szCs w:val="24"/>
        </w:rPr>
        <w:t xml:space="preserve">Рис. 3 </w:t>
      </w:r>
      <w:r w:rsidRPr="004D4820">
        <w:rPr>
          <w:rFonts w:ascii="Times New Roman" w:hAnsi="Times New Roman" w:cs="Times New Roman"/>
          <w:sz w:val="24"/>
          <w:szCs w:val="24"/>
        </w:rPr>
        <w:t xml:space="preserve">Связь численности пациентов </w:t>
      </w:r>
      <w:proofErr w:type="gramStart"/>
      <w:r w:rsidRPr="004D4820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4D4820">
        <w:rPr>
          <w:rFonts w:ascii="Times New Roman" w:hAnsi="Times New Roman" w:cs="Times New Roman"/>
          <w:sz w:val="24"/>
          <w:szCs w:val="24"/>
        </w:rPr>
        <w:t xml:space="preserve"> впервые </w:t>
      </w:r>
      <w:proofErr w:type="gramStart"/>
      <w:r w:rsidRPr="004D4820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D4820">
        <w:rPr>
          <w:rFonts w:ascii="Times New Roman" w:hAnsi="Times New Roman" w:cs="Times New Roman"/>
          <w:sz w:val="24"/>
          <w:szCs w:val="24"/>
        </w:rPr>
        <w:t xml:space="preserve"> жизни установленным диагнозом ВИЧ с числом зарегистрированных преступлений несовершеннолетних </w:t>
      </w:r>
    </w:p>
    <w:p w:rsidR="004D4820" w:rsidRDefault="004D4820" w:rsidP="00DB20B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B20B2" w:rsidRPr="00DB20B2" w:rsidRDefault="00DB20B2" w:rsidP="00AD62B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20B2">
        <w:rPr>
          <w:rFonts w:ascii="Times New Roman" w:hAnsi="Times New Roman" w:cs="Times New Roman"/>
          <w:sz w:val="24"/>
          <w:szCs w:val="24"/>
        </w:rPr>
        <w:t>Экономическое развитие региона, наличие адекватно оплачиваемой работы и социальных гарантий в случае безработицы оказывают влияние на индивидуальные трудовые стратегии, выстраиваемые экономически активными группами. Смещение начала трудовой карьеры в более ранние возрастные группы и</w:t>
      </w:r>
      <w:r w:rsidR="00AD62B5">
        <w:rPr>
          <w:rFonts w:ascii="Times New Roman" w:hAnsi="Times New Roman" w:cs="Times New Roman"/>
          <w:sz w:val="24"/>
          <w:szCs w:val="24"/>
        </w:rPr>
        <w:t xml:space="preserve"> </w:t>
      </w:r>
      <w:r w:rsidRPr="00DB20B2">
        <w:rPr>
          <w:rFonts w:ascii="Times New Roman" w:hAnsi="Times New Roman" w:cs="Times New Roman"/>
          <w:sz w:val="24"/>
          <w:szCs w:val="24"/>
        </w:rPr>
        <w:t xml:space="preserve">вынужденная миграция молодежи в крупные города, приводит к повышению вынужденных </w:t>
      </w:r>
      <w:proofErr w:type="spellStart"/>
      <w:r w:rsidRPr="00DB20B2">
        <w:rPr>
          <w:rFonts w:ascii="Times New Roman" w:hAnsi="Times New Roman" w:cs="Times New Roman"/>
          <w:sz w:val="24"/>
          <w:szCs w:val="24"/>
        </w:rPr>
        <w:t>девиантных</w:t>
      </w:r>
      <w:proofErr w:type="spellEnd"/>
      <w:r w:rsidRPr="00DB20B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B20B2">
        <w:rPr>
          <w:rFonts w:ascii="Times New Roman" w:hAnsi="Times New Roman" w:cs="Times New Roman"/>
          <w:sz w:val="24"/>
          <w:szCs w:val="24"/>
        </w:rPr>
        <w:t>делинквентных</w:t>
      </w:r>
      <w:proofErr w:type="spellEnd"/>
      <w:r w:rsidRPr="00DB20B2">
        <w:rPr>
          <w:rFonts w:ascii="Times New Roman" w:hAnsi="Times New Roman" w:cs="Times New Roman"/>
          <w:sz w:val="24"/>
          <w:szCs w:val="24"/>
        </w:rPr>
        <w:t xml:space="preserve"> практик, опосредующих рост распространения ВИЧ-инфекции в соответствующих демографических группах.</w:t>
      </w:r>
    </w:p>
    <w:p w:rsidR="00DB20B2" w:rsidRDefault="00DB20B2" w:rsidP="00DB20B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20B2">
        <w:rPr>
          <w:rFonts w:ascii="Times New Roman" w:hAnsi="Times New Roman" w:cs="Times New Roman"/>
          <w:sz w:val="24"/>
          <w:szCs w:val="24"/>
        </w:rPr>
        <w:t>Обнаруженная в ходе проведения исследования сильная связь между распространенностью ВИЧ и подростковой преступностью, которая, в свою очередь, связана с количеством безработных в регионе, может объясняться тенденциями наблюдаемыми криминалистами в сфере незаконного оборота наркотических средств. Общее число зарегистрированных преступлений несовершеннолетних, связанных с незаконным оборотом наркотиков, за период с 2010 по 2015 годы увеличилось на 28,6% [</w:t>
      </w:r>
      <w:r w:rsidR="00254025">
        <w:rPr>
          <w:rFonts w:ascii="Times New Roman" w:hAnsi="Times New Roman" w:cs="Times New Roman"/>
          <w:sz w:val="24"/>
          <w:szCs w:val="24"/>
        </w:rPr>
        <w:t>3</w:t>
      </w:r>
      <w:r w:rsidRPr="00DB20B2">
        <w:rPr>
          <w:rFonts w:ascii="Times New Roman" w:hAnsi="Times New Roman" w:cs="Times New Roman"/>
          <w:sz w:val="24"/>
          <w:szCs w:val="24"/>
        </w:rPr>
        <w:t xml:space="preserve">]. Отчасти это обусловлено ограничениями рынка труда и сложностью трудоустройства, особенно в экономически неблагополучных регионах. В условиях отсутствия барьеров для входа в дилерские сети и </w:t>
      </w:r>
      <w:proofErr w:type="gramStart"/>
      <w:r w:rsidRPr="00DB20B2">
        <w:rPr>
          <w:rFonts w:ascii="Times New Roman" w:hAnsi="Times New Roman" w:cs="Times New Roman"/>
          <w:sz w:val="24"/>
          <w:szCs w:val="24"/>
        </w:rPr>
        <w:t>наличия</w:t>
      </w:r>
      <w:proofErr w:type="gramEnd"/>
      <w:r w:rsidRPr="00DB20B2">
        <w:rPr>
          <w:rFonts w:ascii="Times New Roman" w:hAnsi="Times New Roman" w:cs="Times New Roman"/>
          <w:sz w:val="24"/>
          <w:szCs w:val="24"/>
        </w:rPr>
        <w:t xml:space="preserve"> налаженных внутри- и межрегиональных связей между организованными группами, участвующими в распространении наркотических средств, молодые люди пополняют число лиц, совершающих преступления в сфере производства, хранения, распространения и употребления наркотиков. Наибольшее число преступлений, совершаемых молодежью, регистрируется в городах, что связано с трудовой маятниковой миграцией и популяризацией бесконтактных схем распространения наркотиков.</w:t>
      </w:r>
    </w:p>
    <w:p w:rsidR="004D4820" w:rsidRPr="004D4820" w:rsidRDefault="004D4820" w:rsidP="004D48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sz w:val="24"/>
          <w:szCs w:val="24"/>
        </w:rPr>
        <w:t xml:space="preserve">Молодежь активно участвует не только в сбыте и изготовлении синтетических препаратов, но и в их употреблении: доля молодежи в возрасте от 14 до 30 лет среди </w:t>
      </w:r>
      <w:proofErr w:type="spellStart"/>
      <w:r w:rsidRPr="004D4820">
        <w:rPr>
          <w:rFonts w:ascii="Times New Roman" w:hAnsi="Times New Roman" w:cs="Times New Roman"/>
          <w:sz w:val="24"/>
          <w:szCs w:val="24"/>
        </w:rPr>
        <w:t>наркопотребителей</w:t>
      </w:r>
      <w:proofErr w:type="spellEnd"/>
      <w:r w:rsidRPr="004D4820">
        <w:rPr>
          <w:rFonts w:ascii="Times New Roman" w:hAnsi="Times New Roman" w:cs="Times New Roman"/>
          <w:sz w:val="24"/>
          <w:szCs w:val="24"/>
        </w:rPr>
        <w:t xml:space="preserve"> составляет 76%; растет число молодых людей, практикующих инъекционное введение наркотических препаратов, что увеличивает риски заболевания ВИЧ [</w:t>
      </w:r>
      <w:r w:rsidR="00254025">
        <w:rPr>
          <w:rFonts w:ascii="Times New Roman" w:hAnsi="Times New Roman" w:cs="Times New Roman"/>
          <w:sz w:val="24"/>
          <w:szCs w:val="24"/>
        </w:rPr>
        <w:t>4</w:t>
      </w:r>
      <w:r w:rsidRPr="004D4820">
        <w:rPr>
          <w:rFonts w:ascii="Times New Roman" w:hAnsi="Times New Roman" w:cs="Times New Roman"/>
          <w:sz w:val="24"/>
          <w:szCs w:val="24"/>
        </w:rPr>
        <w:t xml:space="preserve"> – </w:t>
      </w:r>
      <w:r w:rsidR="00254025">
        <w:rPr>
          <w:rFonts w:ascii="Times New Roman" w:hAnsi="Times New Roman" w:cs="Times New Roman"/>
          <w:sz w:val="24"/>
          <w:szCs w:val="24"/>
        </w:rPr>
        <w:t>7</w:t>
      </w:r>
      <w:r w:rsidRPr="004D4820">
        <w:rPr>
          <w:rFonts w:ascii="Times New Roman" w:hAnsi="Times New Roman" w:cs="Times New Roman"/>
          <w:sz w:val="24"/>
          <w:szCs w:val="24"/>
        </w:rPr>
        <w:t>].</w:t>
      </w:r>
    </w:p>
    <w:p w:rsidR="004D4820" w:rsidRPr="004D4820" w:rsidRDefault="004D4820" w:rsidP="004D48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D4820">
        <w:rPr>
          <w:rFonts w:ascii="Times New Roman" w:hAnsi="Times New Roman" w:cs="Times New Roman"/>
          <w:sz w:val="24"/>
          <w:szCs w:val="24"/>
        </w:rPr>
        <w:t xml:space="preserve">Результаты проведенного исследования позволяют согласиться с авторами, констатирующими, что  среди больных ВИЧ велика доля мужчин до 35 лет, проживающих в городах, в том числе, временно занятых или не работающих, употребляющих наркотические средства,  нарушающих законы страны и склонных к рискованному поведению по отношению к здоровью.  </w:t>
      </w:r>
    </w:p>
    <w:p w:rsidR="00093D9F" w:rsidRDefault="00093D9F" w:rsidP="0025402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3D9F" w:rsidRPr="00093D9F" w:rsidRDefault="00093D9F" w:rsidP="00093D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3D9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Выводы. </w:t>
      </w:r>
      <w:r w:rsidRPr="00093D9F">
        <w:rPr>
          <w:rFonts w:ascii="Times New Roman" w:hAnsi="Times New Roman" w:cs="Times New Roman"/>
          <w:sz w:val="24"/>
          <w:szCs w:val="24"/>
        </w:rPr>
        <w:t xml:space="preserve">Существующие региональные тренды распространения ВИЧ в Российской Федерации характеризуются выраженными различиями по многим параметрам </w:t>
      </w:r>
      <w:proofErr w:type="spellStart"/>
      <w:r w:rsidRPr="00093D9F">
        <w:rPr>
          <w:rFonts w:ascii="Times New Roman" w:hAnsi="Times New Roman" w:cs="Times New Roman"/>
          <w:sz w:val="24"/>
          <w:szCs w:val="24"/>
        </w:rPr>
        <w:t>макроконтекста</w:t>
      </w:r>
      <w:proofErr w:type="spellEnd"/>
      <w:r w:rsidRPr="00093D9F">
        <w:rPr>
          <w:rFonts w:ascii="Times New Roman" w:hAnsi="Times New Roman" w:cs="Times New Roman"/>
          <w:sz w:val="24"/>
          <w:szCs w:val="24"/>
        </w:rPr>
        <w:t xml:space="preserve"> – демографическим, социально-экономическим, социально-политическим (показателям доступности здравоохранения) и культурно-поведенческим. Значимое влияние на распространение заболевания оказывают последствия урбанизации, сопровождающейся увеличением доли городского населения, нестабильностью рынка труда и ростом потребностей в бесплатной медицинской помощи. </w:t>
      </w:r>
      <w:proofErr w:type="gramStart"/>
      <w:r w:rsidRPr="00093D9F">
        <w:rPr>
          <w:rFonts w:ascii="Times New Roman" w:hAnsi="Times New Roman" w:cs="Times New Roman"/>
          <w:sz w:val="24"/>
          <w:szCs w:val="24"/>
        </w:rPr>
        <w:t xml:space="preserve">Построение регрессионной модели, в которую были включены соответствующие характеристики регионов (удельный вес городского населения в общей численности населения, численность безработных в возрасте 15–72 лет, обеспеченность амбулаторно-поликлиническими учреждениями на 10 тысяч человек), позволило выявить, что именно эти факторы объясняют 22,0 % региональных различий в численности пациентов с впервые в жизни установленным диагнозом ВИЧ. </w:t>
      </w:r>
      <w:proofErr w:type="gramEnd"/>
    </w:p>
    <w:p w:rsidR="00093D9F" w:rsidRPr="00093D9F" w:rsidRDefault="00093D9F" w:rsidP="00093D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3D9F">
        <w:rPr>
          <w:rFonts w:ascii="Times New Roman" w:hAnsi="Times New Roman" w:cs="Times New Roman"/>
          <w:sz w:val="24"/>
          <w:szCs w:val="24"/>
        </w:rPr>
        <w:t xml:space="preserve">Вместе с тем урбанизация и интенсификация миграционных процессов приводят к изменению индивидуальных культурно-поведенческих стратегий, в том числе преступных, и практик, деструктивных по отношению к здоровью. Наибольшее число преступлений, совершаемых молодежью, регистрируется в городах, что связано с трудовой маятниковой миграцией, популяризацией бесконтактных схем распространения наркотиков и их употреблением. В результате построения регрессионной модели, включавшей в себя число зарегистрированных преступлений несовершеннолетних на 100 тысяч человек, выявлено, что этот фактор объясняет 35,2 % различий в численности пациентов </w:t>
      </w:r>
      <w:proofErr w:type="gramStart"/>
      <w:r w:rsidRPr="00093D9F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093D9F">
        <w:rPr>
          <w:rFonts w:ascii="Times New Roman" w:hAnsi="Times New Roman" w:cs="Times New Roman"/>
          <w:sz w:val="24"/>
          <w:szCs w:val="24"/>
        </w:rPr>
        <w:t xml:space="preserve"> впервые </w:t>
      </w:r>
      <w:proofErr w:type="gramStart"/>
      <w:r w:rsidRPr="00093D9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093D9F">
        <w:rPr>
          <w:rFonts w:ascii="Times New Roman" w:hAnsi="Times New Roman" w:cs="Times New Roman"/>
          <w:sz w:val="24"/>
          <w:szCs w:val="24"/>
        </w:rPr>
        <w:t xml:space="preserve"> жизни установленным диагнозом ВИЧ. </w:t>
      </w:r>
    </w:p>
    <w:p w:rsidR="00093D9F" w:rsidRPr="00093D9F" w:rsidRDefault="00093D9F" w:rsidP="00093D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3D9F">
        <w:rPr>
          <w:rFonts w:ascii="Times New Roman" w:hAnsi="Times New Roman" w:cs="Times New Roman"/>
          <w:sz w:val="24"/>
          <w:szCs w:val="24"/>
        </w:rPr>
        <w:t>Полученные результаты позволяют предположить, что распространение ВИЧ-инфекции в регионах России обусловлено, в первую очередь, демографическими и социально-экономическими явлениями и процессами, провоцирующими развитие специфических культурно-поведенческих детерминант болезни. Комплексное воздействие обозначенных факторов приводит к возникновению выраженных региональных неравен</w:t>
      </w:r>
      <w:proofErr w:type="gramStart"/>
      <w:r w:rsidRPr="00093D9F">
        <w:rPr>
          <w:rFonts w:ascii="Times New Roman" w:hAnsi="Times New Roman" w:cs="Times New Roman"/>
          <w:sz w:val="24"/>
          <w:szCs w:val="24"/>
        </w:rPr>
        <w:t>ств в зд</w:t>
      </w:r>
      <w:proofErr w:type="gramEnd"/>
      <w:r w:rsidRPr="00093D9F">
        <w:rPr>
          <w:rFonts w:ascii="Times New Roman" w:hAnsi="Times New Roman" w:cs="Times New Roman"/>
          <w:sz w:val="24"/>
          <w:szCs w:val="24"/>
        </w:rPr>
        <w:t xml:space="preserve">оровье и способствует сохранению проблемы инфекционной заболеваемости населения России. </w:t>
      </w:r>
    </w:p>
    <w:p w:rsidR="00093D9F" w:rsidRPr="00093D9F" w:rsidRDefault="00093D9F" w:rsidP="00093D9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4025" w:rsidRPr="00254025" w:rsidRDefault="00254025" w:rsidP="00254025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54025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254025" w:rsidRPr="00254025" w:rsidRDefault="00254025" w:rsidP="00254025">
      <w:pPr>
        <w:pStyle w:val="a3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54025">
        <w:rPr>
          <w:rFonts w:ascii="Times New Roman" w:hAnsi="Times New Roman" w:cs="Times New Roman"/>
          <w:sz w:val="24"/>
          <w:szCs w:val="24"/>
        </w:rPr>
        <w:t xml:space="preserve">Здравоохранение в России. Статистический сборник. Федеральная служба государственной статистики [Электронный ресурс] – 2019. – </w:t>
      </w:r>
      <w:r w:rsidRPr="00254025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Pr="00254025">
        <w:rPr>
          <w:rFonts w:ascii="Times New Roman" w:hAnsi="Times New Roman" w:cs="Times New Roman"/>
          <w:bCs/>
          <w:sz w:val="24"/>
          <w:szCs w:val="24"/>
        </w:rPr>
        <w:t>.:</w:t>
      </w:r>
      <w:r w:rsidRPr="00254025">
        <w:rPr>
          <w:rFonts w:ascii="Times New Roman" w:hAnsi="Times New Roman" w:cs="Times New Roman"/>
          <w:sz w:val="24"/>
          <w:szCs w:val="24"/>
        </w:rPr>
        <w:t xml:space="preserve"> </w:t>
      </w:r>
      <w:r w:rsidRPr="00254025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254025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254025">
        <w:rPr>
          <w:rFonts w:ascii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25402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54025">
        <w:rPr>
          <w:rFonts w:ascii="Times New Roman" w:hAnsi="Times New Roman" w:cs="Times New Roman"/>
          <w:sz w:val="24"/>
          <w:szCs w:val="24"/>
          <w:lang w:val="en-US"/>
        </w:rPr>
        <w:t>gov</w:t>
      </w:r>
      <w:proofErr w:type="spellEnd"/>
      <w:r w:rsidRPr="0025402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5402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54025">
        <w:rPr>
          <w:rFonts w:ascii="Times New Roman" w:hAnsi="Times New Roman" w:cs="Times New Roman"/>
          <w:sz w:val="24"/>
          <w:szCs w:val="24"/>
        </w:rPr>
        <w:t>/</w:t>
      </w:r>
      <w:r w:rsidRPr="00254025">
        <w:rPr>
          <w:rFonts w:ascii="Times New Roman" w:hAnsi="Times New Roman" w:cs="Times New Roman"/>
          <w:sz w:val="24"/>
          <w:szCs w:val="24"/>
          <w:lang w:val="en-US"/>
        </w:rPr>
        <w:t>storage</w:t>
      </w:r>
      <w:r w:rsidRPr="0025402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54025">
        <w:rPr>
          <w:rFonts w:ascii="Times New Roman" w:hAnsi="Times New Roman" w:cs="Times New Roman"/>
          <w:sz w:val="24"/>
          <w:szCs w:val="24"/>
          <w:lang w:val="en-US"/>
        </w:rPr>
        <w:t>mediabank</w:t>
      </w:r>
      <w:proofErr w:type="spellEnd"/>
      <w:r w:rsidRPr="0025402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54025">
        <w:rPr>
          <w:rFonts w:ascii="Times New Roman" w:hAnsi="Times New Roman" w:cs="Times New Roman"/>
          <w:sz w:val="24"/>
          <w:szCs w:val="24"/>
          <w:lang w:val="en-US"/>
        </w:rPr>
        <w:t>Zdravoohran</w:t>
      </w:r>
      <w:proofErr w:type="spellEnd"/>
      <w:r w:rsidRPr="00254025">
        <w:rPr>
          <w:rFonts w:ascii="Times New Roman" w:hAnsi="Times New Roman" w:cs="Times New Roman"/>
          <w:sz w:val="24"/>
          <w:szCs w:val="24"/>
        </w:rPr>
        <w:t>-2019.</w:t>
      </w:r>
      <w:r w:rsidRPr="00254025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2540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254025">
        <w:rPr>
          <w:rFonts w:ascii="Times New Roman" w:hAnsi="Times New Roman" w:cs="Times New Roman"/>
          <w:sz w:val="24"/>
          <w:szCs w:val="24"/>
        </w:rPr>
        <w:t xml:space="preserve">(Дата обращения </w:t>
      </w:r>
      <w:r w:rsidRPr="00254025">
        <w:rPr>
          <w:rFonts w:ascii="Times New Roman" w:hAnsi="Times New Roman"/>
          <w:sz w:val="24"/>
          <w:szCs w:val="24"/>
        </w:rPr>
        <w:t>01.03.2021</w:t>
      </w:r>
      <w:r w:rsidRPr="00254025">
        <w:rPr>
          <w:rFonts w:ascii="Times New Roman" w:hAnsi="Times New Roman" w:cs="Times New Roman"/>
          <w:sz w:val="24"/>
          <w:szCs w:val="24"/>
        </w:rPr>
        <w:t>)</w:t>
      </w:r>
    </w:p>
    <w:p w:rsidR="00254025" w:rsidRPr="00254025" w:rsidRDefault="00254025" w:rsidP="00254025">
      <w:pPr>
        <w:pStyle w:val="a6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54025">
        <w:rPr>
          <w:rFonts w:ascii="Times New Roman" w:hAnsi="Times New Roman"/>
          <w:sz w:val="24"/>
          <w:szCs w:val="24"/>
        </w:rPr>
        <w:t>Moran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D., </w:t>
      </w:r>
      <w:proofErr w:type="spellStart"/>
      <w:r w:rsidRPr="00254025">
        <w:rPr>
          <w:rFonts w:ascii="Times New Roman" w:hAnsi="Times New Roman"/>
          <w:sz w:val="24"/>
          <w:szCs w:val="24"/>
        </w:rPr>
        <w:t>Jordaan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J. A. HIV/AIDS </w:t>
      </w:r>
      <w:proofErr w:type="spellStart"/>
      <w:r w:rsidRPr="00254025">
        <w:rPr>
          <w:rFonts w:ascii="Times New Roman" w:hAnsi="Times New Roman"/>
          <w:sz w:val="24"/>
          <w:szCs w:val="24"/>
        </w:rPr>
        <w:t>in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Russia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254025">
        <w:rPr>
          <w:rFonts w:ascii="Times New Roman" w:hAnsi="Times New Roman"/>
          <w:sz w:val="24"/>
          <w:szCs w:val="24"/>
        </w:rPr>
        <w:t>determinants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of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regional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prevalence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//</w:t>
      </w:r>
      <w:proofErr w:type="spellStart"/>
      <w:r w:rsidRPr="00254025">
        <w:rPr>
          <w:rFonts w:ascii="Times New Roman" w:hAnsi="Times New Roman"/>
          <w:sz w:val="24"/>
          <w:szCs w:val="24"/>
        </w:rPr>
        <w:t>International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Journal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of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Health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54025">
        <w:rPr>
          <w:rFonts w:ascii="Times New Roman" w:hAnsi="Times New Roman"/>
          <w:sz w:val="24"/>
          <w:szCs w:val="24"/>
        </w:rPr>
        <w:t>Geographics</w:t>
      </w:r>
      <w:proofErr w:type="spellEnd"/>
      <w:r w:rsidRPr="00254025">
        <w:rPr>
          <w:rFonts w:ascii="Times New Roman" w:hAnsi="Times New Roman"/>
          <w:sz w:val="24"/>
          <w:szCs w:val="24"/>
        </w:rPr>
        <w:t>. – 2007. – Т. 6. – №. 1. – С.1</w:t>
      </w:r>
      <w:r w:rsidRPr="00254025">
        <w:rPr>
          <w:rFonts w:ascii="Times New Roman" w:hAnsi="Times New Roman"/>
          <w:sz w:val="24"/>
          <w:szCs w:val="24"/>
          <w:lang w:val="en-US"/>
        </w:rPr>
        <w:t>–</w:t>
      </w:r>
      <w:r w:rsidRPr="00254025">
        <w:rPr>
          <w:rFonts w:ascii="Times New Roman" w:hAnsi="Times New Roman"/>
          <w:sz w:val="24"/>
          <w:szCs w:val="24"/>
        </w:rPr>
        <w:t>9.</w:t>
      </w:r>
    </w:p>
    <w:p w:rsidR="00254025" w:rsidRPr="00254025" w:rsidRDefault="00254025" w:rsidP="00254025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54025">
        <w:rPr>
          <w:rFonts w:ascii="Times New Roman" w:hAnsi="Times New Roman" w:cs="Times New Roman"/>
          <w:sz w:val="24"/>
          <w:szCs w:val="24"/>
          <w:lang w:val="en-US"/>
        </w:rPr>
        <w:t xml:space="preserve">Cassel J. Social science theory as a source of hypotheses in epidemiological research // </w:t>
      </w:r>
      <w:r w:rsidRPr="00254025">
        <w:rPr>
          <w:rFonts w:ascii="Times New Roman" w:hAnsi="Times New Roman" w:cs="Times New Roman"/>
          <w:iCs/>
          <w:sz w:val="24"/>
          <w:szCs w:val="24"/>
          <w:lang w:val="en-US"/>
        </w:rPr>
        <w:t>American</w:t>
      </w:r>
      <w:r w:rsidRPr="002540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54025">
        <w:rPr>
          <w:rFonts w:ascii="Times New Roman" w:hAnsi="Times New Roman" w:cs="Times New Roman"/>
          <w:iCs/>
          <w:sz w:val="24"/>
          <w:szCs w:val="24"/>
          <w:lang w:val="en-US"/>
        </w:rPr>
        <w:t>Journal of Public Health and the Nation’s Health</w:t>
      </w:r>
      <w:r w:rsidRPr="00254025">
        <w:rPr>
          <w:rFonts w:ascii="Times New Roman" w:hAnsi="Times New Roman" w:cs="Times New Roman"/>
          <w:sz w:val="24"/>
          <w:szCs w:val="24"/>
          <w:lang w:val="en-US"/>
        </w:rPr>
        <w:t>. – 1964. – 54</w:t>
      </w:r>
      <w:proofErr w:type="gramStart"/>
      <w:r w:rsidRPr="00254025">
        <w:rPr>
          <w:rFonts w:ascii="Times New Roman" w:hAnsi="Times New Roman" w:cs="Times New Roman"/>
          <w:sz w:val="24"/>
          <w:szCs w:val="24"/>
          <w:lang w:val="en-US"/>
        </w:rPr>
        <w:t>( 9</w:t>
      </w:r>
      <w:proofErr w:type="gramEnd"/>
      <w:r w:rsidRPr="00254025">
        <w:rPr>
          <w:rFonts w:ascii="Times New Roman" w:hAnsi="Times New Roman" w:cs="Times New Roman"/>
          <w:sz w:val="24"/>
          <w:szCs w:val="24"/>
          <w:lang w:val="en-US"/>
        </w:rPr>
        <w:t xml:space="preserve">). – P.1482–1488. </w:t>
      </w:r>
    </w:p>
    <w:p w:rsidR="00254025" w:rsidRPr="00254025" w:rsidRDefault="00254025" w:rsidP="00254025">
      <w:pPr>
        <w:pStyle w:val="a6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254025">
        <w:rPr>
          <w:rFonts w:ascii="Times New Roman" w:hAnsi="Times New Roman"/>
          <w:sz w:val="24"/>
          <w:szCs w:val="24"/>
          <w:shd w:val="clear" w:color="auto" w:fill="FFFFFF"/>
        </w:rPr>
        <w:t>Ефимова А. А. Подростки и молодежь в сфере незаконного оборота наркотиков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254025">
        <w:rPr>
          <w:rFonts w:ascii="Times New Roman" w:hAnsi="Times New Roman"/>
          <w:sz w:val="24"/>
          <w:szCs w:val="24"/>
        </w:rPr>
        <w:t>[Электронный ресурс]</w:t>
      </w:r>
      <w:r w:rsidRPr="00254025">
        <w:rPr>
          <w:rFonts w:ascii="Times New Roman" w:hAnsi="Times New Roman"/>
          <w:sz w:val="24"/>
          <w:szCs w:val="24"/>
          <w:shd w:val="clear" w:color="auto" w:fill="FFFFFF"/>
        </w:rPr>
        <w:t>//Проблемы науки. – 2019. – №. 11 (47).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254025">
        <w:rPr>
          <w:rFonts w:ascii="Times New Roman" w:hAnsi="Times New Roman"/>
          <w:sz w:val="24"/>
          <w:szCs w:val="24"/>
        </w:rPr>
        <w:t xml:space="preserve">– </w:t>
      </w:r>
      <w:r w:rsidRPr="00254025">
        <w:rPr>
          <w:rFonts w:ascii="Times New Roman" w:hAnsi="Times New Roman"/>
          <w:bCs/>
          <w:sz w:val="24"/>
          <w:szCs w:val="24"/>
          <w:lang w:val="en-US"/>
        </w:rPr>
        <w:t>URL</w:t>
      </w:r>
      <w:r w:rsidRPr="00254025">
        <w:rPr>
          <w:rFonts w:ascii="Times New Roman" w:hAnsi="Times New Roman"/>
          <w:bCs/>
          <w:sz w:val="24"/>
          <w:szCs w:val="24"/>
        </w:rPr>
        <w:t>.:</w:t>
      </w:r>
      <w:r w:rsidRPr="00254025">
        <w:rPr>
          <w:rFonts w:ascii="Times New Roman" w:hAnsi="Times New Roman"/>
          <w:sz w:val="24"/>
          <w:szCs w:val="24"/>
        </w:rPr>
        <w:t xml:space="preserve"> 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https://scienceproblems.ru/images/PDF/2019/47/pn-11-47.pdf </w:t>
      </w:r>
      <w:r w:rsidRPr="00254025">
        <w:rPr>
          <w:rFonts w:ascii="Times New Roman" w:hAnsi="Times New Roman"/>
          <w:sz w:val="24"/>
          <w:szCs w:val="24"/>
        </w:rPr>
        <w:t xml:space="preserve">(дата обращения: </w:t>
      </w:r>
      <w:r w:rsidRPr="00254025">
        <w:rPr>
          <w:rFonts w:ascii="Times New Roman" w:hAnsi="Times New Roman"/>
          <w:sz w:val="24"/>
          <w:szCs w:val="24"/>
          <w:lang w:val="ru-RU"/>
        </w:rPr>
        <w:t>05</w:t>
      </w:r>
      <w:r w:rsidRPr="00254025">
        <w:rPr>
          <w:rFonts w:ascii="Times New Roman" w:hAnsi="Times New Roman"/>
          <w:sz w:val="24"/>
          <w:szCs w:val="24"/>
        </w:rPr>
        <w:t>.03.2021).</w:t>
      </w:r>
    </w:p>
    <w:p w:rsidR="00254025" w:rsidRPr="00254025" w:rsidRDefault="00254025" w:rsidP="00254025">
      <w:pPr>
        <w:pStyle w:val="a6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54025">
        <w:rPr>
          <w:rFonts w:ascii="Times New Roman" w:hAnsi="Times New Roman"/>
          <w:sz w:val="24"/>
          <w:szCs w:val="24"/>
        </w:rPr>
        <w:t>Лелеков</w:t>
      </w:r>
      <w:proofErr w:type="spellEnd"/>
      <w:r w:rsidRPr="00254025">
        <w:rPr>
          <w:rFonts w:ascii="Times New Roman" w:hAnsi="Times New Roman"/>
          <w:sz w:val="24"/>
          <w:szCs w:val="24"/>
        </w:rPr>
        <w:t xml:space="preserve"> В. А., Бородин А..Д. Демографические процессы и </w:t>
      </w:r>
      <w:r w:rsidRPr="00254025">
        <w:rPr>
          <w:rFonts w:ascii="Times New Roman" w:hAnsi="Times New Roman"/>
          <w:sz w:val="24"/>
          <w:szCs w:val="24"/>
          <w:lang w:val="ru-RU"/>
        </w:rPr>
        <w:t>преступность</w:t>
      </w:r>
      <w:r w:rsidRPr="00254025">
        <w:rPr>
          <w:rFonts w:ascii="Times New Roman" w:hAnsi="Times New Roman"/>
          <w:sz w:val="24"/>
          <w:szCs w:val="24"/>
        </w:rPr>
        <w:t>//В</w:t>
      </w:r>
      <w:r w:rsidRPr="00254025">
        <w:rPr>
          <w:rFonts w:ascii="Times New Roman" w:hAnsi="Times New Roman"/>
          <w:sz w:val="24"/>
          <w:szCs w:val="24"/>
          <w:lang w:val="ru-RU"/>
        </w:rPr>
        <w:t>естник</w:t>
      </w:r>
      <w:r w:rsidRPr="00254025">
        <w:rPr>
          <w:rFonts w:ascii="Times New Roman" w:hAnsi="Times New Roman"/>
          <w:sz w:val="24"/>
          <w:szCs w:val="24"/>
        </w:rPr>
        <w:t xml:space="preserve"> В</w:t>
      </w:r>
      <w:r w:rsidRPr="00254025">
        <w:rPr>
          <w:rFonts w:ascii="Times New Roman" w:hAnsi="Times New Roman"/>
          <w:sz w:val="24"/>
          <w:szCs w:val="24"/>
          <w:lang w:val="ru-RU"/>
        </w:rPr>
        <w:t>оронежского</w:t>
      </w:r>
      <w:r w:rsidRPr="00254025">
        <w:rPr>
          <w:rFonts w:ascii="Times New Roman" w:hAnsi="Times New Roman"/>
          <w:sz w:val="24"/>
          <w:szCs w:val="24"/>
        </w:rPr>
        <w:t xml:space="preserve"> И</w:t>
      </w:r>
      <w:r w:rsidRPr="00254025">
        <w:rPr>
          <w:rFonts w:ascii="Times New Roman" w:hAnsi="Times New Roman"/>
          <w:sz w:val="24"/>
          <w:szCs w:val="24"/>
          <w:lang w:val="ru-RU"/>
        </w:rPr>
        <w:t>нститута</w:t>
      </w:r>
      <w:r w:rsidRPr="00254025">
        <w:rPr>
          <w:rFonts w:ascii="Times New Roman" w:hAnsi="Times New Roman"/>
          <w:sz w:val="24"/>
          <w:szCs w:val="24"/>
        </w:rPr>
        <w:t xml:space="preserve"> ФСИН Р</w:t>
      </w:r>
      <w:r w:rsidRPr="00254025">
        <w:rPr>
          <w:rFonts w:ascii="Times New Roman" w:hAnsi="Times New Roman"/>
          <w:sz w:val="24"/>
          <w:szCs w:val="24"/>
          <w:lang w:val="ru-RU"/>
        </w:rPr>
        <w:t>оссии. –</w:t>
      </w:r>
      <w:r w:rsidRPr="00254025">
        <w:rPr>
          <w:rFonts w:ascii="Times New Roman" w:hAnsi="Times New Roman"/>
          <w:sz w:val="24"/>
          <w:szCs w:val="24"/>
        </w:rPr>
        <w:t xml:space="preserve"> 2019</w:t>
      </w:r>
      <w:r w:rsidRPr="00254025">
        <w:rPr>
          <w:rFonts w:ascii="Times New Roman" w:hAnsi="Times New Roman"/>
          <w:sz w:val="24"/>
          <w:szCs w:val="24"/>
          <w:lang w:val="ru-RU"/>
        </w:rPr>
        <w:t>.</w:t>
      </w:r>
      <w:r w:rsidRPr="00254025">
        <w:rPr>
          <w:rFonts w:ascii="Times New Roman" w:hAnsi="Times New Roman"/>
          <w:sz w:val="24"/>
          <w:szCs w:val="24"/>
        </w:rPr>
        <w:t xml:space="preserve"> </w:t>
      </w:r>
      <w:r w:rsidRPr="00254025">
        <w:rPr>
          <w:rFonts w:ascii="Times New Roman" w:hAnsi="Times New Roman"/>
          <w:sz w:val="24"/>
          <w:szCs w:val="24"/>
          <w:lang w:val="ru-RU"/>
        </w:rPr>
        <w:t xml:space="preserve">– </w:t>
      </w:r>
      <w:r w:rsidRPr="00254025">
        <w:rPr>
          <w:rFonts w:ascii="Times New Roman" w:hAnsi="Times New Roman"/>
          <w:sz w:val="24"/>
          <w:szCs w:val="24"/>
        </w:rPr>
        <w:t xml:space="preserve">№ 4. </w:t>
      </w:r>
      <w:r w:rsidRPr="00254025">
        <w:rPr>
          <w:rFonts w:ascii="Times New Roman" w:hAnsi="Times New Roman"/>
          <w:sz w:val="24"/>
          <w:szCs w:val="24"/>
          <w:lang w:val="ru-RU"/>
        </w:rPr>
        <w:t xml:space="preserve">– </w:t>
      </w:r>
      <w:r w:rsidRPr="00254025">
        <w:rPr>
          <w:rFonts w:ascii="Times New Roman" w:hAnsi="Times New Roman"/>
          <w:sz w:val="24"/>
          <w:szCs w:val="24"/>
        </w:rPr>
        <w:t>С.214-218</w:t>
      </w:r>
    </w:p>
    <w:p w:rsidR="00254025" w:rsidRPr="00254025" w:rsidRDefault="00254025" w:rsidP="00254025">
      <w:pPr>
        <w:pStyle w:val="a6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54025">
        <w:rPr>
          <w:rFonts w:ascii="Times New Roman" w:hAnsi="Times New Roman"/>
          <w:sz w:val="24"/>
          <w:szCs w:val="24"/>
        </w:rPr>
        <w:t>Лелеков</w:t>
      </w:r>
      <w:proofErr w:type="spellEnd"/>
      <w:r w:rsidRPr="00254025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254025">
        <w:rPr>
          <w:rFonts w:ascii="Times New Roman" w:hAnsi="Times New Roman"/>
          <w:sz w:val="24"/>
          <w:szCs w:val="24"/>
        </w:rPr>
        <w:t xml:space="preserve">В. А., Кошелева Е. В. </w:t>
      </w:r>
      <w:proofErr w:type="spellStart"/>
      <w:r w:rsidRPr="00254025">
        <w:rPr>
          <w:rFonts w:ascii="Times New Roman" w:hAnsi="Times New Roman"/>
          <w:sz w:val="24"/>
          <w:szCs w:val="24"/>
        </w:rPr>
        <w:t>Н</w:t>
      </w:r>
      <w:r w:rsidRPr="00254025">
        <w:rPr>
          <w:rFonts w:ascii="Times New Roman" w:hAnsi="Times New Roman"/>
          <w:sz w:val="24"/>
          <w:szCs w:val="24"/>
          <w:lang w:val="ru-RU"/>
        </w:rPr>
        <w:t>аркопреступность</w:t>
      </w:r>
      <w:proofErr w:type="spellEnd"/>
      <w:r w:rsidRPr="00254025">
        <w:rPr>
          <w:rFonts w:ascii="Times New Roman" w:hAnsi="Times New Roman"/>
          <w:sz w:val="24"/>
          <w:szCs w:val="24"/>
          <w:lang w:val="ru-RU"/>
        </w:rPr>
        <w:t xml:space="preserve"> и молодежь</w:t>
      </w:r>
      <w:r w:rsidRPr="00254025">
        <w:rPr>
          <w:rFonts w:ascii="Times New Roman" w:hAnsi="Times New Roman"/>
          <w:sz w:val="24"/>
          <w:szCs w:val="24"/>
        </w:rPr>
        <w:t>// В</w:t>
      </w:r>
      <w:r w:rsidRPr="00254025">
        <w:rPr>
          <w:rFonts w:ascii="Times New Roman" w:hAnsi="Times New Roman"/>
          <w:sz w:val="24"/>
          <w:szCs w:val="24"/>
          <w:lang w:val="ru-RU"/>
        </w:rPr>
        <w:t>естник</w:t>
      </w:r>
      <w:r w:rsidRPr="00254025">
        <w:rPr>
          <w:rFonts w:ascii="Times New Roman" w:hAnsi="Times New Roman"/>
          <w:sz w:val="24"/>
          <w:szCs w:val="24"/>
        </w:rPr>
        <w:t xml:space="preserve"> В</w:t>
      </w:r>
      <w:r w:rsidRPr="00254025">
        <w:rPr>
          <w:rFonts w:ascii="Times New Roman" w:hAnsi="Times New Roman"/>
          <w:sz w:val="24"/>
          <w:szCs w:val="24"/>
          <w:lang w:val="ru-RU"/>
        </w:rPr>
        <w:t>оронежского</w:t>
      </w:r>
      <w:r w:rsidRPr="00254025">
        <w:rPr>
          <w:rFonts w:ascii="Times New Roman" w:hAnsi="Times New Roman"/>
          <w:sz w:val="24"/>
          <w:szCs w:val="24"/>
        </w:rPr>
        <w:t xml:space="preserve"> И</w:t>
      </w:r>
      <w:r w:rsidRPr="00254025">
        <w:rPr>
          <w:rFonts w:ascii="Times New Roman" w:hAnsi="Times New Roman"/>
          <w:sz w:val="24"/>
          <w:szCs w:val="24"/>
          <w:lang w:val="ru-RU"/>
        </w:rPr>
        <w:t>нститута</w:t>
      </w:r>
      <w:r w:rsidRPr="00254025">
        <w:rPr>
          <w:rFonts w:ascii="Times New Roman" w:hAnsi="Times New Roman"/>
          <w:sz w:val="24"/>
          <w:szCs w:val="24"/>
        </w:rPr>
        <w:t xml:space="preserve"> ФСИН Р</w:t>
      </w:r>
      <w:r w:rsidRPr="00254025">
        <w:rPr>
          <w:rFonts w:ascii="Times New Roman" w:hAnsi="Times New Roman"/>
          <w:sz w:val="24"/>
          <w:szCs w:val="24"/>
          <w:lang w:val="ru-RU"/>
        </w:rPr>
        <w:t>оссии.</w:t>
      </w:r>
      <w:r w:rsidRPr="00254025">
        <w:rPr>
          <w:rFonts w:ascii="Times New Roman" w:hAnsi="Times New Roman"/>
          <w:sz w:val="24"/>
          <w:szCs w:val="24"/>
        </w:rPr>
        <w:t xml:space="preserve"> </w:t>
      </w:r>
      <w:r w:rsidRPr="00254025">
        <w:rPr>
          <w:rFonts w:ascii="Times New Roman" w:hAnsi="Times New Roman"/>
          <w:sz w:val="24"/>
          <w:szCs w:val="24"/>
          <w:lang w:val="ru-RU"/>
        </w:rPr>
        <w:t xml:space="preserve">– </w:t>
      </w:r>
      <w:r w:rsidRPr="00254025">
        <w:rPr>
          <w:rFonts w:ascii="Times New Roman" w:hAnsi="Times New Roman"/>
          <w:sz w:val="24"/>
          <w:szCs w:val="24"/>
        </w:rPr>
        <w:t>2016</w:t>
      </w:r>
      <w:r w:rsidRPr="00254025">
        <w:rPr>
          <w:rFonts w:ascii="Times New Roman" w:hAnsi="Times New Roman"/>
          <w:sz w:val="24"/>
          <w:szCs w:val="24"/>
          <w:lang w:val="ru-RU"/>
        </w:rPr>
        <w:t>. –</w:t>
      </w:r>
      <w:r w:rsidRPr="00254025">
        <w:rPr>
          <w:rFonts w:ascii="Times New Roman" w:hAnsi="Times New Roman"/>
          <w:sz w:val="24"/>
          <w:szCs w:val="24"/>
        </w:rPr>
        <w:t xml:space="preserve"> № 4.</w:t>
      </w:r>
      <w:r w:rsidRPr="00254025">
        <w:rPr>
          <w:rFonts w:ascii="Times New Roman" w:hAnsi="Times New Roman"/>
          <w:sz w:val="24"/>
          <w:szCs w:val="24"/>
          <w:lang w:val="ru-RU"/>
        </w:rPr>
        <w:t xml:space="preserve"> –</w:t>
      </w:r>
      <w:r w:rsidRPr="00254025">
        <w:rPr>
          <w:rFonts w:ascii="Times New Roman" w:hAnsi="Times New Roman"/>
          <w:sz w:val="24"/>
          <w:szCs w:val="24"/>
        </w:rPr>
        <w:t xml:space="preserve"> </w:t>
      </w:r>
      <w:r w:rsidRPr="00254025">
        <w:rPr>
          <w:rFonts w:ascii="Times New Roman" w:hAnsi="Times New Roman"/>
          <w:sz w:val="24"/>
          <w:szCs w:val="24"/>
          <w:lang w:val="ru-RU"/>
        </w:rPr>
        <w:t>С.</w:t>
      </w:r>
      <w:r w:rsidRPr="00254025">
        <w:rPr>
          <w:rFonts w:ascii="Times New Roman" w:hAnsi="Times New Roman"/>
          <w:sz w:val="24"/>
          <w:szCs w:val="24"/>
        </w:rPr>
        <w:t>164</w:t>
      </w:r>
      <w:r w:rsidRPr="00254025">
        <w:rPr>
          <w:rFonts w:ascii="Times New Roman" w:hAnsi="Times New Roman"/>
          <w:sz w:val="24"/>
          <w:szCs w:val="24"/>
          <w:lang w:val="ru-RU"/>
        </w:rPr>
        <w:t>–</w:t>
      </w:r>
      <w:r w:rsidRPr="00254025">
        <w:rPr>
          <w:rFonts w:ascii="Times New Roman" w:hAnsi="Times New Roman"/>
          <w:sz w:val="24"/>
          <w:szCs w:val="24"/>
        </w:rPr>
        <w:t>168</w:t>
      </w:r>
    </w:p>
    <w:p w:rsidR="00254025" w:rsidRPr="00254025" w:rsidRDefault="00254025" w:rsidP="00254025">
      <w:pPr>
        <w:pStyle w:val="a6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254025">
        <w:rPr>
          <w:rFonts w:ascii="Times New Roman" w:hAnsi="Times New Roman"/>
          <w:sz w:val="24"/>
          <w:szCs w:val="24"/>
          <w:shd w:val="clear" w:color="auto" w:fill="FFFFFF"/>
        </w:rPr>
        <w:t xml:space="preserve">Котельникова О. А. Наркотизм как социально-негативное явление. 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</w:rPr>
        <w:t>Краткии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</w:rPr>
        <w:t xml:space="preserve">̆ 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</w:rPr>
        <w:t>криминологическии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</w:rPr>
        <w:t xml:space="preserve">̆ анализ </w:t>
      </w:r>
      <w:r w:rsidRPr="00254025">
        <w:rPr>
          <w:rFonts w:ascii="Times New Roman" w:hAnsi="Times New Roman"/>
          <w:sz w:val="24"/>
          <w:szCs w:val="24"/>
        </w:rPr>
        <w:t>[Электронный ресурс]</w:t>
      </w:r>
      <w:r w:rsidRPr="00254025">
        <w:rPr>
          <w:rFonts w:ascii="Times New Roman" w:hAnsi="Times New Roman"/>
          <w:iCs/>
          <w:sz w:val="24"/>
          <w:szCs w:val="24"/>
        </w:rPr>
        <w:t xml:space="preserve"> </w:t>
      </w:r>
      <w:r w:rsidRPr="00254025">
        <w:rPr>
          <w:rFonts w:ascii="Times New Roman" w:hAnsi="Times New Roman"/>
          <w:sz w:val="24"/>
          <w:szCs w:val="24"/>
          <w:shd w:val="clear" w:color="auto" w:fill="FFFFFF"/>
        </w:rPr>
        <w:t>//Закон и право. – 2019. – № 9.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254025">
        <w:rPr>
          <w:rFonts w:ascii="Times New Roman" w:hAnsi="Times New Roman"/>
          <w:sz w:val="24"/>
          <w:szCs w:val="24"/>
          <w:shd w:val="clear" w:color="auto" w:fill="FFFFFF"/>
        </w:rPr>
        <w:t>–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254025">
        <w:rPr>
          <w:rFonts w:ascii="Times New Roman" w:hAnsi="Times New Roman"/>
          <w:bCs/>
          <w:sz w:val="24"/>
          <w:szCs w:val="24"/>
          <w:lang w:val="en-US"/>
        </w:rPr>
        <w:t>URL</w:t>
      </w:r>
      <w:r w:rsidRPr="00254025">
        <w:rPr>
          <w:rFonts w:ascii="Times New Roman" w:hAnsi="Times New Roman"/>
          <w:bCs/>
          <w:sz w:val="24"/>
          <w:szCs w:val="24"/>
        </w:rPr>
        <w:t>.:</w:t>
      </w:r>
      <w:r w:rsidRPr="00254025">
        <w:rPr>
          <w:rFonts w:ascii="Times New Roman" w:hAnsi="Times New Roman"/>
          <w:sz w:val="24"/>
          <w:szCs w:val="24"/>
        </w:rPr>
        <w:t xml:space="preserve"> 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https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://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cyberleninka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.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ru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/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article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/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n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/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narkotizm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kak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sotsialno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negativnoe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yavlenie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kratkii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kriminologicheskii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analiz</w:t>
      </w:r>
      <w:proofErr w:type="spellEnd"/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/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viewer</w:t>
      </w:r>
      <w:r w:rsidRPr="00254025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254025">
        <w:rPr>
          <w:rFonts w:ascii="Times New Roman" w:hAnsi="Times New Roman"/>
          <w:sz w:val="24"/>
          <w:szCs w:val="24"/>
        </w:rPr>
        <w:t xml:space="preserve">(дата обращения: </w:t>
      </w:r>
      <w:r w:rsidRPr="00254025">
        <w:rPr>
          <w:rFonts w:ascii="Times New Roman" w:hAnsi="Times New Roman"/>
          <w:sz w:val="24"/>
          <w:szCs w:val="24"/>
          <w:lang w:val="ru-RU"/>
        </w:rPr>
        <w:t>05</w:t>
      </w:r>
      <w:r w:rsidRPr="00254025">
        <w:rPr>
          <w:rFonts w:ascii="Times New Roman" w:hAnsi="Times New Roman"/>
          <w:sz w:val="24"/>
          <w:szCs w:val="24"/>
        </w:rPr>
        <w:t>.03.2021).</w:t>
      </w:r>
    </w:p>
    <w:p w:rsidR="004D4820" w:rsidRPr="00254025" w:rsidRDefault="004D4820" w:rsidP="002540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sz w:val="24"/>
          <w:szCs w:val="24"/>
        </w:rPr>
      </w:pPr>
    </w:p>
    <w:sectPr w:rsidR="004D4820" w:rsidRPr="002540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E832C4"/>
    <w:multiLevelType w:val="hybridMultilevel"/>
    <w:tmpl w:val="E49E1C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0B2"/>
    <w:rsid w:val="00093D9F"/>
    <w:rsid w:val="000D4455"/>
    <w:rsid w:val="0021560E"/>
    <w:rsid w:val="00254025"/>
    <w:rsid w:val="004D4820"/>
    <w:rsid w:val="00527254"/>
    <w:rsid w:val="0086576D"/>
    <w:rsid w:val="00AD62B5"/>
    <w:rsid w:val="00DB2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20B2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DB20B2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B2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B20B2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unhideWhenUsed/>
    <w:rsid w:val="00254025"/>
    <w:rPr>
      <w:rFonts w:ascii="Calibri" w:eastAsia="Times New Roman" w:hAnsi="Calibri" w:cs="Times New Roman"/>
      <w:sz w:val="20"/>
      <w:szCs w:val="20"/>
      <w:lang w:val="x-none" w:eastAsia="x-none"/>
    </w:rPr>
  </w:style>
  <w:style w:type="character" w:customStyle="1" w:styleId="a7">
    <w:name w:val="Текст сноски Знак"/>
    <w:basedOn w:val="a0"/>
    <w:link w:val="a6"/>
    <w:uiPriority w:val="99"/>
    <w:rsid w:val="00254025"/>
    <w:rPr>
      <w:rFonts w:ascii="Calibri" w:eastAsia="Times New Roman" w:hAnsi="Calibri" w:cs="Times New Roman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20B2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DB20B2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B2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B20B2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unhideWhenUsed/>
    <w:rsid w:val="00254025"/>
    <w:rPr>
      <w:rFonts w:ascii="Calibri" w:eastAsia="Times New Roman" w:hAnsi="Calibri" w:cs="Times New Roman"/>
      <w:sz w:val="20"/>
      <w:szCs w:val="20"/>
      <w:lang w:val="x-none" w:eastAsia="x-none"/>
    </w:rPr>
  </w:style>
  <w:style w:type="character" w:customStyle="1" w:styleId="a7">
    <w:name w:val="Текст сноски Знак"/>
    <w:basedOn w:val="a0"/>
    <w:link w:val="a6"/>
    <w:uiPriority w:val="99"/>
    <w:rsid w:val="00254025"/>
    <w:rPr>
      <w:rFonts w:ascii="Calibri" w:eastAsia="Times New Roman" w:hAnsi="Calibri" w:cs="Times New Roman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199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microsoft.com/office/2007/relationships/stylesWithEffects" Target="stylesWithEffect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9.8697385049091091E-2"/>
          <c:y val="5.3289653494736924E-2"/>
          <c:w val="0.86205087857330198"/>
          <c:h val="0.86702458761282297"/>
        </c:manualLayout>
      </c:layout>
      <c:scatterChart>
        <c:scatterStyle val="lineMarker"/>
        <c:varyColors val="0"/>
        <c:ser>
          <c:idx val="0"/>
          <c:order val="0"/>
          <c:tx>
            <c:strRef>
              <c:f>label 1</c:f>
              <c:strCache>
                <c:ptCount val="1"/>
                <c:pt idx="0">
                  <c:v>Столбец C</c:v>
                </c:pt>
              </c:strCache>
            </c:strRef>
          </c:tx>
          <c:spPr>
            <a:ln w="25560">
              <a:noFill/>
            </a:ln>
          </c:spPr>
          <c:marker>
            <c:symbol val="circle"/>
            <c:size val="5"/>
            <c:spPr>
              <a:solidFill>
                <a:srgbClr val="5B9BD5"/>
              </a:solidFill>
            </c:spPr>
          </c:marker>
          <c:dLbls>
            <c:txPr>
              <a:bodyPr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ru-RU"/>
              </a:p>
            </c:txPr>
            <c:dLblPos val="r"/>
            <c:showLegendKey val="0"/>
            <c:showVal val="0"/>
            <c:showCatName val="0"/>
            <c:showSerName val="0"/>
            <c:showPercent val="0"/>
            <c:showBubbleSize val="1"/>
            <c:separator>; </c:separator>
            <c:showLeaderLines val="0"/>
          </c:dLbls>
          <c:trendline>
            <c:spPr>
              <a:ln w="19080" cap="rnd">
                <a:solidFill>
                  <a:srgbClr val="5B9BD5"/>
                </a:solidFill>
                <a:prstDash val="sysDot"/>
                <a:round/>
              </a:ln>
            </c:spPr>
            <c:trendlineType val="linear"/>
            <c:dispRSqr val="1"/>
            <c:dispEq val="0"/>
            <c:trendlineLbl>
              <c:numFmt formatCode="General" sourceLinked="0"/>
            </c:trendlineLbl>
          </c:trendline>
          <c:xVal>
            <c:numRef>
              <c:f>0</c:f>
              <c:numCache>
                <c:formatCode>General</c:formatCode>
                <c:ptCount val="85"/>
                <c:pt idx="0">
                  <c:v>-0.23039000000000001</c:v>
                </c:pt>
                <c:pt idx="1">
                  <c:v>-0.75234999999999996</c:v>
                </c:pt>
                <c:pt idx="2">
                  <c:v>-1.5469999999999999E-2</c:v>
                </c:pt>
                <c:pt idx="3">
                  <c:v>0.23014999999999999</c:v>
                </c:pt>
                <c:pt idx="4">
                  <c:v>-8.7110000000000007E-2</c:v>
                </c:pt>
                <c:pt idx="5">
                  <c:v>0.79047999999999996</c:v>
                </c:pt>
                <c:pt idx="6">
                  <c:v>3.0036700000000001</c:v>
                </c:pt>
                <c:pt idx="7">
                  <c:v>2.32308</c:v>
                </c:pt>
                <c:pt idx="8">
                  <c:v>-1.035E-2</c:v>
                </c:pt>
                <c:pt idx="9">
                  <c:v>1.4301299999999999</c:v>
                </c:pt>
                <c:pt idx="10">
                  <c:v>-0.62441999999999998</c:v>
                </c:pt>
                <c:pt idx="11">
                  <c:v>-2.826E-2</c:v>
                </c:pt>
                <c:pt idx="12">
                  <c:v>-0.37367</c:v>
                </c:pt>
                <c:pt idx="13">
                  <c:v>-0.32762000000000002</c:v>
                </c:pt>
                <c:pt idx="14">
                  <c:v>0.24295</c:v>
                </c:pt>
                <c:pt idx="15">
                  <c:v>-0.3967</c:v>
                </c:pt>
                <c:pt idx="16">
                  <c:v>1.3124400000000001</c:v>
                </c:pt>
                <c:pt idx="17">
                  <c:v>5.8729999999999997E-2</c:v>
                </c:pt>
                <c:pt idx="18">
                  <c:v>2.3409900000000001</c:v>
                </c:pt>
                <c:pt idx="19">
                  <c:v>3.0573999999999999</c:v>
                </c:pt>
                <c:pt idx="20">
                  <c:v>-0.63976999999999995</c:v>
                </c:pt>
                <c:pt idx="21">
                  <c:v>-0.17921999999999999</c:v>
                </c:pt>
                <c:pt idx="22">
                  <c:v>-0.13317000000000001</c:v>
                </c:pt>
                <c:pt idx="23">
                  <c:v>-0.12548999999999999</c:v>
                </c:pt>
                <c:pt idx="24">
                  <c:v>-0.37367</c:v>
                </c:pt>
                <c:pt idx="25">
                  <c:v>1.42502</c:v>
                </c:pt>
                <c:pt idx="26">
                  <c:v>-0.19713</c:v>
                </c:pt>
                <c:pt idx="27">
                  <c:v>-0.13317000000000001</c:v>
                </c:pt>
                <c:pt idx="28">
                  <c:v>-0.80864000000000003</c:v>
                </c:pt>
                <c:pt idx="29">
                  <c:v>-0.51439999999999997</c:v>
                </c:pt>
                <c:pt idx="30">
                  <c:v>-0.53486999999999996</c:v>
                </c:pt>
                <c:pt idx="31">
                  <c:v>-0.24318999999999999</c:v>
                </c:pt>
                <c:pt idx="32">
                  <c:v>2.2514400000000001</c:v>
                </c:pt>
                <c:pt idx="33">
                  <c:v>-0.11269999999999999</c:v>
                </c:pt>
                <c:pt idx="34">
                  <c:v>1.6450499999999999</c:v>
                </c:pt>
                <c:pt idx="35">
                  <c:v>-7.6880000000000004E-2</c:v>
                </c:pt>
                <c:pt idx="36">
                  <c:v>-1.05938</c:v>
                </c:pt>
                <c:pt idx="37">
                  <c:v>1.0693699999999999</c:v>
                </c:pt>
                <c:pt idx="38">
                  <c:v>-0.49136999999999997</c:v>
                </c:pt>
                <c:pt idx="39">
                  <c:v>1.60412</c:v>
                </c:pt>
                <c:pt idx="40">
                  <c:v>-0.38902999999999999</c:v>
                </c:pt>
                <c:pt idx="41">
                  <c:v>-0.78561000000000003</c:v>
                </c:pt>
                <c:pt idx="42">
                  <c:v>-0.57579999999999998</c:v>
                </c:pt>
                <c:pt idx="43">
                  <c:v>-4.3619999999999999E-2</c:v>
                </c:pt>
                <c:pt idx="44">
                  <c:v>-0.92120999999999997</c:v>
                </c:pt>
                <c:pt idx="45">
                  <c:v>2.3972799999999999</c:v>
                </c:pt>
                <c:pt idx="46">
                  <c:v>-0.67303000000000002</c:v>
                </c:pt>
                <c:pt idx="47">
                  <c:v>0.13804</c:v>
                </c:pt>
                <c:pt idx="48">
                  <c:v>-0.77537</c:v>
                </c:pt>
                <c:pt idx="49">
                  <c:v>-0.35065000000000002</c:v>
                </c:pt>
                <c:pt idx="50">
                  <c:v>-0.36087999999999998</c:v>
                </c:pt>
                <c:pt idx="51">
                  <c:v>-8.455E-2</c:v>
                </c:pt>
                <c:pt idx="52">
                  <c:v>-0.74722999999999995</c:v>
                </c:pt>
                <c:pt idx="53">
                  <c:v>-0.2918</c:v>
                </c:pt>
                <c:pt idx="54">
                  <c:v>-1.04914</c:v>
                </c:pt>
                <c:pt idx="55">
                  <c:v>-0.65512000000000004</c:v>
                </c:pt>
                <c:pt idx="56">
                  <c:v>-0.31994</c:v>
                </c:pt>
                <c:pt idx="57">
                  <c:v>-0.71396999999999999</c:v>
                </c:pt>
                <c:pt idx="58">
                  <c:v>2.2105000000000001</c:v>
                </c:pt>
                <c:pt idx="59">
                  <c:v>-0.27133000000000002</c:v>
                </c:pt>
                <c:pt idx="60">
                  <c:v>0.82374999999999998</c:v>
                </c:pt>
                <c:pt idx="61">
                  <c:v>-1.0363500000000001</c:v>
                </c:pt>
                <c:pt idx="62">
                  <c:v>-0.54254000000000002</c:v>
                </c:pt>
                <c:pt idx="63">
                  <c:v>-0.69862000000000002</c:v>
                </c:pt>
                <c:pt idx="64">
                  <c:v>-0.24063000000000001</c:v>
                </c:pt>
                <c:pt idx="65">
                  <c:v>-0.53230999999999995</c:v>
                </c:pt>
                <c:pt idx="66">
                  <c:v>-0.56045</c:v>
                </c:pt>
                <c:pt idx="67">
                  <c:v>0.37087999999999999</c:v>
                </c:pt>
                <c:pt idx="68">
                  <c:v>0.94144000000000005</c:v>
                </c:pt>
                <c:pt idx="69">
                  <c:v>-0.83677999999999997</c:v>
                </c:pt>
                <c:pt idx="70">
                  <c:v>0.70604999999999996</c:v>
                </c:pt>
                <c:pt idx="71">
                  <c:v>0.30947000000000002</c:v>
                </c:pt>
                <c:pt idx="72">
                  <c:v>-0.70116999999999996</c:v>
                </c:pt>
                <c:pt idx="73">
                  <c:v>0.52439000000000002</c:v>
                </c:pt>
                <c:pt idx="74">
                  <c:v>-1.0107600000000001</c:v>
                </c:pt>
                <c:pt idx="75">
                  <c:v>-0.52463000000000004</c:v>
                </c:pt>
                <c:pt idx="76">
                  <c:v>-1.1821900000000001</c:v>
                </c:pt>
                <c:pt idx="77">
                  <c:v>-0.81630999999999998</c:v>
                </c:pt>
                <c:pt idx="78">
                  <c:v>6.1289999999999997E-2</c:v>
                </c:pt>
                <c:pt idx="79">
                  <c:v>-0.91610000000000003</c:v>
                </c:pt>
                <c:pt idx="80">
                  <c:v>-1.21289</c:v>
                </c:pt>
                <c:pt idx="81">
                  <c:v>-1.1668400000000001</c:v>
                </c:pt>
                <c:pt idx="82">
                  <c:v>-0.71396999999999999</c:v>
                </c:pt>
                <c:pt idx="83">
                  <c:v>-1.1745099999999999</c:v>
                </c:pt>
                <c:pt idx="84">
                  <c:v>7.664E-2</c:v>
                </c:pt>
              </c:numCache>
            </c:numRef>
          </c:xVal>
          <c:yVal>
            <c:numRef>
              <c:f>1</c:f>
              <c:numCache>
                <c:formatCode>General</c:formatCode>
                <c:ptCount val="85"/>
                <c:pt idx="0">
                  <c:v>9.6280000000000004E-2</c:v>
                </c:pt>
                <c:pt idx="1">
                  <c:v>1.5121800000000001</c:v>
                </c:pt>
                <c:pt idx="2">
                  <c:v>-1.1780299999999999</c:v>
                </c:pt>
                <c:pt idx="3">
                  <c:v>-1.0647500000000001</c:v>
                </c:pt>
                <c:pt idx="4">
                  <c:v>-0.44175999999999999</c:v>
                </c:pt>
                <c:pt idx="5">
                  <c:v>-0.47008</c:v>
                </c:pt>
                <c:pt idx="6">
                  <c:v>1.37059</c:v>
                </c:pt>
                <c:pt idx="7">
                  <c:v>2.0502199999999999</c:v>
                </c:pt>
                <c:pt idx="8">
                  <c:v>-1.03644</c:v>
                </c:pt>
                <c:pt idx="9">
                  <c:v>2.1634899999999999</c:v>
                </c:pt>
                <c:pt idx="10">
                  <c:v>-0.30016999999999999</c:v>
                </c:pt>
                <c:pt idx="11">
                  <c:v>-0.86653000000000002</c:v>
                </c:pt>
                <c:pt idx="12">
                  <c:v>-7.3630000000000001E-2</c:v>
                </c:pt>
                <c:pt idx="13">
                  <c:v>2.36172</c:v>
                </c:pt>
                <c:pt idx="14">
                  <c:v>-0.61167000000000005</c:v>
                </c:pt>
                <c:pt idx="15">
                  <c:v>-0.55503000000000002</c:v>
                </c:pt>
                <c:pt idx="16">
                  <c:v>0.71928000000000003</c:v>
                </c:pt>
                <c:pt idx="17">
                  <c:v>0.80423</c:v>
                </c:pt>
                <c:pt idx="18">
                  <c:v>1.08741</c:v>
                </c:pt>
                <c:pt idx="19">
                  <c:v>1.65377</c:v>
                </c:pt>
                <c:pt idx="20">
                  <c:v>-0.30016999999999999</c:v>
                </c:pt>
                <c:pt idx="21">
                  <c:v>-1.09307</c:v>
                </c:pt>
                <c:pt idx="22">
                  <c:v>-0.32849</c:v>
                </c:pt>
                <c:pt idx="23">
                  <c:v>-0.32849</c:v>
                </c:pt>
                <c:pt idx="24">
                  <c:v>-0.55503000000000002</c:v>
                </c:pt>
                <c:pt idx="25">
                  <c:v>1.08741</c:v>
                </c:pt>
                <c:pt idx="26">
                  <c:v>0.26618999999999998</c:v>
                </c:pt>
                <c:pt idx="27">
                  <c:v>0.86087000000000002</c:v>
                </c:pt>
                <c:pt idx="28">
                  <c:v>-0.30016999999999999</c:v>
                </c:pt>
                <c:pt idx="29">
                  <c:v>0.69096000000000002</c:v>
                </c:pt>
                <c:pt idx="30">
                  <c:v>-0.69662000000000002</c:v>
                </c:pt>
                <c:pt idx="31">
                  <c:v>-0.44175999999999999</c:v>
                </c:pt>
                <c:pt idx="32">
                  <c:v>0.86087000000000002</c:v>
                </c:pt>
                <c:pt idx="33">
                  <c:v>0.29450999999999999</c:v>
                </c:pt>
                <c:pt idx="34">
                  <c:v>-0.52671000000000001</c:v>
                </c:pt>
                <c:pt idx="35">
                  <c:v>-0.44175999999999999</c:v>
                </c:pt>
                <c:pt idx="36">
                  <c:v>-1.26298</c:v>
                </c:pt>
                <c:pt idx="37">
                  <c:v>0.71928000000000003</c:v>
                </c:pt>
                <c:pt idx="38">
                  <c:v>-0.44175999999999999</c:v>
                </c:pt>
                <c:pt idx="39">
                  <c:v>-0.35681000000000002</c:v>
                </c:pt>
                <c:pt idx="40">
                  <c:v>-0.83821000000000001</c:v>
                </c:pt>
                <c:pt idx="41">
                  <c:v>-0.47008</c:v>
                </c:pt>
                <c:pt idx="42">
                  <c:v>-0.69662000000000002</c:v>
                </c:pt>
                <c:pt idx="43">
                  <c:v>-0.89485000000000003</c:v>
                </c:pt>
                <c:pt idx="44">
                  <c:v>-0.72494000000000003</c:v>
                </c:pt>
                <c:pt idx="45">
                  <c:v>-1.2912999999999999</c:v>
                </c:pt>
                <c:pt idx="46">
                  <c:v>-0.55503000000000002</c:v>
                </c:pt>
                <c:pt idx="47">
                  <c:v>-0.95147999999999999</c:v>
                </c:pt>
                <c:pt idx="48">
                  <c:v>-1.1213900000000001</c:v>
                </c:pt>
                <c:pt idx="49">
                  <c:v>-0.44175999999999999</c:v>
                </c:pt>
                <c:pt idx="50">
                  <c:v>0.29450999999999999</c:v>
                </c:pt>
                <c:pt idx="51">
                  <c:v>2.0785399999999998</c:v>
                </c:pt>
                <c:pt idx="52">
                  <c:v>-0.66830000000000001</c:v>
                </c:pt>
                <c:pt idx="53">
                  <c:v>0.1246</c:v>
                </c:pt>
                <c:pt idx="54">
                  <c:v>-0.63998999999999995</c:v>
                </c:pt>
                <c:pt idx="55">
                  <c:v>-0.41343999999999997</c:v>
                </c:pt>
                <c:pt idx="56">
                  <c:v>-0.61167000000000005</c:v>
                </c:pt>
                <c:pt idx="57">
                  <c:v>-0.18690000000000001</c:v>
                </c:pt>
                <c:pt idx="58">
                  <c:v>-0.30016999999999999</c:v>
                </c:pt>
                <c:pt idx="59">
                  <c:v>-0.72494000000000003</c:v>
                </c:pt>
                <c:pt idx="60">
                  <c:v>-0.24353</c:v>
                </c:pt>
                <c:pt idx="61">
                  <c:v>-0.32849</c:v>
                </c:pt>
                <c:pt idx="62">
                  <c:v>-0.66830000000000001</c:v>
                </c:pt>
                <c:pt idx="63">
                  <c:v>-0.21521999999999999</c:v>
                </c:pt>
                <c:pt idx="64">
                  <c:v>-4.5310000000000003E-2</c:v>
                </c:pt>
                <c:pt idx="65">
                  <c:v>-0.80989</c:v>
                </c:pt>
                <c:pt idx="66">
                  <c:v>-0.41343999999999997</c:v>
                </c:pt>
                <c:pt idx="67">
                  <c:v>1.82368</c:v>
                </c:pt>
                <c:pt idx="68">
                  <c:v>-0.27184999999999998</c:v>
                </c:pt>
                <c:pt idx="69">
                  <c:v>-0.69662000000000002</c:v>
                </c:pt>
                <c:pt idx="70">
                  <c:v>-1.6990000000000002E-2</c:v>
                </c:pt>
                <c:pt idx="71">
                  <c:v>-0.13025999999999999</c:v>
                </c:pt>
                <c:pt idx="72">
                  <c:v>0.66264000000000001</c:v>
                </c:pt>
                <c:pt idx="73">
                  <c:v>0.88917999999999997</c:v>
                </c:pt>
                <c:pt idx="74">
                  <c:v>0.60599999999999998</c:v>
                </c:pt>
                <c:pt idx="75">
                  <c:v>3.15462</c:v>
                </c:pt>
                <c:pt idx="76">
                  <c:v>-0.66830000000000001</c:v>
                </c:pt>
                <c:pt idx="77">
                  <c:v>-4.5310000000000003E-2</c:v>
                </c:pt>
                <c:pt idx="78">
                  <c:v>0.32282</c:v>
                </c:pt>
                <c:pt idx="79">
                  <c:v>-0.80989</c:v>
                </c:pt>
                <c:pt idx="80">
                  <c:v>-0.92317000000000005</c:v>
                </c:pt>
                <c:pt idx="81">
                  <c:v>3.2962099999999999</c:v>
                </c:pt>
                <c:pt idx="82">
                  <c:v>-0.52671000000000001</c:v>
                </c:pt>
                <c:pt idx="83">
                  <c:v>1.14405</c:v>
                </c:pt>
                <c:pt idx="84">
                  <c:v>-0.9798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3689088"/>
        <c:axId val="153691264"/>
      </c:scatterChart>
      <c:valAx>
        <c:axId val="153689088"/>
        <c:scaling>
          <c:orientation val="minMax"/>
        </c:scaling>
        <c:delete val="0"/>
        <c:axPos val="b"/>
        <c:majorGridlines>
          <c:spPr>
            <a:ln w="9360">
              <a:solidFill>
                <a:srgbClr val="D9D9D9"/>
              </a:solidFill>
              <a:round/>
            </a:ln>
          </c:spPr>
        </c:majorGridlines>
        <c:title>
          <c:tx>
            <c:rich>
              <a:bodyPr rot="0"/>
              <a:lstStyle/>
              <a:p>
                <a:pPr>
                  <a:defRPr lang="en-US" sz="1200" b="0" strike="noStrike" spc="-1">
                    <a:solidFill>
                      <a:srgbClr val="595959"/>
                    </a:solidFill>
                    <a:latin typeface="Calibri"/>
                  </a:defRPr>
                </a:pPr>
                <a:r>
                  <a:rPr lang="en-US" sz="1200" b="0" strike="noStrike" spc="-1">
                    <a:solidFill>
                      <a:srgbClr val="595959"/>
                    </a:solidFill>
                    <a:latin typeface="Calibri"/>
                  </a:rPr>
                  <a:t>Zscore: численность безработных в возрасте 15-72 лет</a:t>
                </a:r>
              </a:p>
            </c:rich>
          </c:tx>
          <c:overlay val="0"/>
          <c:spPr>
            <a:noFill/>
            <a:ln>
              <a:noFill/>
            </a:ln>
          </c:spPr>
        </c:title>
        <c:numFmt formatCode="General" sourceLinked="0"/>
        <c:majorTickMark val="none"/>
        <c:minorTickMark val="none"/>
        <c:tickLblPos val="nextTo"/>
        <c:spPr>
          <a:ln w="9360">
            <a:solidFill>
              <a:srgbClr val="BFBFBF"/>
            </a:solidFill>
            <a:round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ru-RU"/>
          </a:p>
        </c:txPr>
        <c:crossAx val="153691264"/>
        <c:crosses val="autoZero"/>
        <c:crossBetween val="midCat"/>
      </c:valAx>
      <c:valAx>
        <c:axId val="153691264"/>
        <c:scaling>
          <c:orientation val="minMax"/>
        </c:scaling>
        <c:delete val="0"/>
        <c:axPos val="l"/>
        <c:majorGridlines>
          <c:spPr>
            <a:ln w="9360">
              <a:solidFill>
                <a:srgbClr val="D9D9D9"/>
              </a:solidFill>
              <a:round/>
            </a:ln>
          </c:spPr>
        </c:majorGridlines>
        <c:title>
          <c:tx>
            <c:rich>
              <a:bodyPr rot="-5400000"/>
              <a:lstStyle/>
              <a:p>
                <a:pPr>
                  <a:defRPr lang="en-US" sz="1100" b="0" strike="noStrike" spc="-1">
                    <a:solidFill>
                      <a:srgbClr val="595959"/>
                    </a:solidFill>
                    <a:latin typeface="Calibri"/>
                  </a:defRPr>
                </a:pPr>
                <a:r>
                  <a:rPr lang="en-US" sz="1100" b="0" strike="noStrike" spc="-1">
                    <a:solidFill>
                      <a:srgbClr val="595959"/>
                    </a:solidFill>
                    <a:latin typeface="Calibri"/>
                  </a:rPr>
                  <a:t>Zscore: численность пациентов с впервые в жизни
 установленным диагнозом ВИЧ на 100000 населения </a:t>
                </a:r>
              </a:p>
            </c:rich>
          </c:tx>
          <c:overlay val="0"/>
          <c:spPr>
            <a:noFill/>
            <a:ln>
              <a:noFill/>
            </a:ln>
          </c:spPr>
        </c:title>
        <c:numFmt formatCode="General" sourceLinked="0"/>
        <c:majorTickMark val="none"/>
        <c:minorTickMark val="none"/>
        <c:tickLblPos val="nextTo"/>
        <c:spPr>
          <a:ln w="9360">
            <a:solidFill>
              <a:srgbClr val="BFBFBF"/>
            </a:solidFill>
            <a:round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ru-RU"/>
          </a:p>
        </c:txPr>
        <c:crossAx val="153689088"/>
        <c:crosses val="autoZero"/>
        <c:crossBetween val="midCat"/>
      </c:valAx>
      <c:spPr>
        <a:noFill/>
        <a:ln>
          <a:noFill/>
        </a:ln>
      </c:spPr>
    </c:plotArea>
    <c:plotVisOnly val="1"/>
    <c:dispBlanksAs val="gap"/>
    <c:showDLblsOverMax val="1"/>
  </c:chart>
  <c:spPr>
    <a:solidFill>
      <a:srgbClr val="FFFFFF"/>
    </a:solidFill>
    <a:ln w="9360">
      <a:solidFill>
        <a:srgbClr val="D9D9D9"/>
      </a:solidFill>
      <a:round/>
    </a:ln>
  </c:spPr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4812499999999999E-2"/>
          <c:y val="2.5888888888888899E-2"/>
          <c:w val="0.88400000000000001"/>
          <c:h val="0.822888888888889"/>
        </c:manualLayout>
      </c:layout>
      <c:scatterChart>
        <c:scatterStyle val="lineMarker"/>
        <c:varyColors val="0"/>
        <c:ser>
          <c:idx val="0"/>
          <c:order val="0"/>
          <c:tx>
            <c:strRef>
              <c:f>label 1</c:f>
              <c:strCache>
                <c:ptCount val="1"/>
                <c:pt idx="0">
                  <c:v>Серия2</c:v>
                </c:pt>
              </c:strCache>
            </c:strRef>
          </c:tx>
          <c:spPr>
            <a:ln w="25560">
              <a:noFill/>
            </a:ln>
          </c:spPr>
          <c:marker>
            <c:symbol val="circle"/>
            <c:size val="5"/>
            <c:spPr>
              <a:solidFill>
                <a:srgbClr val="5B9BD5"/>
              </a:solidFill>
            </c:spPr>
          </c:marker>
          <c:dLbls>
            <c:txPr>
              <a:bodyPr/>
              <a:lstStyle/>
              <a:p>
                <a:pPr>
                  <a:defRPr sz="1000" b="0" strike="noStrike" spc="-1">
                    <a:solidFill>
                      <a:srgbClr val="000000"/>
                    </a:solidFill>
                    <a:latin typeface="Calibri"/>
                  </a:defRPr>
                </a:pPr>
                <a:endParaRPr lang="ru-RU"/>
              </a:p>
            </c:txPr>
            <c:dLblPos val="r"/>
            <c:showLegendKey val="0"/>
            <c:showVal val="0"/>
            <c:showCatName val="0"/>
            <c:showSerName val="0"/>
            <c:showPercent val="0"/>
            <c:showBubbleSize val="1"/>
            <c:separator>; </c:separator>
            <c:showLeaderLines val="0"/>
          </c:dLbls>
          <c:trendline>
            <c:spPr>
              <a:ln w="19080" cap="rnd">
                <a:solidFill>
                  <a:srgbClr val="5B9BD5"/>
                </a:solidFill>
                <a:prstDash val="sysDot"/>
                <a:round/>
              </a:ln>
            </c:spPr>
            <c:trendlineType val="linear"/>
            <c:dispRSqr val="1"/>
            <c:dispEq val="0"/>
            <c:trendlineLbl>
              <c:numFmt formatCode="General" sourceLinked="0"/>
            </c:trendlineLbl>
          </c:trendline>
          <c:xVal>
            <c:numRef>
              <c:f>1</c:f>
              <c:numCache>
                <c:formatCode>General</c:formatCode>
                <c:ptCount val="85"/>
                <c:pt idx="0">
                  <c:v>-0.23039000000000001</c:v>
                </c:pt>
                <c:pt idx="1">
                  <c:v>-0.75234999999999996</c:v>
                </c:pt>
                <c:pt idx="2">
                  <c:v>-1.5469999999999999E-2</c:v>
                </c:pt>
                <c:pt idx="3">
                  <c:v>0.23014999999999999</c:v>
                </c:pt>
                <c:pt idx="4">
                  <c:v>-8.7110000000000007E-2</c:v>
                </c:pt>
                <c:pt idx="5">
                  <c:v>0.79047999999999996</c:v>
                </c:pt>
                <c:pt idx="6">
                  <c:v>3.0036700000000001</c:v>
                </c:pt>
                <c:pt idx="7">
                  <c:v>2.32308</c:v>
                </c:pt>
                <c:pt idx="8">
                  <c:v>-1.035E-2</c:v>
                </c:pt>
                <c:pt idx="9">
                  <c:v>1.4301299999999999</c:v>
                </c:pt>
                <c:pt idx="10">
                  <c:v>-0.62441999999999998</c:v>
                </c:pt>
                <c:pt idx="11">
                  <c:v>-2.826E-2</c:v>
                </c:pt>
                <c:pt idx="12">
                  <c:v>-0.37367</c:v>
                </c:pt>
                <c:pt idx="13">
                  <c:v>-0.32762000000000002</c:v>
                </c:pt>
                <c:pt idx="14">
                  <c:v>0.24295</c:v>
                </c:pt>
                <c:pt idx="15">
                  <c:v>-0.3967</c:v>
                </c:pt>
                <c:pt idx="16">
                  <c:v>1.3124400000000001</c:v>
                </c:pt>
                <c:pt idx="17">
                  <c:v>5.8729999999999997E-2</c:v>
                </c:pt>
                <c:pt idx="18">
                  <c:v>2.3409900000000001</c:v>
                </c:pt>
                <c:pt idx="19">
                  <c:v>3.0573999999999999</c:v>
                </c:pt>
                <c:pt idx="20">
                  <c:v>-0.63976999999999995</c:v>
                </c:pt>
                <c:pt idx="21">
                  <c:v>-0.17921999999999999</c:v>
                </c:pt>
                <c:pt idx="22">
                  <c:v>-0.13317000000000001</c:v>
                </c:pt>
                <c:pt idx="23">
                  <c:v>-0.12548999999999999</c:v>
                </c:pt>
                <c:pt idx="24">
                  <c:v>-0.37367</c:v>
                </c:pt>
                <c:pt idx="25">
                  <c:v>1.42502</c:v>
                </c:pt>
                <c:pt idx="26">
                  <c:v>-0.19713</c:v>
                </c:pt>
                <c:pt idx="27">
                  <c:v>-0.13317000000000001</c:v>
                </c:pt>
                <c:pt idx="28">
                  <c:v>-0.80864000000000003</c:v>
                </c:pt>
                <c:pt idx="29">
                  <c:v>-0.51439999999999997</c:v>
                </c:pt>
                <c:pt idx="30">
                  <c:v>-0.53486999999999996</c:v>
                </c:pt>
                <c:pt idx="31">
                  <c:v>-0.24318999999999999</c:v>
                </c:pt>
                <c:pt idx="32">
                  <c:v>2.2514400000000001</c:v>
                </c:pt>
                <c:pt idx="33">
                  <c:v>-0.11269999999999999</c:v>
                </c:pt>
                <c:pt idx="34">
                  <c:v>1.6450499999999999</c:v>
                </c:pt>
                <c:pt idx="35">
                  <c:v>-7.6880000000000004E-2</c:v>
                </c:pt>
                <c:pt idx="36">
                  <c:v>-1.05938</c:v>
                </c:pt>
                <c:pt idx="37">
                  <c:v>1.0693699999999999</c:v>
                </c:pt>
                <c:pt idx="38">
                  <c:v>-0.49136999999999997</c:v>
                </c:pt>
                <c:pt idx="39">
                  <c:v>1.60412</c:v>
                </c:pt>
                <c:pt idx="40">
                  <c:v>-0.38902999999999999</c:v>
                </c:pt>
                <c:pt idx="41">
                  <c:v>-0.78561000000000003</c:v>
                </c:pt>
                <c:pt idx="42">
                  <c:v>-0.57579999999999998</c:v>
                </c:pt>
                <c:pt idx="43">
                  <c:v>-4.3619999999999999E-2</c:v>
                </c:pt>
                <c:pt idx="44">
                  <c:v>-0.92120999999999997</c:v>
                </c:pt>
                <c:pt idx="45">
                  <c:v>2.3972799999999999</c:v>
                </c:pt>
                <c:pt idx="46">
                  <c:v>-0.67303000000000002</c:v>
                </c:pt>
                <c:pt idx="47">
                  <c:v>0.13804</c:v>
                </c:pt>
                <c:pt idx="48">
                  <c:v>-0.77537</c:v>
                </c:pt>
                <c:pt idx="49">
                  <c:v>-0.35065000000000002</c:v>
                </c:pt>
                <c:pt idx="50">
                  <c:v>-0.36087999999999998</c:v>
                </c:pt>
                <c:pt idx="51">
                  <c:v>-8.455E-2</c:v>
                </c:pt>
                <c:pt idx="52">
                  <c:v>-0.74722999999999995</c:v>
                </c:pt>
                <c:pt idx="53">
                  <c:v>-0.2918</c:v>
                </c:pt>
                <c:pt idx="54">
                  <c:v>-1.04914</c:v>
                </c:pt>
                <c:pt idx="55">
                  <c:v>-0.65512000000000004</c:v>
                </c:pt>
                <c:pt idx="56">
                  <c:v>-0.31994</c:v>
                </c:pt>
                <c:pt idx="57">
                  <c:v>-0.71396999999999999</c:v>
                </c:pt>
                <c:pt idx="58">
                  <c:v>2.2105000000000001</c:v>
                </c:pt>
                <c:pt idx="59">
                  <c:v>-0.27133000000000002</c:v>
                </c:pt>
                <c:pt idx="60">
                  <c:v>0.82374999999999998</c:v>
                </c:pt>
                <c:pt idx="61">
                  <c:v>-1.0363500000000001</c:v>
                </c:pt>
                <c:pt idx="62">
                  <c:v>-0.54254000000000002</c:v>
                </c:pt>
                <c:pt idx="63">
                  <c:v>-0.69862000000000002</c:v>
                </c:pt>
                <c:pt idx="64">
                  <c:v>-0.24063000000000001</c:v>
                </c:pt>
                <c:pt idx="65">
                  <c:v>-0.53230999999999995</c:v>
                </c:pt>
                <c:pt idx="66">
                  <c:v>-0.56045</c:v>
                </c:pt>
                <c:pt idx="67">
                  <c:v>0.37087999999999999</c:v>
                </c:pt>
                <c:pt idx="68">
                  <c:v>0.94144000000000005</c:v>
                </c:pt>
                <c:pt idx="69">
                  <c:v>-0.83677999999999997</c:v>
                </c:pt>
                <c:pt idx="70">
                  <c:v>0.70604999999999996</c:v>
                </c:pt>
                <c:pt idx="71">
                  <c:v>0.30947000000000002</c:v>
                </c:pt>
                <c:pt idx="72">
                  <c:v>-0.70116999999999996</c:v>
                </c:pt>
                <c:pt idx="73">
                  <c:v>0.52439000000000002</c:v>
                </c:pt>
                <c:pt idx="74">
                  <c:v>-1.0107600000000001</c:v>
                </c:pt>
                <c:pt idx="75">
                  <c:v>-0.52463000000000004</c:v>
                </c:pt>
                <c:pt idx="76">
                  <c:v>-1.1821900000000001</c:v>
                </c:pt>
                <c:pt idx="77">
                  <c:v>-0.81630999999999998</c:v>
                </c:pt>
                <c:pt idx="78">
                  <c:v>6.1289999999999997E-2</c:v>
                </c:pt>
                <c:pt idx="79">
                  <c:v>-0.91610000000000003</c:v>
                </c:pt>
                <c:pt idx="80">
                  <c:v>-1.21289</c:v>
                </c:pt>
                <c:pt idx="81">
                  <c:v>-1.1668400000000001</c:v>
                </c:pt>
                <c:pt idx="82">
                  <c:v>-0.71396999999999999</c:v>
                </c:pt>
                <c:pt idx="83">
                  <c:v>-1.1745099999999999</c:v>
                </c:pt>
                <c:pt idx="84">
                  <c:v>7.664E-2</c:v>
                </c:pt>
              </c:numCache>
            </c:numRef>
          </c:xVal>
          <c:yVal>
            <c:numRef>
              <c:f>0</c:f>
              <c:numCache>
                <c:formatCode>General</c:formatCode>
                <c:ptCount val="85"/>
                <c:pt idx="0">
                  <c:v>0.1048</c:v>
                </c:pt>
                <c:pt idx="1">
                  <c:v>8.3809999999999996E-2</c:v>
                </c:pt>
                <c:pt idx="2">
                  <c:v>-0.94020999999999999</c:v>
                </c:pt>
                <c:pt idx="3">
                  <c:v>-1.1034900000000001</c:v>
                </c:pt>
                <c:pt idx="4">
                  <c:v>-0.61597000000000002</c:v>
                </c:pt>
                <c:pt idx="5">
                  <c:v>0.11647</c:v>
                </c:pt>
                <c:pt idx="6">
                  <c:v>2.0432000000000001</c:v>
                </c:pt>
                <c:pt idx="7">
                  <c:v>3.6783600000000001</c:v>
                </c:pt>
                <c:pt idx="8">
                  <c:v>-0.90288000000000002</c:v>
                </c:pt>
                <c:pt idx="9">
                  <c:v>3.0158999999999998</c:v>
                </c:pt>
                <c:pt idx="10">
                  <c:v>0.80925000000000002</c:v>
                </c:pt>
                <c:pt idx="11">
                  <c:v>-0.53200000000000003</c:v>
                </c:pt>
                <c:pt idx="12">
                  <c:v>-0.31973000000000001</c:v>
                </c:pt>
                <c:pt idx="13">
                  <c:v>0.83957000000000004</c:v>
                </c:pt>
                <c:pt idx="14">
                  <c:v>-0.55532999999999999</c:v>
                </c:pt>
                <c:pt idx="15">
                  <c:v>8.8469999999999993E-2</c:v>
                </c:pt>
                <c:pt idx="16">
                  <c:v>0.57599</c:v>
                </c:pt>
                <c:pt idx="17">
                  <c:v>0.71828000000000003</c:v>
                </c:pt>
                <c:pt idx="18">
                  <c:v>1.41106</c:v>
                </c:pt>
                <c:pt idx="19">
                  <c:v>2.4257499999999999</c:v>
                </c:pt>
                <c:pt idx="20">
                  <c:v>0.32174000000000003</c:v>
                </c:pt>
                <c:pt idx="21">
                  <c:v>-0.77925999999999995</c:v>
                </c:pt>
                <c:pt idx="22">
                  <c:v>-4.4479999999999999E-2</c:v>
                </c:pt>
                <c:pt idx="23">
                  <c:v>-9.4999999999999998E-3</c:v>
                </c:pt>
                <c:pt idx="24">
                  <c:v>-0.36171999999999999</c:v>
                </c:pt>
                <c:pt idx="25">
                  <c:v>2.0571899999999999</c:v>
                </c:pt>
                <c:pt idx="26">
                  <c:v>1.0565100000000001</c:v>
                </c:pt>
                <c:pt idx="27">
                  <c:v>0.62963999999999998</c:v>
                </c:pt>
                <c:pt idx="28">
                  <c:v>4.8820000000000002E-2</c:v>
                </c:pt>
                <c:pt idx="29">
                  <c:v>0.77193000000000001</c:v>
                </c:pt>
                <c:pt idx="30">
                  <c:v>-0.31973000000000001</c:v>
                </c:pt>
                <c:pt idx="31">
                  <c:v>-0.39904000000000001</c:v>
                </c:pt>
                <c:pt idx="32">
                  <c:v>2.0921799999999999</c:v>
                </c:pt>
                <c:pt idx="33">
                  <c:v>0.13746</c:v>
                </c:pt>
                <c:pt idx="34">
                  <c:v>-0.47602</c:v>
                </c:pt>
                <c:pt idx="35">
                  <c:v>-0.51800000000000002</c:v>
                </c:pt>
                <c:pt idx="36">
                  <c:v>-1.17347</c:v>
                </c:pt>
                <c:pt idx="37">
                  <c:v>9.1699999999999993E-3</c:v>
                </c:pt>
                <c:pt idx="38">
                  <c:v>0.15145</c:v>
                </c:pt>
                <c:pt idx="39">
                  <c:v>3.9489999999999997E-2</c:v>
                </c:pt>
                <c:pt idx="40">
                  <c:v>-0.58797999999999995</c:v>
                </c:pt>
                <c:pt idx="41">
                  <c:v>-0.57164999999999999</c:v>
                </c:pt>
                <c:pt idx="42">
                  <c:v>-0.93786999999999998</c:v>
                </c:pt>
                <c:pt idx="43">
                  <c:v>-0.37337999999999999</c:v>
                </c:pt>
                <c:pt idx="44">
                  <c:v>-0.65095999999999998</c:v>
                </c:pt>
                <c:pt idx="45">
                  <c:v>-1.1921299999999999</c:v>
                </c:pt>
                <c:pt idx="46">
                  <c:v>-0.51800000000000002</c:v>
                </c:pt>
                <c:pt idx="47">
                  <c:v>-0.60663999999999996</c:v>
                </c:pt>
                <c:pt idx="48">
                  <c:v>-1.0101800000000001</c:v>
                </c:pt>
                <c:pt idx="49">
                  <c:v>-0.72794000000000003</c:v>
                </c:pt>
                <c:pt idx="50">
                  <c:v>1.4157299999999999</c:v>
                </c:pt>
                <c:pt idx="51">
                  <c:v>1.27111</c:v>
                </c:pt>
                <c:pt idx="52">
                  <c:v>-0.42003000000000001</c:v>
                </c:pt>
                <c:pt idx="53">
                  <c:v>0.21443999999999999</c:v>
                </c:pt>
                <c:pt idx="54">
                  <c:v>0.41737000000000002</c:v>
                </c:pt>
                <c:pt idx="55">
                  <c:v>-0.72794000000000003</c:v>
                </c:pt>
                <c:pt idx="56">
                  <c:v>-0.82357000000000002</c:v>
                </c:pt>
                <c:pt idx="57">
                  <c:v>-0.49001</c:v>
                </c:pt>
                <c:pt idx="58">
                  <c:v>0.26341999999999999</c:v>
                </c:pt>
                <c:pt idx="59">
                  <c:v>-0.77459</c:v>
                </c:pt>
                <c:pt idx="60">
                  <c:v>9.3140000000000001E-2</c:v>
                </c:pt>
                <c:pt idx="61">
                  <c:v>-6.0810000000000003E-2</c:v>
                </c:pt>
                <c:pt idx="62">
                  <c:v>-0.60663999999999996</c:v>
                </c:pt>
                <c:pt idx="63">
                  <c:v>-1.03817</c:v>
                </c:pt>
                <c:pt idx="64">
                  <c:v>-0.42936000000000002</c:v>
                </c:pt>
                <c:pt idx="65">
                  <c:v>-0.92620999999999998</c:v>
                </c:pt>
                <c:pt idx="66">
                  <c:v>-0.39204</c:v>
                </c:pt>
                <c:pt idx="67">
                  <c:v>0.98653000000000002</c:v>
                </c:pt>
                <c:pt idx="68">
                  <c:v>-3.5150000000000001E-2</c:v>
                </c:pt>
                <c:pt idx="69">
                  <c:v>-0.82591000000000003</c:v>
                </c:pt>
                <c:pt idx="70">
                  <c:v>0.75560000000000005</c:v>
                </c:pt>
                <c:pt idx="71">
                  <c:v>0.66696</c:v>
                </c:pt>
                <c:pt idx="72">
                  <c:v>0.36371999999999999</c:v>
                </c:pt>
                <c:pt idx="73">
                  <c:v>1.40873</c:v>
                </c:pt>
                <c:pt idx="74">
                  <c:v>-1.2037899999999999</c:v>
                </c:pt>
                <c:pt idx="75">
                  <c:v>1.26644</c:v>
                </c:pt>
                <c:pt idx="76">
                  <c:v>-0.52966999999999997</c:v>
                </c:pt>
                <c:pt idx="77">
                  <c:v>-0.87722</c:v>
                </c:pt>
                <c:pt idx="78">
                  <c:v>-0.11913</c:v>
                </c:pt>
                <c:pt idx="79">
                  <c:v>-0.92620999999999998</c:v>
                </c:pt>
                <c:pt idx="80">
                  <c:v>-1.1291500000000001</c:v>
                </c:pt>
                <c:pt idx="81">
                  <c:v>-0.61597000000000002</c:v>
                </c:pt>
                <c:pt idx="82">
                  <c:v>-1.1244799999999999</c:v>
                </c:pt>
                <c:pt idx="83">
                  <c:v>-1.1944600000000001</c:v>
                </c:pt>
                <c:pt idx="84">
                  <c:v>-0.85157000000000005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5544192"/>
        <c:axId val="155554560"/>
      </c:scatterChart>
      <c:valAx>
        <c:axId val="155544192"/>
        <c:scaling>
          <c:orientation val="minMax"/>
        </c:scaling>
        <c:delete val="0"/>
        <c:axPos val="b"/>
        <c:majorGridlines>
          <c:spPr>
            <a:ln w="9360">
              <a:solidFill>
                <a:srgbClr val="D9D9D9"/>
              </a:solidFill>
              <a:round/>
            </a:ln>
          </c:spPr>
        </c:majorGridlines>
        <c:title>
          <c:tx>
            <c:rich>
              <a:bodyPr rot="0"/>
              <a:lstStyle/>
              <a:p>
                <a:pPr>
                  <a:defRPr lang="en-US" sz="1000" b="0" strike="noStrike" spc="-1">
                    <a:solidFill>
                      <a:srgbClr val="595959"/>
                    </a:solidFill>
                    <a:latin typeface="Calibri"/>
                  </a:defRPr>
                </a:pPr>
                <a:r>
                  <a:rPr lang="en-US" sz="1000" b="0" strike="noStrike" spc="-1">
                    <a:solidFill>
                      <a:srgbClr val="595959"/>
                    </a:solidFill>
                    <a:latin typeface="Calibri"/>
                  </a:rPr>
                  <a:t>Zscore: число зарегистрированных преступлений несовершеннолетних на 100 000  населения </a:t>
                </a:r>
              </a:p>
            </c:rich>
          </c:tx>
          <c:layout>
            <c:manualLayout>
              <c:xMode val="edge"/>
              <c:yMode val="edge"/>
              <c:x val="0.21300947744575099"/>
              <c:y val="0.91237404272470801"/>
            </c:manualLayout>
          </c:layout>
          <c:overlay val="0"/>
          <c:spPr>
            <a:noFill/>
            <a:ln>
              <a:noFill/>
            </a:ln>
          </c:spPr>
        </c:title>
        <c:numFmt formatCode="General" sourceLinked="0"/>
        <c:majorTickMark val="none"/>
        <c:minorTickMark val="none"/>
        <c:tickLblPos val="nextTo"/>
        <c:spPr>
          <a:ln w="9360">
            <a:solidFill>
              <a:srgbClr val="BFBFBF"/>
            </a:solidFill>
            <a:round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ru-RU"/>
          </a:p>
        </c:txPr>
        <c:crossAx val="155554560"/>
        <c:crosses val="autoZero"/>
        <c:crossBetween val="midCat"/>
      </c:valAx>
      <c:valAx>
        <c:axId val="155554560"/>
        <c:scaling>
          <c:orientation val="minMax"/>
        </c:scaling>
        <c:delete val="0"/>
        <c:axPos val="l"/>
        <c:majorGridlines>
          <c:spPr>
            <a:ln w="9360">
              <a:solidFill>
                <a:srgbClr val="D9D9D9"/>
              </a:solidFill>
              <a:round/>
            </a:ln>
          </c:spPr>
        </c:majorGridlines>
        <c:title>
          <c:tx>
            <c:rich>
              <a:bodyPr rot="-5400000"/>
              <a:lstStyle/>
              <a:p>
                <a:pPr>
                  <a:defRPr lang="en-US" sz="1000" b="0" strike="noStrike" spc="-1">
                    <a:solidFill>
                      <a:srgbClr val="595959"/>
                    </a:solidFill>
                    <a:latin typeface="Calibri"/>
                  </a:defRPr>
                </a:pPr>
                <a:r>
                  <a:rPr lang="en-US" sz="1000" b="0" strike="noStrike" spc="-1">
                    <a:solidFill>
                      <a:srgbClr val="595959"/>
                    </a:solidFill>
                    <a:latin typeface="Calibri"/>
                  </a:rPr>
                  <a:t>Zscore: численность пациентов с впервые в жизни
 установленным диагнозом ВИЧ на 100000 населения </a:t>
                </a:r>
              </a:p>
            </c:rich>
          </c:tx>
          <c:overlay val="0"/>
          <c:spPr>
            <a:noFill/>
            <a:ln>
              <a:noFill/>
            </a:ln>
          </c:spPr>
        </c:title>
        <c:numFmt formatCode="General" sourceLinked="0"/>
        <c:majorTickMark val="none"/>
        <c:minorTickMark val="none"/>
        <c:tickLblPos val="nextTo"/>
        <c:spPr>
          <a:ln w="9360">
            <a:solidFill>
              <a:srgbClr val="BFBFBF"/>
            </a:solidFill>
            <a:round/>
          </a:ln>
        </c:spPr>
        <c:txPr>
          <a:bodyPr/>
          <a:lstStyle/>
          <a:p>
            <a:pPr>
              <a:defRPr sz="900" b="0" strike="noStrike" spc="-1">
                <a:solidFill>
                  <a:srgbClr val="595959"/>
                </a:solidFill>
                <a:latin typeface="Calibri"/>
              </a:defRPr>
            </a:pPr>
            <a:endParaRPr lang="ru-RU"/>
          </a:p>
        </c:txPr>
        <c:crossAx val="155544192"/>
        <c:crosses val="autoZero"/>
        <c:crossBetween val="midCat"/>
      </c:valAx>
      <c:spPr>
        <a:noFill/>
        <a:ln>
          <a:noFill/>
        </a:ln>
      </c:spPr>
    </c:plotArea>
    <c:plotVisOnly val="1"/>
    <c:dispBlanksAs val="gap"/>
    <c:showDLblsOverMax val="1"/>
  </c:chart>
  <c:spPr>
    <a:solidFill>
      <a:srgbClr val="FFFFFF"/>
    </a:solidFill>
    <a:ln w="9360">
      <a:solidFill>
        <a:srgbClr val="D9D9D9"/>
      </a:solidFill>
      <a:round/>
    </a:ln>
  </c:spPr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1845</Words>
  <Characters>10519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Галина Белехова</cp:lastModifiedBy>
  <cp:revision>4</cp:revision>
  <dcterms:created xsi:type="dcterms:W3CDTF">2022-03-19T13:27:00Z</dcterms:created>
  <dcterms:modified xsi:type="dcterms:W3CDTF">2022-03-21T06:07:00Z</dcterms:modified>
</cp:coreProperties>
</file>